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650BF" w:rsidP="00450A22" w14:paraId="5E7ABA26" w14:textId="16880B84">
      <w:pPr>
        <w:pStyle w:val="Header"/>
      </w:pPr>
      <w:r>
        <w:rPr>
          <w:noProof/>
        </w:rPr>
        <mc:AlternateContent>
          <mc:Choice Requires="wps">
            <w:drawing>
              <wp:anchor distT="0" distB="0" distL="114300" distR="114300" simplePos="0" relativeHeight="25166438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814214" w14:textId="76064EAA">
                            <w:r w:rsidRPr="00A80830">
                              <w:rPr>
                                <w:noProof/>
                              </w:rPr>
                              <w:drawing>
                                <wp:inline distT="0" distB="0" distL="0" distR="0">
                                  <wp:extent cx="2679192" cy="548796"/>
                                  <wp:effectExtent l="0" t="0" r="6985" b="3810"/>
                                  <wp:docPr id="909927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1920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9192" cy="548796"/>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5408" o:allowincell="f" stroked="f">
                <v:textbox>
                  <w:txbxContent>
                    <w:p w:rsidR="00814214" w14:paraId="3787190A" w14:textId="76064EAA">
                      <w:drawing>
                        <wp:inline distT="0" distB="0" distL="0" distR="0">
                          <wp:extent cx="2679192" cy="548796"/>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59445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9192" cy="548796"/>
                                  </a:xfrm>
                                  <a:prstGeom prst="rect">
                                    <a:avLst/>
                                  </a:prstGeom>
                                  <a:noFill/>
                                  <a:ln>
                                    <a:noFill/>
                                  </a:ln>
                                </pic:spPr>
                              </pic:pic>
                            </a:graphicData>
                          </a:graphic>
                        </wp:inline>
                      </w:drawing>
                    </w:p>
                  </w:txbxContent>
                </v:textbox>
                <w10:wrap anchorx="margin"/>
              </v:shape>
            </w:pict>
          </mc:Fallback>
        </mc:AlternateContent>
      </w:r>
      <w:r>
        <w:rPr>
          <w:noProof/>
        </w:rPr>
        <w:drawing>
          <wp:anchor distT="0" distB="0" distL="114300" distR="114300" simplePos="0" relativeHeight="25166643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1" name="Picture 6" descr="fcc_logo"/>
            <wp:cNvGraphicFramePr/>
            <a:graphic xmlns:a="http://schemas.openxmlformats.org/drawingml/2006/main">
              <a:graphicData uri="http://schemas.openxmlformats.org/drawingml/2006/picture">
                <pic:pic xmlns:pic="http://schemas.openxmlformats.org/drawingml/2006/picture">
                  <pic:nvPicPr>
                    <pic:cNvPr id="1740370042" name="Picture 6" descr="fcc_logo"/>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3650BF">
        <w:t>PUBLIC NOTICE</w:t>
      </w:r>
    </w:p>
    <w:p w:rsidR="003650BF" w:rsidP="00450A22" w14:paraId="2544209B"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-38100</wp:posOffset>
                </wp:positionH>
                <wp:positionV relativeFrom="paragraph">
                  <wp:posOffset>27940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CF340B"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_x0000_s1026" type="#_x0000_t202" style="width:244.8pt;height:50.4pt;margin-top:2.2pt;margin-left:-3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F340B" w14:paraId="6ACFAB30" w14:textId="77777777"/>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position-horizontal:right;mso-position-horizontal-relative:margin;mso-width-percent:0;mso-width-relative:page;mso-wrap-distance-left:9pt;mso-wrap-distance-right:9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3650BF" w:rsidP="003650BF" w14:textId="77777777">
                            <w:pPr>
                              <w:spacing w:before="40"/>
                              <w:jc w:val="right"/>
                              <w:rPr>
                                <w:rFonts w:ascii="Arial" w:hAnsi="Arial"/>
                                <w:b/>
                                <w:sz w:val="16"/>
                              </w:rPr>
                            </w:pPr>
                            <w:r>
                              <w:rPr>
                                <w:rFonts w:ascii="Arial" w:hAnsi="Arial"/>
                                <w:b/>
                                <w:sz w:val="16"/>
                              </w:rPr>
                              <w:t>News Media Information 202 / 418-0500</w:t>
                            </w:r>
                          </w:p>
                          <w:p w:rsidR="003650BF" w:rsidP="003650BF" w14:textId="1CBB3AEE">
                            <w:pPr>
                              <w:jc w:val="right"/>
                              <w:rPr>
                                <w:rFonts w:ascii="Arial" w:hAnsi="Arial"/>
                                <w:b/>
                                <w:sz w:val="16"/>
                              </w:rPr>
                            </w:pPr>
                            <w:r>
                              <w:rPr>
                                <w:rFonts w:ascii="Arial" w:hAnsi="Arial"/>
                                <w:b/>
                                <w:sz w:val="16"/>
                              </w:rPr>
                              <w:t xml:space="preserve">Internet: </w:t>
                            </w:r>
                            <w:bookmarkStart w:id="0" w:name="_Hlt233824"/>
                            <w:hyperlink r:id="rId7" w:history="1">
                              <w:bookmarkEnd w:id="0"/>
                              <w:r w:rsidRPr="00897495" w:rsidR="00897495">
                                <w:rPr>
                                  <w:rStyle w:val="Hyperlink"/>
                                  <w:rFonts w:ascii="Arial" w:hAnsi="Arial"/>
                                  <w:b/>
                                  <w:sz w:val="16"/>
                                </w:rPr>
                                <w:t>https://www.fcc.gov/</w:t>
                              </w:r>
                            </w:hyperlink>
                          </w:p>
                          <w:p w:rsidR="003650BF" w:rsidP="003650B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650BF" w:rsidP="003650BF" w14:paraId="19BEC1A1" w14:textId="77777777">
                      <w:pPr>
                        <w:spacing w:before="40"/>
                        <w:jc w:val="right"/>
                        <w:rPr>
                          <w:rFonts w:ascii="Arial" w:hAnsi="Arial"/>
                          <w:b/>
                          <w:sz w:val="16"/>
                        </w:rPr>
                      </w:pPr>
                      <w:r>
                        <w:rPr>
                          <w:rFonts w:ascii="Arial" w:hAnsi="Arial"/>
                          <w:b/>
                          <w:sz w:val="16"/>
                        </w:rPr>
                        <w:t>News Media Information 202 / 418-0500</w:t>
                      </w:r>
                    </w:p>
                    <w:p w:rsidR="003650BF" w:rsidP="003650BF" w14:paraId="46170711" w14:textId="1CBB3AEE">
                      <w:pPr>
                        <w:jc w:val="right"/>
                        <w:rPr>
                          <w:rFonts w:ascii="Arial" w:hAnsi="Arial"/>
                          <w:b/>
                          <w:sz w:val="16"/>
                        </w:rPr>
                      </w:pPr>
                      <w:r>
                        <w:rPr>
                          <w:rFonts w:ascii="Arial" w:hAnsi="Arial"/>
                          <w:b/>
                          <w:sz w:val="16"/>
                        </w:rPr>
                        <w:t xml:space="preserve">Internet: </w:t>
                      </w:r>
                      <w:bookmarkStart w:id="0" w:name="_Hlt233824"/>
                      <w:hyperlink r:id="rId7" w:history="1">
                        <w:bookmarkEnd w:id="0"/>
                        <w:r w:rsidRPr="00897495" w:rsidR="00897495">
                          <w:rPr>
                            <w:rStyle w:val="Hyperlink"/>
                            <w:rFonts w:ascii="Arial" w:hAnsi="Arial"/>
                            <w:b/>
                            <w:sz w:val="16"/>
                          </w:rPr>
                          <w:t>https://www.fcc.gov/</w:t>
                        </w:r>
                      </w:hyperlink>
                    </w:p>
                    <w:p w:rsidR="003650BF" w:rsidP="003650BF" w14:paraId="7C76FF3F" w14:textId="77777777">
                      <w:pPr>
                        <w:jc w:val="right"/>
                      </w:pPr>
                      <w:r>
                        <w:rPr>
                          <w:rFonts w:ascii="Arial" w:hAnsi="Arial"/>
                          <w:b/>
                          <w:sz w:val="16"/>
                        </w:rPr>
                        <w:t>TTY: 1-888-835-5322</w:t>
                      </w:r>
                    </w:p>
                  </w:txbxContent>
                </v:textbox>
              </v:shape>
            </w:pict>
          </mc:Fallback>
        </mc:AlternateContent>
      </w:r>
    </w:p>
    <w:p w:rsidR="00D537EF" w:rsidP="003650BF" w14:paraId="51304FD3" w14:textId="248DF16C">
      <w:pPr>
        <w:spacing w:before="60"/>
        <w:jc w:val="right"/>
        <w:rPr>
          <w:b/>
          <w:sz w:val="24"/>
        </w:rPr>
      </w:pPr>
      <w:r>
        <w:rPr>
          <w:b/>
          <w:sz w:val="24"/>
        </w:rPr>
        <w:t>DA 1</w:t>
      </w:r>
      <w:r w:rsidR="005E2564">
        <w:rPr>
          <w:b/>
          <w:sz w:val="24"/>
        </w:rPr>
        <w:t>9</w:t>
      </w:r>
      <w:r>
        <w:rPr>
          <w:b/>
          <w:sz w:val="24"/>
        </w:rPr>
        <w:t>-</w:t>
      </w:r>
      <w:r w:rsidR="003C0129">
        <w:rPr>
          <w:b/>
          <w:sz w:val="24"/>
        </w:rPr>
        <w:t>1312</w:t>
      </w:r>
      <w:bookmarkStart w:id="1" w:name="_GoBack"/>
      <w:bookmarkEnd w:id="1"/>
    </w:p>
    <w:p w:rsidR="00D537EF" w14:paraId="45732EF0" w14:textId="4B242DC8">
      <w:pPr>
        <w:spacing w:before="60"/>
        <w:jc w:val="right"/>
        <w:rPr>
          <w:b/>
          <w:sz w:val="24"/>
        </w:rPr>
      </w:pPr>
      <w:r>
        <w:rPr>
          <w:b/>
          <w:sz w:val="24"/>
        </w:rPr>
        <w:t xml:space="preserve">Released:  </w:t>
      </w:r>
      <w:r w:rsidR="00A273C0">
        <w:rPr>
          <w:b/>
          <w:sz w:val="24"/>
        </w:rPr>
        <w:t>December 20</w:t>
      </w:r>
      <w:r w:rsidRPr="00A273C0" w:rsidR="00F66028">
        <w:rPr>
          <w:b/>
          <w:sz w:val="24"/>
        </w:rPr>
        <w:t>,</w:t>
      </w:r>
      <w:r w:rsidR="00F66028">
        <w:rPr>
          <w:b/>
          <w:sz w:val="24"/>
        </w:rPr>
        <w:t xml:space="preserve"> 201</w:t>
      </w:r>
      <w:r w:rsidR="005E2564">
        <w:rPr>
          <w:b/>
          <w:sz w:val="24"/>
        </w:rPr>
        <w:t>9</w:t>
      </w:r>
    </w:p>
    <w:p w:rsidR="00D537EF" w14:paraId="6EDC8C7E" w14:textId="77777777">
      <w:pPr>
        <w:jc w:val="right"/>
        <w:rPr>
          <w:sz w:val="24"/>
        </w:rPr>
      </w:pPr>
    </w:p>
    <w:p w:rsidR="00174881" w:rsidRPr="005A3FFD" w:rsidP="00174881" w14:paraId="1E06BFC7" w14:textId="77777777">
      <w:pPr>
        <w:rPr>
          <w:b/>
        </w:rPr>
      </w:pPr>
    </w:p>
    <w:p w:rsidR="000A3846" w:rsidP="00174881" w14:paraId="03F7EE78" w14:textId="54A9094B">
      <w:pPr>
        <w:jc w:val="center"/>
        <w:rPr>
          <w:b/>
        </w:rPr>
      </w:pPr>
      <w:r>
        <w:rPr>
          <w:b/>
        </w:rPr>
        <w:t>CONSUMER AND GOVERNMENTAL AFFAIRS</w:t>
      </w:r>
      <w:r w:rsidRPr="005A3FFD">
        <w:rPr>
          <w:b/>
        </w:rPr>
        <w:t xml:space="preserve"> BUREAU SEEKS </w:t>
      </w:r>
      <w:r>
        <w:rPr>
          <w:b/>
        </w:rPr>
        <w:t>INPUT</w:t>
      </w:r>
    </w:p>
    <w:p w:rsidR="00174881" w:rsidRPr="005A3FFD" w:rsidP="00174881" w14:paraId="59841569" w14:textId="77777777">
      <w:pPr>
        <w:jc w:val="center"/>
        <w:rPr>
          <w:b/>
        </w:rPr>
      </w:pPr>
      <w:r>
        <w:rPr>
          <w:b/>
        </w:rPr>
        <w:t xml:space="preserve">FOR REPORT ON </w:t>
      </w:r>
      <w:r w:rsidR="005E2564">
        <w:rPr>
          <w:b/>
        </w:rPr>
        <w:t>CALL BLOCK</w:t>
      </w:r>
      <w:r>
        <w:rPr>
          <w:b/>
        </w:rPr>
        <w:t>ING</w:t>
      </w:r>
    </w:p>
    <w:p w:rsidR="00174881" w:rsidRPr="005A3FFD" w:rsidP="00174881" w14:paraId="3B36303E" w14:textId="77777777">
      <w:pPr>
        <w:jc w:val="center"/>
        <w:rPr>
          <w:b/>
        </w:rPr>
      </w:pPr>
    </w:p>
    <w:p w:rsidR="00174881" w:rsidRPr="005A3FFD" w:rsidP="00174881" w14:paraId="28E57EDC" w14:textId="77777777">
      <w:pPr>
        <w:jc w:val="center"/>
        <w:rPr>
          <w:b/>
        </w:rPr>
      </w:pPr>
      <w:r w:rsidRPr="00DA1F60">
        <w:rPr>
          <w:b/>
        </w:rPr>
        <w:t>CG Docket No. 17-59</w:t>
      </w:r>
      <w:r w:rsidR="005E2564">
        <w:rPr>
          <w:b/>
        </w:rPr>
        <w:t>, WC Docket No. 17-97</w:t>
      </w:r>
    </w:p>
    <w:p w:rsidR="00174881" w:rsidRPr="005A3FFD" w:rsidP="00174881" w14:paraId="07408A94" w14:textId="77777777">
      <w:pPr>
        <w:jc w:val="center"/>
        <w:rPr>
          <w:b/>
        </w:rPr>
      </w:pPr>
    </w:p>
    <w:p w:rsidR="00174881" w:rsidRPr="005A3FFD" w:rsidP="00174881" w14:paraId="5210FC46" w14:textId="77777777">
      <w:pPr>
        <w:rPr>
          <w:b/>
        </w:rPr>
      </w:pPr>
      <w:r w:rsidRPr="005A3FFD">
        <w:rPr>
          <w:b/>
        </w:rPr>
        <w:t xml:space="preserve">Comments Due:  </w:t>
      </w:r>
      <w:r w:rsidR="003F0216">
        <w:rPr>
          <w:b/>
        </w:rPr>
        <w:t>30 days from publication in the Federal Register</w:t>
      </w:r>
    </w:p>
    <w:p w:rsidR="00174881" w:rsidRPr="005A3FFD" w:rsidP="00174881" w14:paraId="70AADF38" w14:textId="77777777">
      <w:pPr>
        <w:spacing w:after="240"/>
        <w:rPr>
          <w:b/>
        </w:rPr>
      </w:pPr>
      <w:r w:rsidRPr="005A3FFD">
        <w:rPr>
          <w:b/>
        </w:rPr>
        <w:t xml:space="preserve">Reply Comments Due:  </w:t>
      </w:r>
      <w:r w:rsidR="00BE6E5C">
        <w:rPr>
          <w:b/>
        </w:rPr>
        <w:t>60</w:t>
      </w:r>
      <w:r w:rsidR="003F0216">
        <w:rPr>
          <w:b/>
        </w:rPr>
        <w:t xml:space="preserve"> days from publication in the Federal Register</w:t>
      </w:r>
    </w:p>
    <w:p w:rsidR="001C7815" w:rsidP="00450A22" w14:paraId="27ADA079" w14:textId="5A80C52D">
      <w:pPr>
        <w:pStyle w:val="Paranum"/>
      </w:pPr>
      <w:r>
        <w:t>In February 2019, the Commission’s Consumer and Governmental Affairs Bureau (Bureau) issued a staff Report on Robocalls in consultation with the Federal Trade Commission’s Bureau of Consumer Protection.</w:t>
      </w:r>
      <w:r>
        <w:rPr>
          <w:rStyle w:val="FootnoteReference"/>
        </w:rPr>
        <w:footnoteReference w:id="3"/>
      </w:r>
      <w:r>
        <w:t xml:space="preserve">  The report examined the state of robocalling in the United </w:t>
      </w:r>
      <w:r w:rsidR="0016669D">
        <w:t>S</w:t>
      </w:r>
      <w:r>
        <w:t>tates</w:t>
      </w:r>
      <w:r w:rsidR="00334507">
        <w:t>,</w:t>
      </w:r>
      <w:r>
        <w:t xml:space="preserve"> </w:t>
      </w:r>
      <w:r w:rsidR="00334507">
        <w:t xml:space="preserve">including </w:t>
      </w:r>
      <w:r w:rsidR="00E02031">
        <w:t xml:space="preserve">robocall </w:t>
      </w:r>
      <w:r w:rsidR="00334507">
        <w:t>volume, type</w:t>
      </w:r>
      <w:r w:rsidR="00E02031">
        <w:t>, and trends in volume and consumer complaints.</w:t>
      </w:r>
      <w:r>
        <w:rPr>
          <w:rStyle w:val="FootnoteReference"/>
        </w:rPr>
        <w:footnoteReference w:id="4"/>
      </w:r>
      <w:r w:rsidR="00E02031">
        <w:t xml:space="preserve">  The report</w:t>
      </w:r>
      <w:r>
        <w:t xml:space="preserve"> </w:t>
      </w:r>
      <w:r w:rsidR="00B9086F">
        <w:t xml:space="preserve">also </w:t>
      </w:r>
      <w:r>
        <w:t>described</w:t>
      </w:r>
      <w:r w:rsidR="00BC6D24">
        <w:t xml:space="preserve"> </w:t>
      </w:r>
      <w:r w:rsidR="00334507">
        <w:t xml:space="preserve">regulatory and industry </w:t>
      </w:r>
      <w:r>
        <w:t xml:space="preserve">initiatives </w:t>
      </w:r>
      <w:r w:rsidR="003F16B1">
        <w:t>t</w:t>
      </w:r>
      <w:r w:rsidR="00334507">
        <w:t>o</w:t>
      </w:r>
      <w:r w:rsidR="003F16B1">
        <w:t xml:space="preserve"> </w:t>
      </w:r>
      <w:r>
        <w:t>protect consumers from illegal</w:t>
      </w:r>
      <w:r w:rsidR="00B9086F">
        <w:t xml:space="preserve"> </w:t>
      </w:r>
      <w:r w:rsidR="00811DF9">
        <w:t xml:space="preserve">and </w:t>
      </w:r>
      <w:r w:rsidR="00B9086F">
        <w:t>unwanted</w:t>
      </w:r>
      <w:r>
        <w:t xml:space="preserve"> </w:t>
      </w:r>
      <w:r w:rsidR="00E02031">
        <w:t>robocalls</w:t>
      </w:r>
      <w:r w:rsidR="003F16B1">
        <w:t xml:space="preserve"> and the </w:t>
      </w:r>
      <w:r w:rsidR="00334507">
        <w:t>challenges that remain</w:t>
      </w:r>
      <w:r>
        <w:t>.</w:t>
      </w:r>
      <w:r>
        <w:rPr>
          <w:rStyle w:val="FootnoteReference"/>
        </w:rPr>
        <w:footnoteReference w:id="5"/>
      </w:r>
    </w:p>
    <w:p w:rsidR="008805D1" w:rsidP="00450A22" w14:paraId="0C7153C8" w14:textId="5CB4B7E6">
      <w:pPr>
        <w:pStyle w:val="Paranum"/>
      </w:pPr>
      <w:r>
        <w:t>In June 2019, the Commission took action to further protect consumers from illegal and unwanted robocalls.</w:t>
      </w:r>
      <w:r>
        <w:rPr>
          <w:rStyle w:val="FootnoteReference"/>
        </w:rPr>
        <w:footnoteReference w:id="6"/>
      </w:r>
      <w:r>
        <w:t xml:space="preserve">  </w:t>
      </w:r>
      <w:r w:rsidR="000B1A7D">
        <w:t xml:space="preserve">To resolve </w:t>
      </w:r>
      <w:r w:rsidR="00BA6988">
        <w:t xml:space="preserve">any </w:t>
      </w:r>
      <w:r w:rsidR="000B1A7D">
        <w:t xml:space="preserve">uncertainty </w:t>
      </w:r>
      <w:r w:rsidR="00BA6988">
        <w:t xml:space="preserve">about </w:t>
      </w:r>
      <w:r w:rsidR="000B1A7D">
        <w:t xml:space="preserve">the call-blocking tools that voice service providers </w:t>
      </w:r>
      <w:r w:rsidR="009C7407">
        <w:t xml:space="preserve">may </w:t>
      </w:r>
      <w:r w:rsidR="000B1A7D">
        <w:t>offer</w:t>
      </w:r>
      <w:r w:rsidR="00C379E1">
        <w:t xml:space="preserve"> consumers</w:t>
      </w:r>
      <w:r w:rsidR="000B1A7D">
        <w:t>, the Commission clarified that voice service providers may offer consumers call</w:t>
      </w:r>
      <w:r w:rsidR="00334507">
        <w:t xml:space="preserve"> </w:t>
      </w:r>
      <w:r w:rsidR="000B1A7D">
        <w:t xml:space="preserve">blocking </w:t>
      </w:r>
      <w:r w:rsidR="00334507">
        <w:t>based on reasonable analytics</w:t>
      </w:r>
      <w:r w:rsidR="000B1A7D">
        <w:t xml:space="preserve"> on an opt-out basis, </w:t>
      </w:r>
      <w:r w:rsidR="00334507">
        <w:t>giving consumers the benefit of</w:t>
      </w:r>
      <w:r w:rsidR="000B1A7D">
        <w:t xml:space="preserve"> call blocking </w:t>
      </w:r>
      <w:r w:rsidR="00334507">
        <w:t>without having to take action</w:t>
      </w:r>
      <w:r w:rsidR="000B1A7D">
        <w:t>.</w:t>
      </w:r>
      <w:r>
        <w:rPr>
          <w:rStyle w:val="FootnoteReference"/>
        </w:rPr>
        <w:footnoteReference w:id="7"/>
      </w:r>
      <w:r w:rsidR="000B1A7D">
        <w:t xml:space="preserve">  </w:t>
      </w:r>
      <w:r w:rsidR="001625F1">
        <w:t xml:space="preserve">The Commission </w:t>
      </w:r>
      <w:r w:rsidR="00987E34">
        <w:t>additionally</w:t>
      </w:r>
      <w:r w:rsidR="000B1A7D">
        <w:t xml:space="preserve"> clarified that voice service provider</w:t>
      </w:r>
      <w:r w:rsidR="008D4E7A">
        <w:t>s</w:t>
      </w:r>
      <w:r w:rsidR="000B1A7D">
        <w:t xml:space="preserve"> may offer</w:t>
      </w:r>
      <w:r w:rsidR="001625F1">
        <w:t xml:space="preserve">, on an opt-in basis, “white-list” </w:t>
      </w:r>
      <w:r w:rsidR="00C74ADE">
        <w:t xml:space="preserve">programs </w:t>
      </w:r>
      <w:r w:rsidR="001625F1">
        <w:t xml:space="preserve">that </w:t>
      </w:r>
      <w:r w:rsidR="000B1A7D">
        <w:t>block calls from numbers not in a consumer’s contact list.</w:t>
      </w:r>
      <w:r>
        <w:rPr>
          <w:rStyle w:val="FootnoteReference"/>
        </w:rPr>
        <w:footnoteReference w:id="8"/>
      </w:r>
      <w:r w:rsidR="00BB42DF">
        <w:t xml:space="preserve">  The Commission proposed</w:t>
      </w:r>
      <w:r w:rsidR="005F0B76">
        <w:t xml:space="preserve"> </w:t>
      </w:r>
      <w:r w:rsidR="00BB42DF">
        <w:t>a safe harbor for voice service providers that offer call</w:t>
      </w:r>
      <w:r w:rsidR="00334507">
        <w:t xml:space="preserve"> </w:t>
      </w:r>
      <w:r w:rsidR="00BB42DF">
        <w:t>blocking that take</w:t>
      </w:r>
      <w:r w:rsidR="00334507">
        <w:t>s</w:t>
      </w:r>
      <w:r w:rsidR="00BB42DF">
        <w:t xml:space="preserve"> into account whether a call has been properly authenticated under the SHAKEN/STIR framework and may </w:t>
      </w:r>
      <w:r w:rsidR="00BB42DF">
        <w:t>potentially be spoofed.</w:t>
      </w:r>
      <w:r>
        <w:rPr>
          <w:rStyle w:val="FootnoteReference"/>
        </w:rPr>
        <w:footnoteReference w:id="9"/>
      </w:r>
      <w:r w:rsidR="00BB42DF">
        <w:t xml:space="preserve">  </w:t>
      </w:r>
      <w:r w:rsidR="005F0B76">
        <w:t>In addition, the Commission sought comment on</w:t>
      </w:r>
      <w:r w:rsidR="00BB42DF">
        <w:t xml:space="preserve"> protect</w:t>
      </w:r>
      <w:r w:rsidR="005F0B76">
        <w:t>ing</w:t>
      </w:r>
      <w:r w:rsidR="00BB42DF">
        <w:t xml:space="preserve"> critical calls by requiring voice service providers that offer call</w:t>
      </w:r>
      <w:r w:rsidR="00631457">
        <w:t xml:space="preserve"> </w:t>
      </w:r>
      <w:r w:rsidR="00BB42DF">
        <w:t>blocking to maintain a “Critical Calls List” of numbers they may not block.</w:t>
      </w:r>
      <w:r>
        <w:rPr>
          <w:rStyle w:val="FootnoteReference"/>
        </w:rPr>
        <w:footnoteReference w:id="10"/>
      </w:r>
    </w:p>
    <w:p w:rsidR="00D81F4F" w:rsidP="00C75170" w14:paraId="58DAA81A" w14:textId="44828221">
      <w:pPr>
        <w:pStyle w:val="Paranum"/>
      </w:pPr>
      <w:r>
        <w:t xml:space="preserve">The Commission also </w:t>
      </w:r>
      <w:r w:rsidR="00174881">
        <w:t xml:space="preserve">directed the </w:t>
      </w:r>
      <w:r w:rsidR="008805D1">
        <w:t>Consumer and Governmental Affairs Bureau</w:t>
      </w:r>
      <w:r>
        <w:t xml:space="preserve">, </w:t>
      </w:r>
      <w:bookmarkStart w:id="2" w:name="_Toc21762267"/>
      <w:bookmarkStart w:id="3" w:name="_Toc55787787"/>
      <w:bookmarkStart w:id="4" w:name="_Toc57021199"/>
      <w:bookmarkStart w:id="5" w:name="_Toc65388449"/>
      <w:r w:rsidRPr="00017D61" w:rsidR="00415E35">
        <w:t>in consultation with the Wireline Competition Bureau (WCB) and Public Safety and Homeland Security Bureau (PSHSB)</w:t>
      </w:r>
      <w:r>
        <w:t xml:space="preserve">, </w:t>
      </w:r>
      <w:r w:rsidR="00B878A5">
        <w:t xml:space="preserve">to </w:t>
      </w:r>
      <w:r w:rsidR="00334507">
        <w:t>report on</w:t>
      </w:r>
      <w:r w:rsidR="00B878A5">
        <w:t xml:space="preserve"> the implementation and effectiveness of blocking measures</w:t>
      </w:r>
      <w:r w:rsidR="000D6944">
        <w:t>.</w:t>
      </w:r>
      <w:r>
        <w:rPr>
          <w:rStyle w:val="FootnoteReference"/>
        </w:rPr>
        <w:footnoteReference w:id="11"/>
      </w:r>
      <w:r w:rsidR="008805D1">
        <w:t xml:space="preserve">  </w:t>
      </w:r>
      <w:r>
        <w:t xml:space="preserve">The Commission specified that the Bureau address, among other things, the </w:t>
      </w:r>
      <w:r w:rsidRPr="00321CC1">
        <w:rPr>
          <w:shd w:val="clear" w:color="auto" w:fill="FFFFFF"/>
        </w:rPr>
        <w:t>availability to consumers of call</w:t>
      </w:r>
      <w:r>
        <w:rPr>
          <w:shd w:val="clear" w:color="auto" w:fill="FFFFFF"/>
        </w:rPr>
        <w:t>-</w:t>
      </w:r>
      <w:r w:rsidRPr="00321CC1">
        <w:rPr>
          <w:shd w:val="clear" w:color="auto" w:fill="FFFFFF"/>
        </w:rPr>
        <w:t>blocking solutions</w:t>
      </w:r>
      <w:r>
        <w:rPr>
          <w:shd w:val="clear" w:color="auto" w:fill="FFFFFF"/>
        </w:rPr>
        <w:t xml:space="preserve">, </w:t>
      </w:r>
      <w:r w:rsidRPr="00321CC1">
        <w:rPr>
          <w:shd w:val="clear" w:color="auto" w:fill="FFFFFF"/>
        </w:rPr>
        <w:t>the effectiveness of various categories of call</w:t>
      </w:r>
      <w:r>
        <w:rPr>
          <w:shd w:val="clear" w:color="auto" w:fill="FFFFFF"/>
        </w:rPr>
        <w:t>-</w:t>
      </w:r>
      <w:r w:rsidRPr="00321CC1">
        <w:rPr>
          <w:shd w:val="clear" w:color="auto" w:fill="FFFFFF"/>
        </w:rPr>
        <w:t>blocking tools</w:t>
      </w:r>
      <w:r>
        <w:rPr>
          <w:shd w:val="clear" w:color="auto" w:fill="FFFFFF"/>
        </w:rPr>
        <w:t>,</w:t>
      </w:r>
      <w:r>
        <w:t xml:space="preserve"> and the impact of previous Commission rule changes to allow voice service providers </w:t>
      </w:r>
      <w:r w:rsidRPr="003E6F75">
        <w:t>to block calls from phone numbers on a Do-Not-Originate list and those that purport to be from invalid, unallocated, or unused numbers</w:t>
      </w:r>
      <w:r>
        <w:t>.</w:t>
      </w:r>
      <w:r>
        <w:rPr>
          <w:rStyle w:val="FootnoteReference"/>
        </w:rPr>
        <w:footnoteReference w:id="12"/>
      </w:r>
      <w:r>
        <w:t xml:space="preserve">  The Commission also asked that the Bureau study information on the impact of call blocking on 911 and public safety.</w:t>
      </w:r>
      <w:r>
        <w:rPr>
          <w:rStyle w:val="FootnoteReference"/>
        </w:rPr>
        <w:footnoteReference w:id="13"/>
      </w:r>
    </w:p>
    <w:p w:rsidR="000D6944" w:rsidP="00C75170" w14:paraId="664266B8" w14:textId="0135CE11">
      <w:pPr>
        <w:pStyle w:val="Paranum"/>
      </w:pPr>
      <w:r>
        <w:t>With t</w:t>
      </w:r>
      <w:r w:rsidRPr="005A3FFD">
        <w:t>his Public Notice</w:t>
      </w:r>
      <w:r>
        <w:t>, the Bureau</w:t>
      </w:r>
      <w:r w:rsidR="00D81F4F">
        <w:t xml:space="preserve"> </w:t>
      </w:r>
      <w:r w:rsidRPr="005A3FFD">
        <w:t xml:space="preserve">solicits input </w:t>
      </w:r>
      <w:r>
        <w:t xml:space="preserve">for the first staff report </w:t>
      </w:r>
      <w:r w:rsidRPr="005A3FFD">
        <w:t xml:space="preserve">on </w:t>
      </w:r>
      <w:r>
        <w:t>call blocking</w:t>
      </w:r>
      <w:r w:rsidRPr="005A3FFD">
        <w:t>.</w:t>
      </w:r>
    </w:p>
    <w:p w:rsidR="00B45509" w14:paraId="7A7B2F1A" w14:textId="60EF9847">
      <w:pPr>
        <w:pStyle w:val="Paranum"/>
      </w:pPr>
      <w:r>
        <w:rPr>
          <w:i/>
        </w:rPr>
        <w:t>Availability of Call</w:t>
      </w:r>
      <w:r w:rsidR="000849CD">
        <w:rPr>
          <w:i/>
        </w:rPr>
        <w:t>-</w:t>
      </w:r>
      <w:r>
        <w:rPr>
          <w:i/>
        </w:rPr>
        <w:t xml:space="preserve">Blocking </w:t>
      </w:r>
      <w:r w:rsidR="00F4131E">
        <w:rPr>
          <w:i/>
        </w:rPr>
        <w:t>Tools</w:t>
      </w:r>
      <w:r w:rsidR="005A0EF9">
        <w:rPr>
          <w:i/>
        </w:rPr>
        <w:t>.</w:t>
      </w:r>
      <w:r w:rsidRPr="00B45509" w:rsidR="005A0EF9">
        <w:t xml:space="preserve">  </w:t>
      </w:r>
      <w:r w:rsidR="005A0EF9">
        <w:t>We seek data</w:t>
      </w:r>
      <w:r w:rsidRPr="005A3FFD" w:rsidR="005A0EF9">
        <w:t xml:space="preserve"> and </w:t>
      </w:r>
      <w:r w:rsidR="005A0EF9">
        <w:t xml:space="preserve">other </w:t>
      </w:r>
      <w:r w:rsidRPr="005A3FFD" w:rsidR="005A0EF9">
        <w:t xml:space="preserve">information </w:t>
      </w:r>
      <w:r>
        <w:t xml:space="preserve">on the </w:t>
      </w:r>
      <w:r w:rsidR="002038C7">
        <w:t xml:space="preserve">availability of </w:t>
      </w:r>
      <w:r>
        <w:t>call</w:t>
      </w:r>
      <w:r w:rsidR="000849CD">
        <w:t>-</w:t>
      </w:r>
      <w:r>
        <w:t xml:space="preserve">blocking </w:t>
      </w:r>
      <w:r w:rsidR="00F4131E">
        <w:t xml:space="preserve">tools </w:t>
      </w:r>
      <w:r>
        <w:t>offered to consumers</w:t>
      </w:r>
      <w:r w:rsidR="005A0EF9">
        <w:t>.</w:t>
      </w:r>
      <w:r w:rsidRPr="005A3FFD" w:rsidR="005A0EF9">
        <w:t xml:space="preserve">  </w:t>
      </w:r>
      <w:r>
        <w:t xml:space="preserve">What </w:t>
      </w:r>
      <w:r w:rsidR="00F4131E">
        <w:t xml:space="preserve">tools </w:t>
      </w:r>
      <w:r>
        <w:t xml:space="preserve">are available to consumers?  </w:t>
      </w:r>
      <w:r w:rsidRPr="0006222C" w:rsidR="0006222C">
        <w:t>Do</w:t>
      </w:r>
      <w:r w:rsidR="0081554B">
        <w:t xml:space="preserve"> voice service providers or others</w:t>
      </w:r>
      <w:r w:rsidRPr="0006222C" w:rsidR="0006222C">
        <w:t xml:space="preserve"> offer multiple versions </w:t>
      </w:r>
      <w:r w:rsidR="0081554B">
        <w:t xml:space="preserve">of their tool </w:t>
      </w:r>
      <w:r w:rsidRPr="0006222C" w:rsidR="0006222C">
        <w:t xml:space="preserve">from which consumers may choose?  </w:t>
      </w:r>
      <w:r w:rsidR="004A7679">
        <w:t xml:space="preserve">Are such tools </w:t>
      </w:r>
      <w:r w:rsidR="0028213E">
        <w:t>offered on an opt-in basis or opt-out basis</w:t>
      </w:r>
      <w:r w:rsidR="004A7679">
        <w:t xml:space="preserve">?  Do the tools block calls at the </w:t>
      </w:r>
      <w:r w:rsidR="0028213E">
        <w:t>network level,</w:t>
      </w:r>
      <w:r w:rsidR="004A7679">
        <w:t xml:space="preserve"> the device level</w:t>
      </w:r>
      <w:r w:rsidR="004A7383">
        <w:t>,</w:t>
      </w:r>
      <w:r w:rsidR="004A7679">
        <w:t xml:space="preserve"> or </w:t>
      </w:r>
      <w:r w:rsidR="004A7383">
        <w:t>elsewhere</w:t>
      </w:r>
      <w:r w:rsidR="004A7679">
        <w:t xml:space="preserve"> in the call path?  Are such tools </w:t>
      </w:r>
      <w:r w:rsidR="0028213E">
        <w:t>offered by a third party</w:t>
      </w:r>
      <w:r w:rsidR="004A7679">
        <w:t xml:space="preserve"> directly to the consumer or by the service provider?</w:t>
      </w:r>
      <w:r w:rsidR="0028213E">
        <w:t xml:space="preserve">  </w:t>
      </w:r>
      <w:r>
        <w:t xml:space="preserve">What fees, if any, </w:t>
      </w:r>
      <w:r w:rsidR="00ED4BC0">
        <w:t xml:space="preserve">do providers </w:t>
      </w:r>
      <w:r w:rsidR="004A7679">
        <w:t xml:space="preserve">or third parties </w:t>
      </w:r>
      <w:r w:rsidR="00ED4BC0">
        <w:t>charge</w:t>
      </w:r>
      <w:r>
        <w:t xml:space="preserve"> for these </w:t>
      </w:r>
      <w:r w:rsidR="00F4131E">
        <w:t>tools</w:t>
      </w:r>
      <w:r>
        <w:t xml:space="preserve">?  What proportion of </w:t>
      </w:r>
      <w:r w:rsidR="00FB4A5E">
        <w:t>consumers subscribe to</w:t>
      </w:r>
      <w:r>
        <w:t xml:space="preserve"> a provider that offers and/or enables call</w:t>
      </w:r>
      <w:r w:rsidR="000849CD">
        <w:t>-</w:t>
      </w:r>
      <w:r>
        <w:t>blocking tools?</w:t>
      </w:r>
      <w:r w:rsidR="002038C7">
        <w:t xml:space="preserve">  How many subscribers avail themselves of the tools?</w:t>
      </w:r>
      <w:r w:rsidR="00272261">
        <w:t xml:space="preserve">  Are new tools under development?</w:t>
      </w:r>
    </w:p>
    <w:p w:rsidR="00B45509" w:rsidRPr="00B45509" w14:paraId="62CAEAEF" w14:textId="0F4D9124">
      <w:pPr>
        <w:pStyle w:val="Paranum"/>
        <w:rPr>
          <w:i/>
        </w:rPr>
      </w:pPr>
      <w:r w:rsidRPr="00B45509">
        <w:rPr>
          <w:i/>
        </w:rPr>
        <w:t>Effectiveness of Call</w:t>
      </w:r>
      <w:r w:rsidR="000849CD">
        <w:rPr>
          <w:i/>
        </w:rPr>
        <w:t>-</w:t>
      </w:r>
      <w:r w:rsidRPr="00B45509">
        <w:rPr>
          <w:i/>
        </w:rPr>
        <w:t xml:space="preserve">Blocking </w:t>
      </w:r>
      <w:r w:rsidR="00F4131E">
        <w:rPr>
          <w:i/>
        </w:rPr>
        <w:t>Tools</w:t>
      </w:r>
      <w:r w:rsidRPr="00B45509">
        <w:rPr>
          <w:i/>
        </w:rPr>
        <w:t>.</w:t>
      </w:r>
      <w:r w:rsidRPr="00B45509">
        <w:t xml:space="preserve">  </w:t>
      </w:r>
      <w:r>
        <w:t>We seek data and other information on the effectiveness</w:t>
      </w:r>
      <w:r w:rsidR="002038C7">
        <w:t xml:space="preserve"> of call</w:t>
      </w:r>
      <w:r w:rsidR="000849CD">
        <w:t>-</w:t>
      </w:r>
      <w:r w:rsidR="002038C7">
        <w:t xml:space="preserve">blocking </w:t>
      </w:r>
      <w:r w:rsidR="00F4131E">
        <w:t xml:space="preserve">tools </w:t>
      </w:r>
      <w:r w:rsidR="002038C7">
        <w:t xml:space="preserve">offered to consumers.  </w:t>
      </w:r>
      <w:r w:rsidR="001D0F47">
        <w:t xml:space="preserve">What are the most appropriate </w:t>
      </w:r>
      <w:r w:rsidR="003650BF">
        <w:t xml:space="preserve">metrics to measure the effectiveness </w:t>
      </w:r>
      <w:r w:rsidR="001D0F47">
        <w:t>of call</w:t>
      </w:r>
      <w:r w:rsidR="000849CD">
        <w:t>-</w:t>
      </w:r>
      <w:r w:rsidR="001D0F47">
        <w:t>blocking tools</w:t>
      </w:r>
      <w:r w:rsidRPr="00F7479D" w:rsidR="003650BF">
        <w:t>, e.g., by</w:t>
      </w:r>
      <w:r w:rsidR="003650BF">
        <w:t xml:space="preserve"> fraction of illegal calls blocked</w:t>
      </w:r>
      <w:r w:rsidR="001D0F47">
        <w:t xml:space="preserve">? </w:t>
      </w:r>
      <w:r w:rsidR="003650BF">
        <w:t xml:space="preserve"> </w:t>
      </w:r>
      <w:r w:rsidR="004A7679">
        <w:t xml:space="preserve">How effective are available tools at blocking illegal and unwanted calls?  What tools, if any, </w:t>
      </w:r>
      <w:r w:rsidR="0028213E">
        <w:t xml:space="preserve">send an intercept message for blocked calls?  </w:t>
      </w:r>
      <w:r w:rsidR="00272261">
        <w:t xml:space="preserve">How </w:t>
      </w:r>
      <w:r w:rsidR="004A7679">
        <w:t xml:space="preserve">do blocking tools define </w:t>
      </w:r>
      <w:r w:rsidR="00272261">
        <w:t>false positive</w:t>
      </w:r>
      <w:r w:rsidR="004A7679">
        <w:t>s</w:t>
      </w:r>
      <w:r w:rsidR="00272261">
        <w:t xml:space="preserve">?  </w:t>
      </w:r>
      <w:r w:rsidR="002038C7">
        <w:t>What is the rate of false positives?</w:t>
      </w:r>
      <w:r w:rsidR="0028213E">
        <w:t xml:space="preserve">  </w:t>
      </w:r>
      <w:r w:rsidR="00866D48">
        <w:t xml:space="preserve">How do </w:t>
      </w:r>
      <w:r w:rsidR="0081554B">
        <w:t xml:space="preserve">the tools </w:t>
      </w:r>
      <w:r w:rsidR="00866D48">
        <w:t xml:space="preserve">remedy false positives?  </w:t>
      </w:r>
      <w:r w:rsidR="0028213E">
        <w:t xml:space="preserve">What is the rate of false negatives (illegal or unwanted calls that reach consumers)? </w:t>
      </w:r>
      <w:r w:rsidRPr="004A7679" w:rsidR="004A7679">
        <w:t xml:space="preserve"> </w:t>
      </w:r>
      <w:r w:rsidR="004A7679">
        <w:t>What is the number of illegal robocalls transiting our phone system?  How is that number determined?</w:t>
      </w:r>
      <w:r>
        <w:rPr>
          <w:rStyle w:val="FootnoteReference"/>
        </w:rPr>
        <w:footnoteReference w:id="14"/>
      </w:r>
    </w:p>
    <w:p w:rsidR="00987E34" w14:paraId="0DAA6EB1" w14:textId="668FD687">
      <w:pPr>
        <w:pStyle w:val="Paranum"/>
      </w:pPr>
      <w:bookmarkStart w:id="6" w:name="_Hlk23843802"/>
      <w:bookmarkStart w:id="7" w:name="_Hlk23844095"/>
      <w:r>
        <w:rPr>
          <w:i/>
        </w:rPr>
        <w:t xml:space="preserve">Impact of </w:t>
      </w:r>
      <w:r w:rsidR="001F2CE9">
        <w:rPr>
          <w:i/>
        </w:rPr>
        <w:t>FCC Actions</w:t>
      </w:r>
      <w:r>
        <w:rPr>
          <w:i/>
        </w:rPr>
        <w:t>.</w:t>
      </w:r>
      <w:r>
        <w:t xml:space="preserve">  </w:t>
      </w:r>
      <w:r>
        <w:t xml:space="preserve">The Commission </w:t>
      </w:r>
      <w:r w:rsidR="00FB4E15">
        <w:t>enabled</w:t>
      </w:r>
      <w:r>
        <w:t xml:space="preserve"> voice service providers to </w:t>
      </w:r>
      <w:r w:rsidRPr="003E6F75">
        <w:t>block calls from phone numbers on a D</w:t>
      </w:r>
      <w:r>
        <w:t>o-</w:t>
      </w:r>
      <w:r w:rsidRPr="003E6F75">
        <w:t>N</w:t>
      </w:r>
      <w:r>
        <w:t>ot-</w:t>
      </w:r>
      <w:r w:rsidRPr="003E6F75">
        <w:t>O</w:t>
      </w:r>
      <w:r>
        <w:t>riginate</w:t>
      </w:r>
      <w:r w:rsidRPr="003E6F75">
        <w:t xml:space="preserve"> list and those that purport to be from invalid, unallocated, or unused numbers</w:t>
      </w:r>
      <w:r>
        <w:t>.</w:t>
      </w:r>
      <w:r>
        <w:rPr>
          <w:rStyle w:val="FootnoteReference"/>
        </w:rPr>
        <w:footnoteReference w:id="15"/>
      </w:r>
      <w:r>
        <w:t xml:space="preserve"> </w:t>
      </w:r>
      <w:bookmarkEnd w:id="6"/>
      <w:r>
        <w:t xml:space="preserve"> </w:t>
      </w:r>
      <w:r w:rsidR="00450A22">
        <w:t>The Commission</w:t>
      </w:r>
      <w:r>
        <w:t xml:space="preserve"> ha</w:t>
      </w:r>
      <w:r w:rsidR="00450A22">
        <w:t>s</w:t>
      </w:r>
      <w:r w:rsidR="00206A01">
        <w:t xml:space="preserve"> also</w:t>
      </w:r>
      <w:r>
        <w:t xml:space="preserve"> clarified that voice service providers may offer opt-out call-</w:t>
      </w:r>
      <w:r>
        <w:t xml:space="preserve">blocking </w:t>
      </w:r>
      <w:r w:rsidR="00C74ADE">
        <w:t xml:space="preserve">programs </w:t>
      </w:r>
      <w:r>
        <w:t xml:space="preserve">and </w:t>
      </w:r>
      <w:r w:rsidR="00C74ADE">
        <w:t xml:space="preserve">opt-in </w:t>
      </w:r>
      <w:r>
        <w:t>white-list programs.</w:t>
      </w:r>
      <w:r>
        <w:rPr>
          <w:rStyle w:val="FootnoteReference"/>
        </w:rPr>
        <w:footnoteReference w:id="16"/>
      </w:r>
      <w:r>
        <w:t xml:space="preserve">  </w:t>
      </w:r>
      <w:r w:rsidR="00631457">
        <w:t xml:space="preserve">The Commission stated that these steps </w:t>
      </w:r>
      <w:r w:rsidR="00FB4E15">
        <w:t xml:space="preserve">to </w:t>
      </w:r>
      <w:r w:rsidR="00631457">
        <w:t>empower voice service providers to protect their customers were essential to curtailing illegal calls.</w:t>
      </w:r>
      <w:r>
        <w:rPr>
          <w:rStyle w:val="FootnoteReference"/>
        </w:rPr>
        <w:footnoteReference w:id="17"/>
      </w:r>
    </w:p>
    <w:bookmarkEnd w:id="7"/>
    <w:p w:rsidR="00ED4BC0" w:rsidP="00450A22" w14:paraId="1DA3C1A5" w14:textId="286DDEEB">
      <w:pPr>
        <w:pStyle w:val="Paranum"/>
      </w:pPr>
      <w:r>
        <w:t>H</w:t>
      </w:r>
      <w:r w:rsidR="005A0EF9">
        <w:t xml:space="preserve">ow have </w:t>
      </w:r>
      <w:r w:rsidR="0081554B">
        <w:t xml:space="preserve">voice service </w:t>
      </w:r>
      <w:r w:rsidR="005A0EF9">
        <w:t xml:space="preserve">providers responded to </w:t>
      </w:r>
      <w:r w:rsidR="00631457">
        <w:t>the Commission’s actions to empower them to protect their customers from illegal calls</w:t>
      </w:r>
      <w:r>
        <w:t>?</w:t>
      </w:r>
      <w:r w:rsidR="002038C7">
        <w:t xml:space="preserve">  </w:t>
      </w:r>
      <w:r w:rsidR="005A0EF9">
        <w:t xml:space="preserve">What </w:t>
      </w:r>
      <w:r w:rsidR="006811C9">
        <w:t>initiatives have</w:t>
      </w:r>
      <w:r w:rsidR="005A0EF9">
        <w:t xml:space="preserve"> </w:t>
      </w:r>
      <w:r w:rsidR="0081554B">
        <w:t xml:space="preserve">voice service </w:t>
      </w:r>
      <w:r w:rsidR="005A0EF9">
        <w:t xml:space="preserve">providers </w:t>
      </w:r>
      <w:r w:rsidR="006811C9">
        <w:t xml:space="preserve">implemented </w:t>
      </w:r>
      <w:r w:rsidR="005A0EF9">
        <w:t>as a result of th</w:t>
      </w:r>
      <w:r w:rsidR="002038C7">
        <w:t>ese</w:t>
      </w:r>
      <w:r w:rsidR="005A0EF9">
        <w:t xml:space="preserve"> and other actions</w:t>
      </w:r>
      <w:r w:rsidR="006811C9">
        <w:t xml:space="preserve"> by the Commission</w:t>
      </w:r>
      <w:r w:rsidR="005A0EF9">
        <w:t>?</w:t>
      </w:r>
      <w:r w:rsidR="006811C9">
        <w:t xml:space="preserve">  </w:t>
      </w:r>
      <w:r w:rsidR="00E16A95">
        <w:t xml:space="preserve">Do voice service providers block Do-Not-Originate calls?  Have consumers seen a corresponding reduction in scam calls from numbers on the Do-Not-Originate list, such as </w:t>
      </w:r>
      <w:r w:rsidR="00EC6825">
        <w:t xml:space="preserve">Internal Revenue Service </w:t>
      </w:r>
      <w:r w:rsidR="00E16A95">
        <w:t xml:space="preserve">and </w:t>
      </w:r>
      <w:r w:rsidR="00EC6825">
        <w:t xml:space="preserve">Social Security Administration </w:t>
      </w:r>
      <w:r w:rsidR="00E16A95">
        <w:t>numbers</w:t>
      </w:r>
      <w:r w:rsidR="00EC6825">
        <w:t xml:space="preserve"> that unauthorized callers </w:t>
      </w:r>
      <w:r w:rsidR="00776A71">
        <w:t xml:space="preserve">have </w:t>
      </w:r>
      <w:r w:rsidR="00EC6825">
        <w:t xml:space="preserve">fraudulently </w:t>
      </w:r>
      <w:r w:rsidR="00811DF9">
        <w:t>spoofed</w:t>
      </w:r>
      <w:r w:rsidR="00E16A95">
        <w:t>?  Have voice service providers implemented</w:t>
      </w:r>
      <w:r w:rsidR="001B3DE6">
        <w:t xml:space="preserve"> the</w:t>
      </w:r>
      <w:r w:rsidR="00E16A95">
        <w:t xml:space="preserve"> blocking of calls </w:t>
      </w:r>
      <w:r w:rsidRPr="00750218" w:rsidR="00E16A95">
        <w:rPr>
          <w:szCs w:val="22"/>
        </w:rPr>
        <w:t>that purport to be from invalid, unallocated, or unused numbers?</w:t>
      </w:r>
      <w:r w:rsidR="00E16A95">
        <w:rPr>
          <w:szCs w:val="22"/>
        </w:rPr>
        <w:t xml:space="preserve">  Do voice service providers offer opt-o</w:t>
      </w:r>
      <w:r w:rsidR="00C0002A">
        <w:rPr>
          <w:szCs w:val="22"/>
        </w:rPr>
        <w:t>u</w:t>
      </w:r>
      <w:r w:rsidR="00E16A95">
        <w:rPr>
          <w:szCs w:val="22"/>
        </w:rPr>
        <w:t xml:space="preserve">t call-blocking programs?  If so, how many consumers have opted out?  Do voice service providers offer </w:t>
      </w:r>
      <w:r w:rsidR="001B3DE6">
        <w:rPr>
          <w:szCs w:val="22"/>
        </w:rPr>
        <w:t xml:space="preserve">opt-in </w:t>
      </w:r>
      <w:r w:rsidR="00E16A95">
        <w:rPr>
          <w:szCs w:val="22"/>
        </w:rPr>
        <w:t>white-list blocking?  If so, how many consumers have requested such blocking?</w:t>
      </w:r>
    </w:p>
    <w:p w:rsidR="003F0216" w:rsidRPr="00ED4BC0" w:rsidP="00C75170" w14:paraId="2E48A338" w14:textId="228B9FC1">
      <w:pPr>
        <w:pStyle w:val="Paranum"/>
        <w:rPr>
          <w:i/>
        </w:rPr>
      </w:pPr>
      <w:r w:rsidRPr="00ED4BC0">
        <w:rPr>
          <w:i/>
        </w:rPr>
        <w:t xml:space="preserve">Impact on 911 </w:t>
      </w:r>
      <w:r w:rsidR="009C467C">
        <w:rPr>
          <w:i/>
        </w:rPr>
        <w:t xml:space="preserve">Services </w:t>
      </w:r>
      <w:r w:rsidRPr="00ED4BC0">
        <w:rPr>
          <w:i/>
        </w:rPr>
        <w:t>and Public Safety.</w:t>
      </w:r>
      <w:r w:rsidRPr="00ED4BC0">
        <w:t xml:space="preserve">  </w:t>
      </w:r>
      <w:r>
        <w:t xml:space="preserve">We seek data and other information on the impact of call blocking on 911 services and public safety.  Are legitimate calls to or from emergency numbers, either 911 or public safety “administrative numbers,” ever blocked?  Emergency call centers generally employ protocols by which they will call back a number when a 911 call is dropped or otherwise terminated without a resolution.  </w:t>
      </w:r>
      <w:r w:rsidR="002B0F51">
        <w:t xml:space="preserve">Do </w:t>
      </w:r>
      <w:r w:rsidR="002F2873">
        <w:t>voice service providers</w:t>
      </w:r>
      <w:r w:rsidR="002B0F51">
        <w:t xml:space="preserve"> or others employ </w:t>
      </w:r>
      <w:r>
        <w:t>call</w:t>
      </w:r>
      <w:r w:rsidR="000849CD">
        <w:t>-</w:t>
      </w:r>
      <w:r>
        <w:t xml:space="preserve">blocking tools that may purposefully or inadvertently block a call back from a public safety answering point?  Is there a means to ensure call backs </w:t>
      </w:r>
      <w:r w:rsidR="003650BF">
        <w:t xml:space="preserve">from </w:t>
      </w:r>
      <w:r>
        <w:t>public safety numbers</w:t>
      </w:r>
      <w:r w:rsidR="00760EFE">
        <w:t xml:space="preserve"> are completed</w:t>
      </w:r>
      <w:r>
        <w:t xml:space="preserve">?  How are blocked calls reported and resolved?  Do public safety entities experience unwanted or illegal calls that interfere with their mission?  Have </w:t>
      </w:r>
      <w:r w:rsidR="002F2873">
        <w:t>voice service providers or others</w:t>
      </w:r>
      <w:r>
        <w:t xml:space="preserve"> blocked unwanted calls at the request of state or local law enforcement?  What processes, manual or automatic, do </w:t>
      </w:r>
      <w:r w:rsidR="002F2873">
        <w:t>voice service providers</w:t>
      </w:r>
      <w:r>
        <w:t xml:space="preserve"> </w:t>
      </w:r>
      <w:r w:rsidR="002F2873">
        <w:t xml:space="preserve">or others </w:t>
      </w:r>
      <w:r>
        <w:t xml:space="preserve">use to facilitate blocking harassing calls to 911 or public safety administrative numbers?  Do </w:t>
      </w:r>
      <w:r w:rsidR="002F2873">
        <w:t>voice service providers or others</w:t>
      </w:r>
      <w:r>
        <w:t xml:space="preserve"> perceive any legal impediments in the Commission’s rules or otherwise to blocking such calls?</w:t>
      </w:r>
      <w:r>
        <w:rPr>
          <w:rStyle w:val="FootnoteReference"/>
        </w:rPr>
        <w:footnoteReference w:id="18"/>
      </w:r>
    </w:p>
    <w:p w:rsidR="00ED4BC0" w:rsidP="00C75170" w14:paraId="33AA71BD" w14:textId="2C3BD9C7">
      <w:pPr>
        <w:pStyle w:val="Paranum"/>
      </w:pPr>
      <w:r>
        <w:rPr>
          <w:i/>
        </w:rPr>
        <w:t>Other Relevant Information</w:t>
      </w:r>
      <w:r>
        <w:t xml:space="preserve">.  </w:t>
      </w:r>
      <w:r>
        <w:t xml:space="preserve">Finally, we seek comment on </w:t>
      </w:r>
      <w:r w:rsidRPr="005A3FFD">
        <w:t xml:space="preserve">any other information that may inform the Commission’s analysis of </w:t>
      </w:r>
      <w:r>
        <w:t>the state of deployment of advanced methods and tools to eliminate illegal and unwanted calls</w:t>
      </w:r>
      <w:r w:rsidRPr="005A3FFD">
        <w:t>.</w:t>
      </w:r>
    </w:p>
    <w:p w:rsidR="00ED4BC0" w:rsidP="00C75170" w14:paraId="2CDA23B2" w14:textId="7866BC71">
      <w:pPr>
        <w:pStyle w:val="Paranum"/>
      </w:pPr>
      <w:r w:rsidRPr="00826FE4">
        <w:rPr>
          <w:i/>
        </w:rPr>
        <w:t>Confidential Treatment.</w:t>
      </w:r>
      <w:r>
        <w:t xml:space="preserve">  </w:t>
      </w:r>
      <w:r w:rsidRPr="005A3FFD" w:rsidR="009A3B9A">
        <w:t xml:space="preserve">Commenters seeking confidential treatment </w:t>
      </w:r>
      <w:r w:rsidR="009A3B9A">
        <w:t xml:space="preserve">for all or part </w:t>
      </w:r>
      <w:r w:rsidRPr="005A3FFD" w:rsidR="009A3B9A">
        <w:t xml:space="preserve">of their submissions should request </w:t>
      </w:r>
      <w:r w:rsidR="009A3B9A">
        <w:t>such treatment</w:t>
      </w:r>
      <w:r w:rsidRPr="005A3FFD" w:rsidR="00F42062">
        <w:t>.</w:t>
      </w:r>
      <w:r>
        <w:rPr>
          <w:rStyle w:val="FootnoteReference"/>
        </w:rPr>
        <w:footnoteReference w:id="19"/>
      </w:r>
      <w:r w:rsidRPr="00B86EF4" w:rsidR="00F42062">
        <w:t xml:space="preserve"> </w:t>
      </w:r>
      <w:r w:rsidR="00F42062">
        <w:t xml:space="preserve"> Where information could be competitively sensitive or could</w:t>
      </w:r>
      <w:r w:rsidR="001D0F47">
        <w:t xml:space="preserve"> interfere with efforts to enforce compliance with the requirements of the Act or the Commission’s rules (</w:t>
      </w:r>
      <w:r w:rsidRPr="00F7479D" w:rsidR="001D0F47">
        <w:t>e.g., by</w:t>
      </w:r>
      <w:r w:rsidR="001D0F47">
        <w:t xml:space="preserve"> allowing</w:t>
      </w:r>
      <w:r w:rsidR="00F42062">
        <w:t xml:space="preserve"> unlawful callers to circumvent filtering mechanisms</w:t>
      </w:r>
      <w:r w:rsidR="001D0F47">
        <w:t>)</w:t>
      </w:r>
      <w:r w:rsidR="00F42062">
        <w:t>, p</w:t>
      </w:r>
      <w:r w:rsidRPr="00B86EF4" w:rsidR="00F42062">
        <w:t xml:space="preserve">roviders and industry groups may aggregate information without attributing practices </w:t>
      </w:r>
      <w:r w:rsidR="00F42062">
        <w:t xml:space="preserve">or data </w:t>
      </w:r>
      <w:r w:rsidRPr="00B86EF4" w:rsidR="00F42062">
        <w:t xml:space="preserve">to </w:t>
      </w:r>
      <w:r w:rsidR="00F42062">
        <w:t>individual</w:t>
      </w:r>
      <w:r w:rsidRPr="00B86EF4" w:rsidR="00F42062">
        <w:t xml:space="preserve"> </w:t>
      </w:r>
      <w:r w:rsidR="00F42062">
        <w:t>entities</w:t>
      </w:r>
      <w:r w:rsidRPr="00B86EF4" w:rsidR="00F42062">
        <w:t>.</w:t>
      </w:r>
      <w:r>
        <w:t xml:space="preserve">  Commenters may provide links to publicly available data or include Excel spreadsheets when they file their comments.  We request both </w:t>
      </w:r>
      <w:r w:rsidR="001551C2">
        <w:t>data for 2019</w:t>
      </w:r>
      <w:r>
        <w:t xml:space="preserve"> and projected data </w:t>
      </w:r>
      <w:r w:rsidR="008A4ED9">
        <w:t>through</w:t>
      </w:r>
      <w:r>
        <w:t xml:space="preserve"> </w:t>
      </w:r>
      <w:r w:rsidR="001551C2">
        <w:t>June</w:t>
      </w:r>
      <w:r>
        <w:t xml:space="preserve"> 2020, if available.</w:t>
      </w:r>
    </w:p>
    <w:bookmarkEnd w:id="2"/>
    <w:bookmarkEnd w:id="3"/>
    <w:bookmarkEnd w:id="4"/>
    <w:bookmarkEnd w:id="5"/>
    <w:p w:rsidR="00174881" w:rsidRPr="005A3FFD" w:rsidP="00174881" w14:paraId="47983ACE" w14:textId="77777777">
      <w:pPr>
        <w:pStyle w:val="Heading1"/>
        <w:numPr>
          <w:ilvl w:val="0"/>
          <w:numId w:val="0"/>
        </w:numPr>
        <w:ind w:left="720"/>
      </w:pPr>
      <w:r w:rsidRPr="005A3FFD">
        <w:t>Procedural Matters</w:t>
      </w:r>
    </w:p>
    <w:p w:rsidR="00174881" w:rsidP="00174881" w14:paraId="3614D431" w14:textId="77777777">
      <w:pPr>
        <w:ind w:firstLine="720"/>
        <w:rPr>
          <w:szCs w:val="22"/>
        </w:rPr>
      </w:pPr>
      <w:r>
        <w:rPr>
          <w:szCs w:val="22"/>
        </w:rPr>
        <w:t>Pursuant to section 1.</w:t>
      </w:r>
      <w:r w:rsidR="00826FE4">
        <w:rPr>
          <w:szCs w:val="22"/>
        </w:rPr>
        <w:t>415 and 1.419</w:t>
      </w:r>
      <w:r>
        <w:rPr>
          <w:szCs w:val="22"/>
        </w:rPr>
        <w:t xml:space="preserve"> of the Commission’s rules,</w:t>
      </w:r>
      <w:r>
        <w:rPr>
          <w:rStyle w:val="FootnoteReference"/>
          <w:szCs w:val="22"/>
        </w:rPr>
        <w:footnoteReference w:id="20"/>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 xml:space="preserve">See </w:t>
      </w:r>
      <w:r>
        <w:rPr>
          <w:i/>
          <w:szCs w:val="22"/>
        </w:rPr>
        <w:t>Electronic Filing of Documents in Rulemaking Proceedings</w:t>
      </w:r>
      <w:r>
        <w:rPr>
          <w:szCs w:val="22"/>
        </w:rPr>
        <w:t>, 63 FR 24121 (1998).</w:t>
      </w:r>
    </w:p>
    <w:p w:rsidR="00174881" w:rsidP="00174881" w14:paraId="581D3018" w14:textId="77777777">
      <w:pPr>
        <w:rPr>
          <w:szCs w:val="22"/>
        </w:rPr>
      </w:pPr>
    </w:p>
    <w:p w:rsidR="00174881" w:rsidP="00174881" w14:paraId="72CAEFD1" w14:textId="0185BF12">
      <w:pPr>
        <w:widowControl/>
        <w:numPr>
          <w:ilvl w:val="0"/>
          <w:numId w:val="1"/>
        </w:numPr>
        <w:spacing w:after="120"/>
        <w:rPr>
          <w:szCs w:val="22"/>
        </w:rPr>
      </w:pPr>
      <w:r>
        <w:rPr>
          <w:szCs w:val="22"/>
        </w:rPr>
        <w:t xml:space="preserve">Electronic Filers:  Comments may be filed electronically using the Internet by accessing the ECFS:  </w:t>
      </w:r>
      <w:hyperlink r:id="rId8" w:history="1">
        <w:r>
          <w:rPr>
            <w:rStyle w:val="Hyperlink"/>
            <w:szCs w:val="22"/>
          </w:rPr>
          <w:t>http://www.fcc.gov/ecfs/</w:t>
        </w:r>
      </w:hyperlink>
      <w:r>
        <w:rPr>
          <w:szCs w:val="22"/>
        </w:rPr>
        <w:t xml:space="preserve">.  </w:t>
      </w:r>
    </w:p>
    <w:p w:rsidR="00174881" w:rsidP="008C3A8C" w14:paraId="6E5F22BA" w14:textId="77777777">
      <w:pPr>
        <w:widowControl/>
        <w:numPr>
          <w:ilvl w:val="0"/>
          <w:numId w:val="2"/>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74881" w:rsidP="00174881" w14:paraId="52C438DF" w14:textId="77777777">
      <w:pPr>
        <w:rPr>
          <w:szCs w:val="22"/>
        </w:rPr>
      </w:pPr>
    </w:p>
    <w:p w:rsidR="00174881" w:rsidP="00174881" w14:paraId="4CC6B43A" w14:textId="77777777">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74881" w:rsidP="00174881" w14:paraId="7DFD0084" w14:textId="77777777">
      <w:pPr>
        <w:rPr>
          <w:szCs w:val="22"/>
        </w:rPr>
      </w:pPr>
    </w:p>
    <w:p w:rsidR="00174881" w:rsidP="00174881" w14:paraId="6E09B3EC" w14:textId="77777777">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174881" w:rsidP="00174881" w14:paraId="05485B33" w14:textId="77777777">
      <w:pPr>
        <w:rPr>
          <w:szCs w:val="22"/>
        </w:rPr>
      </w:pPr>
    </w:p>
    <w:p w:rsidR="00174881" w:rsidP="00174881" w14:paraId="43DF6DBF" w14:textId="77777777">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174881" w:rsidP="00174881" w14:paraId="6D821765" w14:textId="77777777">
      <w:pPr>
        <w:rPr>
          <w:szCs w:val="22"/>
        </w:rPr>
      </w:pPr>
    </w:p>
    <w:p w:rsidR="00174881" w:rsidP="00174881" w14:paraId="32C863D2" w14:textId="77777777">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174881" w:rsidP="00174881" w14:paraId="4CAA38F1" w14:textId="77777777">
      <w:pPr>
        <w:rPr>
          <w:szCs w:val="22"/>
        </w:rPr>
      </w:pPr>
    </w:p>
    <w:p w:rsidR="00174881" w:rsidP="003650BF" w14:paraId="39576498" w14:textId="2AEFCB06">
      <w:pPr>
        <w:widowControl/>
        <w:rPr>
          <w:szCs w:val="22"/>
        </w:rPr>
      </w:pPr>
      <w:r>
        <w:rPr>
          <w:szCs w:val="22"/>
        </w:rPr>
        <w:t xml:space="preserve">People with Disabilities:  To request materials in accessible formats for people with disabilities (braille, large print, electronic files, audio format), send an e-mail to </w:t>
      </w:r>
      <w:hyperlink r:id="rId9" w:history="1">
        <w:r w:rsidRPr="00897495" w:rsidR="00897495">
          <w:rPr>
            <w:rStyle w:val="Hyperlink"/>
            <w:szCs w:val="22"/>
          </w:rPr>
          <w:t>fcc504@fcc.gov</w:t>
        </w:r>
      </w:hyperlink>
      <w:r w:rsidRPr="00897495" w:rsidR="00897495">
        <w:rPr>
          <w:szCs w:val="22"/>
        </w:rPr>
        <w:t xml:space="preserve"> </w:t>
      </w:r>
      <w:r>
        <w:rPr>
          <w:szCs w:val="22"/>
        </w:rPr>
        <w:t>or call the Consumer &amp; Governmental Affairs Bureau at 202-418-0530 (voice), 202-418-0432 (tty).</w:t>
      </w:r>
    </w:p>
    <w:p w:rsidR="001D0F47" w:rsidP="00174881" w14:paraId="68BAFC66" w14:textId="77777777">
      <w:pPr>
        <w:rPr>
          <w:szCs w:val="22"/>
        </w:rPr>
      </w:pPr>
    </w:p>
    <w:p w:rsidR="00174881" w:rsidP="00461AD3" w14:paraId="6FB091EF" w14:textId="744A1B60">
      <w:pPr>
        <w:pStyle w:val="Paranum"/>
        <w:rPr>
          <w:szCs w:val="22"/>
        </w:rPr>
      </w:pPr>
      <w:r>
        <w:rPr>
          <w:i/>
        </w:rPr>
        <w:t>Ex Parte Rules.</w:t>
      </w:r>
      <w:r w:rsidRPr="00C8587F">
        <w:t xml:space="preserve">  </w:t>
      </w:r>
      <w:r w:rsidRPr="001376F0">
        <w:t xml:space="preserve">This proceeding shall be treated as a “permit-but-disclose” proceeding in accordance with the Commission’s </w:t>
      </w:r>
      <w:r w:rsidRPr="001376F0">
        <w:rPr>
          <w:i/>
        </w:rPr>
        <w:t xml:space="preserve">ex parte </w:t>
      </w:r>
      <w:r w:rsidRPr="001376F0">
        <w:t>rules.</w:t>
      </w:r>
      <w:r>
        <w:rPr>
          <w:rStyle w:val="FootnoteReference"/>
        </w:rPr>
        <w:footnoteReference w:id="21"/>
      </w:r>
      <w:r w:rsidRPr="001376F0">
        <w:t xml:space="preserve">  Persons making </w:t>
      </w:r>
      <w:r w:rsidRPr="001376F0">
        <w:rPr>
          <w:i/>
        </w:rPr>
        <w:t xml:space="preserve">ex parte </w:t>
      </w:r>
      <w:r w:rsidRPr="001376F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376F0">
        <w:rPr>
          <w:i/>
        </w:rPr>
        <w:t xml:space="preserve">ex parte </w:t>
      </w:r>
      <w:r w:rsidRPr="001376F0">
        <w:t xml:space="preserve">presentations are reminded that memoranda summarizing the presentation must (1) list all persons attending or otherwise participating in the meeting at which the </w:t>
      </w:r>
      <w:r w:rsidRPr="001376F0">
        <w:rPr>
          <w:i/>
        </w:rPr>
        <w:t xml:space="preserve">ex parte </w:t>
      </w:r>
      <w:r w:rsidRPr="001376F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376F0">
        <w:rPr>
          <w:i/>
        </w:rPr>
        <w:t xml:space="preserve">ex parte </w:t>
      </w:r>
      <w:r w:rsidRPr="001376F0">
        <w:t xml:space="preserve">meetings are deemed to be written </w:t>
      </w:r>
      <w:r w:rsidRPr="001376F0">
        <w:rPr>
          <w:i/>
        </w:rPr>
        <w:t>ex parte</w:t>
      </w:r>
      <w:r w:rsidRPr="001376F0">
        <w:t xml:space="preserve"> presentations and must be filed consistent with rule 1.1206(b).  In proceedings governed by rule 1.49(f) or for which the Commission has made available a method of electronic filing, written </w:t>
      </w:r>
      <w:r w:rsidRPr="001376F0">
        <w:rPr>
          <w:i/>
        </w:rPr>
        <w:t xml:space="preserve">ex parte </w:t>
      </w:r>
      <w:r w:rsidRPr="001376F0">
        <w:t xml:space="preserve">presentations and memoranda summarizing oral </w:t>
      </w:r>
      <w:r w:rsidRPr="001376F0">
        <w:rPr>
          <w:i/>
        </w:rPr>
        <w:t xml:space="preserve">ex parte </w:t>
      </w:r>
      <w:r w:rsidRPr="001376F0">
        <w:t>presentations, and all attachments thereto, must be filed through the electronic comment filing system available for that proceeding, and must be filed in their native format (</w:t>
      </w:r>
      <w:r w:rsidRPr="00F7479D">
        <w:t>e.g., .</w:t>
      </w:r>
      <w:r w:rsidRPr="001376F0">
        <w:t xml:space="preserve">doc, .xml, .ppt, </w:t>
      </w:r>
      <w:r w:rsidRPr="001376F0">
        <w:t xml:space="preserve">searchable .pdf).  Participants in this proceeding should familiarize themselves with the Commission’s </w:t>
      </w:r>
      <w:r w:rsidRPr="001376F0">
        <w:rPr>
          <w:i/>
        </w:rPr>
        <w:t xml:space="preserve">ex parte </w:t>
      </w:r>
      <w:r w:rsidRPr="001376F0">
        <w:t>rules.</w:t>
      </w:r>
    </w:p>
    <w:p w:rsidR="00D537EF" w:rsidP="00450A22" w14:paraId="63DB70C3" w14:textId="77777777">
      <w:pPr>
        <w:pStyle w:val="Paranum"/>
      </w:pPr>
      <w:r>
        <w:rPr>
          <w:i/>
        </w:rPr>
        <w:t>Additional Information.</w:t>
      </w:r>
      <w:r>
        <w:t xml:space="preserve">  For further information, contact Karen Schroeder of the Consumer and Governmental Affairs Bureau at (202) 418-0654 or Karen.Schroeder@fcc.gov</w:t>
      </w:r>
      <w:r w:rsidRPr="005A3FFD">
        <w:t>.</w:t>
      </w:r>
    </w:p>
    <w:sectPr w:rsidSect="0028008F">
      <w:headerReference w:type="default" r:id="rId10"/>
      <w:foot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08F" w14:paraId="6A7A508D" w14:textId="77777777">
    <w:pPr>
      <w:pStyle w:val="Footer"/>
      <w:jc w:val="center"/>
    </w:pPr>
    <w:r>
      <w:fldChar w:fldCharType="begin"/>
    </w:r>
    <w:r>
      <w:instrText xml:space="preserve"> PAGE   \* MERGEFORMAT </w:instrText>
    </w:r>
    <w:r>
      <w:fldChar w:fldCharType="separate"/>
    </w:r>
    <w:r w:rsidR="00221D7C">
      <w:rPr>
        <w:noProof/>
      </w:rPr>
      <w:t>3</w:t>
    </w:r>
    <w:r>
      <w:fldChar w:fldCharType="end"/>
    </w:r>
  </w:p>
  <w:p w:rsidR="0028008F" w14:paraId="717115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2D7D" w14:paraId="4B99B68E" w14:textId="77777777">
      <w:r>
        <w:separator/>
      </w:r>
    </w:p>
  </w:footnote>
  <w:footnote w:type="continuationSeparator" w:id="1">
    <w:p w:rsidR="00D52D7D" w14:paraId="2A00D88E" w14:textId="77777777">
      <w:r>
        <w:continuationSeparator/>
      </w:r>
    </w:p>
  </w:footnote>
  <w:footnote w:type="continuationNotice" w:id="2">
    <w:p w:rsidR="00D52D7D" w14:paraId="455A8C82" w14:textId="77777777"/>
  </w:footnote>
  <w:footnote w:id="3">
    <w:p w:rsidR="00BB42DF" w14:paraId="48EE2196" w14:textId="11E5F75D">
      <w:pPr>
        <w:pStyle w:val="FootnoteText"/>
      </w:pPr>
      <w:r>
        <w:rPr>
          <w:rStyle w:val="FootnoteReference"/>
        </w:rPr>
        <w:footnoteRef/>
      </w:r>
      <w:r>
        <w:t xml:space="preserve"> </w:t>
      </w:r>
      <w:r w:rsidRPr="000B1A7D">
        <w:rPr>
          <w:i/>
        </w:rPr>
        <w:t xml:space="preserve">See </w:t>
      </w:r>
      <w:r w:rsidRPr="00174881">
        <w:rPr>
          <w:rFonts w:ascii="TimesNewRoman,Italic" w:hAnsi="TimesNewRoman,Italic" w:cs="TimesNewRoman,Italic"/>
          <w:i/>
          <w:iCs/>
        </w:rPr>
        <w:t>Advanced Methods to Target and Eliminate Unlawful Robocalls</w:t>
      </w:r>
      <w:r w:rsidRPr="00174881">
        <w:t xml:space="preserve">, </w:t>
      </w:r>
      <w:r>
        <w:t xml:space="preserve">CG Docket No. 17-59, </w:t>
      </w:r>
      <w:r w:rsidRPr="00174881">
        <w:t xml:space="preserve">Report </w:t>
      </w:r>
      <w:r>
        <w:t xml:space="preserve">on Robocalls </w:t>
      </w:r>
      <w:r w:rsidRPr="00174881">
        <w:t>(</w:t>
      </w:r>
      <w:r>
        <w:t xml:space="preserve">CGB </w:t>
      </w:r>
      <w:r w:rsidRPr="00174881">
        <w:t>201</w:t>
      </w:r>
      <w:r>
        <w:t>9</w:t>
      </w:r>
      <w:r w:rsidRPr="00174881">
        <w:t>)</w:t>
      </w:r>
      <w:r w:rsidR="009C7407">
        <w:t xml:space="preserve">, </w:t>
      </w:r>
      <w:hyperlink r:id="rId1" w:history="1">
        <w:r w:rsidRPr="009C7407" w:rsidR="009C7407">
          <w:rPr>
            <w:rStyle w:val="Hyperlink"/>
          </w:rPr>
          <w:t>https://docs.fcc.gov/public/attachments/DOC-356196A1.pdf</w:t>
        </w:r>
      </w:hyperlink>
      <w:r w:rsidR="00334507">
        <w:t xml:space="preserve"> </w:t>
      </w:r>
      <w:r>
        <w:t>(</w:t>
      </w:r>
      <w:r w:rsidRPr="00BB42DF">
        <w:rPr>
          <w:i/>
        </w:rPr>
        <w:t>Robocall Report</w:t>
      </w:r>
      <w:r>
        <w:t>).</w:t>
      </w:r>
    </w:p>
  </w:footnote>
  <w:footnote w:id="4">
    <w:p w:rsidR="00334507" w:rsidRPr="00334507" w14:paraId="5F213E34" w14:textId="2713C4DF">
      <w:pPr>
        <w:pStyle w:val="FootnoteText"/>
      </w:pPr>
      <w:r>
        <w:rPr>
          <w:rStyle w:val="FootnoteReference"/>
        </w:rPr>
        <w:footnoteRef/>
      </w:r>
      <w:r>
        <w:t xml:space="preserve"> </w:t>
      </w:r>
      <w:r>
        <w:rPr>
          <w:i/>
        </w:rPr>
        <w:t>Id.</w:t>
      </w:r>
      <w:r>
        <w:t xml:space="preserve"> at 2-6.</w:t>
      </w:r>
    </w:p>
  </w:footnote>
  <w:footnote w:id="5">
    <w:p w:rsidR="00334507" w14:paraId="19193B19" w14:textId="61D4021D">
      <w:pPr>
        <w:pStyle w:val="FootnoteText"/>
      </w:pPr>
      <w:r>
        <w:rPr>
          <w:rStyle w:val="FootnoteReference"/>
        </w:rPr>
        <w:footnoteRef/>
      </w:r>
      <w:r>
        <w:t xml:space="preserve"> </w:t>
      </w:r>
      <w:r>
        <w:rPr>
          <w:i/>
        </w:rPr>
        <w:t>Id.</w:t>
      </w:r>
      <w:r>
        <w:t xml:space="preserve"> at 6-15.</w:t>
      </w:r>
    </w:p>
  </w:footnote>
  <w:footnote w:id="6">
    <w:p w:rsidR="008805D1" w:rsidP="008805D1" w14:paraId="1708F563" w14:textId="3F4803E0">
      <w:pPr>
        <w:pStyle w:val="FootnoteText"/>
      </w:pPr>
      <w:r>
        <w:rPr>
          <w:rStyle w:val="FootnoteReference"/>
        </w:rPr>
        <w:footnoteRef/>
      </w:r>
      <w:r>
        <w:t xml:space="preserve"> </w:t>
      </w:r>
      <w:r w:rsidRPr="000B1A7D" w:rsidR="00BC6D24">
        <w:rPr>
          <w:i/>
        </w:rPr>
        <w:t xml:space="preserve">See </w:t>
      </w:r>
      <w:r w:rsidRPr="002B5872">
        <w:rPr>
          <w:i/>
          <w:iCs/>
        </w:rPr>
        <w:t xml:space="preserve">Advanced Methods to Target and Eliminate Unlawful Robocalls, </w:t>
      </w:r>
      <w:r w:rsidRPr="002B5872">
        <w:t xml:space="preserve">CG Docket No. 17-59, </w:t>
      </w:r>
      <w:r>
        <w:t xml:space="preserve">WC Docket No. 17-97, </w:t>
      </w:r>
      <w:r w:rsidRPr="002B5872">
        <w:t>Declaratory Ruling and</w:t>
      </w:r>
      <w:r w:rsidRPr="00017D61">
        <w:t xml:space="preserve"> </w:t>
      </w:r>
      <w:r w:rsidRPr="002B5872">
        <w:t xml:space="preserve">Third Further Notice of Proposed Rulemaking, </w:t>
      </w:r>
      <w:r w:rsidRPr="00D64454">
        <w:t>34 FCC Rcd 4876</w:t>
      </w:r>
      <w:r w:rsidRPr="002B5872">
        <w:t xml:space="preserve"> (2019) (</w:t>
      </w:r>
      <w:r w:rsidRPr="002B5872">
        <w:rPr>
          <w:i/>
          <w:iCs/>
        </w:rPr>
        <w:t xml:space="preserve">Call Blocking </w:t>
      </w:r>
      <w:r w:rsidR="00334507">
        <w:rPr>
          <w:i/>
          <w:iCs/>
        </w:rPr>
        <w:t xml:space="preserve">Declaratory Ruling and </w:t>
      </w:r>
      <w:r w:rsidRPr="002B5872">
        <w:rPr>
          <w:i/>
          <w:iCs/>
        </w:rPr>
        <w:t>Third Further Notice</w:t>
      </w:r>
      <w:r w:rsidRPr="002B5872">
        <w:t>).</w:t>
      </w:r>
    </w:p>
  </w:footnote>
  <w:footnote w:id="7">
    <w:p w:rsidR="001633A4" w:rsidRPr="00BB42DF" w14:paraId="4469729D" w14:textId="1C5EC8A1">
      <w:pPr>
        <w:pStyle w:val="FootnoteText"/>
      </w:pPr>
      <w:r>
        <w:rPr>
          <w:rStyle w:val="FootnoteReference"/>
        </w:rPr>
        <w:footnoteRef/>
      </w:r>
      <w:r>
        <w:t xml:space="preserve"> </w:t>
      </w:r>
      <w:r>
        <w:rPr>
          <w:i/>
        </w:rPr>
        <w:t>Id.</w:t>
      </w:r>
      <w:r>
        <w:t xml:space="preserve"> at </w:t>
      </w:r>
      <w:r>
        <w:t>4884-90, paras. 26-42.</w:t>
      </w:r>
    </w:p>
  </w:footnote>
  <w:footnote w:id="8">
    <w:p w:rsidR="001633A4" w14:paraId="7281B25F" w14:textId="17C1E016">
      <w:pPr>
        <w:pStyle w:val="FootnoteText"/>
      </w:pPr>
      <w:r>
        <w:rPr>
          <w:rStyle w:val="FootnoteReference"/>
        </w:rPr>
        <w:footnoteRef/>
      </w:r>
      <w:r>
        <w:t xml:space="preserve"> </w:t>
      </w:r>
      <w:r>
        <w:rPr>
          <w:i/>
        </w:rPr>
        <w:t>Id.</w:t>
      </w:r>
      <w:r>
        <w:t xml:space="preserve"> at 4890-91, paras. 43-46.</w:t>
      </w:r>
    </w:p>
  </w:footnote>
  <w:footnote w:id="9">
    <w:p w:rsidR="001633A4" w14:paraId="3BFF1222" w14:textId="1B68F2C5">
      <w:pPr>
        <w:pStyle w:val="FootnoteText"/>
      </w:pPr>
      <w:r>
        <w:rPr>
          <w:rStyle w:val="FootnoteReference"/>
        </w:rPr>
        <w:footnoteRef/>
      </w:r>
      <w:r>
        <w:t xml:space="preserve"> </w:t>
      </w:r>
      <w:r>
        <w:rPr>
          <w:i/>
        </w:rPr>
        <w:t>Id.</w:t>
      </w:r>
      <w:r>
        <w:t xml:space="preserve"> at 4892-96, paras. 49-62.</w:t>
      </w:r>
    </w:p>
  </w:footnote>
  <w:footnote w:id="10">
    <w:p w:rsidR="001633A4" w14:paraId="5A5CA223" w14:textId="3C08DB93">
      <w:pPr>
        <w:pStyle w:val="FootnoteText"/>
      </w:pPr>
      <w:r>
        <w:rPr>
          <w:rStyle w:val="FootnoteReference"/>
        </w:rPr>
        <w:footnoteRef/>
      </w:r>
      <w:r>
        <w:t xml:space="preserve"> </w:t>
      </w:r>
      <w:r>
        <w:rPr>
          <w:i/>
        </w:rPr>
        <w:t>Id.</w:t>
      </w:r>
      <w:r>
        <w:t xml:space="preserve"> at 4896-98, paras. 63-70.</w:t>
      </w:r>
    </w:p>
  </w:footnote>
  <w:footnote w:id="11">
    <w:p w:rsidR="00AC7376" w14:paraId="1D6B725B" w14:textId="64E7D443">
      <w:pPr>
        <w:pStyle w:val="FootnoteText"/>
      </w:pPr>
      <w:r>
        <w:rPr>
          <w:rStyle w:val="FootnoteReference"/>
        </w:rPr>
        <w:footnoteRef/>
      </w:r>
      <w:r>
        <w:t xml:space="preserve"> T</w:t>
      </w:r>
      <w:r w:rsidRPr="00017D61">
        <w:t xml:space="preserve">he first </w:t>
      </w:r>
      <w:r w:rsidR="005A3F05">
        <w:t>r</w:t>
      </w:r>
      <w:r w:rsidRPr="00530C89">
        <w:t>eport</w:t>
      </w:r>
      <w:r w:rsidRPr="00017D61">
        <w:t xml:space="preserve"> </w:t>
      </w:r>
      <w:r>
        <w:t xml:space="preserve">is due to the Commission </w:t>
      </w:r>
      <w:r w:rsidRPr="00017D61">
        <w:t>in Ju</w:t>
      </w:r>
      <w:r>
        <w:t>ne</w:t>
      </w:r>
      <w:r w:rsidRPr="00017D61">
        <w:t xml:space="preserve"> 2020, the second </w:t>
      </w:r>
      <w:r w:rsidR="005A3F05">
        <w:t>r</w:t>
      </w:r>
      <w:r w:rsidRPr="00017D61" w:rsidR="00530C89">
        <w:t xml:space="preserve">eport </w:t>
      </w:r>
      <w:r w:rsidRPr="002B5872">
        <w:t xml:space="preserve">12 months later.  </w:t>
      </w:r>
      <w:r>
        <w:rPr>
          <w:i/>
          <w:iCs/>
        </w:rPr>
        <w:t>Id.</w:t>
      </w:r>
      <w:r>
        <w:rPr>
          <w:iCs/>
        </w:rPr>
        <w:t xml:space="preserve"> at</w:t>
      </w:r>
      <w:r w:rsidRPr="00017D61">
        <w:t xml:space="preserve"> </w:t>
      </w:r>
      <w:r w:rsidR="00BE6E5C">
        <w:t xml:space="preserve">4904, </w:t>
      </w:r>
      <w:r w:rsidRPr="00017D61">
        <w:t>para. 87.</w:t>
      </w:r>
    </w:p>
  </w:footnote>
  <w:footnote w:id="12">
    <w:p w:rsidR="00D81F4F" w:rsidP="00D81F4F" w14:paraId="576FC82F" w14:textId="2417D5CD">
      <w:pPr>
        <w:pStyle w:val="FootnoteText"/>
      </w:pPr>
      <w:r>
        <w:rPr>
          <w:rStyle w:val="FootnoteReference"/>
        </w:rPr>
        <w:footnoteRef/>
      </w:r>
      <w:r>
        <w:t xml:space="preserve"> </w:t>
      </w:r>
      <w:r w:rsidRPr="00B878A5">
        <w:rPr>
          <w:i/>
        </w:rPr>
        <w:t>Id.</w:t>
      </w:r>
      <w:r>
        <w:t xml:space="preserve"> at 4904, paras. 88-89 (quoting </w:t>
      </w:r>
      <w:r w:rsidRPr="004334BA">
        <w:t xml:space="preserve">FCC Consumer Advisory Committee, Recommendation Regarding Unwanted Call Blocking (Sept. 27, 2017), available at </w:t>
      </w:r>
      <w:hyperlink r:id="rId2" w:history="1">
        <w:r w:rsidRPr="00897495" w:rsidR="00897495">
          <w:rPr>
            <w:rStyle w:val="Hyperlink"/>
          </w:rPr>
          <w:t>https://www.fcc.gov/ecfs/filing/1092759171055</w:t>
        </w:r>
      </w:hyperlink>
      <w:r w:rsidR="00897495">
        <w:t>)</w:t>
      </w:r>
      <w:r w:rsidRPr="00C75170" w:rsidR="00897495">
        <w:t>.</w:t>
      </w:r>
    </w:p>
  </w:footnote>
  <w:footnote w:id="13">
    <w:p w:rsidR="00D81F4F" w:rsidP="00D81F4F" w14:paraId="765F8BA3" w14:textId="77777777">
      <w:pPr>
        <w:pStyle w:val="FootnoteText"/>
      </w:pPr>
      <w:r>
        <w:rPr>
          <w:rStyle w:val="FootnoteReference"/>
        </w:rPr>
        <w:footnoteRef/>
      </w:r>
      <w:r>
        <w:t xml:space="preserve"> </w:t>
      </w:r>
      <w:r w:rsidRPr="00B878A5">
        <w:rPr>
          <w:i/>
        </w:rPr>
        <w:t>Id.</w:t>
      </w:r>
      <w:r>
        <w:t xml:space="preserve"> at 4904, paras. 87-89</w:t>
      </w:r>
      <w:r>
        <w:rPr>
          <w:rFonts w:ascii="TimesNewRomanPS-ItalicMT" w:hAnsi="TimesNewRomanPS-ItalicMT" w:cs="TimesNewRomanPS-ItalicMT"/>
          <w:iCs/>
        </w:rPr>
        <w:t>.</w:t>
      </w:r>
    </w:p>
  </w:footnote>
  <w:footnote w:id="14">
    <w:p w:rsidR="00AC7376" w14:paraId="6B4FE042" w14:textId="4D82174D">
      <w:pPr>
        <w:pStyle w:val="FootnoteText"/>
      </w:pPr>
      <w:r>
        <w:rPr>
          <w:rStyle w:val="FootnoteReference"/>
        </w:rPr>
        <w:footnoteRef/>
      </w:r>
      <w:r>
        <w:t xml:space="preserve"> </w:t>
      </w:r>
      <w:r w:rsidR="00BB42DF">
        <w:rPr>
          <w:rFonts w:ascii="TimesNewRoman,Italic" w:hAnsi="TimesNewRoman,Italic" w:cs="TimesNewRoman,Italic"/>
          <w:i/>
          <w:iCs/>
        </w:rPr>
        <w:t>Robocall</w:t>
      </w:r>
      <w:r w:rsidRPr="00C75170" w:rsidR="00BB42DF">
        <w:rPr>
          <w:rFonts w:ascii="TimesNewRoman,Italic" w:hAnsi="TimesNewRoman,Italic"/>
          <w:i/>
        </w:rPr>
        <w:t xml:space="preserve"> Report</w:t>
      </w:r>
      <w:r w:rsidRPr="00C75170" w:rsidR="00BB42DF">
        <w:rPr>
          <w:rFonts w:ascii="TimesNewRoman,Italic" w:hAnsi="TimesNewRoman,Italic"/>
        </w:rPr>
        <w:t xml:space="preserve"> </w:t>
      </w:r>
      <w:r w:rsidRPr="00BB42DF" w:rsidR="00BB42DF">
        <w:rPr>
          <w:rFonts w:ascii="TimesNewRoman,Italic" w:hAnsi="TimesNewRoman,Italic" w:cs="TimesNewRoman,Italic"/>
          <w:iCs/>
        </w:rPr>
        <w:t>at</w:t>
      </w:r>
      <w:r w:rsidR="0082023B">
        <w:t xml:space="preserve"> 4-6, paras. 7-14.</w:t>
      </w:r>
    </w:p>
  </w:footnote>
  <w:footnote w:id="15">
    <w:p w:rsidR="00987E34" w:rsidP="00987E34" w14:paraId="767551F9" w14:textId="77777777">
      <w:pPr>
        <w:pStyle w:val="FootnoteText"/>
      </w:pPr>
      <w:r>
        <w:rPr>
          <w:rStyle w:val="FootnoteReference"/>
        </w:rPr>
        <w:footnoteRef/>
      </w:r>
      <w:r>
        <w:t xml:space="preserve"> </w:t>
      </w:r>
      <w:r w:rsidRPr="00174881">
        <w:rPr>
          <w:rFonts w:ascii="TimesNewRoman,Italic" w:hAnsi="TimesNewRoman,Italic" w:cs="TimesNewRoman,Italic"/>
          <w:i/>
          <w:iCs/>
        </w:rPr>
        <w:t>Advanced Methods to Target and Eliminate Unlawful Robocalls</w:t>
      </w:r>
      <w:r w:rsidRPr="00174881">
        <w:t xml:space="preserve">, </w:t>
      </w:r>
      <w:r>
        <w:t xml:space="preserve">CG Docket No. 17-59, </w:t>
      </w:r>
      <w:r w:rsidRPr="00174881">
        <w:t>Report and Order and Further Notice of Proposed Rulemaking, 32 FCC Rcd 9706, 97</w:t>
      </w:r>
      <w:r>
        <w:t xml:space="preserve">31 </w:t>
      </w:r>
      <w:r w:rsidRPr="00174881">
        <w:t>(2018) (</w:t>
      </w:r>
      <w:r w:rsidRPr="00174881">
        <w:rPr>
          <w:rFonts w:ascii="TimesNewRoman,Italic" w:hAnsi="TimesNewRoman,Italic" w:cs="TimesNewRoman,Italic"/>
          <w:i/>
          <w:iCs/>
        </w:rPr>
        <w:t>Call Blocking Order</w:t>
      </w:r>
      <w:r w:rsidRPr="00174881">
        <w:t>)</w:t>
      </w:r>
      <w:r>
        <w:t>.</w:t>
      </w:r>
    </w:p>
  </w:footnote>
  <w:footnote w:id="16">
    <w:p w:rsidR="00987E34" w:rsidP="00987E34" w14:paraId="26281FC4" w14:textId="50C24AC2">
      <w:pPr>
        <w:pStyle w:val="FootnoteText"/>
      </w:pPr>
      <w:r>
        <w:rPr>
          <w:rStyle w:val="FootnoteReference"/>
        </w:rPr>
        <w:footnoteRef/>
      </w:r>
      <w:r>
        <w:t xml:space="preserve"> </w:t>
      </w:r>
      <w:r>
        <w:rPr>
          <w:rFonts w:ascii="TimesNewRomanPS-ItalicMT" w:hAnsi="TimesNewRomanPS-ItalicMT" w:cs="TimesNewRomanPS-ItalicMT"/>
          <w:i/>
          <w:iCs/>
        </w:rPr>
        <w:t>Call Blocking</w:t>
      </w:r>
      <w:r w:rsidR="00631457">
        <w:rPr>
          <w:rFonts w:ascii="TimesNewRomanPS-ItalicMT" w:hAnsi="TimesNewRomanPS-ItalicMT" w:cs="TimesNewRomanPS-ItalicMT"/>
          <w:i/>
          <w:iCs/>
        </w:rPr>
        <w:t xml:space="preserve"> Declaratory Ruling and</w:t>
      </w:r>
      <w:r>
        <w:rPr>
          <w:rFonts w:ascii="TimesNewRomanPS-ItalicMT" w:hAnsi="TimesNewRomanPS-ItalicMT" w:cs="TimesNewRomanPS-ItalicMT"/>
          <w:i/>
          <w:iCs/>
        </w:rPr>
        <w:t xml:space="preserve"> Third Further Notice</w:t>
      </w:r>
      <w:r w:rsidRPr="00415E35">
        <w:rPr>
          <w:rFonts w:ascii="TimesNewRomanPS-ItalicMT" w:hAnsi="TimesNewRomanPS-ItalicMT" w:cs="TimesNewRomanPS-ItalicMT"/>
          <w:iCs/>
        </w:rPr>
        <w:t>,</w:t>
      </w:r>
      <w:r w:rsidRPr="006A5205">
        <w:rPr>
          <w:rFonts w:ascii="TimesNewRomanPS-ItalicMT" w:hAnsi="TimesNewRomanPS-ItalicMT" w:cs="TimesNewRomanPS-ItalicMT"/>
          <w:iCs/>
        </w:rPr>
        <w:t xml:space="preserve"> </w:t>
      </w:r>
      <w:r w:rsidR="00E535E9">
        <w:rPr>
          <w:rFonts w:ascii="TimesNewRomanPS-ItalicMT" w:hAnsi="TimesNewRomanPS-ItalicMT" w:cs="TimesNewRomanPS-ItalicMT"/>
          <w:iCs/>
        </w:rPr>
        <w:t xml:space="preserve">34 FCC Rcd </w:t>
      </w:r>
      <w:r>
        <w:rPr>
          <w:rFonts w:ascii="TimesNewRomanPS-ItalicMT" w:hAnsi="TimesNewRomanPS-ItalicMT" w:cs="TimesNewRomanPS-ItalicMT"/>
          <w:iCs/>
        </w:rPr>
        <w:t>at 4904, paras. 22-47.</w:t>
      </w:r>
    </w:p>
  </w:footnote>
  <w:footnote w:id="17">
    <w:p w:rsidR="00631457" w:rsidRPr="003F0C1F" w:rsidP="00631457" w14:paraId="1EE18C39" w14:textId="3ACF36AA">
      <w:pPr>
        <w:pStyle w:val="FootnoteText"/>
      </w:pPr>
      <w:r>
        <w:rPr>
          <w:rStyle w:val="FootnoteReference"/>
        </w:rPr>
        <w:footnoteRef/>
      </w:r>
      <w:r>
        <w:t xml:space="preserve"> </w:t>
      </w:r>
      <w:r>
        <w:rPr>
          <w:i/>
        </w:rPr>
        <w:t>Id.</w:t>
      </w:r>
      <w:r>
        <w:t xml:space="preserve"> at 4877, para. 2.</w:t>
      </w:r>
    </w:p>
  </w:footnote>
  <w:footnote w:id="18">
    <w:p w:rsidR="00AC7376" w:rsidP="003F0216" w14:paraId="6B3CA9DC" w14:textId="77777777">
      <w:pPr>
        <w:pStyle w:val="FootnoteText"/>
        <w:tabs>
          <w:tab w:val="left" w:pos="1225"/>
        </w:tabs>
      </w:pPr>
      <w:r>
        <w:rPr>
          <w:rStyle w:val="FootnoteReference"/>
        </w:rPr>
        <w:t>10</w:t>
      </w:r>
      <w:r>
        <w:t xml:space="preserve"> </w:t>
      </w:r>
      <w:r>
        <w:rPr>
          <w:i/>
        </w:rPr>
        <w:t>See</w:t>
      </w:r>
      <w:r w:rsidRPr="002F2873">
        <w:t>,</w:t>
      </w:r>
      <w:r>
        <w:rPr>
          <w:i/>
        </w:rPr>
        <w:t xml:space="preserve"> e.g.</w:t>
      </w:r>
      <w:r w:rsidRPr="002F2873">
        <w:t>,</w:t>
      </w:r>
      <w:r w:rsidRPr="007B7B18">
        <w:rPr>
          <w:i/>
        </w:rPr>
        <w:t xml:space="preserve"> </w:t>
      </w:r>
      <w:r w:rsidRPr="00C75170">
        <w:rPr>
          <w:i/>
        </w:rPr>
        <w:t>FCC Clarifies That 911 Call-Forwarding Rule Does Not Preclude Wireless Carriers From Blocking Fraudulent 911 Calls</w:t>
      </w:r>
      <w:r>
        <w:t xml:space="preserve">, </w:t>
      </w:r>
      <w:r w:rsidRPr="00C75170">
        <w:t>Public Notice</w:t>
      </w:r>
      <w:r>
        <w:t>, FCC 02-296 (2002).</w:t>
      </w:r>
    </w:p>
  </w:footnote>
  <w:footnote w:id="19">
    <w:p w:rsidR="00AC7376" w:rsidP="00F42062" w14:paraId="114D4214" w14:textId="77777777">
      <w:pPr>
        <w:pStyle w:val="FootnoteText"/>
        <w:jc w:val="both"/>
      </w:pPr>
      <w:r>
        <w:rPr>
          <w:rStyle w:val="FootnoteReference"/>
        </w:rPr>
        <w:footnoteRef/>
      </w:r>
      <w:r>
        <w:rPr>
          <w:rStyle w:val="FootnoteReference"/>
        </w:rPr>
        <w:t xml:space="preserve"> </w:t>
      </w:r>
      <w:r>
        <w:t>47 CFR § 0.459.</w:t>
      </w:r>
    </w:p>
  </w:footnote>
  <w:footnote w:id="20">
    <w:p w:rsidR="00AC7376" w:rsidP="00174881" w14:paraId="5BECB522" w14:textId="12C4B4A0">
      <w:pPr>
        <w:pStyle w:val="FootnoteText"/>
      </w:pPr>
      <w:r>
        <w:rPr>
          <w:rStyle w:val="FootnoteReference"/>
        </w:rPr>
        <w:footnoteRef/>
      </w:r>
      <w:r>
        <w:t xml:space="preserve"> </w:t>
      </w:r>
      <w:r w:rsidR="007B7B18">
        <w:rPr>
          <w:i/>
        </w:rPr>
        <w:t>Id.</w:t>
      </w:r>
      <w:r>
        <w:t xml:space="preserve"> §</w:t>
      </w:r>
      <w:r w:rsidR="00826FE4">
        <w:t>§</w:t>
      </w:r>
      <w:r>
        <w:t xml:space="preserve"> 1.</w:t>
      </w:r>
      <w:r w:rsidR="00826FE4">
        <w:rPr>
          <w:szCs w:val="22"/>
        </w:rPr>
        <w:t>415, 1.419</w:t>
      </w:r>
      <w:r>
        <w:rPr>
          <w:sz w:val="22"/>
          <w:szCs w:val="22"/>
        </w:rPr>
        <w:t>.</w:t>
      </w:r>
    </w:p>
  </w:footnote>
  <w:footnote w:id="21">
    <w:p w:rsidR="003650BF" w:rsidRPr="00D94448" w:rsidP="003650BF" w14:paraId="0971C849" w14:textId="1F5214D3">
      <w:pPr>
        <w:pStyle w:val="FootnoteText"/>
        <w:rPr>
          <w:i/>
        </w:rPr>
      </w:pPr>
      <w:r w:rsidRPr="00D94448">
        <w:rPr>
          <w:rStyle w:val="FootnoteReference"/>
        </w:rPr>
        <w:footnoteRef/>
      </w:r>
      <w:r>
        <w:t xml:space="preserve"> </w:t>
      </w:r>
      <w:r w:rsidR="007B7B18">
        <w:rPr>
          <w:i/>
        </w:rPr>
        <w:t>Id.</w:t>
      </w:r>
      <w:r>
        <w:t xml:space="preserve"> § </w:t>
      </w:r>
      <w:r w:rsidRPr="00D94448">
        <w:t xml:space="preserve">1.1200 </w:t>
      </w:r>
      <w:r w:rsidRPr="00D94448">
        <w:rPr>
          <w:i/>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6E0" w14:paraId="638B49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120F88E"/>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AF26438"/>
    <w:multiLevelType w:val="hybridMultilevel"/>
    <w:tmpl w:val="F35229D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rPr>
        <w:rFonts w:cs="Times New Roman"/>
      </w:r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1182925"/>
    <w:multiLevelType w:val="singleLevel"/>
    <w:tmpl w:val="5D0610AA"/>
    <w:lvl w:ilvl="0">
      <w:start w:val="87"/>
      <w:numFmt w:val="decimal"/>
      <w:pStyle w:val="ParaNum0"/>
      <w:lvlText w:val="%1."/>
      <w:lvlJc w:val="left"/>
      <w:pPr>
        <w:tabs>
          <w:tab w:val="num" w:pos="1080"/>
        </w:tabs>
        <w:ind w:firstLine="720"/>
      </w:pPr>
      <w:rPr>
        <w:rFonts w:cs="Times New Roman" w:hint="default"/>
      </w:rPr>
    </w:lvl>
  </w:abstractNum>
  <w:abstractNum w:abstractNumId="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99"/>
    <w:rsid w:val="000033EB"/>
    <w:rsid w:val="00004F71"/>
    <w:rsid w:val="00007E7C"/>
    <w:rsid w:val="00017D61"/>
    <w:rsid w:val="00027D27"/>
    <w:rsid w:val="0004476B"/>
    <w:rsid w:val="000476E0"/>
    <w:rsid w:val="000510BB"/>
    <w:rsid w:val="0006222C"/>
    <w:rsid w:val="00075FC3"/>
    <w:rsid w:val="00080873"/>
    <w:rsid w:val="0008117B"/>
    <w:rsid w:val="000849CD"/>
    <w:rsid w:val="00094032"/>
    <w:rsid w:val="00095A9E"/>
    <w:rsid w:val="000A194C"/>
    <w:rsid w:val="000A1D4C"/>
    <w:rsid w:val="000A3846"/>
    <w:rsid w:val="000A7540"/>
    <w:rsid w:val="000B1A7D"/>
    <w:rsid w:val="000B4101"/>
    <w:rsid w:val="000C2ABA"/>
    <w:rsid w:val="000C73B9"/>
    <w:rsid w:val="000C7A71"/>
    <w:rsid w:val="000D6944"/>
    <w:rsid w:val="000F2C4B"/>
    <w:rsid w:val="000F3662"/>
    <w:rsid w:val="000F424D"/>
    <w:rsid w:val="00113121"/>
    <w:rsid w:val="00125D9C"/>
    <w:rsid w:val="00135907"/>
    <w:rsid w:val="001374D8"/>
    <w:rsid w:val="001376F0"/>
    <w:rsid w:val="00141682"/>
    <w:rsid w:val="001434F1"/>
    <w:rsid w:val="00147CA6"/>
    <w:rsid w:val="00150850"/>
    <w:rsid w:val="0015365B"/>
    <w:rsid w:val="001551C2"/>
    <w:rsid w:val="00161CAF"/>
    <w:rsid w:val="001625F1"/>
    <w:rsid w:val="001633A4"/>
    <w:rsid w:val="0016669D"/>
    <w:rsid w:val="00174442"/>
    <w:rsid w:val="00174881"/>
    <w:rsid w:val="00186378"/>
    <w:rsid w:val="00194D7C"/>
    <w:rsid w:val="001A4A14"/>
    <w:rsid w:val="001B3DE6"/>
    <w:rsid w:val="001B3F3C"/>
    <w:rsid w:val="001B617A"/>
    <w:rsid w:val="001B7777"/>
    <w:rsid w:val="001C20E9"/>
    <w:rsid w:val="001C306A"/>
    <w:rsid w:val="001C317F"/>
    <w:rsid w:val="001C43AE"/>
    <w:rsid w:val="001C6E00"/>
    <w:rsid w:val="001C7815"/>
    <w:rsid w:val="001D0F47"/>
    <w:rsid w:val="001D3CA2"/>
    <w:rsid w:val="001D771D"/>
    <w:rsid w:val="001E086C"/>
    <w:rsid w:val="001E09E5"/>
    <w:rsid w:val="001E6D8C"/>
    <w:rsid w:val="001F25AD"/>
    <w:rsid w:val="001F2CE9"/>
    <w:rsid w:val="001F44BF"/>
    <w:rsid w:val="002038C7"/>
    <w:rsid w:val="00206A01"/>
    <w:rsid w:val="00217982"/>
    <w:rsid w:val="00221D7C"/>
    <w:rsid w:val="00221EE5"/>
    <w:rsid w:val="00225AA5"/>
    <w:rsid w:val="00232063"/>
    <w:rsid w:val="002331AC"/>
    <w:rsid w:val="002344ED"/>
    <w:rsid w:val="00235F5A"/>
    <w:rsid w:val="0024797C"/>
    <w:rsid w:val="0025123A"/>
    <w:rsid w:val="00251D45"/>
    <w:rsid w:val="00261F4A"/>
    <w:rsid w:val="00272261"/>
    <w:rsid w:val="0028008F"/>
    <w:rsid w:val="00280994"/>
    <w:rsid w:val="002820B6"/>
    <w:rsid w:val="0028213E"/>
    <w:rsid w:val="002918C5"/>
    <w:rsid w:val="0029306C"/>
    <w:rsid w:val="00297A2A"/>
    <w:rsid w:val="002A011B"/>
    <w:rsid w:val="002A29E9"/>
    <w:rsid w:val="002A66B2"/>
    <w:rsid w:val="002B0DDF"/>
    <w:rsid w:val="002B0F51"/>
    <w:rsid w:val="002B4D5B"/>
    <w:rsid w:val="002B5872"/>
    <w:rsid w:val="002D25F4"/>
    <w:rsid w:val="002D577D"/>
    <w:rsid w:val="002D7D70"/>
    <w:rsid w:val="002E41AA"/>
    <w:rsid w:val="002E55FD"/>
    <w:rsid w:val="002E5B09"/>
    <w:rsid w:val="002E6ECF"/>
    <w:rsid w:val="002F2873"/>
    <w:rsid w:val="00300FF1"/>
    <w:rsid w:val="003014ED"/>
    <w:rsid w:val="003026FB"/>
    <w:rsid w:val="00311E26"/>
    <w:rsid w:val="00314DA6"/>
    <w:rsid w:val="0031511D"/>
    <w:rsid w:val="00317ADE"/>
    <w:rsid w:val="00320410"/>
    <w:rsid w:val="00321983"/>
    <w:rsid w:val="00321CC1"/>
    <w:rsid w:val="00325ACB"/>
    <w:rsid w:val="00334507"/>
    <w:rsid w:val="003364A0"/>
    <w:rsid w:val="003364D2"/>
    <w:rsid w:val="00352A0C"/>
    <w:rsid w:val="00353DE1"/>
    <w:rsid w:val="00354281"/>
    <w:rsid w:val="003606A7"/>
    <w:rsid w:val="003650BF"/>
    <w:rsid w:val="0037291D"/>
    <w:rsid w:val="0037744B"/>
    <w:rsid w:val="00390C1D"/>
    <w:rsid w:val="003946DB"/>
    <w:rsid w:val="003B435E"/>
    <w:rsid w:val="003C0129"/>
    <w:rsid w:val="003C3AEF"/>
    <w:rsid w:val="003D314D"/>
    <w:rsid w:val="003E6F75"/>
    <w:rsid w:val="003F0216"/>
    <w:rsid w:val="003F0C1F"/>
    <w:rsid w:val="003F16B1"/>
    <w:rsid w:val="003F1CBE"/>
    <w:rsid w:val="003F4D3D"/>
    <w:rsid w:val="003F7C1E"/>
    <w:rsid w:val="004101CB"/>
    <w:rsid w:val="0041392A"/>
    <w:rsid w:val="00415E35"/>
    <w:rsid w:val="00416CEB"/>
    <w:rsid w:val="004216B8"/>
    <w:rsid w:val="00422BEE"/>
    <w:rsid w:val="00423B52"/>
    <w:rsid w:val="00426766"/>
    <w:rsid w:val="004334BA"/>
    <w:rsid w:val="00434DCB"/>
    <w:rsid w:val="004403A2"/>
    <w:rsid w:val="0044772F"/>
    <w:rsid w:val="00447F32"/>
    <w:rsid w:val="00450A22"/>
    <w:rsid w:val="004516D1"/>
    <w:rsid w:val="00453B42"/>
    <w:rsid w:val="00461468"/>
    <w:rsid w:val="00461AD3"/>
    <w:rsid w:val="0046542A"/>
    <w:rsid w:val="00475710"/>
    <w:rsid w:val="00477B68"/>
    <w:rsid w:val="00485E81"/>
    <w:rsid w:val="0048680E"/>
    <w:rsid w:val="00496E97"/>
    <w:rsid w:val="004A0CD9"/>
    <w:rsid w:val="004A171C"/>
    <w:rsid w:val="004A1CD0"/>
    <w:rsid w:val="004A6B57"/>
    <w:rsid w:val="004A7383"/>
    <w:rsid w:val="004A7679"/>
    <w:rsid w:val="004C06F9"/>
    <w:rsid w:val="004C4301"/>
    <w:rsid w:val="004D5EB5"/>
    <w:rsid w:val="004D75D2"/>
    <w:rsid w:val="004E1882"/>
    <w:rsid w:val="004E1BA7"/>
    <w:rsid w:val="004E2521"/>
    <w:rsid w:val="004E6B9A"/>
    <w:rsid w:val="004E70A0"/>
    <w:rsid w:val="004E7FC1"/>
    <w:rsid w:val="0050646F"/>
    <w:rsid w:val="00512BCA"/>
    <w:rsid w:val="00513FB3"/>
    <w:rsid w:val="00515EA0"/>
    <w:rsid w:val="005170DB"/>
    <w:rsid w:val="00527DB8"/>
    <w:rsid w:val="005304B1"/>
    <w:rsid w:val="00530C89"/>
    <w:rsid w:val="0054004B"/>
    <w:rsid w:val="005448DE"/>
    <w:rsid w:val="00546BFB"/>
    <w:rsid w:val="00546E35"/>
    <w:rsid w:val="00553126"/>
    <w:rsid w:val="00556542"/>
    <w:rsid w:val="005603AB"/>
    <w:rsid w:val="00561A24"/>
    <w:rsid w:val="00561E8B"/>
    <w:rsid w:val="00562429"/>
    <w:rsid w:val="00562C2A"/>
    <w:rsid w:val="00562E04"/>
    <w:rsid w:val="00573755"/>
    <w:rsid w:val="0057438A"/>
    <w:rsid w:val="005759E8"/>
    <w:rsid w:val="00575B4A"/>
    <w:rsid w:val="00576A37"/>
    <w:rsid w:val="00576E08"/>
    <w:rsid w:val="005819DC"/>
    <w:rsid w:val="00583AAA"/>
    <w:rsid w:val="005901D4"/>
    <w:rsid w:val="00595293"/>
    <w:rsid w:val="005A0EF9"/>
    <w:rsid w:val="005A3F05"/>
    <w:rsid w:val="005A3FFD"/>
    <w:rsid w:val="005C2487"/>
    <w:rsid w:val="005C3DD3"/>
    <w:rsid w:val="005C4961"/>
    <w:rsid w:val="005C7F12"/>
    <w:rsid w:val="005D052A"/>
    <w:rsid w:val="005D331F"/>
    <w:rsid w:val="005D6D7A"/>
    <w:rsid w:val="005E0351"/>
    <w:rsid w:val="005E1E47"/>
    <w:rsid w:val="005E2564"/>
    <w:rsid w:val="005E3361"/>
    <w:rsid w:val="005E7817"/>
    <w:rsid w:val="005F0B76"/>
    <w:rsid w:val="005F34A4"/>
    <w:rsid w:val="005F467A"/>
    <w:rsid w:val="005F6A16"/>
    <w:rsid w:val="006033A7"/>
    <w:rsid w:val="006206D3"/>
    <w:rsid w:val="00624B77"/>
    <w:rsid w:val="006259B8"/>
    <w:rsid w:val="00631457"/>
    <w:rsid w:val="00637A31"/>
    <w:rsid w:val="006404D1"/>
    <w:rsid w:val="0064643B"/>
    <w:rsid w:val="00652FBF"/>
    <w:rsid w:val="00657E51"/>
    <w:rsid w:val="00662CF3"/>
    <w:rsid w:val="00665611"/>
    <w:rsid w:val="006678E8"/>
    <w:rsid w:val="00676B7C"/>
    <w:rsid w:val="006811C9"/>
    <w:rsid w:val="00681F07"/>
    <w:rsid w:val="00686C19"/>
    <w:rsid w:val="0069485E"/>
    <w:rsid w:val="006A5205"/>
    <w:rsid w:val="006C2F40"/>
    <w:rsid w:val="006C34A3"/>
    <w:rsid w:val="006D118B"/>
    <w:rsid w:val="006D2975"/>
    <w:rsid w:val="006D3216"/>
    <w:rsid w:val="006D5510"/>
    <w:rsid w:val="006D6B80"/>
    <w:rsid w:val="006E0A3D"/>
    <w:rsid w:val="006E2FB5"/>
    <w:rsid w:val="006E3BE3"/>
    <w:rsid w:val="006F374D"/>
    <w:rsid w:val="006F42ED"/>
    <w:rsid w:val="006F62AF"/>
    <w:rsid w:val="00700E95"/>
    <w:rsid w:val="007031D2"/>
    <w:rsid w:val="00706895"/>
    <w:rsid w:val="00717A20"/>
    <w:rsid w:val="0072108F"/>
    <w:rsid w:val="00732A24"/>
    <w:rsid w:val="007364B7"/>
    <w:rsid w:val="00741063"/>
    <w:rsid w:val="0074227B"/>
    <w:rsid w:val="00743AD4"/>
    <w:rsid w:val="00750218"/>
    <w:rsid w:val="007532AB"/>
    <w:rsid w:val="00760EFE"/>
    <w:rsid w:val="00762B0B"/>
    <w:rsid w:val="007634D3"/>
    <w:rsid w:val="00771556"/>
    <w:rsid w:val="00771D9B"/>
    <w:rsid w:val="00776A71"/>
    <w:rsid w:val="0078565C"/>
    <w:rsid w:val="0078621B"/>
    <w:rsid w:val="00790211"/>
    <w:rsid w:val="007B0B10"/>
    <w:rsid w:val="007B0E64"/>
    <w:rsid w:val="007B1C08"/>
    <w:rsid w:val="007B7B18"/>
    <w:rsid w:val="007D2EF1"/>
    <w:rsid w:val="007D6B68"/>
    <w:rsid w:val="007D6F3E"/>
    <w:rsid w:val="007E3D0E"/>
    <w:rsid w:val="007F2348"/>
    <w:rsid w:val="007F78C4"/>
    <w:rsid w:val="00811DF9"/>
    <w:rsid w:val="00812DD1"/>
    <w:rsid w:val="00814214"/>
    <w:rsid w:val="0081554B"/>
    <w:rsid w:val="008161AA"/>
    <w:rsid w:val="0082023B"/>
    <w:rsid w:val="00821779"/>
    <w:rsid w:val="0082655F"/>
    <w:rsid w:val="00826FE4"/>
    <w:rsid w:val="008313DF"/>
    <w:rsid w:val="0083318B"/>
    <w:rsid w:val="008429F1"/>
    <w:rsid w:val="0084602E"/>
    <w:rsid w:val="0085179B"/>
    <w:rsid w:val="00851F01"/>
    <w:rsid w:val="00853601"/>
    <w:rsid w:val="00854B08"/>
    <w:rsid w:val="008555BE"/>
    <w:rsid w:val="00856CB5"/>
    <w:rsid w:val="0086182A"/>
    <w:rsid w:val="00863561"/>
    <w:rsid w:val="00866D48"/>
    <w:rsid w:val="00870813"/>
    <w:rsid w:val="00873AA0"/>
    <w:rsid w:val="00876F00"/>
    <w:rsid w:val="008805D1"/>
    <w:rsid w:val="00897495"/>
    <w:rsid w:val="008A0801"/>
    <w:rsid w:val="008A4ED9"/>
    <w:rsid w:val="008B2ABD"/>
    <w:rsid w:val="008B4710"/>
    <w:rsid w:val="008C3A8C"/>
    <w:rsid w:val="008C4FB0"/>
    <w:rsid w:val="008C514C"/>
    <w:rsid w:val="008D2E09"/>
    <w:rsid w:val="008D35D1"/>
    <w:rsid w:val="008D4E7A"/>
    <w:rsid w:val="008F42BF"/>
    <w:rsid w:val="008F5645"/>
    <w:rsid w:val="00906138"/>
    <w:rsid w:val="00906433"/>
    <w:rsid w:val="0091602F"/>
    <w:rsid w:val="009236CD"/>
    <w:rsid w:val="00923A65"/>
    <w:rsid w:val="00930112"/>
    <w:rsid w:val="009318C8"/>
    <w:rsid w:val="00934AA8"/>
    <w:rsid w:val="009362BB"/>
    <w:rsid w:val="009378EC"/>
    <w:rsid w:val="00943EF1"/>
    <w:rsid w:val="00944077"/>
    <w:rsid w:val="00947195"/>
    <w:rsid w:val="0094745C"/>
    <w:rsid w:val="009531D8"/>
    <w:rsid w:val="0096266E"/>
    <w:rsid w:val="00962E51"/>
    <w:rsid w:val="009656D6"/>
    <w:rsid w:val="009760E5"/>
    <w:rsid w:val="00977ADE"/>
    <w:rsid w:val="0098355F"/>
    <w:rsid w:val="00987E34"/>
    <w:rsid w:val="00997A40"/>
    <w:rsid w:val="009A1794"/>
    <w:rsid w:val="009A2669"/>
    <w:rsid w:val="009A3B9A"/>
    <w:rsid w:val="009A7FD0"/>
    <w:rsid w:val="009B6E22"/>
    <w:rsid w:val="009C0A0F"/>
    <w:rsid w:val="009C18A8"/>
    <w:rsid w:val="009C467C"/>
    <w:rsid w:val="009C7407"/>
    <w:rsid w:val="009D58C6"/>
    <w:rsid w:val="009D5A93"/>
    <w:rsid w:val="009E6CC1"/>
    <w:rsid w:val="009F1C52"/>
    <w:rsid w:val="009F6FC0"/>
    <w:rsid w:val="00A02AAB"/>
    <w:rsid w:val="00A07FFD"/>
    <w:rsid w:val="00A14367"/>
    <w:rsid w:val="00A249AD"/>
    <w:rsid w:val="00A273C0"/>
    <w:rsid w:val="00A3223B"/>
    <w:rsid w:val="00A43018"/>
    <w:rsid w:val="00A466DB"/>
    <w:rsid w:val="00A512E2"/>
    <w:rsid w:val="00A53A2B"/>
    <w:rsid w:val="00A54F5B"/>
    <w:rsid w:val="00A60F2A"/>
    <w:rsid w:val="00A63014"/>
    <w:rsid w:val="00A70837"/>
    <w:rsid w:val="00A73B57"/>
    <w:rsid w:val="00A74F47"/>
    <w:rsid w:val="00A74FC4"/>
    <w:rsid w:val="00A80830"/>
    <w:rsid w:val="00A845B7"/>
    <w:rsid w:val="00A92AAC"/>
    <w:rsid w:val="00A95B9E"/>
    <w:rsid w:val="00A96817"/>
    <w:rsid w:val="00AA6BE1"/>
    <w:rsid w:val="00AC1C00"/>
    <w:rsid w:val="00AC3E5A"/>
    <w:rsid w:val="00AC7376"/>
    <w:rsid w:val="00AD0842"/>
    <w:rsid w:val="00AD0F70"/>
    <w:rsid w:val="00AD4893"/>
    <w:rsid w:val="00AE2A21"/>
    <w:rsid w:val="00AF3799"/>
    <w:rsid w:val="00B027E7"/>
    <w:rsid w:val="00B05FE6"/>
    <w:rsid w:val="00B063F4"/>
    <w:rsid w:val="00B07077"/>
    <w:rsid w:val="00B07A35"/>
    <w:rsid w:val="00B10740"/>
    <w:rsid w:val="00B11DBB"/>
    <w:rsid w:val="00B1310A"/>
    <w:rsid w:val="00B16DB2"/>
    <w:rsid w:val="00B20C80"/>
    <w:rsid w:val="00B2422D"/>
    <w:rsid w:val="00B32455"/>
    <w:rsid w:val="00B32961"/>
    <w:rsid w:val="00B4038D"/>
    <w:rsid w:val="00B4232F"/>
    <w:rsid w:val="00B44A67"/>
    <w:rsid w:val="00B45322"/>
    <w:rsid w:val="00B45509"/>
    <w:rsid w:val="00B46840"/>
    <w:rsid w:val="00B507D9"/>
    <w:rsid w:val="00B521C8"/>
    <w:rsid w:val="00B5756E"/>
    <w:rsid w:val="00B63DC9"/>
    <w:rsid w:val="00B63EE4"/>
    <w:rsid w:val="00B66438"/>
    <w:rsid w:val="00B72902"/>
    <w:rsid w:val="00B7739D"/>
    <w:rsid w:val="00B858FB"/>
    <w:rsid w:val="00B86EF4"/>
    <w:rsid w:val="00B878A5"/>
    <w:rsid w:val="00B9086F"/>
    <w:rsid w:val="00B931A4"/>
    <w:rsid w:val="00BA32C7"/>
    <w:rsid w:val="00BA6988"/>
    <w:rsid w:val="00BB42DF"/>
    <w:rsid w:val="00BB73C3"/>
    <w:rsid w:val="00BB777F"/>
    <w:rsid w:val="00BB7F47"/>
    <w:rsid w:val="00BC3C76"/>
    <w:rsid w:val="00BC6D24"/>
    <w:rsid w:val="00BD2113"/>
    <w:rsid w:val="00BD67F3"/>
    <w:rsid w:val="00BE6082"/>
    <w:rsid w:val="00BE6DA7"/>
    <w:rsid w:val="00BE6E5C"/>
    <w:rsid w:val="00BE757D"/>
    <w:rsid w:val="00BF1BE6"/>
    <w:rsid w:val="00BF32CD"/>
    <w:rsid w:val="00BF3BF2"/>
    <w:rsid w:val="00C0002A"/>
    <w:rsid w:val="00C0270C"/>
    <w:rsid w:val="00C04A26"/>
    <w:rsid w:val="00C06436"/>
    <w:rsid w:val="00C06D4F"/>
    <w:rsid w:val="00C07CF4"/>
    <w:rsid w:val="00C113AA"/>
    <w:rsid w:val="00C1170F"/>
    <w:rsid w:val="00C307CC"/>
    <w:rsid w:val="00C32BD9"/>
    <w:rsid w:val="00C379E1"/>
    <w:rsid w:val="00C4079B"/>
    <w:rsid w:val="00C525FB"/>
    <w:rsid w:val="00C5358F"/>
    <w:rsid w:val="00C55E7D"/>
    <w:rsid w:val="00C57176"/>
    <w:rsid w:val="00C642E5"/>
    <w:rsid w:val="00C64FA6"/>
    <w:rsid w:val="00C7022D"/>
    <w:rsid w:val="00C720B8"/>
    <w:rsid w:val="00C740EF"/>
    <w:rsid w:val="00C74105"/>
    <w:rsid w:val="00C74ADE"/>
    <w:rsid w:val="00C75170"/>
    <w:rsid w:val="00C76BA4"/>
    <w:rsid w:val="00C8587F"/>
    <w:rsid w:val="00C93A46"/>
    <w:rsid w:val="00C95F8F"/>
    <w:rsid w:val="00C9638E"/>
    <w:rsid w:val="00CA3520"/>
    <w:rsid w:val="00CA5A3B"/>
    <w:rsid w:val="00CB0825"/>
    <w:rsid w:val="00CB18C8"/>
    <w:rsid w:val="00CB4140"/>
    <w:rsid w:val="00CB524C"/>
    <w:rsid w:val="00CB5EE5"/>
    <w:rsid w:val="00CB7BA8"/>
    <w:rsid w:val="00CC0B79"/>
    <w:rsid w:val="00CD06AD"/>
    <w:rsid w:val="00CD0F14"/>
    <w:rsid w:val="00CD622B"/>
    <w:rsid w:val="00CE0296"/>
    <w:rsid w:val="00CE3D0B"/>
    <w:rsid w:val="00CE3EB2"/>
    <w:rsid w:val="00CE4CCB"/>
    <w:rsid w:val="00CE7370"/>
    <w:rsid w:val="00CF340B"/>
    <w:rsid w:val="00CF340C"/>
    <w:rsid w:val="00CF69C0"/>
    <w:rsid w:val="00D01255"/>
    <w:rsid w:val="00D01ABC"/>
    <w:rsid w:val="00D046BD"/>
    <w:rsid w:val="00D2740F"/>
    <w:rsid w:val="00D42F47"/>
    <w:rsid w:val="00D44631"/>
    <w:rsid w:val="00D45926"/>
    <w:rsid w:val="00D4655A"/>
    <w:rsid w:val="00D51781"/>
    <w:rsid w:val="00D52D7D"/>
    <w:rsid w:val="00D537EF"/>
    <w:rsid w:val="00D54212"/>
    <w:rsid w:val="00D616B3"/>
    <w:rsid w:val="00D61E56"/>
    <w:rsid w:val="00D62463"/>
    <w:rsid w:val="00D64454"/>
    <w:rsid w:val="00D65840"/>
    <w:rsid w:val="00D71C1A"/>
    <w:rsid w:val="00D75B15"/>
    <w:rsid w:val="00D75B5B"/>
    <w:rsid w:val="00D75C6E"/>
    <w:rsid w:val="00D77A05"/>
    <w:rsid w:val="00D8020A"/>
    <w:rsid w:val="00D81C29"/>
    <w:rsid w:val="00D81F4F"/>
    <w:rsid w:val="00D91C7A"/>
    <w:rsid w:val="00D94448"/>
    <w:rsid w:val="00DA1F60"/>
    <w:rsid w:val="00DA2551"/>
    <w:rsid w:val="00DA5814"/>
    <w:rsid w:val="00DA5EF7"/>
    <w:rsid w:val="00DA5F6D"/>
    <w:rsid w:val="00DB1989"/>
    <w:rsid w:val="00DC411A"/>
    <w:rsid w:val="00DD161C"/>
    <w:rsid w:val="00DD32CB"/>
    <w:rsid w:val="00DE1475"/>
    <w:rsid w:val="00DF49EA"/>
    <w:rsid w:val="00DF7177"/>
    <w:rsid w:val="00E01D5C"/>
    <w:rsid w:val="00E02031"/>
    <w:rsid w:val="00E0263F"/>
    <w:rsid w:val="00E0365D"/>
    <w:rsid w:val="00E05B48"/>
    <w:rsid w:val="00E141AA"/>
    <w:rsid w:val="00E16A95"/>
    <w:rsid w:val="00E16DFE"/>
    <w:rsid w:val="00E2013C"/>
    <w:rsid w:val="00E23E7C"/>
    <w:rsid w:val="00E243DE"/>
    <w:rsid w:val="00E35CE5"/>
    <w:rsid w:val="00E3723E"/>
    <w:rsid w:val="00E4351B"/>
    <w:rsid w:val="00E43A2F"/>
    <w:rsid w:val="00E46BEC"/>
    <w:rsid w:val="00E535E9"/>
    <w:rsid w:val="00E566D6"/>
    <w:rsid w:val="00E77FAA"/>
    <w:rsid w:val="00E87D06"/>
    <w:rsid w:val="00E95A48"/>
    <w:rsid w:val="00EA2D1B"/>
    <w:rsid w:val="00EA4237"/>
    <w:rsid w:val="00EB15B9"/>
    <w:rsid w:val="00EB1DF0"/>
    <w:rsid w:val="00EB3C4A"/>
    <w:rsid w:val="00EC2B0C"/>
    <w:rsid w:val="00EC6825"/>
    <w:rsid w:val="00EC71C0"/>
    <w:rsid w:val="00ED02EE"/>
    <w:rsid w:val="00ED121D"/>
    <w:rsid w:val="00ED4BC0"/>
    <w:rsid w:val="00EE13A7"/>
    <w:rsid w:val="00EE43A0"/>
    <w:rsid w:val="00EE4AD6"/>
    <w:rsid w:val="00EF751A"/>
    <w:rsid w:val="00F0201E"/>
    <w:rsid w:val="00F114D8"/>
    <w:rsid w:val="00F20763"/>
    <w:rsid w:val="00F4131E"/>
    <w:rsid w:val="00F42062"/>
    <w:rsid w:val="00F449B0"/>
    <w:rsid w:val="00F66028"/>
    <w:rsid w:val="00F7479D"/>
    <w:rsid w:val="00F82D22"/>
    <w:rsid w:val="00F84037"/>
    <w:rsid w:val="00F9024B"/>
    <w:rsid w:val="00F9134B"/>
    <w:rsid w:val="00FA1C46"/>
    <w:rsid w:val="00FA6BC3"/>
    <w:rsid w:val="00FB4A5E"/>
    <w:rsid w:val="00FB4E15"/>
    <w:rsid w:val="00FB7260"/>
    <w:rsid w:val="00FC2E1B"/>
    <w:rsid w:val="00FC4CAE"/>
    <w:rsid w:val="00FD61CD"/>
    <w:rsid w:val="00FD6F5B"/>
    <w:rsid w:val="00FE1EAF"/>
    <w:rsid w:val="00FE3464"/>
    <w:rsid w:val="00FE71F2"/>
    <w:rsid w:val="00FF6EC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D9C34DDC-4E74-49B2-A99D-00EC6DD9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hAnsi="Times New Roman"/>
      <w:kern w:val="28"/>
      <w:sz w:val="22"/>
    </w:rPr>
  </w:style>
  <w:style w:type="paragraph" w:styleId="Heading1">
    <w:name w:val="heading 1"/>
    <w:basedOn w:val="Normal"/>
    <w:next w:val="Paranum"/>
    <w:link w:val="Heading1Char"/>
    <w:uiPriority w:val="9"/>
    <w:qFormat/>
    <w:rsid w:val="00174881"/>
    <w:pPr>
      <w:keepNext/>
      <w:numPr>
        <w:numId w:val="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174881"/>
    <w:pPr>
      <w:keepNext/>
      <w:numPr>
        <w:ilvl w:val="1"/>
        <w:numId w:val="6"/>
      </w:numPr>
      <w:spacing w:after="120"/>
      <w:ind w:left="2160"/>
      <w:outlineLvl w:val="1"/>
    </w:pPr>
    <w:rPr>
      <w:b/>
      <w:bCs/>
    </w:rPr>
  </w:style>
  <w:style w:type="paragraph" w:styleId="Heading3">
    <w:name w:val="heading 3"/>
    <w:basedOn w:val="Normal"/>
    <w:next w:val="Paranum"/>
    <w:link w:val="Heading3Char"/>
    <w:uiPriority w:val="9"/>
    <w:qFormat/>
    <w:rsid w:val="00174881"/>
    <w:pPr>
      <w:keepNext/>
      <w:numPr>
        <w:ilvl w:val="2"/>
        <w:numId w:val="6"/>
      </w:numPr>
      <w:spacing w:after="120"/>
      <w:outlineLvl w:val="2"/>
    </w:pPr>
    <w:rPr>
      <w:b/>
    </w:rPr>
  </w:style>
  <w:style w:type="paragraph" w:styleId="Heading4">
    <w:name w:val="heading 4"/>
    <w:basedOn w:val="Normal"/>
    <w:next w:val="Paranum"/>
    <w:link w:val="Heading4Char"/>
    <w:uiPriority w:val="9"/>
    <w:qFormat/>
    <w:rsid w:val="00174881"/>
    <w:pPr>
      <w:keepNext/>
      <w:numPr>
        <w:ilvl w:val="3"/>
        <w:numId w:val="6"/>
      </w:numPr>
      <w:spacing w:after="120"/>
      <w:outlineLvl w:val="3"/>
    </w:pPr>
    <w:rPr>
      <w:b/>
    </w:rPr>
  </w:style>
  <w:style w:type="paragraph" w:styleId="Heading5">
    <w:name w:val="heading 5"/>
    <w:basedOn w:val="Normal"/>
    <w:next w:val="Paranum"/>
    <w:link w:val="Heading5Char"/>
    <w:uiPriority w:val="9"/>
    <w:qFormat/>
    <w:rsid w:val="00174881"/>
    <w:pPr>
      <w:keepNext/>
      <w:numPr>
        <w:ilvl w:val="4"/>
        <w:numId w:val="6"/>
      </w:numPr>
      <w:suppressAutoHyphens/>
      <w:spacing w:after="120"/>
      <w:outlineLvl w:val="4"/>
    </w:pPr>
    <w:rPr>
      <w:b/>
    </w:rPr>
  </w:style>
  <w:style w:type="paragraph" w:styleId="Heading6">
    <w:name w:val="heading 6"/>
    <w:basedOn w:val="Normal"/>
    <w:next w:val="Paranum"/>
    <w:link w:val="Heading6Char"/>
    <w:uiPriority w:val="9"/>
    <w:qFormat/>
    <w:rsid w:val="00174881"/>
    <w:pPr>
      <w:numPr>
        <w:ilvl w:val="5"/>
        <w:numId w:val="6"/>
      </w:numPr>
      <w:spacing w:after="120"/>
      <w:outlineLvl w:val="5"/>
    </w:pPr>
    <w:rPr>
      <w:b/>
    </w:rPr>
  </w:style>
  <w:style w:type="paragraph" w:styleId="Heading7">
    <w:name w:val="heading 7"/>
    <w:basedOn w:val="Normal"/>
    <w:next w:val="Paranum"/>
    <w:link w:val="Heading7Char"/>
    <w:uiPriority w:val="9"/>
    <w:qFormat/>
    <w:rsid w:val="00174881"/>
    <w:pPr>
      <w:numPr>
        <w:ilvl w:val="6"/>
        <w:numId w:val="6"/>
      </w:numPr>
      <w:spacing w:after="120"/>
      <w:outlineLvl w:val="6"/>
    </w:pPr>
    <w:rPr>
      <w:b/>
    </w:rPr>
  </w:style>
  <w:style w:type="paragraph" w:styleId="Heading8">
    <w:name w:val="heading 8"/>
    <w:basedOn w:val="Normal"/>
    <w:next w:val="Paranum"/>
    <w:link w:val="Heading8Char"/>
    <w:uiPriority w:val="9"/>
    <w:qFormat/>
    <w:rsid w:val="00174881"/>
    <w:pPr>
      <w:numPr>
        <w:ilvl w:val="7"/>
        <w:numId w:val="6"/>
      </w:numPr>
      <w:tabs>
        <w:tab w:val="left" w:pos="5760"/>
      </w:tabs>
      <w:spacing w:after="120"/>
      <w:outlineLvl w:val="7"/>
    </w:pPr>
    <w:rPr>
      <w:b/>
    </w:rPr>
  </w:style>
  <w:style w:type="paragraph" w:styleId="Heading9">
    <w:name w:val="heading 9"/>
    <w:basedOn w:val="Normal"/>
    <w:next w:val="Paranum"/>
    <w:link w:val="Heading9Char"/>
    <w:uiPriority w:val="9"/>
    <w:qFormat/>
    <w:rsid w:val="00174881"/>
    <w:pPr>
      <w:numPr>
        <w:ilvl w:val="8"/>
        <w:numId w:val="6"/>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74881"/>
    <w:rPr>
      <w:rFonts w:ascii="Times New Roman Bold" w:hAnsi="Times New Roman Bold"/>
      <w:b/>
      <w:caps/>
      <w:kern w:val="28"/>
      <w:sz w:val="22"/>
    </w:rPr>
  </w:style>
  <w:style w:type="character" w:customStyle="1" w:styleId="Heading2Char">
    <w:name w:val="Heading 2 Char"/>
    <w:link w:val="Heading2"/>
    <w:uiPriority w:val="9"/>
    <w:locked/>
    <w:rsid w:val="00174881"/>
    <w:rPr>
      <w:rFonts w:ascii="Times New Roman" w:hAnsi="Times New Roman"/>
      <w:b/>
      <w:kern w:val="28"/>
      <w:sz w:val="22"/>
    </w:rPr>
  </w:style>
  <w:style w:type="character" w:customStyle="1" w:styleId="Heading3Char">
    <w:name w:val="Heading 3 Char"/>
    <w:link w:val="Heading3"/>
    <w:uiPriority w:val="9"/>
    <w:locked/>
    <w:rsid w:val="00174881"/>
    <w:rPr>
      <w:rFonts w:ascii="Times New Roman" w:hAnsi="Times New Roman"/>
      <w:b/>
      <w:kern w:val="28"/>
      <w:sz w:val="22"/>
    </w:rPr>
  </w:style>
  <w:style w:type="character" w:customStyle="1" w:styleId="Heading4Char">
    <w:name w:val="Heading 4 Char"/>
    <w:link w:val="Heading4"/>
    <w:uiPriority w:val="9"/>
    <w:locked/>
    <w:rsid w:val="00174881"/>
    <w:rPr>
      <w:rFonts w:ascii="Times New Roman" w:hAnsi="Times New Roman"/>
      <w:b/>
      <w:kern w:val="28"/>
      <w:sz w:val="22"/>
    </w:rPr>
  </w:style>
  <w:style w:type="character" w:customStyle="1" w:styleId="Heading5Char">
    <w:name w:val="Heading 5 Char"/>
    <w:link w:val="Heading5"/>
    <w:uiPriority w:val="9"/>
    <w:locked/>
    <w:rsid w:val="00174881"/>
    <w:rPr>
      <w:rFonts w:ascii="Times New Roman" w:hAnsi="Times New Roman"/>
      <w:b/>
      <w:kern w:val="28"/>
      <w:sz w:val="22"/>
    </w:rPr>
  </w:style>
  <w:style w:type="character" w:customStyle="1" w:styleId="Heading6Char">
    <w:name w:val="Heading 6 Char"/>
    <w:link w:val="Heading6"/>
    <w:uiPriority w:val="9"/>
    <w:locked/>
    <w:rsid w:val="00174881"/>
    <w:rPr>
      <w:rFonts w:ascii="Times New Roman" w:hAnsi="Times New Roman"/>
      <w:b/>
      <w:kern w:val="28"/>
      <w:sz w:val="22"/>
    </w:rPr>
  </w:style>
  <w:style w:type="character" w:customStyle="1" w:styleId="Heading7Char">
    <w:name w:val="Heading 7 Char"/>
    <w:link w:val="Heading7"/>
    <w:uiPriority w:val="9"/>
    <w:locked/>
    <w:rsid w:val="00174881"/>
    <w:rPr>
      <w:rFonts w:ascii="Times New Roman" w:hAnsi="Times New Roman"/>
      <w:b/>
      <w:kern w:val="28"/>
      <w:sz w:val="22"/>
    </w:rPr>
  </w:style>
  <w:style w:type="character" w:customStyle="1" w:styleId="Heading8Char">
    <w:name w:val="Heading 8 Char"/>
    <w:link w:val="Heading8"/>
    <w:uiPriority w:val="9"/>
    <w:locked/>
    <w:rsid w:val="00174881"/>
    <w:rPr>
      <w:rFonts w:ascii="Times New Roman" w:hAnsi="Times New Roman"/>
      <w:b/>
      <w:kern w:val="28"/>
      <w:sz w:val="22"/>
    </w:rPr>
  </w:style>
  <w:style w:type="character" w:customStyle="1" w:styleId="Heading9Char">
    <w:name w:val="Heading 9 Char"/>
    <w:link w:val="Heading9"/>
    <w:uiPriority w:val="9"/>
    <w:locked/>
    <w:rsid w:val="00174881"/>
    <w:rPr>
      <w:rFonts w:ascii="Times New Roman" w:hAnsi="Times New Roman"/>
      <w:b/>
      <w:kern w:val="28"/>
      <w:sz w:val="22"/>
    </w:rPr>
  </w:style>
  <w:style w:type="paragraph" w:styleId="Header">
    <w:name w:val="header"/>
    <w:basedOn w:val="Normal"/>
    <w:link w:val="HeaderChar"/>
    <w:autoRedefine/>
    <w:rsid w:val="00450A22"/>
    <w:pPr>
      <w:spacing w:before="40"/>
    </w:pPr>
    <w:rPr>
      <w:rFonts w:ascii="Arial" w:hAnsi="Arial" w:cs="Arial"/>
      <w:b/>
      <w:sz w:val="96"/>
    </w:rPr>
  </w:style>
  <w:style w:type="character" w:customStyle="1" w:styleId="HeaderChar">
    <w:name w:val="Header Char"/>
    <w:link w:val="Header"/>
    <w:locked/>
    <w:rsid w:val="00450A22"/>
    <w:rPr>
      <w:rFonts w:ascii="Arial" w:hAnsi="Arial" w:cs="Arial"/>
      <w:b/>
      <w:kern w:val="28"/>
      <w:sz w:val="96"/>
    </w:rPr>
  </w:style>
  <w:style w:type="character" w:styleId="Hyperlink">
    <w:name w:val="Hyperlink"/>
    <w:rPr>
      <w:color w:val="0000FF"/>
      <w:u w:val="single"/>
    </w:rPr>
  </w:style>
  <w:style w:type="paragraph" w:styleId="FootnoteText">
    <w:name w:val="footnote text"/>
    <w:aliases w:val="Footnote Text Char,Footnote Text Char Char Char Char Char Char Char,Footnote Text Char Char1 Char Char Char,Footnote Text Char1 Char Char Char Char Char Char,Footnote Text Char2 Char,Footnote Text Char2 Char Char Char Char Char"/>
    <w:basedOn w:val="Normal"/>
    <w:link w:val="FootnoteTextChar1"/>
    <w:pPr>
      <w:widowControl/>
      <w:spacing w:after="120"/>
    </w:pPr>
    <w:rPr>
      <w:kern w:val="0"/>
      <w:sz w:val="20"/>
    </w:rPr>
  </w:style>
  <w:style w:type="paragraph" w:styleId="PlainText">
    <w:name w:val="Plain Text"/>
    <w:basedOn w:val="Normal"/>
    <w:link w:val="PlainTextChar"/>
    <w:uiPriority w:val="99"/>
    <w:pPr>
      <w:widowControl/>
    </w:pPr>
    <w:rPr>
      <w:rFonts w:ascii="Courier New" w:hAnsi="Courier New" w:cs="Courier New"/>
      <w:kern w:val="0"/>
      <w:sz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color w:val="auto"/>
      <w:sz w:val="20"/>
      <w:vertAlign w:val="superscript"/>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Char Char Char Char"/>
    <w:link w:val="FootnoteText"/>
    <w:uiPriority w:val="99"/>
    <w:locked/>
    <w:rPr>
      <w:rFonts w:ascii="Times New Roman" w:hAnsi="Times New Roman"/>
      <w:sz w:val="20"/>
    </w:rPr>
  </w:style>
  <w:style w:type="character" w:customStyle="1" w:styleId="PlainTextChar">
    <w:name w:val="Plain Text Char"/>
    <w:link w:val="PlainText"/>
    <w:uiPriority w:val="99"/>
    <w:locked/>
    <w:rPr>
      <w:rFonts w:ascii="Courier New" w:hAnsi="Courier New"/>
      <w:sz w:val="20"/>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sid w:val="00C75170"/>
    <w:rPr>
      <w:sz w:val="20"/>
    </w:rPr>
  </w:style>
  <w:style w:type="character" w:customStyle="1" w:styleId="CommentTextChar">
    <w:name w:val="Comment Text Char"/>
    <w:link w:val="CommentText"/>
    <w:uiPriority w:val="99"/>
    <w:locked/>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kern w:val="28"/>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kern w:val="28"/>
      <w:sz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ascii="Times New Roman" w:hAnsi="Times New Roman"/>
      <w:kern w:val="28"/>
      <w:sz w:val="20"/>
    </w:rPr>
  </w:style>
  <w:style w:type="table" w:styleId="ColorfulShadingAccent1">
    <w:name w:val="Colorful Shading Accent 1"/>
    <w:basedOn w:val="TableNormal"/>
    <w:uiPriority w:val="71"/>
    <w:semiHidden/>
    <w:unhideWhenUsed/>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locked/>
    <w:rsid w:val="00CB5EE5"/>
    <w:rPr>
      <w:rFonts w:ascii="Times New Roman" w:hAnsi="Times New Roman"/>
      <w:kern w:val="28"/>
    </w:rPr>
  </w:style>
  <w:style w:type="character" w:styleId="EndnoteReference">
    <w:name w:val="endnote reference"/>
    <w:uiPriority w:val="99"/>
    <w:semiHidden/>
    <w:unhideWhenUsed/>
    <w:rsid w:val="00CB5EE5"/>
    <w:rPr>
      <w:vertAlign w:val="superscript"/>
    </w:rPr>
  </w:style>
  <w:style w:type="character" w:customStyle="1" w:styleId="apple-converted-space">
    <w:name w:val="apple-converted-space"/>
    <w:rsid w:val="0054004B"/>
  </w:style>
  <w:style w:type="character" w:styleId="FollowedHyperlink">
    <w:name w:val="FollowedHyperlink"/>
    <w:uiPriority w:val="99"/>
    <w:semiHidden/>
    <w:unhideWhenUsed/>
    <w:rsid w:val="0054004B"/>
    <w:rPr>
      <w:color w:val="800080"/>
      <w:u w:val="single"/>
    </w:rPr>
  </w:style>
  <w:style w:type="paragraph" w:customStyle="1" w:styleId="Paranum">
    <w:name w:val="Paranum"/>
    <w:basedOn w:val="Normal"/>
    <w:autoRedefine/>
    <w:rsid w:val="00C75170"/>
    <w:pPr>
      <w:widowControl/>
      <w:spacing w:after="120"/>
      <w:ind w:firstLine="720"/>
    </w:pPr>
  </w:style>
  <w:style w:type="paragraph" w:styleId="Revision">
    <w:name w:val="Revision"/>
    <w:hidden/>
    <w:uiPriority w:val="99"/>
    <w:semiHidden/>
    <w:rsid w:val="00095A9E"/>
    <w:rPr>
      <w:rFonts w:ascii="Times New Roman" w:hAnsi="Times New Roman"/>
      <w:kern w:val="28"/>
      <w:sz w:val="22"/>
    </w:rPr>
  </w:style>
  <w:style w:type="character" w:customStyle="1" w:styleId="UnresolvedMention">
    <w:name w:val="Unresolved Mention"/>
    <w:uiPriority w:val="99"/>
    <w:semiHidden/>
    <w:unhideWhenUsed/>
    <w:rsid w:val="002D25F4"/>
    <w:rPr>
      <w:color w:val="808080"/>
      <w:shd w:val="clear" w:color="auto" w:fill="E6E6E6"/>
    </w:rPr>
  </w:style>
  <w:style w:type="paragraph" w:customStyle="1" w:styleId="ParaNum0">
    <w:name w:val="ParaNum"/>
    <w:basedOn w:val="Normal"/>
    <w:link w:val="ParaNumChar"/>
    <w:rsid w:val="00B878A5"/>
    <w:pPr>
      <w:numPr>
        <w:numId w:val="7"/>
      </w:numPr>
      <w:spacing w:after="120"/>
    </w:pPr>
  </w:style>
  <w:style w:type="character" w:customStyle="1" w:styleId="ParaNumChar">
    <w:name w:val="ParaNum Char"/>
    <w:link w:val="ParaNum0"/>
    <w:locked/>
    <w:rsid w:val="00B878A5"/>
    <w:rPr>
      <w:rFonts w:ascii="Times New Roman" w:hAnsi="Times New Roman"/>
      <w:kern w:val="28"/>
      <w:sz w:val="22"/>
    </w:rPr>
  </w:style>
  <w:style w:type="character" w:customStyle="1" w:styleId="ALTSFOOTNOTECharChar">
    <w:name w:val="ALTS FOOTNOTE Char Char"/>
    <w:aliases w:val="ALTS FOOTNOTE Char1,Footnote Text Char Char Char Char,Footnote Text Char1 Char Char,Footnote Text Char1 Char1 Char Char Char Char,Footnote Text Char2 Char Char Char Char,f Char,fn Char Char,fn Char1"/>
    <w:rsid w:val="0036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hyperlink" Target="https://www.fcc.gov/" TargetMode="External" /><Relationship Id="rId8" Type="http://schemas.openxmlformats.org/officeDocument/2006/relationships/hyperlink" Target="http://www.fcc.gov/ecfs/"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196A1.pdf" TargetMode="External" /><Relationship Id="rId2" Type="http://schemas.openxmlformats.org/officeDocument/2006/relationships/hyperlink" Target="https://www.fcc.gov/ecfs/filing/109275917105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