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bookmarkStart w:id="0" w:name="_GoBack"/>
      <w:bookmarkEnd w:id="0"/>
      <w:r>
        <w:rPr>
          <w:b/>
          <w:sz w:val="24"/>
        </w:rPr>
        <w:t>DA 19-1319</w:t>
      </w:r>
    </w:p>
    <w:p w:rsidR="00013A8B" w:rsidRPr="00B20363" w:rsidP="00013A8B">
      <w:pPr>
        <w:spacing w:before="60"/>
        <w:jc w:val="right"/>
        <w:rPr>
          <w:b/>
          <w:sz w:val="24"/>
        </w:rPr>
      </w:pPr>
      <w:r>
        <w:rPr>
          <w:b/>
          <w:sz w:val="24"/>
        </w:rPr>
        <w:t xml:space="preserve">Released:  </w:t>
      </w:r>
      <w:r w:rsidR="00420210">
        <w:rPr>
          <w:b/>
          <w:sz w:val="24"/>
        </w:rPr>
        <w:t>December 20, 2019</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sidRPr="00420210">
        <w:rPr>
          <w:rFonts w:ascii="Times New Roman Bold" w:hAnsi="Times New Roman Bold"/>
          <w:b/>
          <w:caps/>
          <w:sz w:val="24"/>
        </w:rPr>
        <w:t>MEDIA BUREAU ANNOUNCES EFFECTIVE DATE OF REMAINING KIDVID RULES, AVAILABILITY AND EXTENSION OF TIME TO FILE THE REVISED CHILDREN’S TELEVISION PROGRAMMING REPORT IN LMS, AND GUIDANCE CONCERNING THE FILING OF FINAL QUARTERLY COMMERICAL LIMITS CERTIFICATIONS</w:t>
      </w:r>
    </w:p>
    <w:p w:rsidR="00F96F63" w:rsidP="00420210">
      <w:pPr>
        <w:jc w:val="center"/>
        <w:rPr>
          <w:b/>
          <w:sz w:val="24"/>
        </w:rPr>
      </w:pPr>
      <w:bookmarkStart w:id="1" w:name="TOChere"/>
      <w:r w:rsidRPr="00420210">
        <w:rPr>
          <w:b/>
          <w:sz w:val="24"/>
        </w:rPr>
        <w:t>MB Docket Nos. 18-202 and 17-105</w:t>
      </w:r>
    </w:p>
    <w:p w:rsidR="00420210" w:rsidRPr="00930ECF" w:rsidP="00420210">
      <w:pPr>
        <w:jc w:val="center"/>
        <w:rPr>
          <w:sz w:val="24"/>
        </w:rPr>
      </w:pPr>
    </w:p>
    <w:bookmarkEnd w:id="1"/>
    <w:p w:rsidR="00420210" w:rsidP="00420210">
      <w:pPr>
        <w:ind w:firstLine="720"/>
        <w:rPr>
          <w:szCs w:val="22"/>
        </w:rPr>
      </w:pPr>
      <w:r>
        <w:rPr>
          <w:szCs w:val="22"/>
        </w:rPr>
        <w:t xml:space="preserve">On July 12, 2019, the Commission released a </w:t>
      </w:r>
      <w:r>
        <w:rPr>
          <w:i/>
          <w:szCs w:val="22"/>
        </w:rPr>
        <w:t>Report and Order</w:t>
      </w:r>
      <w:r>
        <w:rPr>
          <w:szCs w:val="22"/>
        </w:rPr>
        <w:t xml:space="preserve"> modernizing the children’s television programming rules to </w:t>
      </w:r>
      <w:r w:rsidRPr="009D59F6">
        <w:rPr>
          <w:snapToGrid/>
          <w:szCs w:val="22"/>
        </w:rPr>
        <w:t>give broadcasters greater flexibility in serving the educational and informational needs of children</w:t>
      </w:r>
      <w:r>
        <w:rPr>
          <w:szCs w:val="22"/>
        </w:rPr>
        <w:t>.</w:t>
      </w:r>
      <w:r>
        <w:rPr>
          <w:rStyle w:val="FootnoteReference"/>
          <w:szCs w:val="22"/>
        </w:rPr>
        <w:footnoteReference w:id="3"/>
      </w:r>
      <w:r>
        <w:rPr>
          <w:szCs w:val="22"/>
        </w:rPr>
        <w:t xml:space="preserve">  By Public Notice dated September 3, 2019, the Media Bureau (Bureau) announced that the revised children’s programming rules were to became effective September 16, 2019, </w:t>
      </w:r>
      <w:r w:rsidRPr="00205ACC">
        <w:rPr>
          <w:szCs w:val="22"/>
        </w:rPr>
        <w:t>except for th</w:t>
      </w:r>
      <w:r>
        <w:rPr>
          <w:szCs w:val="22"/>
        </w:rPr>
        <w:t>os</w:t>
      </w:r>
      <w:r w:rsidRPr="00205ACC">
        <w:rPr>
          <w:szCs w:val="22"/>
        </w:rPr>
        <w:t>e</w:t>
      </w:r>
      <w:r w:rsidRPr="00205ACC">
        <w:rPr>
          <w:szCs w:val="22"/>
          <w:shd w:val="clear" w:color="auto" w:fill="FFFFFF"/>
        </w:rPr>
        <w:t xml:space="preserve"> rules containing new or modified information collection requirements that require</w:t>
      </w:r>
      <w:r>
        <w:rPr>
          <w:szCs w:val="22"/>
          <w:shd w:val="clear" w:color="auto" w:fill="FFFFFF"/>
        </w:rPr>
        <w:t>d</w:t>
      </w:r>
      <w:r w:rsidRPr="00205ACC">
        <w:rPr>
          <w:szCs w:val="22"/>
          <w:shd w:val="clear" w:color="auto" w:fill="FFFFFF"/>
        </w:rPr>
        <w:t xml:space="preserve"> review by the Office of Management and Budget (</w:t>
      </w:r>
      <w:r w:rsidRPr="00205ACC">
        <w:rPr>
          <w:rStyle w:val="cosearchterm"/>
          <w:bCs/>
          <w:szCs w:val="22"/>
          <w:bdr w:val="none" w:sz="0" w:space="0" w:color="auto" w:frame="1"/>
        </w:rPr>
        <w:t>OMB</w:t>
      </w:r>
      <w:r w:rsidRPr="00205ACC">
        <w:rPr>
          <w:szCs w:val="22"/>
          <w:shd w:val="clear" w:color="auto" w:fill="FFFFFF"/>
        </w:rPr>
        <w:t>) under the Paperwork Reduction Act</w:t>
      </w:r>
      <w:r w:rsidRPr="00205ACC">
        <w:rPr>
          <w:szCs w:val="22"/>
        </w:rPr>
        <w:t>.</w:t>
      </w:r>
      <w:r>
        <w:rPr>
          <w:rStyle w:val="FootnoteReference"/>
          <w:szCs w:val="22"/>
        </w:rPr>
        <w:footnoteReference w:id="4"/>
      </w:r>
      <w:r w:rsidRPr="00205ACC">
        <w:rPr>
          <w:szCs w:val="22"/>
        </w:rPr>
        <w:t xml:space="preserve">  </w:t>
      </w:r>
    </w:p>
    <w:p w:rsidR="00420210" w:rsidP="00420210">
      <w:pPr>
        <w:ind w:firstLine="720"/>
        <w:rPr>
          <w:szCs w:val="22"/>
        </w:rPr>
      </w:pPr>
    </w:p>
    <w:p w:rsidR="00420210" w:rsidP="00420210">
      <w:pPr>
        <w:ind w:firstLine="720"/>
        <w:rPr>
          <w:szCs w:val="22"/>
        </w:rPr>
      </w:pPr>
      <w:r>
        <w:rPr>
          <w:szCs w:val="22"/>
        </w:rPr>
        <w:t xml:space="preserve">The </w:t>
      </w:r>
      <w:r>
        <w:rPr>
          <w:i/>
          <w:szCs w:val="22"/>
        </w:rPr>
        <w:t>Report and Order</w:t>
      </w:r>
      <w:r>
        <w:rPr>
          <w:szCs w:val="22"/>
        </w:rPr>
        <w:t xml:space="preserve"> provided that the rule revisions requiring OMB approval would take effect 30 days </w:t>
      </w:r>
      <w:r w:rsidRPr="003B2326">
        <w:rPr>
          <w:szCs w:val="22"/>
        </w:rPr>
        <w:t>after the Commission publishe</w:t>
      </w:r>
      <w:r>
        <w:rPr>
          <w:szCs w:val="22"/>
        </w:rPr>
        <w:t>d</w:t>
      </w:r>
      <w:r w:rsidRPr="003B2326">
        <w:rPr>
          <w:szCs w:val="22"/>
        </w:rPr>
        <w:t xml:space="preserve"> a notice in the </w:t>
      </w:r>
      <w:r w:rsidRPr="002D5C70">
        <w:rPr>
          <w:i/>
          <w:szCs w:val="22"/>
        </w:rPr>
        <w:t>Federal Register</w:t>
      </w:r>
      <w:r w:rsidRPr="003B2326">
        <w:rPr>
          <w:szCs w:val="22"/>
        </w:rPr>
        <w:t xml:space="preserve"> announcing such approval</w:t>
      </w:r>
      <w:r>
        <w:rPr>
          <w:szCs w:val="22"/>
        </w:rPr>
        <w:t xml:space="preserve">.  </w:t>
      </w:r>
      <w:r w:rsidRPr="003B2326">
        <w:rPr>
          <w:szCs w:val="22"/>
        </w:rPr>
        <w:t xml:space="preserve">On </w:t>
      </w:r>
      <w:r>
        <w:rPr>
          <w:szCs w:val="22"/>
        </w:rPr>
        <w:t>December 20</w:t>
      </w:r>
      <w:r w:rsidRPr="003B2326">
        <w:rPr>
          <w:szCs w:val="22"/>
        </w:rPr>
        <w:t xml:space="preserve">, 2019, a </w:t>
      </w:r>
      <w:r>
        <w:rPr>
          <w:szCs w:val="22"/>
        </w:rPr>
        <w:t>notice</w:t>
      </w:r>
      <w:r w:rsidRPr="003B2326">
        <w:rPr>
          <w:szCs w:val="22"/>
        </w:rPr>
        <w:t xml:space="preserve"> was published in the </w:t>
      </w:r>
      <w:r w:rsidRPr="003B2326">
        <w:rPr>
          <w:i/>
          <w:szCs w:val="22"/>
        </w:rPr>
        <w:t>Federal Register</w:t>
      </w:r>
      <w:r w:rsidRPr="003B2326">
        <w:rPr>
          <w:szCs w:val="22"/>
        </w:rPr>
        <w:t xml:space="preserve"> announcing OMB approval</w:t>
      </w:r>
      <w:r>
        <w:rPr>
          <w:szCs w:val="22"/>
        </w:rPr>
        <w:t xml:space="preserve"> of the </w:t>
      </w:r>
      <w:r w:rsidRPr="003B2326">
        <w:rPr>
          <w:szCs w:val="22"/>
        </w:rPr>
        <w:t>modified information collection requirements</w:t>
      </w:r>
      <w:r>
        <w:rPr>
          <w:szCs w:val="22"/>
        </w:rPr>
        <w:t xml:space="preserve"> contained in</w:t>
      </w:r>
      <w:r w:rsidRPr="003B2326">
        <w:rPr>
          <w:szCs w:val="22"/>
        </w:rPr>
        <w:t xml:space="preserve"> </w:t>
      </w:r>
      <w:r>
        <w:rPr>
          <w:szCs w:val="24"/>
        </w:rPr>
        <w:t xml:space="preserve">rule sections </w:t>
      </w:r>
      <w:r w:rsidRPr="000A0BC6">
        <w:rPr>
          <w:bCs/>
          <w:szCs w:val="24"/>
        </w:rPr>
        <w:t>73.671(c)(5)</w:t>
      </w:r>
      <w:r>
        <w:rPr>
          <w:bCs/>
          <w:szCs w:val="24"/>
        </w:rPr>
        <w:t xml:space="preserve"> (on-air “E/I” notification requirement)</w:t>
      </w:r>
      <w:r w:rsidRPr="000A0BC6">
        <w:rPr>
          <w:bCs/>
          <w:szCs w:val="24"/>
        </w:rPr>
        <w:t>,</w:t>
      </w:r>
      <w:r>
        <w:rPr>
          <w:rStyle w:val="FootnoteReference"/>
          <w:bCs/>
          <w:szCs w:val="24"/>
        </w:rPr>
        <w:footnoteReference w:id="5"/>
      </w:r>
      <w:r w:rsidRPr="000A0BC6">
        <w:rPr>
          <w:bCs/>
          <w:szCs w:val="24"/>
        </w:rPr>
        <w:t xml:space="preserve"> 73.671(c)(7)</w:t>
      </w:r>
      <w:r>
        <w:rPr>
          <w:bCs/>
          <w:szCs w:val="24"/>
        </w:rPr>
        <w:t xml:space="preserve"> (program guides)</w:t>
      </w:r>
      <w:r w:rsidRPr="000A0BC6">
        <w:rPr>
          <w:bCs/>
          <w:szCs w:val="24"/>
        </w:rPr>
        <w:t>, 73.671(e)</w:t>
      </w:r>
      <w:r>
        <w:rPr>
          <w:bCs/>
          <w:szCs w:val="24"/>
        </w:rPr>
        <w:t>(1)-(2) (preemptions)</w:t>
      </w:r>
      <w:r w:rsidRPr="000A0BC6">
        <w:rPr>
          <w:bCs/>
          <w:szCs w:val="24"/>
        </w:rPr>
        <w:t>, 73.673</w:t>
      </w:r>
      <w:r>
        <w:rPr>
          <w:bCs/>
          <w:szCs w:val="24"/>
        </w:rPr>
        <w:t xml:space="preserve"> (program guides)</w:t>
      </w:r>
      <w:r w:rsidRPr="000A0BC6">
        <w:rPr>
          <w:bCs/>
          <w:szCs w:val="24"/>
        </w:rPr>
        <w:t xml:space="preserve">, 73.3526(e)(11)(ii) </w:t>
      </w:r>
      <w:r>
        <w:rPr>
          <w:bCs/>
          <w:szCs w:val="24"/>
        </w:rPr>
        <w:t xml:space="preserve">(recordkeeping requirements for commercial limits), </w:t>
      </w:r>
      <w:r w:rsidRPr="000A0BC6">
        <w:rPr>
          <w:bCs/>
          <w:szCs w:val="24"/>
        </w:rPr>
        <w:t>and 73.3526(e)(11)(iii)</w:t>
      </w:r>
      <w:r>
        <w:rPr>
          <w:szCs w:val="24"/>
        </w:rPr>
        <w:t xml:space="preserve"> (reporting and public file requirements).</w:t>
      </w:r>
      <w:r>
        <w:rPr>
          <w:rStyle w:val="FootnoteReference"/>
          <w:szCs w:val="22"/>
        </w:rPr>
        <w:footnoteReference w:id="6"/>
      </w:r>
      <w:r>
        <w:rPr>
          <w:szCs w:val="24"/>
        </w:rPr>
        <w:t xml:space="preserve">  Accordingly, these </w:t>
      </w:r>
      <w:r>
        <w:rPr>
          <w:bCs/>
          <w:szCs w:val="24"/>
        </w:rPr>
        <w:t xml:space="preserve">rules will become effective </w:t>
      </w:r>
      <w:r w:rsidRPr="003B2326">
        <w:rPr>
          <w:szCs w:val="22"/>
        </w:rPr>
        <w:t xml:space="preserve">on </w:t>
      </w:r>
      <w:r w:rsidRPr="00C45325">
        <w:rPr>
          <w:szCs w:val="22"/>
        </w:rPr>
        <w:t>January 21,</w:t>
      </w:r>
      <w:r>
        <w:rPr>
          <w:szCs w:val="22"/>
        </w:rPr>
        <w:t xml:space="preserve"> 2020</w:t>
      </w:r>
      <w:r w:rsidRPr="003B2326">
        <w:rPr>
          <w:szCs w:val="22"/>
        </w:rPr>
        <w:t>.</w:t>
      </w:r>
      <w:r>
        <w:rPr>
          <w:rStyle w:val="FootnoteReference"/>
          <w:szCs w:val="22"/>
        </w:rPr>
        <w:footnoteReference w:id="7"/>
      </w:r>
      <w:r w:rsidRPr="003B2326">
        <w:rPr>
          <w:szCs w:val="22"/>
        </w:rPr>
        <w:t xml:space="preserve">  </w:t>
      </w:r>
    </w:p>
    <w:p w:rsidR="00420210" w:rsidP="00420210">
      <w:pPr>
        <w:ind w:firstLine="720"/>
        <w:rPr>
          <w:szCs w:val="22"/>
        </w:rPr>
      </w:pPr>
    </w:p>
    <w:p w:rsidR="00420210" w:rsidP="00420210">
      <w:pPr>
        <w:ind w:firstLine="720"/>
        <w:rPr>
          <w:rFonts w:ascii="TimesNewRomanPSMT" w:hAnsi="TimesNewRomanPSMT" w:cs="TimesNewRomanPSMT"/>
          <w:snapToGrid/>
          <w:kern w:val="0"/>
          <w:szCs w:val="22"/>
        </w:rPr>
      </w:pPr>
      <w:r w:rsidRPr="005451C6">
        <w:rPr>
          <w:szCs w:val="22"/>
        </w:rPr>
        <w:t xml:space="preserve">  </w:t>
      </w:r>
      <w:r>
        <w:rPr>
          <w:szCs w:val="22"/>
        </w:rPr>
        <w:t xml:space="preserve">Under the revised reporting rule, the Children’s Television Programming Report (Report) on FCC Form 2100, Schedule H is required to be filed on an annual basis by the 30th day of the succeeding </w:t>
      </w:r>
      <w:r>
        <w:rPr>
          <w:szCs w:val="22"/>
        </w:rPr>
        <w:t>calendar year</w:t>
      </w:r>
      <w:r w:rsidRPr="001A69B9">
        <w:rPr>
          <w:szCs w:val="22"/>
        </w:rPr>
        <w:t>.</w:t>
      </w:r>
      <w:r>
        <w:rPr>
          <w:szCs w:val="22"/>
        </w:rPr>
        <w:t xml:space="preserve">  Because the reporting rule will not be in effect until </w:t>
      </w:r>
      <w:r w:rsidRPr="00C45325">
        <w:rPr>
          <w:szCs w:val="22"/>
        </w:rPr>
        <w:t>January 2</w:t>
      </w:r>
      <w:r>
        <w:rPr>
          <w:szCs w:val="22"/>
        </w:rPr>
        <w:t>1</w:t>
      </w:r>
      <w:r w:rsidRPr="00C45325">
        <w:rPr>
          <w:szCs w:val="22"/>
        </w:rPr>
        <w:t>, 20</w:t>
      </w:r>
      <w:r w:rsidR="008251F1">
        <w:rPr>
          <w:szCs w:val="22"/>
        </w:rPr>
        <w:t>20</w:t>
      </w:r>
      <w:r>
        <w:rPr>
          <w:szCs w:val="22"/>
        </w:rPr>
        <w:t xml:space="preserve">, and in order to provide broadcasters with an opportunity to familiarize themselves with the revised Report, we extend the filing deadline for the first annual Report </w:t>
      </w:r>
      <w:r w:rsidRPr="00C45325">
        <w:rPr>
          <w:szCs w:val="22"/>
        </w:rPr>
        <w:t>to March 30, 2020.  This</w:t>
      </w:r>
      <w:r>
        <w:rPr>
          <w:szCs w:val="22"/>
        </w:rPr>
        <w:t xml:space="preserve"> Report must cover the period from September 16, 2019, through December 31, 2019.</w:t>
      </w:r>
      <w:r>
        <w:rPr>
          <w:rStyle w:val="FootnoteReference"/>
          <w:szCs w:val="22"/>
        </w:rPr>
        <w:footnoteReference w:id="8"/>
      </w:r>
      <w:r>
        <w:rPr>
          <w:szCs w:val="22"/>
        </w:rPr>
        <w:t xml:space="preserve">  The Commission has received OMB approval for the revisions to FCC Form 2100, Schedule H.  Licensees will be permitted to start populating and filing Reports in the Commission’s </w:t>
      </w:r>
      <w:r>
        <w:rPr>
          <w:rFonts w:ascii="TimesNewRomanPSMT" w:hAnsi="TimesNewRomanPSMT" w:cs="TimesNewRomanPSMT"/>
          <w:snapToGrid/>
          <w:kern w:val="0"/>
          <w:szCs w:val="22"/>
        </w:rPr>
        <w:t>Licensing and Management System (LMS) by January 30, 20</w:t>
      </w:r>
      <w:r w:rsidR="008251F1">
        <w:rPr>
          <w:rFonts w:ascii="TimesNewRomanPSMT" w:hAnsi="TimesNewRomanPSMT" w:cs="TimesNewRomanPSMT"/>
          <w:snapToGrid/>
          <w:kern w:val="0"/>
          <w:szCs w:val="22"/>
        </w:rPr>
        <w:t>20</w:t>
      </w:r>
      <w:r>
        <w:rPr>
          <w:rFonts w:ascii="TimesNewRomanPSMT" w:hAnsi="TimesNewRomanPSMT" w:cs="TimesNewRomanPSMT"/>
          <w:snapToGrid/>
          <w:kern w:val="0"/>
          <w:szCs w:val="22"/>
        </w:rPr>
        <w:t xml:space="preserve">.  </w:t>
      </w:r>
    </w:p>
    <w:p w:rsidR="00420210" w:rsidP="00420210">
      <w:pPr>
        <w:ind w:firstLine="720"/>
        <w:rPr>
          <w:rFonts w:ascii="TimesNewRomanPSMT" w:hAnsi="TimesNewRomanPSMT" w:cs="TimesNewRomanPSMT"/>
          <w:snapToGrid/>
          <w:kern w:val="0"/>
          <w:szCs w:val="22"/>
        </w:rPr>
      </w:pPr>
    </w:p>
    <w:p w:rsidR="00420210" w:rsidP="00420210">
      <w:pPr>
        <w:ind w:firstLine="720"/>
        <w:rPr>
          <w:rFonts w:ascii="TimesNewRomanPSMT" w:hAnsi="TimesNewRomanPSMT" w:cs="TimesNewRomanPSMT"/>
          <w:snapToGrid/>
          <w:kern w:val="0"/>
          <w:szCs w:val="22"/>
        </w:rPr>
      </w:pPr>
      <w:r>
        <w:rPr>
          <w:rFonts w:ascii="TimesNewRomanPSMT" w:hAnsi="TimesNewRomanPSMT" w:cs="TimesNewRomanPSMT"/>
          <w:snapToGrid/>
          <w:kern w:val="0"/>
          <w:szCs w:val="22"/>
        </w:rPr>
        <w:t xml:space="preserve">The Bureau will hold a webinar on Thursday, January 23, 2020, from 1:30 pm to 2:30 pm to review the functionality of, and changes to, the Report.  Additional details concerning the webinar will be provided in a separate Public Notice.  </w:t>
      </w:r>
    </w:p>
    <w:p w:rsidR="00420210" w:rsidP="00420210">
      <w:pPr>
        <w:ind w:firstLine="720"/>
        <w:rPr>
          <w:rFonts w:ascii="TimesNewRomanPSMT" w:hAnsi="TimesNewRomanPSMT" w:cs="TimesNewRomanPSMT"/>
          <w:snapToGrid/>
          <w:kern w:val="0"/>
          <w:szCs w:val="22"/>
        </w:rPr>
      </w:pPr>
    </w:p>
    <w:p w:rsidR="00420210" w:rsidP="00420210">
      <w:pPr>
        <w:ind w:firstLine="720"/>
        <w:rPr>
          <w:rFonts w:ascii="TimesNewRomanPSMT" w:hAnsi="TimesNewRomanPSMT" w:cs="TimesNewRomanPSMT"/>
          <w:snapToGrid/>
          <w:kern w:val="0"/>
          <w:szCs w:val="22"/>
        </w:rPr>
      </w:pPr>
      <w:r>
        <w:rPr>
          <w:rFonts w:ascii="TimesNewRomanPSMT" w:hAnsi="TimesNewRomanPSMT" w:cs="TimesNewRomanPSMT"/>
          <w:snapToGrid/>
          <w:kern w:val="0"/>
          <w:szCs w:val="22"/>
        </w:rPr>
        <w:t xml:space="preserve">We also clarify that because the revisions to section 73.3526(e)(11)(ii) (and the corresponding requirements for cable operators and satellite providers) will not take effect until January 21, 2020, the </w:t>
      </w:r>
      <w:r>
        <w:rPr>
          <w:rFonts w:ascii="TimesNewRomanPSMT" w:hAnsi="TimesNewRomanPSMT" w:cs="TimesNewRomanPSMT"/>
          <w:snapToGrid/>
          <w:kern w:val="0"/>
          <w:szCs w:val="22"/>
        </w:rPr>
        <w:t xml:space="preserve">final quarterly certification of compliance with the commercial limits in children’s television programming </w:t>
      </w:r>
      <w:r>
        <w:rPr>
          <w:rFonts w:ascii="TimesNewRomanPSMT" w:hAnsi="TimesNewRomanPSMT" w:cs="TimesNewRomanPSMT"/>
          <w:snapToGrid/>
          <w:kern w:val="0"/>
          <w:szCs w:val="22"/>
        </w:rPr>
        <w:t xml:space="preserve">must be placed by </w:t>
      </w:r>
      <w:r w:rsidRPr="001C02B8">
        <w:rPr>
          <w:rFonts w:ascii="TimesNewRomanPSMT" w:hAnsi="TimesNewRomanPSMT" w:cs="TimesNewRomanPSMT"/>
          <w:snapToGrid/>
          <w:kern w:val="0"/>
          <w:szCs w:val="22"/>
        </w:rPr>
        <w:t xml:space="preserve">broadcasters, cable operators, and DBS providers </w:t>
      </w:r>
      <w:r>
        <w:rPr>
          <w:rFonts w:ascii="TimesNewRomanPSMT" w:hAnsi="TimesNewRomanPSMT" w:cs="TimesNewRomanPSMT"/>
          <w:snapToGrid/>
          <w:kern w:val="0"/>
          <w:szCs w:val="22"/>
        </w:rPr>
        <w:t>in their online public inspection files by</w:t>
      </w:r>
      <w:r>
        <w:rPr>
          <w:rFonts w:ascii="TimesNewRomanPSMT" w:hAnsi="TimesNewRomanPSMT" w:cs="TimesNewRomanPSMT"/>
          <w:snapToGrid/>
          <w:kern w:val="0"/>
          <w:szCs w:val="22"/>
        </w:rPr>
        <w:t xml:space="preserve"> January 10, 2020</w:t>
      </w:r>
      <w:r>
        <w:rPr>
          <w:rFonts w:ascii="TimesNewRomanPSMT" w:hAnsi="TimesNewRomanPSMT" w:cs="TimesNewRomanPSMT"/>
          <w:snapToGrid/>
          <w:kern w:val="0"/>
          <w:szCs w:val="22"/>
        </w:rPr>
        <w:t>, as required by the current commercial limit certification rule</w:t>
      </w:r>
      <w:r>
        <w:rPr>
          <w:rFonts w:ascii="TimesNewRomanPSMT" w:hAnsi="TimesNewRomanPSMT" w:cs="TimesNewRomanPSMT"/>
          <w:snapToGrid/>
          <w:kern w:val="0"/>
          <w:szCs w:val="22"/>
        </w:rPr>
        <w:t>.</w:t>
      </w:r>
      <w:r>
        <w:rPr>
          <w:rStyle w:val="FootnoteReference"/>
          <w:rFonts w:cs="TimesNewRomanPSMT"/>
          <w:snapToGrid/>
          <w:kern w:val="0"/>
          <w:szCs w:val="22"/>
        </w:rPr>
        <w:footnoteReference w:id="9"/>
      </w:r>
      <w:r>
        <w:rPr>
          <w:rFonts w:ascii="TimesNewRomanPSMT" w:hAnsi="TimesNewRomanPSMT" w:cs="TimesNewRomanPSMT"/>
          <w:snapToGrid/>
          <w:kern w:val="0"/>
          <w:szCs w:val="22"/>
        </w:rPr>
        <w:t xml:space="preserve">  This certification should cover the period </w:t>
      </w:r>
      <w:r>
        <w:rPr>
          <w:rFonts w:ascii="TimesNewRomanPSMT" w:hAnsi="TimesNewRomanPSMT" w:cs="TimesNewRomanPSMT"/>
          <w:snapToGrid/>
          <w:kern w:val="0"/>
          <w:szCs w:val="22"/>
        </w:rPr>
        <w:t xml:space="preserve">from </w:t>
      </w:r>
      <w:r>
        <w:rPr>
          <w:rFonts w:ascii="TimesNewRomanPSMT" w:hAnsi="TimesNewRomanPSMT" w:cs="TimesNewRomanPSMT"/>
          <w:snapToGrid/>
          <w:kern w:val="0"/>
          <w:szCs w:val="22"/>
        </w:rPr>
        <w:t>October 1, 2019, through December 31, 2019.</w:t>
      </w:r>
      <w:r>
        <w:rPr>
          <w:rStyle w:val="FootnoteReference"/>
          <w:rFonts w:cs="TimesNewRomanPSMT"/>
          <w:snapToGrid/>
          <w:kern w:val="0"/>
          <w:szCs w:val="22"/>
        </w:rPr>
        <w:footnoteReference w:id="10"/>
      </w:r>
    </w:p>
    <w:p w:rsidR="00420210" w:rsidP="00420210">
      <w:pPr>
        <w:ind w:firstLine="720"/>
        <w:rPr>
          <w:szCs w:val="22"/>
        </w:rPr>
      </w:pPr>
    </w:p>
    <w:p w:rsidR="00420210" w:rsidP="00420210">
      <w:pPr>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w:t>
      </w:r>
      <w:r>
        <w:rPr>
          <w:szCs w:val="22"/>
        </w:rPr>
        <w:t>tty</w:t>
      </w:r>
      <w:r>
        <w:rPr>
          <w:szCs w:val="22"/>
        </w:rPr>
        <w:t>).</w:t>
      </w:r>
    </w:p>
    <w:p w:rsidR="00420210" w:rsidP="00420210">
      <w:pPr>
        <w:rPr>
          <w:szCs w:val="22"/>
        </w:rPr>
      </w:pPr>
    </w:p>
    <w:p w:rsidR="00420210" w:rsidP="00420210">
      <w:pPr>
        <w:widowControl/>
        <w:autoSpaceDE w:val="0"/>
        <w:autoSpaceDN w:val="0"/>
        <w:adjustRightInd w:val="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ab/>
        <w:t>For all legal matters, please contact Kathy Berthot, Policy Division, Media Bureau, 202-418-2120</w:t>
      </w:r>
    </w:p>
    <w:p w:rsidR="00420210" w:rsidP="00420210">
      <w:pPr>
        <w:widowControl/>
        <w:autoSpaceDE w:val="0"/>
        <w:autoSpaceDN w:val="0"/>
        <w:adjustRightInd w:val="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 xml:space="preserve">or by e-mail at </w:t>
      </w:r>
      <w:r>
        <w:rPr>
          <w:rFonts w:ascii="TimesNewRomanPSMT" w:hAnsi="TimesNewRomanPSMT" w:cs="TimesNewRomanPSMT"/>
          <w:snapToGrid/>
          <w:color w:val="0000FF"/>
          <w:kern w:val="0"/>
          <w:szCs w:val="22"/>
        </w:rPr>
        <w:t>Kathy.Berthot@fcc.gov</w:t>
      </w:r>
      <w:r>
        <w:rPr>
          <w:rFonts w:ascii="TimesNewRomanPSMT" w:hAnsi="TimesNewRomanPSMT" w:cs="TimesNewRomanPSMT"/>
          <w:snapToGrid/>
          <w:color w:val="000000"/>
          <w:kern w:val="0"/>
          <w:szCs w:val="22"/>
        </w:rPr>
        <w:t>, or Evan Morris, Legal Advisor, Media Bureau at 202-418-1656</w:t>
      </w:r>
    </w:p>
    <w:p w:rsidR="00420210" w:rsidP="00420210">
      <w:pPr>
        <w:widowControl/>
        <w:autoSpaceDE w:val="0"/>
        <w:autoSpaceDN w:val="0"/>
        <w:adjustRightInd w:val="0"/>
        <w:rPr>
          <w:szCs w:val="22"/>
        </w:rPr>
      </w:pPr>
      <w:r>
        <w:rPr>
          <w:rFonts w:ascii="TimesNewRomanPSMT" w:hAnsi="TimesNewRomanPSMT" w:cs="TimesNewRomanPSMT"/>
          <w:snapToGrid/>
          <w:color w:val="000000"/>
          <w:kern w:val="0"/>
          <w:szCs w:val="22"/>
        </w:rPr>
        <w:t xml:space="preserve">or by e-mail at </w:t>
      </w:r>
      <w:r>
        <w:rPr>
          <w:rFonts w:ascii="TimesNewRomanPSMT" w:hAnsi="TimesNewRomanPSMT" w:cs="TimesNewRomanPSMT"/>
          <w:snapToGrid/>
          <w:color w:val="0000FF"/>
          <w:kern w:val="0"/>
          <w:szCs w:val="22"/>
        </w:rPr>
        <w:t>Evan.Morris@fcc.gov</w:t>
      </w:r>
      <w:r>
        <w:rPr>
          <w:rFonts w:ascii="TimesNewRomanPSMT" w:hAnsi="TimesNewRomanPSMT" w:cs="TimesNewRomanPSMT"/>
          <w:snapToGrid/>
          <w:color w:val="000000"/>
          <w:kern w:val="0"/>
          <w:szCs w:val="22"/>
        </w:rPr>
        <w:t xml:space="preserve">.  For LMS filing related issues, please contact Kevin Harding, Video Division, Media Bureau at 202-418-7077 or by e-mail at </w:t>
      </w:r>
      <w:r>
        <w:rPr>
          <w:rFonts w:ascii="TimesNewRomanPSMT" w:hAnsi="TimesNewRomanPSMT" w:cs="TimesNewRomanPSMT"/>
          <w:snapToGrid/>
          <w:color w:val="0000FF"/>
          <w:kern w:val="0"/>
          <w:szCs w:val="22"/>
        </w:rPr>
        <w:t>Kevin.Harding@fcc.gov</w:t>
      </w:r>
      <w:r>
        <w:rPr>
          <w:rFonts w:ascii="TimesNewRomanPSMT" w:hAnsi="TimesNewRomanPSMT" w:cs="TimesNewRomanPSMT"/>
          <w:snapToGrid/>
          <w:color w:val="000000"/>
          <w:kern w:val="0"/>
          <w:szCs w:val="22"/>
        </w:rPr>
        <w:t>.</w:t>
      </w:r>
      <w:r>
        <w:rPr>
          <w:szCs w:val="22"/>
        </w:rPr>
        <w:t xml:space="preserve">  </w:t>
      </w:r>
    </w:p>
    <w:p w:rsidR="00420210" w:rsidP="00420210">
      <w:pPr>
        <w:widowControl/>
        <w:autoSpaceDE w:val="0"/>
        <w:autoSpaceDN w:val="0"/>
        <w:adjustRightInd w:val="0"/>
        <w:rPr>
          <w:szCs w:val="22"/>
        </w:rPr>
      </w:pPr>
    </w:p>
    <w:p w:rsidR="00420210" w:rsidP="00420210">
      <w:pPr>
        <w:spacing w:after="220"/>
        <w:ind w:firstLine="720"/>
        <w:rPr>
          <w:rStyle w:val="Hyperlink"/>
          <w:szCs w:val="22"/>
        </w:rPr>
      </w:pPr>
      <w:r>
        <w:rPr>
          <w:szCs w:val="22"/>
        </w:rPr>
        <w:t>This action is taken by the Chief, Media Bureau, pursuant to authority delegated by sections 0.61 and 0.283 of the Commission’s rules.</w:t>
      </w:r>
      <w:r>
        <w:rPr>
          <w:rStyle w:val="FootnoteReference"/>
          <w:szCs w:val="22"/>
        </w:rPr>
        <w:footnoteReference w:id="11"/>
      </w:r>
      <w:r>
        <w:rPr>
          <w:szCs w:val="22"/>
        </w:rPr>
        <w:t xml:space="preserve">   </w:t>
      </w:r>
    </w:p>
    <w:p w:rsidR="00930ECF" w:rsidRPr="00420210" w:rsidP="00420210">
      <w:pPr>
        <w:spacing w:before="60"/>
        <w:jc w:val="center"/>
        <w:rPr>
          <w:b/>
          <w:szCs w:val="22"/>
        </w:rPr>
      </w:pPr>
      <w:r w:rsidRPr="0008724F">
        <w:rPr>
          <w:b/>
          <w:szCs w:val="22"/>
        </w:rPr>
        <w:t>-FC</w:t>
      </w:r>
      <w:r w:rsidRPr="00420210">
        <w:rPr>
          <w:b/>
          <w:szCs w:val="22"/>
        </w:rPr>
        <w:t>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0210">
      <w:r>
        <w:separator/>
      </w:r>
    </w:p>
  </w:footnote>
  <w:footnote w:type="continuationSeparator" w:id="1">
    <w:p w:rsidR="00420210">
      <w:pPr>
        <w:rPr>
          <w:sz w:val="20"/>
        </w:rPr>
      </w:pPr>
      <w:r>
        <w:rPr>
          <w:sz w:val="20"/>
        </w:rPr>
        <w:t xml:space="preserve">(Continued from previous page)  </w:t>
      </w:r>
      <w:r>
        <w:rPr>
          <w:sz w:val="20"/>
        </w:rPr>
        <w:separator/>
      </w:r>
    </w:p>
  </w:footnote>
  <w:footnote w:type="continuationNotice" w:id="2">
    <w:p w:rsidR="00420210" w:rsidP="00910F12">
      <w:pPr>
        <w:jc w:val="right"/>
        <w:rPr>
          <w:sz w:val="20"/>
        </w:rPr>
      </w:pPr>
      <w:r>
        <w:rPr>
          <w:sz w:val="20"/>
        </w:rPr>
        <w:t>(continued….)</w:t>
      </w:r>
    </w:p>
  </w:footnote>
  <w:footnote w:id="3">
    <w:p w:rsidR="00420210" w:rsidP="00420210">
      <w:pPr>
        <w:pStyle w:val="FootnoteText"/>
      </w:pPr>
      <w:r>
        <w:rPr>
          <w:rStyle w:val="FootnoteReference"/>
        </w:rPr>
        <w:footnoteRef/>
      </w:r>
      <w:r>
        <w:t xml:space="preserve"> </w:t>
      </w:r>
      <w:r>
        <w:rPr>
          <w:i/>
          <w:spacing w:val="-2"/>
        </w:rPr>
        <w:t>Children’s Television Programming Rules; Modernization of Media Regulation Initiative</w:t>
      </w:r>
      <w:r>
        <w:t xml:space="preserve">, MB Docket Nos. 18-202 and 17-105, Report and Order, 34 FCC </w:t>
      </w:r>
      <w:r>
        <w:t>Rcd</w:t>
      </w:r>
      <w:r>
        <w:t xml:space="preserve"> 5822 (2019) (</w:t>
      </w:r>
      <w:r>
        <w:rPr>
          <w:i/>
        </w:rPr>
        <w:t>Report and Order</w:t>
      </w:r>
      <w:r>
        <w:t>).</w:t>
      </w:r>
    </w:p>
  </w:footnote>
  <w:footnote w:id="4">
    <w:p w:rsidR="00420210" w:rsidRPr="00BE57A1" w:rsidP="00420210">
      <w:pPr>
        <w:pStyle w:val="FootnoteText"/>
      </w:pPr>
      <w:r w:rsidRPr="00BE57A1">
        <w:rPr>
          <w:rStyle w:val="FootnoteReference"/>
        </w:rPr>
        <w:footnoteRef/>
      </w:r>
      <w:r w:rsidRPr="00BE57A1">
        <w:t xml:space="preserve"> </w:t>
      </w:r>
      <w:r w:rsidRPr="001C02B8">
        <w:rPr>
          <w:bCs/>
          <w:i/>
          <w:shd w:val="clear" w:color="auto" w:fill="FFFFFF"/>
        </w:rPr>
        <w:t xml:space="preserve">Media Bureau Announces </w:t>
      </w:r>
      <w:r w:rsidRPr="00BE57A1">
        <w:rPr>
          <w:i/>
        </w:rPr>
        <w:t>Effective</w:t>
      </w:r>
      <w:r w:rsidRPr="001C02B8">
        <w:rPr>
          <w:bCs/>
          <w:i/>
          <w:shd w:val="clear" w:color="auto" w:fill="FFFFFF"/>
        </w:rPr>
        <w:t xml:space="preserve"> Date and Provides Guidance on Transition Procedures for </w:t>
      </w:r>
      <w:r w:rsidRPr="001C02B8">
        <w:rPr>
          <w:bCs/>
          <w:i/>
          <w:shd w:val="clear" w:color="auto" w:fill="FFFFFF"/>
        </w:rPr>
        <w:t>KidVid</w:t>
      </w:r>
      <w:r w:rsidRPr="001C02B8">
        <w:rPr>
          <w:bCs/>
          <w:i/>
          <w:shd w:val="clear" w:color="auto" w:fill="FFFFFF"/>
        </w:rPr>
        <w:t xml:space="preserve"> Reporting and Compliance with Revised Safe Harbor Processing Guidelines</w:t>
      </w:r>
      <w:r w:rsidRPr="001C02B8">
        <w:rPr>
          <w:bCs/>
          <w:shd w:val="clear" w:color="auto" w:fill="FFFFFF"/>
        </w:rPr>
        <w:t xml:space="preserve">, </w:t>
      </w:r>
      <w:r w:rsidRPr="001C02B8">
        <w:rPr>
          <w:shd w:val="clear" w:color="auto" w:fill="FFFFFF"/>
        </w:rPr>
        <w:t xml:space="preserve">MB Docket Nos. 18-202, 17-105, </w:t>
      </w:r>
      <w:r w:rsidRPr="001C02B8">
        <w:rPr>
          <w:bCs/>
          <w:shd w:val="clear" w:color="auto" w:fill="FFFFFF"/>
        </w:rPr>
        <w:t xml:space="preserve">Public Notice, </w:t>
      </w:r>
      <w:r w:rsidR="00650163">
        <w:rPr>
          <w:bCs/>
          <w:shd w:val="clear" w:color="auto" w:fill="FFFFFF"/>
        </w:rPr>
        <w:t xml:space="preserve">34 FCC </w:t>
      </w:r>
      <w:r w:rsidR="00650163">
        <w:rPr>
          <w:bCs/>
          <w:shd w:val="clear" w:color="auto" w:fill="FFFFFF"/>
        </w:rPr>
        <w:t>Rcd</w:t>
      </w:r>
      <w:r w:rsidR="00650163">
        <w:rPr>
          <w:bCs/>
          <w:shd w:val="clear" w:color="auto" w:fill="FFFFFF"/>
        </w:rPr>
        <w:t xml:space="preserve"> 7878</w:t>
      </w:r>
      <w:r w:rsidRPr="001C02B8">
        <w:rPr>
          <w:bCs/>
          <w:shd w:val="clear" w:color="auto" w:fill="FFFFFF"/>
        </w:rPr>
        <w:t xml:space="preserve"> (</w:t>
      </w:r>
      <w:r w:rsidR="00650163">
        <w:rPr>
          <w:bCs/>
          <w:shd w:val="clear" w:color="auto" w:fill="FFFFFF"/>
        </w:rPr>
        <w:t>MB</w:t>
      </w:r>
      <w:r w:rsidRPr="001C02B8">
        <w:rPr>
          <w:bCs/>
          <w:shd w:val="clear" w:color="auto" w:fill="FFFFFF"/>
        </w:rPr>
        <w:t xml:space="preserve"> 2019)</w:t>
      </w:r>
      <w:r w:rsidR="005803F4">
        <w:rPr>
          <w:bCs/>
          <w:shd w:val="clear" w:color="auto" w:fill="FFFFFF"/>
        </w:rPr>
        <w:t xml:space="preserve"> (</w:t>
      </w:r>
      <w:r w:rsidRPr="0090042C" w:rsidR="0090042C">
        <w:rPr>
          <w:bCs/>
          <w:i/>
          <w:shd w:val="clear" w:color="auto" w:fill="FFFFFF"/>
        </w:rPr>
        <w:t>KidVid</w:t>
      </w:r>
      <w:r w:rsidR="0090042C">
        <w:rPr>
          <w:bCs/>
          <w:shd w:val="clear" w:color="auto" w:fill="FFFFFF"/>
        </w:rPr>
        <w:t xml:space="preserve"> </w:t>
      </w:r>
      <w:r w:rsidRPr="005803F4" w:rsidR="005803F4">
        <w:rPr>
          <w:bCs/>
          <w:i/>
          <w:shd w:val="clear" w:color="auto" w:fill="FFFFFF"/>
        </w:rPr>
        <w:t>Transition PN</w:t>
      </w:r>
      <w:r w:rsidR="005803F4">
        <w:rPr>
          <w:bCs/>
          <w:shd w:val="clear" w:color="auto" w:fill="FFFFFF"/>
        </w:rPr>
        <w:t>)</w:t>
      </w:r>
      <w:r w:rsidRPr="001C02B8">
        <w:rPr>
          <w:bCs/>
          <w:shd w:val="clear" w:color="auto" w:fill="FFFFFF"/>
        </w:rPr>
        <w:t>.</w:t>
      </w:r>
      <w:r w:rsidR="005803F4">
        <w:rPr>
          <w:bCs/>
          <w:shd w:val="clear" w:color="auto" w:fill="FFFFFF"/>
        </w:rPr>
        <w:t xml:space="preserve">  </w:t>
      </w:r>
      <w:r w:rsidR="002B2A7C">
        <w:rPr>
          <w:bCs/>
          <w:shd w:val="clear" w:color="auto" w:fill="FFFFFF"/>
        </w:rPr>
        <w:t>Sections</w:t>
      </w:r>
      <w:r w:rsidRPr="005803F4" w:rsidR="005803F4">
        <w:rPr>
          <w:bCs/>
          <w:shd w:val="clear" w:color="auto" w:fill="FFFFFF"/>
        </w:rPr>
        <w:t xml:space="preserve"> 73.671(c)(2)</w:t>
      </w:r>
      <w:r w:rsidR="005803F4">
        <w:rPr>
          <w:bCs/>
          <w:shd w:val="clear" w:color="auto" w:fill="FFFFFF"/>
        </w:rPr>
        <w:t xml:space="preserve">, </w:t>
      </w:r>
      <w:r w:rsidRPr="005803F4" w:rsidR="005803F4">
        <w:rPr>
          <w:bCs/>
          <w:shd w:val="clear" w:color="auto" w:fill="FFFFFF"/>
        </w:rPr>
        <w:t>73.671(c)(3)</w:t>
      </w:r>
      <w:r w:rsidR="005803F4">
        <w:rPr>
          <w:bCs/>
          <w:shd w:val="clear" w:color="auto" w:fill="FFFFFF"/>
        </w:rPr>
        <w:t>, 73</w:t>
      </w:r>
      <w:r w:rsidRPr="005803F4" w:rsidR="005803F4">
        <w:rPr>
          <w:bCs/>
          <w:shd w:val="clear" w:color="auto" w:fill="FFFFFF"/>
        </w:rPr>
        <w:t>.671(c)(4)</w:t>
      </w:r>
      <w:r w:rsidR="005803F4">
        <w:rPr>
          <w:bCs/>
          <w:shd w:val="clear" w:color="auto" w:fill="FFFFFF"/>
        </w:rPr>
        <w:t xml:space="preserve">, </w:t>
      </w:r>
      <w:r w:rsidRPr="005803F4" w:rsidR="005803F4">
        <w:rPr>
          <w:bCs/>
          <w:shd w:val="clear" w:color="auto" w:fill="FFFFFF"/>
        </w:rPr>
        <w:t>73.671(d)</w:t>
      </w:r>
      <w:r w:rsidR="005803F4">
        <w:rPr>
          <w:bCs/>
          <w:shd w:val="clear" w:color="auto" w:fill="FFFFFF"/>
        </w:rPr>
        <w:t xml:space="preserve">, </w:t>
      </w:r>
      <w:r w:rsidRPr="005803F4" w:rsidR="005803F4">
        <w:rPr>
          <w:bCs/>
          <w:shd w:val="clear" w:color="auto" w:fill="FFFFFF"/>
        </w:rPr>
        <w:t>and 73.671(e)(3</w:t>
      </w:r>
      <w:r w:rsidR="005803F4">
        <w:rPr>
          <w:bCs/>
          <w:shd w:val="clear" w:color="auto" w:fill="FFFFFF"/>
        </w:rPr>
        <w:t>) became effective on September 16, 2019</w:t>
      </w:r>
      <w:r w:rsidR="002B2A7C">
        <w:rPr>
          <w:bCs/>
          <w:shd w:val="clear" w:color="auto" w:fill="FFFFFF"/>
        </w:rPr>
        <w:t xml:space="preserve">.  </w:t>
      </w:r>
      <w:r w:rsidRPr="002B2A7C" w:rsidR="002B2A7C">
        <w:rPr>
          <w:bCs/>
          <w:i/>
          <w:shd w:val="clear" w:color="auto" w:fill="FFFFFF"/>
        </w:rPr>
        <w:t>See</w:t>
      </w:r>
      <w:r w:rsidR="002B2A7C">
        <w:rPr>
          <w:bCs/>
          <w:shd w:val="clear" w:color="auto" w:fill="FFFFFF"/>
        </w:rPr>
        <w:t xml:space="preserve"> </w:t>
      </w:r>
      <w:r w:rsidRPr="005803F4" w:rsidR="005803F4">
        <w:rPr>
          <w:bCs/>
          <w:shd w:val="clear" w:color="auto" w:fill="FFFFFF"/>
        </w:rPr>
        <w:t>84 Fed. Reg. 41917</w:t>
      </w:r>
      <w:r w:rsidR="005803F4">
        <w:rPr>
          <w:bCs/>
          <w:shd w:val="clear" w:color="auto" w:fill="FFFFFF"/>
        </w:rPr>
        <w:t xml:space="preserve"> </w:t>
      </w:r>
      <w:r w:rsidRPr="005803F4" w:rsidR="005803F4">
        <w:rPr>
          <w:bCs/>
          <w:shd w:val="clear" w:color="auto" w:fill="FFFFFF"/>
        </w:rPr>
        <w:t>(Aug</w:t>
      </w:r>
      <w:r w:rsidR="005803F4">
        <w:rPr>
          <w:bCs/>
          <w:shd w:val="clear" w:color="auto" w:fill="FFFFFF"/>
        </w:rPr>
        <w:t>.</w:t>
      </w:r>
      <w:r w:rsidRPr="005803F4" w:rsidR="005803F4">
        <w:rPr>
          <w:bCs/>
          <w:shd w:val="clear" w:color="auto" w:fill="FFFFFF"/>
        </w:rPr>
        <w:t xml:space="preserve"> 16, 2019)</w:t>
      </w:r>
      <w:r w:rsidR="005803F4">
        <w:rPr>
          <w:bCs/>
          <w:shd w:val="clear" w:color="auto" w:fill="FFFFFF"/>
        </w:rPr>
        <w:t>.</w:t>
      </w:r>
    </w:p>
  </w:footnote>
  <w:footnote w:id="5">
    <w:p w:rsidR="00420210" w:rsidP="00420210">
      <w:pPr>
        <w:pStyle w:val="FootnoteText"/>
      </w:pPr>
      <w:r>
        <w:rPr>
          <w:rStyle w:val="FootnoteReference"/>
        </w:rPr>
        <w:footnoteRef/>
      </w:r>
      <w:r>
        <w:t xml:space="preserve"> We remind commercial television broadcasters and all Class A TV stations (including Class A TV stations that solely air non-commercial programming) that the requirement to display the E/I symbol throughout Core Programming remains unchanged.  The modification to the E/I symbol requirement adopted in the </w:t>
      </w:r>
      <w:r w:rsidRPr="00B434C6">
        <w:rPr>
          <w:i/>
        </w:rPr>
        <w:t>Report and Order</w:t>
      </w:r>
      <w:r>
        <w:t xml:space="preserve"> applies only to full power non-commercial and educational stations.</w:t>
      </w:r>
    </w:p>
  </w:footnote>
  <w:footnote w:id="6">
    <w:p w:rsidR="00420210" w:rsidRPr="00FF435F" w:rsidP="00420210">
      <w:pPr>
        <w:pStyle w:val="FootnoteText"/>
        <w:tabs>
          <w:tab w:val="left" w:pos="0"/>
        </w:tabs>
        <w:ind w:right="450"/>
      </w:pPr>
      <w:r w:rsidRPr="00FF435F">
        <w:rPr>
          <w:rStyle w:val="FootnoteReference"/>
        </w:rPr>
        <w:footnoteRef/>
      </w:r>
      <w:r w:rsidRPr="00FF435F">
        <w:t xml:space="preserve"> </w:t>
      </w:r>
      <w:bookmarkStart w:id="2" w:name="_Hlk26976573"/>
      <w:r w:rsidRPr="00CB43FF">
        <w:rPr>
          <w:i/>
        </w:rPr>
        <w:t>See</w:t>
      </w:r>
      <w:r>
        <w:t xml:space="preserve"> </w:t>
      </w:r>
      <w:r w:rsidRPr="00FF435F">
        <w:t>84 Fed. Reg.</w:t>
      </w:r>
      <w:r>
        <w:t xml:space="preserve"> 70037 </w:t>
      </w:r>
      <w:r w:rsidRPr="00FF435F">
        <w:t>(</w:t>
      </w:r>
      <w:r>
        <w:t>Dec. 20</w:t>
      </w:r>
      <w:r w:rsidRPr="00FF435F">
        <w:t xml:space="preserve">, 2019).  </w:t>
      </w:r>
    </w:p>
    <w:bookmarkEnd w:id="2"/>
  </w:footnote>
  <w:footnote w:id="7">
    <w:p w:rsidR="00420210" w:rsidRPr="00FF435F" w:rsidP="00420210">
      <w:pPr>
        <w:pStyle w:val="FootnoteText"/>
        <w:tabs>
          <w:tab w:val="left" w:pos="0"/>
        </w:tabs>
        <w:ind w:right="450"/>
      </w:pPr>
      <w:r w:rsidRPr="00FF435F">
        <w:rPr>
          <w:rStyle w:val="FootnoteReference"/>
        </w:rPr>
        <w:footnoteRef/>
      </w:r>
      <w:r w:rsidRPr="00FF435F">
        <w:t xml:space="preserve"> </w:t>
      </w:r>
      <w:r>
        <w:rPr>
          <w:i/>
        </w:rPr>
        <w:t>Id</w:t>
      </w:r>
      <w:r w:rsidRPr="00FF435F">
        <w:t xml:space="preserve">.  </w:t>
      </w:r>
    </w:p>
  </w:footnote>
  <w:footnote w:id="8">
    <w:p w:rsidR="00420210" w:rsidP="00420210">
      <w:pPr>
        <w:pStyle w:val="FootnoteText"/>
      </w:pPr>
      <w:r>
        <w:rPr>
          <w:rStyle w:val="FootnoteReference"/>
        </w:rPr>
        <w:footnoteRef/>
      </w:r>
      <w:r>
        <w:t xml:space="preserve"> Broadcasters were required to report on their third quarter 2019 Report all children’s television programming aired from July 1, 2019, through September 15, 2019.  </w:t>
      </w:r>
      <w:r w:rsidRPr="005803F4" w:rsidR="005803F4">
        <w:rPr>
          <w:i/>
        </w:rPr>
        <w:t>KidVid</w:t>
      </w:r>
      <w:r w:rsidRPr="005803F4" w:rsidR="005803F4">
        <w:rPr>
          <w:i/>
        </w:rPr>
        <w:t xml:space="preserve"> Transition </w:t>
      </w:r>
      <w:r w:rsidR="006551EE">
        <w:rPr>
          <w:i/>
        </w:rPr>
        <w:t>PN</w:t>
      </w:r>
      <w:r w:rsidR="006551EE">
        <w:t xml:space="preserve">, 34 FCC </w:t>
      </w:r>
      <w:r w:rsidR="006551EE">
        <w:t>Rcd</w:t>
      </w:r>
      <w:r>
        <w:t xml:space="preserve"> at 7879.  </w:t>
      </w:r>
      <w:r w:rsidR="002410FC">
        <w:t>The Bureau stated that a</w:t>
      </w:r>
      <w:r>
        <w:t>n</w:t>
      </w:r>
      <w:r w:rsidRPr="00F4176C">
        <w:t xml:space="preserve">y children’s television programming aired </w:t>
      </w:r>
      <w:r>
        <w:t xml:space="preserve">on or </w:t>
      </w:r>
      <w:r w:rsidRPr="00F4176C">
        <w:t>after September 16, 2019</w:t>
      </w:r>
      <w:r w:rsidR="006551EE">
        <w:t>, through December 31, 2019</w:t>
      </w:r>
      <w:r w:rsidRPr="00F4176C">
        <w:t xml:space="preserve">, </w:t>
      </w:r>
      <w:r w:rsidR="002410FC">
        <w:t>would</w:t>
      </w:r>
      <w:r w:rsidRPr="00F4176C">
        <w:t xml:space="preserve"> be reported by commercial and Class A television stations on a broadcaster’s first annual Report.</w:t>
      </w:r>
      <w:r>
        <w:t xml:space="preserve">  </w:t>
      </w:r>
      <w:r>
        <w:rPr>
          <w:i/>
        </w:rPr>
        <w:t xml:space="preserve">Id. </w:t>
      </w:r>
      <w:r>
        <w:t>at 7880.</w:t>
      </w:r>
    </w:p>
  </w:footnote>
  <w:footnote w:id="9">
    <w:p w:rsidR="00420210" w:rsidP="00420210">
      <w:pPr>
        <w:pStyle w:val="FootnoteText"/>
      </w:pPr>
      <w:r>
        <w:rPr>
          <w:rStyle w:val="FootnoteReference"/>
        </w:rPr>
        <w:footnoteRef/>
      </w:r>
      <w:r>
        <w:t xml:space="preserve"> </w:t>
      </w:r>
      <w:r w:rsidRPr="000D750E">
        <w:t xml:space="preserve">47 CFR § 73.3526(e)(11)(ii).  </w:t>
      </w:r>
      <w:r w:rsidRPr="000D750E">
        <w:rPr>
          <w:i/>
        </w:rPr>
        <w:t xml:space="preserve">See also </w:t>
      </w:r>
      <w:r w:rsidRPr="000D750E">
        <w:rPr>
          <w:rStyle w:val="Emphasis"/>
          <w:bdr w:val="none" w:sz="0" w:space="0" w:color="auto" w:frame="1"/>
          <w:shd w:val="clear" w:color="auto" w:fill="FFFFFF"/>
        </w:rPr>
        <w:t>Implementation of Section 25 of the Cable Television Consumer Protection and Competition Act of 1992, Direct Broadcast </w:t>
      </w:r>
      <w:r w:rsidRPr="000D750E">
        <w:rPr>
          <w:rStyle w:val="cosearchterm"/>
          <w:bCs/>
          <w:bdr w:val="none" w:sz="0" w:space="0" w:color="auto" w:frame="1"/>
          <w:shd w:val="clear" w:color="auto" w:fill="FFFFFF"/>
        </w:rPr>
        <w:t>Satellite</w:t>
      </w:r>
      <w:r w:rsidRPr="000D750E">
        <w:rPr>
          <w:rStyle w:val="Emphasis"/>
          <w:bdr w:val="none" w:sz="0" w:space="0" w:color="auto" w:frame="1"/>
          <w:shd w:val="clear" w:color="auto" w:fill="FFFFFF"/>
        </w:rPr>
        <w:t> Public Interest Obligations</w:t>
      </w:r>
      <w:r w:rsidRPr="000D750E">
        <w:rPr>
          <w:shd w:val="clear" w:color="auto" w:fill="FFFFFF"/>
        </w:rPr>
        <w:t>, MM Docket No. 93-25, Second Order on Reconsideration of First Report and Order, </w:t>
      </w:r>
      <w:r w:rsidRPr="000D750E">
        <w:rPr>
          <w:bdr w:val="none" w:sz="0" w:space="0" w:color="auto" w:frame="1"/>
          <w:shd w:val="clear" w:color="auto" w:fill="FFFFFF"/>
        </w:rPr>
        <w:t xml:space="preserve">19 FCC </w:t>
      </w:r>
      <w:r w:rsidRPr="000D750E">
        <w:rPr>
          <w:bdr w:val="none" w:sz="0" w:space="0" w:color="auto" w:frame="1"/>
          <w:shd w:val="clear" w:color="auto" w:fill="FFFFFF"/>
        </w:rPr>
        <w:t>Rcd</w:t>
      </w:r>
      <w:r w:rsidRPr="000D750E">
        <w:rPr>
          <w:bdr w:val="none" w:sz="0" w:space="0" w:color="auto" w:frame="1"/>
          <w:shd w:val="clear" w:color="auto" w:fill="FFFFFF"/>
        </w:rPr>
        <w:t xml:space="preserve"> 5647, 5668, para. 48 (2004)</w:t>
      </w:r>
      <w:r w:rsidRPr="000D750E">
        <w:t xml:space="preserve"> (</w:t>
      </w:r>
      <w:r w:rsidRPr="000D750E">
        <w:rPr>
          <w:shd w:val="clear" w:color="auto" w:fill="FFFFFF"/>
        </w:rPr>
        <w:t>“[W]e will require DBS providers to comply with the rules regarding </w:t>
      </w:r>
      <w:r w:rsidRPr="000D750E">
        <w:rPr>
          <w:rStyle w:val="cosearchterm"/>
          <w:bCs/>
          <w:bdr w:val="none" w:sz="0" w:space="0" w:color="auto" w:frame="1"/>
        </w:rPr>
        <w:t>commercial</w:t>
      </w:r>
      <w:r w:rsidRPr="000D750E">
        <w:rPr>
          <w:shd w:val="clear" w:color="auto" w:fill="FFFFFF"/>
        </w:rPr>
        <w:t> limits on </w:t>
      </w:r>
      <w:r w:rsidRPr="000D750E">
        <w:rPr>
          <w:rStyle w:val="cosearchterm"/>
          <w:bCs/>
          <w:bdr w:val="none" w:sz="0" w:space="0" w:color="auto" w:frame="1"/>
        </w:rPr>
        <w:t>children's</w:t>
      </w:r>
      <w:r w:rsidRPr="000D750E">
        <w:rPr>
          <w:shd w:val="clear" w:color="auto" w:fill="FFFFFF"/>
        </w:rPr>
        <w:t> </w:t>
      </w:r>
      <w:r w:rsidRPr="000D750E">
        <w:rPr>
          <w:rStyle w:val="cosearchterm"/>
          <w:bCs/>
          <w:bdr w:val="none" w:sz="0" w:space="0" w:color="auto" w:frame="1"/>
        </w:rPr>
        <w:t>programming</w:t>
      </w:r>
      <w:r w:rsidRPr="000D750E">
        <w:rPr>
          <w:shd w:val="clear" w:color="auto" w:fill="FFFFFF"/>
        </w:rPr>
        <w:t> that apply to cable operators.”)</w:t>
      </w:r>
      <w:r w:rsidRPr="000D750E">
        <w:t xml:space="preserve">; </w:t>
      </w:r>
      <w:r w:rsidRPr="000D750E">
        <w:rPr>
          <w:rStyle w:val="Emphasis"/>
          <w:bdr w:val="none" w:sz="0" w:space="0" w:color="auto" w:frame="1"/>
          <w:shd w:val="clear" w:color="auto" w:fill="FFFFFF"/>
        </w:rPr>
        <w:t>Policies and Rules Concerning Children's Television Programming</w:t>
      </w:r>
      <w:r w:rsidRPr="000D750E">
        <w:rPr>
          <w:bdr w:val="none" w:sz="0" w:space="0" w:color="auto" w:frame="1"/>
          <w:shd w:val="clear" w:color="auto" w:fill="FFFFFF"/>
        </w:rPr>
        <w:t>, MM Docket No. 90-570, Memorandum Opinion and Order,</w:t>
      </w:r>
      <w:r w:rsidRPr="000D750E">
        <w:t xml:space="preserve"> </w:t>
      </w:r>
      <w:r w:rsidRPr="000D750E">
        <w:rPr>
          <w:bdr w:val="none" w:sz="0" w:space="0" w:color="auto" w:frame="1"/>
          <w:shd w:val="clear" w:color="auto" w:fill="FFFFFF"/>
        </w:rPr>
        <w:t xml:space="preserve">6 FCC </w:t>
      </w:r>
      <w:r w:rsidRPr="000D750E">
        <w:rPr>
          <w:bdr w:val="none" w:sz="0" w:space="0" w:color="auto" w:frame="1"/>
          <w:shd w:val="clear" w:color="auto" w:fill="FFFFFF"/>
        </w:rPr>
        <w:t>Rcd</w:t>
      </w:r>
      <w:r w:rsidRPr="000D750E">
        <w:rPr>
          <w:bdr w:val="none" w:sz="0" w:space="0" w:color="auto" w:frame="1"/>
          <w:shd w:val="clear" w:color="auto" w:fill="FFFFFF"/>
        </w:rPr>
        <w:t xml:space="preserve"> 5093, </w:t>
      </w:r>
      <w:r w:rsidRPr="000D750E">
        <w:rPr>
          <w:shd w:val="clear" w:color="auto" w:fill="FFFFFF"/>
        </w:rPr>
        <w:t xml:space="preserve">5097, para. 23 </w:t>
      </w:r>
      <w:r w:rsidRPr="000D750E">
        <w:rPr>
          <w:bdr w:val="none" w:sz="0" w:space="0" w:color="auto" w:frame="1"/>
          <w:shd w:val="clear" w:color="auto" w:fill="FFFFFF"/>
        </w:rPr>
        <w:t>(1991)</w:t>
      </w:r>
      <w:r w:rsidRPr="000D750E">
        <w:t xml:space="preserve"> (clarifying that commercial records should be placed in the station or cable system’s public file no later than the tenth day of the quarter following the quarter in which they aired).</w:t>
      </w:r>
      <w:r w:rsidRPr="000D750E">
        <w:rPr>
          <w:rFonts w:ascii="Source Sans Pro" w:hAnsi="Source Sans Pro"/>
          <w:sz w:val="23"/>
          <w:szCs w:val="23"/>
          <w:shd w:val="clear" w:color="auto" w:fill="FFFFFF"/>
        </w:rPr>
        <w:t xml:space="preserve"> </w:t>
      </w:r>
    </w:p>
  </w:footnote>
  <w:footnote w:id="10">
    <w:p w:rsidR="00420210" w:rsidP="00420210">
      <w:pPr>
        <w:pStyle w:val="FootnoteText"/>
      </w:pPr>
      <w:r>
        <w:rPr>
          <w:rStyle w:val="FootnoteReference"/>
        </w:rPr>
        <w:footnoteRef/>
      </w:r>
      <w:r>
        <w:t xml:space="preserve"> The </w:t>
      </w:r>
      <w:r>
        <w:rPr>
          <w:i/>
        </w:rPr>
        <w:t>Report and Order</w:t>
      </w:r>
      <w:r w:rsidRPr="001C02B8">
        <w:t xml:space="preserve"> </w:t>
      </w:r>
      <w:r>
        <w:t>makes the certification of compliance with the commercial limits an annual requirement and provides</w:t>
      </w:r>
      <w:r w:rsidRPr="001C02B8">
        <w:t xml:space="preserve"> broadcasters, cable operators, and DBS providers </w:t>
      </w:r>
      <w:r>
        <w:t xml:space="preserve">30 days after the end of the calendar year </w:t>
      </w:r>
      <w:r w:rsidRPr="001C02B8">
        <w:t xml:space="preserve">to post </w:t>
      </w:r>
      <w:r>
        <w:t>the certification to</w:t>
      </w:r>
      <w:r w:rsidRPr="001C02B8">
        <w:t xml:space="preserve"> their public files</w:t>
      </w:r>
      <w:r>
        <w:t xml:space="preserve">.  </w:t>
      </w:r>
      <w:r w:rsidRPr="006864DE">
        <w:rPr>
          <w:i/>
        </w:rPr>
        <w:t>Report and Order</w:t>
      </w:r>
      <w:r>
        <w:t xml:space="preserve">, 34 FCC </w:t>
      </w:r>
      <w:r>
        <w:t>Rcd</w:t>
      </w:r>
      <w:r>
        <w:t xml:space="preserve"> at 5863-62, paras. 70-71.  </w:t>
      </w:r>
      <w:r w:rsidRPr="00C45325">
        <w:t>The first annual certification of compliance with the commercial limits will be filed in 2021, covering the period January 1, 2020 through December 31, 2020.</w:t>
      </w:r>
    </w:p>
  </w:footnote>
  <w:footnote w:id="11">
    <w:p w:rsidR="00420210" w:rsidP="00420210">
      <w:pPr>
        <w:pStyle w:val="FootnoteText"/>
        <w:widowControl w:val="0"/>
      </w:pPr>
      <w:r>
        <w:rPr>
          <w:rStyle w:val="FootnoteReference"/>
        </w:rPr>
        <w:footnoteRef/>
      </w:r>
      <w:r>
        <w:t xml:space="preserve"> 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20210">
      <w:rPr>
        <w:b/>
      </w:rPr>
      <w:t>DA 19-1319</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928.8pt,56.7pt" to="3396.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10"/>
    <w:rsid w:val="000072CE"/>
    <w:rsid w:val="00013A8B"/>
    <w:rsid w:val="00021445"/>
    <w:rsid w:val="00036039"/>
    <w:rsid w:val="00037F90"/>
    <w:rsid w:val="0008724F"/>
    <w:rsid w:val="000875BF"/>
    <w:rsid w:val="00096D8C"/>
    <w:rsid w:val="000A0BC6"/>
    <w:rsid w:val="000C0B65"/>
    <w:rsid w:val="000D750E"/>
    <w:rsid w:val="000E3D42"/>
    <w:rsid w:val="000E5884"/>
    <w:rsid w:val="00122BD5"/>
    <w:rsid w:val="001979D9"/>
    <w:rsid w:val="001A69B9"/>
    <w:rsid w:val="001C02B8"/>
    <w:rsid w:val="001D6BCF"/>
    <w:rsid w:val="001E01CA"/>
    <w:rsid w:val="00205ACC"/>
    <w:rsid w:val="002060D9"/>
    <w:rsid w:val="00226822"/>
    <w:rsid w:val="002410FC"/>
    <w:rsid w:val="00260594"/>
    <w:rsid w:val="00285017"/>
    <w:rsid w:val="002A2D2E"/>
    <w:rsid w:val="002B2A7C"/>
    <w:rsid w:val="002D5C70"/>
    <w:rsid w:val="00343749"/>
    <w:rsid w:val="00357D50"/>
    <w:rsid w:val="003925DC"/>
    <w:rsid w:val="003B0550"/>
    <w:rsid w:val="003B2326"/>
    <w:rsid w:val="003B694F"/>
    <w:rsid w:val="003F171C"/>
    <w:rsid w:val="00412FC5"/>
    <w:rsid w:val="00420210"/>
    <w:rsid w:val="00422276"/>
    <w:rsid w:val="004242F1"/>
    <w:rsid w:val="00445A00"/>
    <w:rsid w:val="00451B0F"/>
    <w:rsid w:val="0046125F"/>
    <w:rsid w:val="00487524"/>
    <w:rsid w:val="00496106"/>
    <w:rsid w:val="004C12D0"/>
    <w:rsid w:val="004C2EE3"/>
    <w:rsid w:val="004E4A22"/>
    <w:rsid w:val="00511968"/>
    <w:rsid w:val="005451C6"/>
    <w:rsid w:val="0055614C"/>
    <w:rsid w:val="005803F4"/>
    <w:rsid w:val="00607BA5"/>
    <w:rsid w:val="00626EB6"/>
    <w:rsid w:val="006353A3"/>
    <w:rsid w:val="00650163"/>
    <w:rsid w:val="006551EE"/>
    <w:rsid w:val="00655D03"/>
    <w:rsid w:val="00683F84"/>
    <w:rsid w:val="006864DE"/>
    <w:rsid w:val="006A6A81"/>
    <w:rsid w:val="006E26AF"/>
    <w:rsid w:val="006F7393"/>
    <w:rsid w:val="0070224F"/>
    <w:rsid w:val="007115F7"/>
    <w:rsid w:val="00785689"/>
    <w:rsid w:val="0079754B"/>
    <w:rsid w:val="007A1E6D"/>
    <w:rsid w:val="00822CE0"/>
    <w:rsid w:val="008251F1"/>
    <w:rsid w:val="00837C62"/>
    <w:rsid w:val="00841AB1"/>
    <w:rsid w:val="00880944"/>
    <w:rsid w:val="0088184C"/>
    <w:rsid w:val="008C22FD"/>
    <w:rsid w:val="0090042C"/>
    <w:rsid w:val="00910F12"/>
    <w:rsid w:val="00926503"/>
    <w:rsid w:val="00930ECF"/>
    <w:rsid w:val="009838BC"/>
    <w:rsid w:val="009D59F6"/>
    <w:rsid w:val="00A45F4F"/>
    <w:rsid w:val="00A600A9"/>
    <w:rsid w:val="00A866AC"/>
    <w:rsid w:val="00AA55B7"/>
    <w:rsid w:val="00AA5B9E"/>
    <w:rsid w:val="00AB2407"/>
    <w:rsid w:val="00AB53DF"/>
    <w:rsid w:val="00B07E5C"/>
    <w:rsid w:val="00B20363"/>
    <w:rsid w:val="00B326E3"/>
    <w:rsid w:val="00B434C6"/>
    <w:rsid w:val="00B811F7"/>
    <w:rsid w:val="00BA5DC6"/>
    <w:rsid w:val="00BA6196"/>
    <w:rsid w:val="00BC6D8C"/>
    <w:rsid w:val="00BE57A1"/>
    <w:rsid w:val="00C16AF2"/>
    <w:rsid w:val="00C34006"/>
    <w:rsid w:val="00C426B1"/>
    <w:rsid w:val="00C45325"/>
    <w:rsid w:val="00C82B6B"/>
    <w:rsid w:val="00C90D6A"/>
    <w:rsid w:val="00CB43FF"/>
    <w:rsid w:val="00CC72B6"/>
    <w:rsid w:val="00D0218D"/>
    <w:rsid w:val="00D216CD"/>
    <w:rsid w:val="00DA2529"/>
    <w:rsid w:val="00DB130A"/>
    <w:rsid w:val="00DC10A1"/>
    <w:rsid w:val="00DC655F"/>
    <w:rsid w:val="00DD7EBD"/>
    <w:rsid w:val="00DF62B6"/>
    <w:rsid w:val="00E07225"/>
    <w:rsid w:val="00E155B7"/>
    <w:rsid w:val="00E2605A"/>
    <w:rsid w:val="00E5409F"/>
    <w:rsid w:val="00EC0185"/>
    <w:rsid w:val="00F021FA"/>
    <w:rsid w:val="00F4176C"/>
    <w:rsid w:val="00F57ACA"/>
    <w:rsid w:val="00F62E97"/>
    <w:rsid w:val="00F64209"/>
    <w:rsid w:val="00F93BF5"/>
    <w:rsid w:val="00F96F63"/>
    <w:rsid w:val="00FF43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A5B450-EF09-4EA9-A2F0-D22E33C6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44"/>
    <w:pPr>
      <w:widowControl w:val="0"/>
    </w:pPr>
    <w:rPr>
      <w:snapToGrid w:val="0"/>
      <w:kern w:val="28"/>
      <w:sz w:val="22"/>
    </w:rPr>
  </w:style>
  <w:style w:type="paragraph" w:styleId="Heading1">
    <w:name w:val="heading 1"/>
    <w:basedOn w:val="Normal"/>
    <w:next w:val="ParaNum"/>
    <w:qFormat/>
    <w:rsid w:val="008809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80944"/>
    <w:pPr>
      <w:keepNext/>
      <w:numPr>
        <w:ilvl w:val="1"/>
        <w:numId w:val="3"/>
      </w:numPr>
      <w:spacing w:after="120"/>
      <w:outlineLvl w:val="1"/>
    </w:pPr>
    <w:rPr>
      <w:b/>
    </w:rPr>
  </w:style>
  <w:style w:type="paragraph" w:styleId="Heading3">
    <w:name w:val="heading 3"/>
    <w:basedOn w:val="Normal"/>
    <w:next w:val="ParaNum"/>
    <w:qFormat/>
    <w:rsid w:val="00880944"/>
    <w:pPr>
      <w:keepNext/>
      <w:numPr>
        <w:ilvl w:val="2"/>
        <w:numId w:val="3"/>
      </w:numPr>
      <w:tabs>
        <w:tab w:val="left" w:pos="2160"/>
      </w:tabs>
      <w:spacing w:after="120"/>
      <w:outlineLvl w:val="2"/>
    </w:pPr>
    <w:rPr>
      <w:b/>
    </w:rPr>
  </w:style>
  <w:style w:type="paragraph" w:styleId="Heading4">
    <w:name w:val="heading 4"/>
    <w:basedOn w:val="Normal"/>
    <w:next w:val="ParaNum"/>
    <w:qFormat/>
    <w:rsid w:val="00880944"/>
    <w:pPr>
      <w:keepNext/>
      <w:numPr>
        <w:ilvl w:val="3"/>
        <w:numId w:val="3"/>
      </w:numPr>
      <w:tabs>
        <w:tab w:val="left" w:pos="2880"/>
      </w:tabs>
      <w:spacing w:after="120"/>
      <w:outlineLvl w:val="3"/>
    </w:pPr>
    <w:rPr>
      <w:b/>
    </w:rPr>
  </w:style>
  <w:style w:type="paragraph" w:styleId="Heading5">
    <w:name w:val="heading 5"/>
    <w:basedOn w:val="Normal"/>
    <w:next w:val="ParaNum"/>
    <w:qFormat/>
    <w:rsid w:val="0088094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80944"/>
    <w:pPr>
      <w:numPr>
        <w:ilvl w:val="5"/>
        <w:numId w:val="3"/>
      </w:numPr>
      <w:tabs>
        <w:tab w:val="left" w:pos="4320"/>
      </w:tabs>
      <w:spacing w:after="120"/>
      <w:outlineLvl w:val="5"/>
    </w:pPr>
    <w:rPr>
      <w:b/>
    </w:rPr>
  </w:style>
  <w:style w:type="paragraph" w:styleId="Heading7">
    <w:name w:val="heading 7"/>
    <w:basedOn w:val="Normal"/>
    <w:next w:val="ParaNum"/>
    <w:qFormat/>
    <w:rsid w:val="0088094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094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809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809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80944"/>
  </w:style>
  <w:style w:type="paragraph" w:customStyle="1" w:styleId="ParaNum">
    <w:name w:val="ParaNum"/>
    <w:basedOn w:val="Normal"/>
    <w:rsid w:val="00880944"/>
    <w:pPr>
      <w:numPr>
        <w:numId w:val="2"/>
      </w:numPr>
      <w:tabs>
        <w:tab w:val="clear" w:pos="1080"/>
        <w:tab w:val="num" w:pos="1440"/>
      </w:tabs>
      <w:spacing w:after="120"/>
    </w:pPr>
  </w:style>
  <w:style w:type="paragraph" w:styleId="EndnoteText">
    <w:name w:val="endnote text"/>
    <w:basedOn w:val="Normal"/>
    <w:semiHidden/>
    <w:rsid w:val="00880944"/>
    <w:rPr>
      <w:sz w:val="20"/>
    </w:rPr>
  </w:style>
  <w:style w:type="character" w:styleId="EndnoteReference">
    <w:name w:val="endnote reference"/>
    <w:semiHidden/>
    <w:rsid w:val="00880944"/>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88094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80944"/>
    <w:rPr>
      <w:rFonts w:ascii="Times New Roman" w:hAnsi="Times New Roman"/>
      <w:dstrike w:val="0"/>
      <w:color w:val="auto"/>
      <w:sz w:val="22"/>
      <w:vertAlign w:val="superscript"/>
    </w:rPr>
  </w:style>
  <w:style w:type="paragraph" w:styleId="TOC1">
    <w:name w:val="toc 1"/>
    <w:basedOn w:val="Normal"/>
    <w:next w:val="Normal"/>
    <w:uiPriority w:val="39"/>
    <w:rsid w:val="008809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0944"/>
    <w:pPr>
      <w:tabs>
        <w:tab w:val="left" w:pos="720"/>
        <w:tab w:val="right" w:leader="dot" w:pos="9360"/>
      </w:tabs>
      <w:suppressAutoHyphens/>
      <w:ind w:left="720" w:right="720" w:hanging="360"/>
    </w:pPr>
    <w:rPr>
      <w:noProof/>
    </w:rPr>
  </w:style>
  <w:style w:type="paragraph" w:styleId="TOC3">
    <w:name w:val="toc 3"/>
    <w:basedOn w:val="Normal"/>
    <w:next w:val="Normal"/>
    <w:semiHidden/>
    <w:rsid w:val="008809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09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09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09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09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09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09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0944"/>
    <w:pPr>
      <w:tabs>
        <w:tab w:val="right" w:pos="9360"/>
      </w:tabs>
      <w:suppressAutoHyphens/>
    </w:pPr>
  </w:style>
  <w:style w:type="character" w:customStyle="1" w:styleId="EquationCaption">
    <w:name w:val="_Equation Caption"/>
    <w:rsid w:val="00880944"/>
  </w:style>
  <w:style w:type="paragraph" w:styleId="Header">
    <w:name w:val="header"/>
    <w:basedOn w:val="Normal"/>
    <w:autoRedefine/>
    <w:rsid w:val="0088094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80944"/>
    <w:pPr>
      <w:tabs>
        <w:tab w:val="center" w:pos="4320"/>
        <w:tab w:val="right" w:pos="8640"/>
      </w:tabs>
    </w:pPr>
  </w:style>
  <w:style w:type="character" w:styleId="PageNumber">
    <w:name w:val="page number"/>
    <w:basedOn w:val="DefaultParagraphFont"/>
    <w:rsid w:val="00880944"/>
  </w:style>
  <w:style w:type="paragraph" w:styleId="BlockText">
    <w:name w:val="Block Text"/>
    <w:basedOn w:val="Normal"/>
    <w:rsid w:val="00880944"/>
    <w:pPr>
      <w:spacing w:after="240"/>
      <w:ind w:left="1440" w:right="1440"/>
    </w:pPr>
  </w:style>
  <w:style w:type="paragraph" w:customStyle="1" w:styleId="Paratitle">
    <w:name w:val="Para title"/>
    <w:basedOn w:val="Normal"/>
    <w:rsid w:val="00880944"/>
    <w:pPr>
      <w:tabs>
        <w:tab w:val="center" w:pos="9270"/>
      </w:tabs>
      <w:spacing w:after="240"/>
    </w:pPr>
    <w:rPr>
      <w:spacing w:val="-2"/>
    </w:rPr>
  </w:style>
  <w:style w:type="paragraph" w:customStyle="1" w:styleId="Bullet">
    <w:name w:val="Bullet"/>
    <w:basedOn w:val="Normal"/>
    <w:rsid w:val="00880944"/>
    <w:pPr>
      <w:numPr>
        <w:numId w:val="1"/>
      </w:numPr>
      <w:tabs>
        <w:tab w:val="clear" w:pos="360"/>
        <w:tab w:val="left" w:pos="2160"/>
      </w:tabs>
      <w:spacing w:after="220"/>
      <w:ind w:left="2160" w:hanging="720"/>
    </w:pPr>
  </w:style>
  <w:style w:type="paragraph" w:customStyle="1" w:styleId="TableFormat">
    <w:name w:val="TableFormat"/>
    <w:basedOn w:val="Bullet"/>
    <w:rsid w:val="00880944"/>
    <w:pPr>
      <w:numPr>
        <w:numId w:val="0"/>
      </w:numPr>
      <w:tabs>
        <w:tab w:val="clear" w:pos="2160"/>
        <w:tab w:val="left" w:pos="5040"/>
      </w:tabs>
      <w:ind w:left="5040" w:hanging="3600"/>
    </w:pPr>
  </w:style>
  <w:style w:type="paragraph" w:customStyle="1" w:styleId="TOCTitle">
    <w:name w:val="TOC Title"/>
    <w:basedOn w:val="Normal"/>
    <w:rsid w:val="008809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0944"/>
    <w:pPr>
      <w:jc w:val="center"/>
    </w:pPr>
    <w:rPr>
      <w:rFonts w:ascii="Times New Roman Bold" w:hAnsi="Times New Roman Bold"/>
      <w:b/>
      <w:bCs/>
      <w:caps/>
      <w:szCs w:val="22"/>
    </w:rPr>
  </w:style>
  <w:style w:type="character" w:styleId="Hyperlink">
    <w:name w:val="Hyperlink"/>
    <w:rsid w:val="00880944"/>
    <w:rPr>
      <w:color w:val="0000FF"/>
      <w:u w:val="single"/>
    </w:rPr>
  </w:style>
  <w:style w:type="character" w:customStyle="1" w:styleId="FooterChar">
    <w:name w:val="Footer Char"/>
    <w:link w:val="Footer"/>
    <w:uiPriority w:val="99"/>
    <w:rsid w:val="00880944"/>
    <w:rPr>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420210"/>
  </w:style>
  <w:style w:type="character" w:customStyle="1" w:styleId="cosearchterm">
    <w:name w:val="co_searchterm"/>
    <w:rsid w:val="00420210"/>
  </w:style>
  <w:style w:type="character" w:styleId="Emphasis">
    <w:name w:val="Emphasis"/>
    <w:uiPriority w:val="20"/>
    <w:qFormat/>
    <w:rsid w:val="00420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