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60CD" w:rsidRPr="004F7405" w:rsidP="009560CD">
      <w:pPr>
        <w:widowControl/>
        <w:suppressAutoHyphens/>
        <w:jc w:val="right"/>
        <w:rPr>
          <w:b/>
          <w:color w:val="000000"/>
        </w:rPr>
      </w:pPr>
      <w:r>
        <w:rPr>
          <w:b/>
          <w:color w:val="000000"/>
        </w:rPr>
        <w:t xml:space="preserve"> </w:t>
      </w:r>
      <w:r w:rsidR="001F4EB1">
        <w:rPr>
          <w:b/>
          <w:color w:val="000000"/>
        </w:rPr>
        <w:t>DA 1</w:t>
      </w:r>
      <w:r w:rsidR="00422637">
        <w:rPr>
          <w:b/>
          <w:color w:val="000000"/>
        </w:rPr>
        <w:t>9</w:t>
      </w:r>
      <w:r w:rsidR="001F4EB1">
        <w:rPr>
          <w:b/>
          <w:color w:val="000000"/>
        </w:rPr>
        <w:t>-</w:t>
      </w:r>
      <w:r w:rsidR="006614C1">
        <w:rPr>
          <w:b/>
          <w:color w:val="000000"/>
        </w:rPr>
        <w:t>1324</w:t>
      </w:r>
    </w:p>
    <w:p w:rsidR="009560CD" w:rsidRPr="004F7405" w:rsidP="009560CD">
      <w:pPr>
        <w:widowControl/>
        <w:suppressAutoHyphens/>
        <w:spacing w:after="240"/>
        <w:jc w:val="right"/>
        <w:rPr>
          <w:b/>
          <w:color w:val="000000"/>
        </w:rPr>
      </w:pPr>
      <w:r>
        <w:rPr>
          <w:b/>
          <w:color w:val="000000"/>
        </w:rPr>
        <w:t xml:space="preserve"> Released: </w:t>
      </w:r>
      <w:r w:rsidR="00827491">
        <w:rPr>
          <w:b/>
          <w:color w:val="000000"/>
        </w:rPr>
        <w:t>December</w:t>
      </w:r>
      <w:r w:rsidR="00F11B64">
        <w:rPr>
          <w:b/>
          <w:color w:val="000000"/>
        </w:rPr>
        <w:t xml:space="preserve"> </w:t>
      </w:r>
      <w:r w:rsidR="006B6FEB">
        <w:rPr>
          <w:b/>
          <w:color w:val="000000"/>
        </w:rPr>
        <w:t>23</w:t>
      </w:r>
      <w:r>
        <w:rPr>
          <w:b/>
          <w:color w:val="000000"/>
        </w:rPr>
        <w:t>, 201</w:t>
      </w:r>
      <w:r w:rsidR="00422637">
        <w:rPr>
          <w:b/>
          <w:color w:val="000000"/>
        </w:rPr>
        <w:t>9</w:t>
      </w:r>
    </w:p>
    <w:p w:rsidR="009560CD" w:rsidRPr="004F7405" w:rsidP="009560CD">
      <w:pPr>
        <w:widowControl/>
        <w:suppressAutoHyphens/>
        <w:jc w:val="center"/>
        <w:rPr>
          <w:b/>
          <w:szCs w:val="22"/>
        </w:rPr>
      </w:pPr>
      <w:r w:rsidRPr="004F7405">
        <w:rPr>
          <w:b/>
          <w:szCs w:val="22"/>
        </w:rPr>
        <w:t>DOMESTIC SECTION 214 APPLICATION</w:t>
      </w:r>
      <w:r w:rsidR="00F2676B">
        <w:rPr>
          <w:b/>
          <w:szCs w:val="22"/>
        </w:rPr>
        <w:t>S</w:t>
      </w:r>
      <w:r w:rsidRPr="004F7405">
        <w:rPr>
          <w:b/>
          <w:szCs w:val="22"/>
        </w:rPr>
        <w:t xml:space="preserve"> GRANTED</w:t>
      </w:r>
      <w:r>
        <w:rPr>
          <w:b/>
          <w:szCs w:val="22"/>
        </w:rPr>
        <w:t xml:space="preserve"> SUBJECT TO CONDITION</w:t>
      </w:r>
    </w:p>
    <w:p w:rsidR="009560CD" w:rsidRPr="004F7405" w:rsidP="009560CD">
      <w:pPr>
        <w:widowControl/>
        <w:suppressAutoHyphens/>
        <w:jc w:val="center"/>
        <w:rPr>
          <w:b/>
          <w:color w:val="000000"/>
          <w:szCs w:val="22"/>
        </w:rPr>
      </w:pPr>
    </w:p>
    <w:p w:rsidR="009560CD" w:rsidRPr="001761B2" w:rsidP="009560CD">
      <w:pPr>
        <w:widowControl/>
        <w:suppressAutoHyphens/>
        <w:spacing w:after="240"/>
        <w:jc w:val="center"/>
        <w:rPr>
          <w:b/>
          <w:color w:val="000000"/>
          <w:szCs w:val="22"/>
        </w:rPr>
      </w:pPr>
      <w:r w:rsidRPr="004F7405">
        <w:rPr>
          <w:b/>
          <w:color w:val="000000"/>
          <w:szCs w:val="22"/>
        </w:rPr>
        <w:t>WC Docket No</w:t>
      </w:r>
      <w:r>
        <w:rPr>
          <w:b/>
          <w:color w:val="000000"/>
          <w:szCs w:val="22"/>
        </w:rPr>
        <w:t>s</w:t>
      </w:r>
      <w:r w:rsidRPr="004F7405">
        <w:rPr>
          <w:b/>
          <w:color w:val="000000"/>
          <w:szCs w:val="22"/>
        </w:rPr>
        <w:t xml:space="preserve">. </w:t>
      </w:r>
      <w:r>
        <w:rPr>
          <w:b/>
          <w:color w:val="000000"/>
          <w:szCs w:val="22"/>
        </w:rPr>
        <w:t>1</w:t>
      </w:r>
      <w:r w:rsidR="00827491">
        <w:rPr>
          <w:b/>
          <w:color w:val="000000"/>
          <w:szCs w:val="22"/>
        </w:rPr>
        <w:t>9</w:t>
      </w:r>
      <w:r>
        <w:rPr>
          <w:b/>
          <w:color w:val="000000"/>
          <w:szCs w:val="22"/>
        </w:rPr>
        <w:t>-</w:t>
      </w:r>
      <w:r w:rsidR="00422637">
        <w:rPr>
          <w:b/>
          <w:color w:val="000000"/>
          <w:szCs w:val="22"/>
        </w:rPr>
        <w:t>3</w:t>
      </w:r>
      <w:r w:rsidR="00827491">
        <w:rPr>
          <w:b/>
          <w:color w:val="000000"/>
          <w:szCs w:val="22"/>
        </w:rPr>
        <w:t>07</w:t>
      </w:r>
      <w:r w:rsidR="004762AB">
        <w:rPr>
          <w:b/>
          <w:color w:val="000000"/>
          <w:szCs w:val="22"/>
        </w:rPr>
        <w:t>, 19-336</w:t>
      </w:r>
    </w:p>
    <w:p w:rsidR="007C69C8" w:rsidP="009560CD">
      <w:pPr>
        <w:widowControl/>
        <w:autoSpaceDE w:val="0"/>
        <w:autoSpaceDN w:val="0"/>
        <w:adjustRightInd w:val="0"/>
        <w:ind w:firstLine="720"/>
        <w:rPr>
          <w:snapToGrid/>
          <w:kern w:val="0"/>
          <w:szCs w:val="22"/>
        </w:rPr>
      </w:pPr>
      <w:r>
        <w:rPr>
          <w:snapToGrid/>
          <w:color w:val="231F20"/>
          <w:kern w:val="0"/>
          <w:szCs w:val="22"/>
        </w:rPr>
        <w:t xml:space="preserve">By this Public Notice, the Wireline Competition Bureau (Bureau) grants </w:t>
      </w:r>
      <w:r w:rsidR="004762AB">
        <w:rPr>
          <w:snapToGrid/>
          <w:color w:val="231F20"/>
          <w:kern w:val="0"/>
          <w:szCs w:val="22"/>
        </w:rPr>
        <w:t xml:space="preserve">the following </w:t>
      </w:r>
      <w:r>
        <w:rPr>
          <w:snapToGrid/>
          <w:color w:val="231F20"/>
          <w:kern w:val="0"/>
          <w:szCs w:val="22"/>
        </w:rPr>
        <w:t>application</w:t>
      </w:r>
      <w:r w:rsidR="004762AB">
        <w:rPr>
          <w:snapToGrid/>
          <w:color w:val="231F20"/>
          <w:kern w:val="0"/>
          <w:szCs w:val="22"/>
        </w:rPr>
        <w:t>s</w:t>
      </w:r>
      <w:r>
        <w:rPr>
          <w:snapToGrid/>
          <w:kern w:val="0"/>
          <w:szCs w:val="22"/>
        </w:rPr>
        <w:t>,</w:t>
      </w:r>
      <w:r w:rsidRPr="00C16D24">
        <w:rPr>
          <w:snapToGrid/>
          <w:kern w:val="0"/>
          <w:szCs w:val="22"/>
        </w:rPr>
        <w:t xml:space="preserve"> </w:t>
      </w:r>
      <w:r>
        <w:rPr>
          <w:snapToGrid/>
          <w:kern w:val="0"/>
          <w:szCs w:val="22"/>
        </w:rPr>
        <w:t>as conditioned</w:t>
      </w:r>
      <w:r w:rsidR="004B1DE5">
        <w:rPr>
          <w:snapToGrid/>
          <w:kern w:val="0"/>
          <w:szCs w:val="22"/>
        </w:rPr>
        <w:t>,</w:t>
      </w:r>
      <w:r>
        <w:rPr>
          <w:snapToGrid/>
          <w:kern w:val="0"/>
          <w:szCs w:val="22"/>
        </w:rPr>
        <w:t xml:space="preserve"> </w:t>
      </w:r>
      <w:r w:rsidR="004762AB">
        <w:rPr>
          <w:snapToGrid/>
          <w:kern w:val="0"/>
          <w:szCs w:val="22"/>
        </w:rPr>
        <w:t>and pursuant to s</w:t>
      </w:r>
      <w:r w:rsidRPr="00C16D24" w:rsidR="004762AB">
        <w:rPr>
          <w:snapToGrid/>
          <w:kern w:val="0"/>
          <w:szCs w:val="22"/>
        </w:rPr>
        <w:t>ection 214 of the Communication</w:t>
      </w:r>
      <w:r w:rsidR="004762AB">
        <w:rPr>
          <w:snapToGrid/>
          <w:kern w:val="0"/>
          <w:szCs w:val="22"/>
        </w:rPr>
        <w:t>s Act of 1934, as amended, and s</w:t>
      </w:r>
      <w:r w:rsidRPr="00C16D24" w:rsidR="004762AB">
        <w:rPr>
          <w:snapToGrid/>
          <w:kern w:val="0"/>
          <w:szCs w:val="22"/>
        </w:rPr>
        <w:t>ection</w:t>
      </w:r>
      <w:r w:rsidR="004762AB">
        <w:rPr>
          <w:snapToGrid/>
          <w:kern w:val="0"/>
          <w:szCs w:val="22"/>
        </w:rPr>
        <w:t>s</w:t>
      </w:r>
      <w:r w:rsidRPr="00C16D24" w:rsidR="004762AB">
        <w:rPr>
          <w:snapToGrid/>
          <w:kern w:val="0"/>
          <w:szCs w:val="22"/>
        </w:rPr>
        <w:t xml:space="preserve"> 63.03 </w:t>
      </w:r>
      <w:r w:rsidR="004762AB">
        <w:rPr>
          <w:snapToGrid/>
          <w:kern w:val="0"/>
          <w:szCs w:val="22"/>
        </w:rPr>
        <w:t xml:space="preserve">and 63.04 </w:t>
      </w:r>
      <w:r w:rsidRPr="00C16D24" w:rsidR="004762AB">
        <w:rPr>
          <w:snapToGrid/>
          <w:kern w:val="0"/>
          <w:szCs w:val="22"/>
        </w:rPr>
        <w:t>of the Commission’s rules</w:t>
      </w:r>
      <w:r w:rsidR="004762AB">
        <w:rPr>
          <w:snapToGrid/>
          <w:kern w:val="0"/>
          <w:szCs w:val="22"/>
        </w:rPr>
        <w:t>.</w:t>
      </w:r>
      <w:r>
        <w:rPr>
          <w:snapToGrid/>
          <w:kern w:val="0"/>
          <w:szCs w:val="22"/>
          <w:vertAlign w:val="superscript"/>
        </w:rPr>
        <w:footnoteReference w:id="3"/>
      </w:r>
      <w:r w:rsidR="004762AB">
        <w:rPr>
          <w:snapToGrid/>
          <w:kern w:val="0"/>
          <w:szCs w:val="22"/>
        </w:rPr>
        <w:t xml:space="preserve">  </w:t>
      </w:r>
      <w:r>
        <w:rPr>
          <w:snapToGrid/>
          <w:kern w:val="0"/>
          <w:szCs w:val="22"/>
        </w:rPr>
        <w:t>The Bureau received no comments in opposition to a grant of the Application</w:t>
      </w:r>
      <w:r w:rsidR="0011735A">
        <w:rPr>
          <w:snapToGrid/>
          <w:kern w:val="0"/>
          <w:szCs w:val="22"/>
        </w:rPr>
        <w:t>s</w:t>
      </w:r>
      <w:r>
        <w:rPr>
          <w:snapToGrid/>
          <w:kern w:val="0"/>
          <w:szCs w:val="22"/>
        </w:rPr>
        <w:t xml:space="preserve">. </w:t>
      </w:r>
    </w:p>
    <w:p w:rsidR="006A65D3" w:rsidP="009560CD">
      <w:pPr>
        <w:widowControl/>
        <w:autoSpaceDE w:val="0"/>
        <w:autoSpaceDN w:val="0"/>
        <w:adjustRightInd w:val="0"/>
        <w:ind w:firstLine="720"/>
        <w:rPr>
          <w:szCs w:val="22"/>
        </w:rPr>
      </w:pPr>
    </w:p>
    <w:p w:rsidR="0025269E" w:rsidRPr="0025269E" w:rsidP="0011735A">
      <w:pPr>
        <w:widowControl/>
        <w:autoSpaceDE w:val="0"/>
        <w:autoSpaceDN w:val="0"/>
        <w:adjustRightInd w:val="0"/>
        <w:ind w:firstLine="720"/>
        <w:rPr>
          <w:snapToGrid/>
          <w:color w:val="231F20"/>
          <w:kern w:val="0"/>
          <w:szCs w:val="22"/>
        </w:rPr>
      </w:pPr>
      <w:bookmarkStart w:id="1" w:name="_Hlk26972612"/>
      <w:r w:rsidRPr="0011735A">
        <w:rPr>
          <w:b/>
          <w:snapToGrid/>
          <w:color w:val="231F20"/>
          <w:kern w:val="0"/>
          <w:szCs w:val="22"/>
        </w:rPr>
        <w:t xml:space="preserve">Domestic Section 214 Application Filed for the Transfer of Control of Helix Telephone Company to Oregon Telephone Corporation, WC Docket No. 19-307 (filed </w:t>
      </w:r>
      <w:r w:rsidR="00170171">
        <w:rPr>
          <w:b/>
          <w:snapToGrid/>
          <w:color w:val="231F20"/>
          <w:kern w:val="0"/>
          <w:szCs w:val="22"/>
        </w:rPr>
        <w:t>Oct. 23</w:t>
      </w:r>
      <w:r w:rsidRPr="0011735A">
        <w:rPr>
          <w:b/>
          <w:snapToGrid/>
          <w:color w:val="231F20"/>
          <w:kern w:val="0"/>
          <w:szCs w:val="22"/>
        </w:rPr>
        <w:t>, 2019)</w:t>
      </w:r>
      <w:r>
        <w:rPr>
          <w:snapToGrid/>
          <w:color w:val="231F20"/>
          <w:kern w:val="0"/>
          <w:szCs w:val="22"/>
        </w:rPr>
        <w:t xml:space="preserve">:  </w:t>
      </w:r>
      <w:bookmarkEnd w:id="1"/>
      <w:r>
        <w:rPr>
          <w:snapToGrid/>
          <w:color w:val="231F20"/>
          <w:kern w:val="0"/>
          <w:szCs w:val="22"/>
        </w:rPr>
        <w:t xml:space="preserve">On November 6, 2019, the Bureau released a Public Notice </w:t>
      </w:r>
      <w:r w:rsidR="008B4602">
        <w:rPr>
          <w:snapToGrid/>
          <w:color w:val="231F20"/>
          <w:kern w:val="0"/>
          <w:szCs w:val="22"/>
        </w:rPr>
        <w:t>seeking</w:t>
      </w:r>
      <w:r>
        <w:rPr>
          <w:snapToGrid/>
          <w:color w:val="231F20"/>
          <w:kern w:val="0"/>
          <w:szCs w:val="22"/>
        </w:rPr>
        <w:t xml:space="preserve"> </w:t>
      </w:r>
      <w:bookmarkStart w:id="2" w:name="_Hlk26972772"/>
      <w:r>
        <w:rPr>
          <w:snapToGrid/>
          <w:color w:val="231F20"/>
          <w:kern w:val="0"/>
          <w:szCs w:val="22"/>
        </w:rPr>
        <w:t xml:space="preserve">comment on an application filed by </w:t>
      </w:r>
      <w:bookmarkEnd w:id="2"/>
      <w:r>
        <w:rPr>
          <w:snapToGrid/>
          <w:color w:val="231F20"/>
          <w:kern w:val="0"/>
          <w:szCs w:val="22"/>
        </w:rPr>
        <w:t>James A. Smith, Timothy J. Smith, and Oregon Telephone Corporation (OTC) requesting approval to transfer control of Helix Telephone Company (Helix) from James A. Smith and Timothy J. Smith to OTC.</w:t>
      </w:r>
      <w:r w:rsidRPr="0011735A" w:rsidR="0011735A">
        <w:rPr>
          <w:szCs w:val="22"/>
          <w:vertAlign w:val="superscript"/>
        </w:rPr>
        <w:t xml:space="preserve"> </w:t>
      </w:r>
      <w:r>
        <w:rPr>
          <w:szCs w:val="22"/>
          <w:vertAlign w:val="superscript"/>
        </w:rPr>
        <w:footnoteReference w:id="4"/>
      </w:r>
      <w:r w:rsidR="0011735A">
        <w:rPr>
          <w:rFonts w:ascii="TimesNewRomanPSMT" w:hAnsi="TimesNewRomanPSMT" w:cs="TimesNewRomanPSMT"/>
          <w:szCs w:val="22"/>
        </w:rPr>
        <w:t xml:space="preserve"> </w:t>
      </w:r>
      <w:r>
        <w:rPr>
          <w:snapToGrid/>
          <w:color w:val="231F20"/>
          <w:kern w:val="0"/>
          <w:szCs w:val="22"/>
        </w:rPr>
        <w:t xml:space="preserve"> </w:t>
      </w:r>
      <w:r w:rsidRPr="0025269E">
        <w:rPr>
          <w:snapToGrid/>
          <w:color w:val="231F20"/>
          <w:kern w:val="0"/>
          <w:szCs w:val="22"/>
        </w:rPr>
        <w:t xml:space="preserve">Helix, an Oregon corporation, provides </w:t>
      </w:r>
      <w:r w:rsidR="002470F8">
        <w:rPr>
          <w:snapToGrid/>
          <w:color w:val="231F20"/>
          <w:kern w:val="0"/>
          <w:szCs w:val="22"/>
        </w:rPr>
        <w:t xml:space="preserve">telecommunications </w:t>
      </w:r>
      <w:r w:rsidRPr="0025269E">
        <w:rPr>
          <w:snapToGrid/>
          <w:color w:val="231F20"/>
          <w:kern w:val="0"/>
          <w:szCs w:val="22"/>
        </w:rPr>
        <w:t>services as a rural incumbent local exchange carrier (LEC) to 187 loops in the exchanges</w:t>
      </w:r>
      <w:r w:rsidRPr="0025269E">
        <w:rPr>
          <w:kern w:val="0"/>
          <w:sz w:val="24"/>
        </w:rPr>
        <w:t xml:space="preserve"> of </w:t>
      </w:r>
      <w:r w:rsidRPr="0025269E">
        <w:rPr>
          <w:kern w:val="0"/>
          <w:szCs w:val="22"/>
        </w:rPr>
        <w:t>Helix and Meacham</w:t>
      </w:r>
      <w:r w:rsidRPr="0025269E">
        <w:rPr>
          <w:snapToGrid/>
          <w:color w:val="231F20"/>
          <w:kern w:val="0"/>
          <w:szCs w:val="22"/>
        </w:rPr>
        <w:t>, Oregon.</w:t>
      </w:r>
      <w:r>
        <w:rPr>
          <w:rStyle w:val="FootnoteReference"/>
          <w:snapToGrid/>
          <w:kern w:val="0"/>
          <w:szCs w:val="22"/>
        </w:rPr>
        <w:footnoteReference w:id="5"/>
      </w:r>
      <w:r w:rsidRPr="0025269E">
        <w:rPr>
          <w:snapToGrid/>
          <w:color w:val="231F20"/>
          <w:kern w:val="0"/>
          <w:szCs w:val="22"/>
        </w:rPr>
        <w:t xml:space="preserve">  </w:t>
      </w:r>
      <w:r w:rsidR="00E0389F">
        <w:rPr>
          <w:snapToGrid/>
          <w:color w:val="231F20"/>
          <w:kern w:val="0"/>
          <w:szCs w:val="22"/>
        </w:rPr>
        <w:t xml:space="preserve">Helix </w:t>
      </w:r>
      <w:r w:rsidR="00E0389F">
        <w:rPr>
          <w:snapToGrid/>
          <w:kern w:val="0"/>
          <w:szCs w:val="22"/>
        </w:rPr>
        <w:t xml:space="preserve">elected to receive universal service support under the </w:t>
      </w:r>
      <w:r w:rsidRPr="00A530A3" w:rsidR="007C69C8">
        <w:rPr>
          <w:snapToGrid/>
          <w:kern w:val="0"/>
          <w:szCs w:val="22"/>
        </w:rPr>
        <w:t>Alternative Connect America Cost Model</w:t>
      </w:r>
      <w:r w:rsidR="007C69C8">
        <w:rPr>
          <w:snapToGrid/>
          <w:kern w:val="0"/>
          <w:szCs w:val="22"/>
        </w:rPr>
        <w:t xml:space="preserve"> (</w:t>
      </w:r>
      <w:r w:rsidR="00E0389F">
        <w:rPr>
          <w:snapToGrid/>
          <w:kern w:val="0"/>
          <w:szCs w:val="22"/>
        </w:rPr>
        <w:t>A-CAM</w:t>
      </w:r>
      <w:r w:rsidR="007C69C8">
        <w:rPr>
          <w:snapToGrid/>
          <w:kern w:val="0"/>
          <w:szCs w:val="22"/>
        </w:rPr>
        <w:t>)</w:t>
      </w:r>
      <w:r w:rsidR="00E0389F">
        <w:rPr>
          <w:snapToGrid/>
          <w:kern w:val="0"/>
          <w:szCs w:val="22"/>
        </w:rPr>
        <w:t>.</w:t>
      </w:r>
      <w:r>
        <w:rPr>
          <w:rStyle w:val="FootnoteReference"/>
          <w:snapToGrid/>
          <w:kern w:val="0"/>
          <w:szCs w:val="22"/>
        </w:rPr>
        <w:footnoteReference w:id="6"/>
      </w:r>
      <w:r w:rsidR="00E0389F">
        <w:rPr>
          <w:snapToGrid/>
          <w:kern w:val="0"/>
          <w:szCs w:val="22"/>
        </w:rPr>
        <w:t xml:space="preserve"> </w:t>
      </w:r>
      <w:r w:rsidR="00E0389F">
        <w:rPr>
          <w:szCs w:val="22"/>
        </w:rPr>
        <w:t xml:space="preserve"> </w:t>
      </w:r>
    </w:p>
    <w:p w:rsidR="0025269E" w:rsidRPr="0025269E" w:rsidP="0025269E">
      <w:pPr>
        <w:widowControl/>
        <w:autoSpaceDE w:val="0"/>
        <w:autoSpaceDN w:val="0"/>
        <w:adjustRightInd w:val="0"/>
        <w:ind w:firstLine="720"/>
        <w:rPr>
          <w:snapToGrid/>
          <w:color w:val="231F20"/>
          <w:kern w:val="0"/>
          <w:szCs w:val="22"/>
        </w:rPr>
      </w:pPr>
    </w:p>
    <w:p w:rsidR="009560CD" w:rsidP="006A65D3">
      <w:pPr>
        <w:widowControl/>
        <w:ind w:firstLine="720"/>
        <w:rPr>
          <w:snapToGrid/>
          <w:kern w:val="0"/>
          <w:szCs w:val="22"/>
        </w:rPr>
      </w:pPr>
      <w:r w:rsidRPr="0025269E">
        <w:rPr>
          <w:snapToGrid/>
          <w:color w:val="231F20"/>
          <w:kern w:val="0"/>
          <w:szCs w:val="22"/>
        </w:rPr>
        <w:t>OTC, an Oregon corporation, provides service as a rural incumbent LEC to 1,358 loops in the</w:t>
      </w:r>
      <w:r w:rsidRPr="0025269E">
        <w:rPr>
          <w:kern w:val="0"/>
          <w:szCs w:val="22"/>
        </w:rPr>
        <w:t xml:space="preserve"> Mt. Vernon, Bates, Prairie City, Dayville, Hereford-Unity, Harper, and Juntera exchanges in</w:t>
      </w:r>
      <w:r w:rsidRPr="0025269E">
        <w:rPr>
          <w:snapToGrid/>
          <w:color w:val="231F20"/>
          <w:kern w:val="0"/>
          <w:szCs w:val="22"/>
        </w:rPr>
        <w:t xml:space="preserve"> Oregon.</w:t>
      </w:r>
      <w:r>
        <w:rPr>
          <w:rStyle w:val="FootnoteReference"/>
          <w:snapToGrid/>
          <w:kern w:val="0"/>
          <w:szCs w:val="22"/>
        </w:rPr>
        <w:footnoteReference w:id="7"/>
      </w:r>
      <w:r w:rsidRPr="0025269E">
        <w:rPr>
          <w:snapToGrid/>
          <w:color w:val="231F20"/>
          <w:kern w:val="0"/>
          <w:szCs w:val="22"/>
        </w:rPr>
        <w:t xml:space="preserve">  Mr. </w:t>
      </w:r>
      <w:r w:rsidRPr="0025269E">
        <w:rPr>
          <w:snapToGrid/>
          <w:color w:val="231F20"/>
          <w:kern w:val="0"/>
          <w:szCs w:val="22"/>
        </w:rPr>
        <w:t>Garrin Bott, a U.S. citizen, wholly owns OTC.</w:t>
      </w:r>
      <w:r>
        <w:rPr>
          <w:rStyle w:val="FootnoteReference"/>
          <w:snapToGrid/>
          <w:kern w:val="0"/>
          <w:szCs w:val="22"/>
        </w:rPr>
        <w:footnoteReference w:id="8"/>
      </w:r>
      <w:r w:rsidRPr="0025269E">
        <w:rPr>
          <w:snapToGrid/>
          <w:kern w:val="0"/>
          <w:szCs w:val="22"/>
        </w:rPr>
        <w:t xml:space="preserve">  </w:t>
      </w:r>
      <w:r w:rsidR="009C7271">
        <w:rPr>
          <w:snapToGrid/>
          <w:color w:val="231F20"/>
          <w:kern w:val="0"/>
          <w:szCs w:val="22"/>
        </w:rPr>
        <w:t xml:space="preserve">OTC </w:t>
      </w:r>
      <w:r w:rsidR="009C7271">
        <w:rPr>
          <w:snapToGrid/>
          <w:kern w:val="0"/>
          <w:szCs w:val="22"/>
        </w:rPr>
        <w:t>elected to receive universal service support und</w:t>
      </w:r>
      <w:bookmarkStart w:id="4" w:name="_GoBack"/>
      <w:bookmarkEnd w:id="4"/>
      <w:r w:rsidR="009C7271">
        <w:rPr>
          <w:snapToGrid/>
          <w:kern w:val="0"/>
          <w:szCs w:val="22"/>
        </w:rPr>
        <w:t>er the A-CAM</w:t>
      </w:r>
      <w:r w:rsidR="00356188">
        <w:rPr>
          <w:snapToGrid/>
          <w:kern w:val="0"/>
          <w:szCs w:val="22"/>
        </w:rPr>
        <w:t xml:space="preserve"> II</w:t>
      </w:r>
      <w:r w:rsidR="009C7271">
        <w:rPr>
          <w:snapToGrid/>
          <w:kern w:val="0"/>
          <w:szCs w:val="22"/>
        </w:rPr>
        <w:t>.</w:t>
      </w:r>
      <w:r>
        <w:rPr>
          <w:rStyle w:val="FootnoteReference"/>
          <w:snapToGrid/>
          <w:kern w:val="0"/>
          <w:szCs w:val="22"/>
        </w:rPr>
        <w:footnoteReference w:id="9"/>
      </w:r>
      <w:r w:rsidR="009C7271">
        <w:rPr>
          <w:snapToGrid/>
          <w:kern w:val="0"/>
          <w:szCs w:val="22"/>
        </w:rPr>
        <w:t xml:space="preserve">  </w:t>
      </w:r>
      <w:r w:rsidRPr="0025269E">
        <w:rPr>
          <w:snapToGrid/>
          <w:kern w:val="0"/>
          <w:szCs w:val="22"/>
        </w:rPr>
        <w:t>Applicants state that OTC holds 95% of the interest in North-State Telephone Co. (North-State), an Oregon corporation, serving as a rural incumbent LEC in the Dufur exchange in Oregon,</w:t>
      </w:r>
      <w:r>
        <w:rPr>
          <w:snapToGrid/>
          <w:kern w:val="0"/>
          <w:szCs w:val="22"/>
          <w:vertAlign w:val="superscript"/>
        </w:rPr>
        <w:footnoteReference w:id="10"/>
      </w:r>
      <w:r w:rsidRPr="0025269E">
        <w:rPr>
          <w:snapToGrid/>
          <w:kern w:val="0"/>
          <w:szCs w:val="22"/>
        </w:rPr>
        <w:t xml:space="preserve"> and wholly owns </w:t>
      </w:r>
      <w:r w:rsidRPr="0025269E">
        <w:rPr>
          <w:kern w:val="0"/>
          <w:szCs w:val="22"/>
        </w:rPr>
        <w:t>New Florence Telephone Company (New Florence), a Missouri corporation, serving as a rural incumbent LEC in the New Florence exchange in Missouri.</w:t>
      </w:r>
      <w:r>
        <w:rPr>
          <w:kern w:val="0"/>
          <w:szCs w:val="22"/>
          <w:vertAlign w:val="superscript"/>
        </w:rPr>
        <w:footnoteReference w:id="11"/>
      </w:r>
      <w:r w:rsidRPr="0025269E">
        <w:rPr>
          <w:kern w:val="0"/>
          <w:szCs w:val="22"/>
        </w:rPr>
        <w:t xml:space="preserve"> </w:t>
      </w:r>
      <w:r w:rsidRPr="0025269E">
        <w:rPr>
          <w:snapToGrid/>
          <w:color w:val="231F20"/>
          <w:kern w:val="0"/>
          <w:szCs w:val="22"/>
        </w:rPr>
        <w:t xml:space="preserve"> </w:t>
      </w:r>
      <w:r w:rsidR="009C7271">
        <w:rPr>
          <w:snapToGrid/>
          <w:kern w:val="0"/>
          <w:szCs w:val="22"/>
        </w:rPr>
        <w:t xml:space="preserve">OTC’s affiliates receive high cost support through different mechanisms.  </w:t>
      </w:r>
      <w:r w:rsidR="009C7271">
        <w:rPr>
          <w:snapToGrid/>
          <w:color w:val="231F20"/>
          <w:kern w:val="0"/>
          <w:szCs w:val="22"/>
        </w:rPr>
        <w:t>New Florence</w:t>
      </w:r>
      <w:r w:rsidR="00356188">
        <w:rPr>
          <w:snapToGrid/>
          <w:color w:val="231F20"/>
          <w:kern w:val="0"/>
          <w:szCs w:val="22"/>
        </w:rPr>
        <w:t>,</w:t>
      </w:r>
      <w:r w:rsidR="009C7271">
        <w:rPr>
          <w:snapToGrid/>
          <w:color w:val="231F20"/>
          <w:kern w:val="0"/>
          <w:szCs w:val="22"/>
        </w:rPr>
        <w:t xml:space="preserve"> </w:t>
      </w:r>
      <w:r w:rsidR="00356188">
        <w:rPr>
          <w:snapToGrid/>
          <w:color w:val="231F20"/>
          <w:kern w:val="0"/>
          <w:szCs w:val="22"/>
        </w:rPr>
        <w:t xml:space="preserve">and its incumbent LEC subsidiaries, </w:t>
      </w:r>
      <w:r w:rsidR="00346506">
        <w:rPr>
          <w:snapToGrid/>
          <w:color w:val="231F20"/>
          <w:kern w:val="0"/>
          <w:szCs w:val="22"/>
        </w:rPr>
        <w:t xml:space="preserve">and North-State, along with two of its incumbent LEC subsidiaries, Home Telephone and Pine Telephone, </w:t>
      </w:r>
      <w:r w:rsidR="009C7271">
        <w:rPr>
          <w:snapToGrid/>
          <w:kern w:val="0"/>
          <w:szCs w:val="22"/>
        </w:rPr>
        <w:t>elected to receive universal service support under the A-CAM</w:t>
      </w:r>
      <w:r w:rsidR="00346506">
        <w:rPr>
          <w:snapToGrid/>
          <w:kern w:val="0"/>
          <w:szCs w:val="22"/>
        </w:rPr>
        <w:t xml:space="preserve"> and A-CAM II</w:t>
      </w:r>
      <w:r w:rsidR="00576F3C">
        <w:rPr>
          <w:snapToGrid/>
          <w:kern w:val="0"/>
          <w:szCs w:val="22"/>
        </w:rPr>
        <w:t>.</w:t>
      </w:r>
      <w:r>
        <w:rPr>
          <w:rStyle w:val="FootnoteReference"/>
          <w:snapToGrid/>
          <w:kern w:val="0"/>
          <w:szCs w:val="22"/>
        </w:rPr>
        <w:footnoteReference w:id="12"/>
      </w:r>
      <w:r w:rsidR="009C7271">
        <w:rPr>
          <w:snapToGrid/>
          <w:kern w:val="0"/>
          <w:szCs w:val="22"/>
        </w:rPr>
        <w:t xml:space="preserve">  </w:t>
      </w:r>
      <w:r w:rsidR="00714BDA">
        <w:rPr>
          <w:snapToGrid/>
          <w:kern w:val="0"/>
          <w:szCs w:val="22"/>
        </w:rPr>
        <w:t xml:space="preserve">North-State’s other incumbent LEC subsidiary, </w:t>
      </w:r>
      <w:r w:rsidR="00E7470B">
        <w:rPr>
          <w:snapToGrid/>
          <w:kern w:val="0"/>
          <w:szCs w:val="22"/>
        </w:rPr>
        <w:t>Skyline Telecom</w:t>
      </w:r>
      <w:r w:rsidR="00714BDA">
        <w:rPr>
          <w:snapToGrid/>
          <w:kern w:val="0"/>
          <w:szCs w:val="22"/>
        </w:rPr>
        <w:t>,</w:t>
      </w:r>
      <w:r w:rsidR="00E7470B">
        <w:rPr>
          <w:snapToGrid/>
          <w:kern w:val="0"/>
          <w:szCs w:val="22"/>
        </w:rPr>
        <w:t xml:space="preserve"> </w:t>
      </w:r>
      <w:bookmarkStart w:id="7" w:name="_Hlk26973255"/>
      <w:r w:rsidR="00DC32C3">
        <w:rPr>
          <w:snapToGrid/>
          <w:kern w:val="0"/>
          <w:szCs w:val="22"/>
        </w:rPr>
        <w:t xml:space="preserve">did not elect to receive model-based support and </w:t>
      </w:r>
      <w:r w:rsidR="00DC32C3">
        <w:rPr>
          <w:szCs w:val="22"/>
        </w:rPr>
        <w:t>receives cost-based universal service support for its incumbent LEC services.</w:t>
      </w:r>
      <w:r>
        <w:rPr>
          <w:rStyle w:val="FootnoteReference"/>
          <w:szCs w:val="22"/>
        </w:rPr>
        <w:footnoteReference w:id="13"/>
      </w:r>
      <w:bookmarkEnd w:id="7"/>
      <w:r w:rsidR="00DC32C3">
        <w:rPr>
          <w:szCs w:val="22"/>
        </w:rPr>
        <w:t xml:space="preserve">  </w:t>
      </w:r>
      <w:r w:rsidRPr="0025269E">
        <w:rPr>
          <w:snapToGrid/>
          <w:color w:val="231F20"/>
          <w:kern w:val="0"/>
          <w:szCs w:val="22"/>
        </w:rPr>
        <w:t>Applicants further state that OTC wholly owns MD Communications, an Oregon corporation, providing long distance services in Oregon, including the exchanges served by North-State, Home Telephone, and Pine Telephone</w:t>
      </w:r>
      <w:r w:rsidRPr="00B76D5C">
        <w:rPr>
          <w:snapToGrid/>
          <w:color w:val="231F20"/>
          <w:kern w:val="0"/>
          <w:szCs w:val="22"/>
        </w:rPr>
        <w:t>.</w:t>
      </w:r>
      <w:r>
        <w:rPr>
          <w:rStyle w:val="FootnoteReference"/>
          <w:snapToGrid/>
          <w:kern w:val="0"/>
          <w:szCs w:val="22"/>
        </w:rPr>
        <w:footnoteReference w:id="14"/>
      </w:r>
      <w:r w:rsidRPr="00B76D5C">
        <w:rPr>
          <w:snapToGrid/>
          <w:color w:val="231F20"/>
          <w:kern w:val="0"/>
          <w:szCs w:val="22"/>
        </w:rPr>
        <w:t xml:space="preserve"> </w:t>
      </w:r>
      <w:r w:rsidRPr="00B76D5C" w:rsidR="009C7271">
        <w:rPr>
          <w:snapToGrid/>
          <w:color w:val="231F20"/>
          <w:kern w:val="0"/>
          <w:szCs w:val="22"/>
        </w:rPr>
        <w:t xml:space="preserve"> </w:t>
      </w:r>
      <w:r w:rsidRPr="00B76D5C" w:rsidR="008F04B1">
        <w:rPr>
          <w:snapToGrid/>
          <w:color w:val="231F20"/>
          <w:kern w:val="0"/>
          <w:szCs w:val="22"/>
        </w:rPr>
        <w:t>Helix and OTC</w:t>
      </w:r>
      <w:r w:rsidRPr="00B76D5C" w:rsidR="009C7271">
        <w:rPr>
          <w:snapToGrid/>
          <w:kern w:val="0"/>
          <w:szCs w:val="22"/>
        </w:rPr>
        <w:t>, together with their affiliates, have no overlapping or adjacent incumbent LEC service areas.</w:t>
      </w:r>
      <w:r>
        <w:rPr>
          <w:rStyle w:val="FootnoteReference"/>
          <w:snapToGrid/>
          <w:kern w:val="0"/>
          <w:szCs w:val="22"/>
        </w:rPr>
        <w:footnoteReference w:id="15"/>
      </w:r>
      <w:r w:rsidR="009C7271">
        <w:rPr>
          <w:snapToGrid/>
          <w:kern w:val="0"/>
          <w:szCs w:val="22"/>
        </w:rPr>
        <w:t xml:space="preserve">  </w:t>
      </w:r>
    </w:p>
    <w:p w:rsidR="006A65D3" w:rsidP="006A65D3">
      <w:pPr>
        <w:widowControl/>
        <w:ind w:firstLine="720"/>
        <w:rPr>
          <w:b/>
        </w:rPr>
      </w:pPr>
    </w:p>
    <w:p w:rsidR="006D2EA5" w:rsidP="006A65D3">
      <w:pPr>
        <w:ind w:firstLine="720"/>
        <w:rPr>
          <w:szCs w:val="22"/>
        </w:rPr>
      </w:pPr>
      <w:r w:rsidRPr="0011735A">
        <w:rPr>
          <w:b/>
          <w:snapToGrid/>
          <w:color w:val="231F20"/>
          <w:kern w:val="0"/>
          <w:szCs w:val="22"/>
        </w:rPr>
        <w:t xml:space="preserve">Domestic Section 214 Application Filed for the Transfer of Control of </w:t>
      </w:r>
      <w:r>
        <w:rPr>
          <w:b/>
          <w:snapToGrid/>
          <w:color w:val="231F20"/>
          <w:kern w:val="0"/>
          <w:szCs w:val="22"/>
        </w:rPr>
        <w:t>Farber Telephone Company to New Florence Telephone Company</w:t>
      </w:r>
      <w:r w:rsidRPr="0011735A">
        <w:rPr>
          <w:b/>
          <w:snapToGrid/>
          <w:color w:val="231F20"/>
          <w:kern w:val="0"/>
          <w:szCs w:val="22"/>
        </w:rPr>
        <w:t>, WC Docket No. 19-3</w:t>
      </w:r>
      <w:r>
        <w:rPr>
          <w:b/>
          <w:snapToGrid/>
          <w:color w:val="231F20"/>
          <w:kern w:val="0"/>
          <w:szCs w:val="22"/>
        </w:rPr>
        <w:t>36</w:t>
      </w:r>
      <w:r w:rsidRPr="0011735A">
        <w:rPr>
          <w:b/>
          <w:snapToGrid/>
          <w:color w:val="231F20"/>
          <w:kern w:val="0"/>
          <w:szCs w:val="22"/>
        </w:rPr>
        <w:t xml:space="preserve"> (filed Nov. 1</w:t>
      </w:r>
      <w:r>
        <w:rPr>
          <w:b/>
          <w:snapToGrid/>
          <w:color w:val="231F20"/>
          <w:kern w:val="0"/>
          <w:szCs w:val="22"/>
        </w:rPr>
        <w:t>2</w:t>
      </w:r>
      <w:r w:rsidRPr="0011735A">
        <w:rPr>
          <w:b/>
          <w:snapToGrid/>
          <w:color w:val="231F20"/>
          <w:kern w:val="0"/>
          <w:szCs w:val="22"/>
        </w:rPr>
        <w:t>, 2019)</w:t>
      </w:r>
      <w:r>
        <w:rPr>
          <w:snapToGrid/>
          <w:color w:val="231F20"/>
          <w:kern w:val="0"/>
          <w:szCs w:val="22"/>
        </w:rPr>
        <w:t>:  On November 20, 2019, the Bureau released a Public Notice requesting</w:t>
      </w:r>
      <w:r w:rsidRPr="008B4602">
        <w:rPr>
          <w:snapToGrid/>
          <w:color w:val="231F20"/>
          <w:kern w:val="0"/>
          <w:szCs w:val="22"/>
        </w:rPr>
        <w:t xml:space="preserve"> </w:t>
      </w:r>
      <w:r>
        <w:rPr>
          <w:snapToGrid/>
          <w:color w:val="231F20"/>
          <w:kern w:val="0"/>
          <w:szCs w:val="22"/>
        </w:rPr>
        <w:t xml:space="preserve">comment on an application filed by </w:t>
      </w:r>
      <w:bookmarkStart w:id="8" w:name="_Hlk24451975"/>
      <w:r>
        <w:rPr>
          <w:szCs w:val="22"/>
        </w:rPr>
        <w:t>Charles W. Crow, Ruth Ann Crow, and David R. Crow</w:t>
      </w:r>
      <w:bookmarkEnd w:id="8"/>
      <w:r>
        <w:rPr>
          <w:szCs w:val="22"/>
        </w:rPr>
        <w:t xml:space="preserve"> (Transferors) and New Florence </w:t>
      </w:r>
      <w:r w:rsidRPr="00445585">
        <w:rPr>
          <w:szCs w:val="22"/>
        </w:rPr>
        <w:t xml:space="preserve">requesting </w:t>
      </w:r>
      <w:r w:rsidRPr="00445585">
        <w:rPr>
          <w:szCs w:val="22"/>
        </w:rPr>
        <w:t xml:space="preserve">consent to </w:t>
      </w:r>
      <w:r>
        <w:rPr>
          <w:szCs w:val="22"/>
        </w:rPr>
        <w:t xml:space="preserve">transfer control of </w:t>
      </w:r>
      <w:r>
        <w:rPr>
          <w:color w:val="231F20"/>
          <w:szCs w:val="22"/>
        </w:rPr>
        <w:t xml:space="preserve">Farber Telephone Company (Farber) from Transferors to </w:t>
      </w:r>
      <w:r w:rsidRPr="00FE52EB">
        <w:rPr>
          <w:color w:val="231F20"/>
          <w:szCs w:val="22"/>
        </w:rPr>
        <w:t>New Florence</w:t>
      </w:r>
      <w:r>
        <w:rPr>
          <w:color w:val="231F20"/>
          <w:szCs w:val="22"/>
        </w:rPr>
        <w:t>.</w:t>
      </w:r>
      <w:r>
        <w:rPr>
          <w:rStyle w:val="FootnoteReference"/>
          <w:szCs w:val="22"/>
        </w:rPr>
        <w:footnoteReference w:id="16"/>
      </w:r>
      <w:r>
        <w:rPr>
          <w:snapToGrid/>
          <w:color w:val="231F20"/>
          <w:kern w:val="0"/>
          <w:szCs w:val="22"/>
        </w:rPr>
        <w:t xml:space="preserve"> </w:t>
      </w:r>
      <w:r>
        <w:rPr>
          <w:snapToGrid/>
          <w:color w:val="231F20"/>
          <w:kern w:val="0"/>
          <w:szCs w:val="22"/>
        </w:rPr>
        <w:t xml:space="preserve"> </w:t>
      </w:r>
      <w:r>
        <w:rPr>
          <w:color w:val="231F20"/>
          <w:szCs w:val="22"/>
        </w:rPr>
        <w:t xml:space="preserve">Farber, a Missouri corporation, provides services as a rural incumbent </w:t>
      </w:r>
      <w:r w:rsidR="006A65D3">
        <w:rPr>
          <w:color w:val="231F20"/>
          <w:szCs w:val="22"/>
        </w:rPr>
        <w:t>LEC</w:t>
      </w:r>
      <w:r>
        <w:rPr>
          <w:color w:val="231F20"/>
          <w:szCs w:val="22"/>
        </w:rPr>
        <w:t xml:space="preserve"> to 103 loops in the Farber </w:t>
      </w:r>
      <w:r w:rsidR="00B45C5D">
        <w:rPr>
          <w:color w:val="231F20"/>
          <w:szCs w:val="22"/>
        </w:rPr>
        <w:t xml:space="preserve">exchange </w:t>
      </w:r>
      <w:r>
        <w:rPr>
          <w:color w:val="231F20"/>
          <w:szCs w:val="22"/>
        </w:rPr>
        <w:t>in Missouri.</w:t>
      </w:r>
      <w:r>
        <w:rPr>
          <w:rStyle w:val="FootnoteReference"/>
          <w:szCs w:val="22"/>
        </w:rPr>
        <w:footnoteReference w:id="17"/>
      </w:r>
      <w:r>
        <w:rPr>
          <w:color w:val="231F20"/>
          <w:szCs w:val="22"/>
        </w:rPr>
        <w:t xml:space="preserve">  Farber </w:t>
      </w:r>
      <w:r>
        <w:rPr>
          <w:snapToGrid/>
          <w:kern w:val="0"/>
          <w:szCs w:val="22"/>
        </w:rPr>
        <w:t xml:space="preserve">did not elect to receive model-based support and </w:t>
      </w:r>
      <w:r>
        <w:rPr>
          <w:szCs w:val="22"/>
        </w:rPr>
        <w:t>receives cost-based universal service support for its incumbent LEC services.</w:t>
      </w:r>
      <w:r>
        <w:rPr>
          <w:rStyle w:val="FootnoteReference"/>
          <w:szCs w:val="22"/>
        </w:rPr>
        <w:footnoteReference w:id="18"/>
      </w:r>
    </w:p>
    <w:p w:rsidR="006D2EA5" w:rsidP="008C7AD1">
      <w:pPr>
        <w:rPr>
          <w:szCs w:val="22"/>
        </w:rPr>
      </w:pPr>
    </w:p>
    <w:p w:rsidR="008B4602" w:rsidRPr="007069DD" w:rsidP="006A65D3">
      <w:pPr>
        <w:pStyle w:val="FootnoteText"/>
        <w:rPr>
          <w:b/>
          <w:sz w:val="22"/>
          <w:szCs w:val="22"/>
        </w:rPr>
      </w:pPr>
      <w:r>
        <w:rPr>
          <w:szCs w:val="22"/>
        </w:rPr>
        <w:tab/>
      </w:r>
      <w:r w:rsidRPr="007069DD">
        <w:rPr>
          <w:sz w:val="22"/>
          <w:szCs w:val="22"/>
        </w:rPr>
        <w:t xml:space="preserve">New Florence, as described above, is an incumbent LEC in the New Florence </w:t>
      </w:r>
      <w:r w:rsidR="001D1964">
        <w:rPr>
          <w:sz w:val="22"/>
          <w:szCs w:val="22"/>
        </w:rPr>
        <w:t>exchange</w:t>
      </w:r>
      <w:r w:rsidRPr="007069DD">
        <w:rPr>
          <w:sz w:val="22"/>
          <w:szCs w:val="22"/>
        </w:rPr>
        <w:t xml:space="preserve"> in Missouri</w:t>
      </w:r>
      <w:r w:rsidR="00170171">
        <w:rPr>
          <w:sz w:val="22"/>
          <w:szCs w:val="22"/>
        </w:rPr>
        <w:t>.  Its</w:t>
      </w:r>
      <w:r w:rsidRPr="007069DD">
        <w:rPr>
          <w:sz w:val="22"/>
          <w:szCs w:val="22"/>
        </w:rPr>
        <w:t xml:space="preserve"> incumbent LEC</w:t>
      </w:r>
      <w:r w:rsidRPr="007069DD">
        <w:rPr>
          <w:color w:val="231F20"/>
          <w:sz w:val="22"/>
          <w:szCs w:val="22"/>
        </w:rPr>
        <w:t xml:space="preserve"> subsidiaries </w:t>
      </w:r>
      <w:r w:rsidRPr="007069DD">
        <w:rPr>
          <w:sz w:val="22"/>
          <w:szCs w:val="22"/>
        </w:rPr>
        <w:t>elected to receive universal service support under the A-CAM and A-CAM II.</w:t>
      </w:r>
      <w:r>
        <w:rPr>
          <w:rStyle w:val="FootnoteReference"/>
          <w:szCs w:val="22"/>
        </w:rPr>
        <w:footnoteReference w:id="19"/>
      </w:r>
      <w:r w:rsidRPr="007069DD">
        <w:rPr>
          <w:sz w:val="22"/>
          <w:szCs w:val="22"/>
        </w:rPr>
        <w:t xml:space="preserve">  Applicants state that New Florence and its incumbent LEC subsidiaries do not overlap, and are not adjacent to, Farber.</w:t>
      </w:r>
      <w:r>
        <w:rPr>
          <w:rStyle w:val="FootnoteReference"/>
          <w:szCs w:val="22"/>
        </w:rPr>
        <w:footnoteReference w:id="20"/>
      </w:r>
      <w:r w:rsidRPr="007069DD">
        <w:rPr>
          <w:sz w:val="22"/>
          <w:szCs w:val="22"/>
        </w:rPr>
        <w:t xml:space="preserve"> </w:t>
      </w:r>
    </w:p>
    <w:p w:rsidR="0047633D" w:rsidRPr="00A530A3" w:rsidP="0047633D">
      <w:pPr>
        <w:tabs>
          <w:tab w:val="left" w:pos="3210"/>
        </w:tabs>
        <w:ind w:firstLine="720"/>
        <w:rPr>
          <w:snapToGrid/>
          <w:kern w:val="0"/>
          <w:szCs w:val="22"/>
        </w:rPr>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w:t>
      </w:r>
      <w:r w:rsidRPr="00A530A3">
        <w:rPr>
          <w:szCs w:val="22"/>
        </w:rPr>
        <w:t>The Applicants request approval to consummate transaction</w:t>
      </w:r>
      <w:r w:rsidR="007069DD">
        <w:rPr>
          <w:szCs w:val="22"/>
        </w:rPr>
        <w:t>s</w:t>
      </w:r>
      <w:r w:rsidRPr="00A530A3">
        <w:rPr>
          <w:szCs w:val="22"/>
        </w:rPr>
        <w:t xml:space="preserve"> involving companies that receive high-cost universal service support under the different mechanisms of fixed model-based 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21"/>
      </w:r>
      <w:r w:rsidRPr="00A530A3">
        <w:rPr>
          <w:szCs w:val="22"/>
        </w:rPr>
        <w:t xml:space="preserve">  </w:t>
      </w:r>
      <w:r w:rsidRPr="00A530A3">
        <w:t>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rStyle w:val="FootnoteReference"/>
        </w:rPr>
        <w:footnoteReference w:id="22"/>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23"/>
      </w:r>
      <w:r w:rsidRPr="00A530A3">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24"/>
      </w:r>
      <w:r w:rsidRPr="00A530A3">
        <w:rPr>
          <w:snapToGrid/>
          <w:kern w:val="0"/>
          <w:sz w:val="13"/>
          <w:szCs w:val="13"/>
        </w:rPr>
        <w:t xml:space="preserve">  </w:t>
      </w:r>
      <w:r w:rsidRPr="00A530A3">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25"/>
      </w:r>
    </w:p>
    <w:p w:rsidR="0047633D" w:rsidP="0047633D">
      <w:pPr>
        <w:widowControl/>
        <w:autoSpaceDE w:val="0"/>
        <w:autoSpaceDN w:val="0"/>
        <w:adjustRightInd w:val="0"/>
        <w:rPr>
          <w:rFonts w:ascii="TimesNewRomanPSMT" w:hAnsi="TimesNewRomanPSMT" w:cs="TimesNewRomanPSMT"/>
          <w:snapToGrid/>
          <w:kern w:val="0"/>
          <w:szCs w:val="22"/>
        </w:rPr>
      </w:pPr>
    </w:p>
    <w:p w:rsidR="003F2288" w:rsidP="003F2288">
      <w:pPr>
        <w:tabs>
          <w:tab w:val="left" w:pos="3210"/>
        </w:tabs>
        <w:ind w:firstLine="720"/>
        <w:rPr>
          <w:szCs w:val="22"/>
        </w:rPr>
      </w:pPr>
      <w:r>
        <w:rPr>
          <w:szCs w:val="22"/>
        </w:rPr>
        <w:t xml:space="preserve">In the </w:t>
      </w:r>
      <w:r w:rsidRPr="00496424">
        <w:rPr>
          <w:i/>
          <w:szCs w:val="22"/>
        </w:rPr>
        <w:t>Hargray/ComSouth Order</w:t>
      </w:r>
      <w:r>
        <w:rPr>
          <w:szCs w:val="22"/>
        </w:rPr>
        <w:t xml:space="preserve">, in which the Commission approved a mixed support transaction, it sought to </w:t>
      </w:r>
      <w:r w:rsidRPr="008B3790">
        <w:rPr>
          <w:szCs w:val="22"/>
        </w:rPr>
        <w:t>pr</w:t>
      </w:r>
      <w:r>
        <w:rPr>
          <w:szCs w:val="22"/>
        </w:rPr>
        <w:t>event cost shifting and to pr</w:t>
      </w:r>
      <w:r w:rsidRPr="008B3790">
        <w:rPr>
          <w:szCs w:val="22"/>
        </w:rPr>
        <w:t xml:space="preserve">otect the </w:t>
      </w:r>
      <w:r>
        <w:rPr>
          <w:szCs w:val="22"/>
        </w:rPr>
        <w:t>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26"/>
      </w:r>
      <w:r>
        <w:rPr>
          <w:szCs w:val="22"/>
        </w:rPr>
        <w:t xml:space="preserve">  The Commission also </w:t>
      </w:r>
      <w:r w:rsidRPr="008B3790">
        <w:rPr>
          <w:szCs w:val="22"/>
        </w:rPr>
        <w:t xml:space="preserve">directed the Bureau to </w:t>
      </w:r>
      <w:r>
        <w:rPr>
          <w:szCs w:val="22"/>
        </w:rPr>
        <w:t xml:space="preserve">impose the same limited condition on future transactions between parties receiving different </w:t>
      </w:r>
      <w:r>
        <w:rPr>
          <w:szCs w:val="22"/>
        </w:rPr>
        <w:t>types of high-cost universal service support.</w:t>
      </w:r>
      <w:r>
        <w:rPr>
          <w:szCs w:val="22"/>
          <w:vertAlign w:val="superscript"/>
        </w:rPr>
        <w:footnoteReference w:id="27"/>
      </w:r>
      <w:r w:rsidRPr="008B3790">
        <w:rPr>
          <w:szCs w:val="22"/>
        </w:rPr>
        <w:t xml:space="preserve">  </w:t>
      </w:r>
    </w:p>
    <w:p w:rsidR="003F2288" w:rsidP="003F2288">
      <w:pPr>
        <w:tabs>
          <w:tab w:val="left" w:pos="3210"/>
        </w:tabs>
        <w:ind w:firstLine="720"/>
        <w:rPr>
          <w:szCs w:val="22"/>
        </w:rPr>
      </w:pPr>
    </w:p>
    <w:p w:rsidR="003F2288" w:rsidP="003F2288">
      <w:pPr>
        <w:tabs>
          <w:tab w:val="left" w:pos="3210"/>
        </w:tabs>
        <w:ind w:firstLine="720"/>
      </w:pPr>
      <w:r>
        <w:rPr>
          <w:szCs w:val="22"/>
        </w:rPr>
        <w:t xml:space="preserve">In the </w:t>
      </w:r>
      <w:r w:rsidR="007069DD">
        <w:rPr>
          <w:szCs w:val="22"/>
        </w:rPr>
        <w:t xml:space="preserve">Helix/OTC transaction, OTC, which is affiliated with a cost-based support company, Skyline Telecom, seeks to acquire Helix, a fixed model-based support company.  In the Farber/New Florence transaction, New Florence, a model-based support company that is </w:t>
      </w:r>
      <w:r w:rsidR="00170171">
        <w:rPr>
          <w:szCs w:val="22"/>
        </w:rPr>
        <w:t xml:space="preserve">also </w:t>
      </w:r>
      <w:r w:rsidR="007069DD">
        <w:rPr>
          <w:szCs w:val="22"/>
        </w:rPr>
        <w:t xml:space="preserve">affiliated with </w:t>
      </w:r>
      <w:r w:rsidR="00170171">
        <w:rPr>
          <w:szCs w:val="22"/>
        </w:rPr>
        <w:t>OTC</w:t>
      </w:r>
      <w:r w:rsidR="007069DD">
        <w:rPr>
          <w:szCs w:val="22"/>
        </w:rPr>
        <w:t>, seeks to acquire Farber, a cost-based support company.  T</w:t>
      </w:r>
      <w:r>
        <w:rPr>
          <w:szCs w:val="22"/>
        </w:rPr>
        <w:t>he</w:t>
      </w:r>
      <w:r w:rsidR="007069DD">
        <w:rPr>
          <w:szCs w:val="22"/>
        </w:rPr>
        <w:t>refore, the</w:t>
      </w:r>
      <w:r>
        <w:rPr>
          <w:szCs w:val="22"/>
        </w:rPr>
        <w:t xml:space="preserve"> potential for harm caused by cost-shifting is </w:t>
      </w:r>
      <w:r w:rsidR="007069DD">
        <w:rPr>
          <w:szCs w:val="22"/>
        </w:rPr>
        <w:t xml:space="preserve">specific to both </w:t>
      </w:r>
      <w:r>
        <w:rPr>
          <w:szCs w:val="22"/>
        </w:rPr>
        <w:t>transaction</w:t>
      </w:r>
      <w:r w:rsidR="007069DD">
        <w:rPr>
          <w:szCs w:val="22"/>
        </w:rPr>
        <w:t>s</w:t>
      </w:r>
      <w:r>
        <w:rPr>
          <w:szCs w:val="22"/>
        </w:rPr>
        <w:t xml:space="preserve">.  </w:t>
      </w:r>
      <w:r w:rsidRPr="00C0281C">
        <w:rPr>
          <w:szCs w:val="22"/>
        </w:rPr>
        <w:t>Accordingly, to mitigate the potential for cost shifting, we grant the Application</w:t>
      </w:r>
      <w:r w:rsidR="007069DD">
        <w:rPr>
          <w:szCs w:val="22"/>
        </w:rPr>
        <w:t>s</w:t>
      </w:r>
      <w:r w:rsidRPr="00C0281C">
        <w:rPr>
          <w:szCs w:val="22"/>
        </w:rPr>
        <w:t xml:space="preserve"> subject to the condition adopted in the </w:t>
      </w:r>
      <w:r w:rsidRPr="00C0281C">
        <w:rPr>
          <w:i/>
          <w:szCs w:val="22"/>
        </w:rPr>
        <w:t>Hargray/ComSouth Order</w:t>
      </w:r>
      <w:r w:rsidRPr="00C0281C">
        <w:rPr>
          <w:szCs w:val="22"/>
        </w:rPr>
        <w:t>.</w:t>
      </w:r>
      <w:r>
        <w:rPr>
          <w:rStyle w:val="FootnoteReference"/>
        </w:rPr>
        <w:footnoteReference w:id="28"/>
      </w:r>
      <w:r w:rsidRPr="00C0281C">
        <w:t xml:space="preserve">  </w:t>
      </w:r>
      <w:r w:rsidRPr="00C0281C">
        <w:rPr>
          <w:szCs w:val="22"/>
        </w:rPr>
        <w:t>The combined operating expense</w:t>
      </w:r>
      <w:r>
        <w:rPr>
          <w:szCs w:val="22"/>
        </w:rPr>
        <w:t>s</w:t>
      </w:r>
      <w:r w:rsidRPr="00C0281C">
        <w:rPr>
          <w:szCs w:val="22"/>
        </w:rPr>
        <w:t xml:space="preserve"> of </w:t>
      </w:r>
      <w:r w:rsidR="007069DD">
        <w:rPr>
          <w:szCs w:val="22"/>
        </w:rPr>
        <w:t>each</w:t>
      </w:r>
      <w:r>
        <w:rPr>
          <w:szCs w:val="22"/>
        </w:rPr>
        <w:t xml:space="preserve"> post-consummation company’s </w:t>
      </w:r>
      <w:r w:rsidRPr="00C0281C">
        <w:rPr>
          <w:szCs w:val="22"/>
        </w:rPr>
        <w:t xml:space="preserve">rate-of-return </w:t>
      </w:r>
      <w:r>
        <w:rPr>
          <w:szCs w:val="22"/>
        </w:rPr>
        <w:t>affiliates</w:t>
      </w:r>
      <w:r>
        <w:rPr>
          <w:rStyle w:val="FootnoteReference"/>
          <w:szCs w:val="22"/>
        </w:rPr>
        <w:footnoteReference w:id="29"/>
      </w:r>
      <w:r w:rsidRPr="00C0281C">
        <w:rPr>
          <w:szCs w:val="22"/>
        </w:rPr>
        <w:t xml:space="preserve"> shall be capped</w:t>
      </w:r>
      <w:r w:rsidRPr="00647A6E">
        <w:rPr>
          <w:szCs w:val="22"/>
        </w:rPr>
        <w:t xml:space="preserve"> at the averaged combined operating expense</w:t>
      </w:r>
      <w:r>
        <w:rPr>
          <w:szCs w:val="22"/>
        </w:rPr>
        <w:t>s</w:t>
      </w:r>
      <w:r w:rsidRPr="00647A6E">
        <w:rPr>
          <w:szCs w:val="22"/>
        </w:rPr>
        <w:t xml:space="preserve"> of the three calendar years preceding the transaction</w:t>
      </w:r>
      <w:r w:rsidR="001D1964">
        <w:rPr>
          <w:szCs w:val="22"/>
        </w:rPr>
        <w:t>s</w:t>
      </w:r>
      <w:r>
        <w:rPr>
          <w:szCs w:val="22"/>
        </w:rPr>
        <w:t>’</w:t>
      </w:r>
      <w:r w:rsidRPr="00647A6E">
        <w:rPr>
          <w:szCs w:val="22"/>
        </w:rPr>
        <w:t xml:space="preserve"> closing date for which the operating expense data are available</w:t>
      </w:r>
      <w:r w:rsidRPr="00C0281C">
        <w:t>.</w:t>
      </w:r>
      <w:r>
        <w:rPr>
          <w:rStyle w:val="FootnoteReference"/>
        </w:rPr>
        <w:footnoteReference w:id="30"/>
      </w:r>
      <w:r w:rsidRPr="00C0281C">
        <w:t xml:space="preserve">  </w:t>
      </w:r>
    </w:p>
    <w:p w:rsidR="003F2288" w:rsidP="003F2288">
      <w:pPr>
        <w:tabs>
          <w:tab w:val="left" w:pos="3210"/>
        </w:tabs>
        <w:ind w:firstLine="720"/>
      </w:pPr>
    </w:p>
    <w:p w:rsidR="003F2288" w:rsidRPr="00A530A3" w:rsidP="003F2288">
      <w:pPr>
        <w:autoSpaceDE w:val="0"/>
        <w:autoSpaceDN w:val="0"/>
        <w:adjustRightInd w:val="0"/>
        <w:ind w:firstLine="720"/>
      </w:pPr>
      <w:r w:rsidRPr="00A530A3">
        <w:t>The cap will apply to cost recovery under both HCLS and CAF-BLS and will be applied proportionately to each affiliate’s accounts used to determine the affiliate’s eligible operating expense for HCLS and CAF-BLS.</w:t>
      </w:r>
      <w:r>
        <w:rPr>
          <w:rStyle w:val="FootnoteReference"/>
        </w:rPr>
        <w:footnoteReference w:id="31"/>
      </w:r>
      <w:r w:rsidRPr="00A530A3">
        <w:t xml:space="preserve">  For example, if the cap requires that a post-consummation </w:t>
      </w:r>
      <w:r w:rsidRPr="00A530A3">
        <w:rPr>
          <w:szCs w:val="22"/>
        </w:rPr>
        <w:t>company’s</w:t>
      </w:r>
      <w:r w:rsidRPr="00A530A3">
        <w:t xml:space="preserve"> eligible operating expense be reduced by 10 percent, then each account used to determine each rate-of-return affiliate’s eligible operating expense</w:t>
      </w:r>
      <w:r>
        <w:t>s</w:t>
      </w:r>
      <w:r w:rsidRPr="00A530A3">
        <w:t xml:space="preserve"> shall be reduced by 10 percent.</w:t>
      </w:r>
      <w:r>
        <w:rPr>
          <w:rStyle w:val="FootnoteReference"/>
        </w:rPr>
        <w:footnoteReference w:id="32"/>
      </w:r>
      <w:r w:rsidRPr="00A530A3">
        <w:t xml:space="preserve">  For purposes of this cap, operating expense</w:t>
      </w:r>
      <w:r>
        <w:t>s</w:t>
      </w:r>
      <w:r w:rsidRPr="00A530A3">
        <w:t xml:space="preserve"> shall include maintenance, network support/network operations/general, benefits, rent expenses, and corporate operations, while depreciation, return on investment, and taxes shall be excluded.</w:t>
      </w:r>
      <w:r>
        <w:rPr>
          <w:rStyle w:val="FootnoteReference"/>
        </w:rPr>
        <w:footnoteReference w:id="33"/>
      </w:r>
    </w:p>
    <w:p w:rsidR="003F2288" w:rsidP="003F2288">
      <w:pPr>
        <w:autoSpaceDE w:val="0"/>
        <w:autoSpaceDN w:val="0"/>
        <w:adjustRightInd w:val="0"/>
        <w:ind w:firstLine="720"/>
      </w:pPr>
    </w:p>
    <w:p w:rsidR="003F2288" w:rsidP="003F2288">
      <w:pPr>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34"/>
      </w:r>
      <w:r w:rsidRPr="00A44430">
        <w:t xml:space="preserve">  </w:t>
      </w:r>
      <w:r w:rsidRPr="006650A4">
        <w:t>This cap shall remain in effect for seven years from the consummation of the transaction</w:t>
      </w:r>
      <w:r w:rsidR="001D1964">
        <w:t>s</w:t>
      </w:r>
      <w:r w:rsidRPr="006650A4">
        <w:t>.</w:t>
      </w:r>
      <w:r>
        <w:rPr>
          <w:rStyle w:val="FootnoteReference"/>
        </w:rPr>
        <w:footnoteReference w:id="35"/>
      </w:r>
      <w:r w:rsidRPr="006650A4">
        <w:t xml:space="preserve">  </w:t>
      </w:r>
      <w:r w:rsidRPr="006650A4">
        <w:t xml:space="preserve">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model-based support companies at any point during the seven-year period.</w:t>
      </w:r>
      <w:r>
        <w:rPr>
          <w:rStyle w:val="FootnoteReference"/>
        </w:rPr>
        <w:footnoteReference w:id="36"/>
      </w:r>
    </w:p>
    <w:p w:rsidR="003F2288" w:rsidP="003F2288">
      <w:pPr>
        <w:ind w:firstLine="720"/>
        <w:rPr>
          <w:color w:val="000000"/>
          <w:szCs w:val="22"/>
        </w:rPr>
      </w:pPr>
    </w:p>
    <w:p w:rsidR="003F2288" w:rsidRPr="00E415F4" w:rsidP="003F2288">
      <w:pPr>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sidR="006A65D3">
        <w:rPr>
          <w:color w:val="000000"/>
          <w:szCs w:val="22"/>
        </w:rPr>
        <w:t>s</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7"/>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pplication</w:t>
      </w:r>
      <w:r w:rsidR="001D1964">
        <w:rPr>
          <w:color w:val="000000"/>
          <w:szCs w:val="22"/>
        </w:rPr>
        <w:t>s</w:t>
      </w:r>
      <w:r w:rsidRPr="00E415F4">
        <w:rPr>
          <w:color w:val="000000"/>
          <w:szCs w:val="22"/>
        </w:rPr>
        <w:t xml:space="preserve">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38"/>
      </w:r>
      <w:r w:rsidRPr="00E415F4">
        <w:rPr>
          <w:color w:val="000000"/>
          <w:szCs w:val="22"/>
        </w:rPr>
        <w:t xml:space="preserve">  </w:t>
      </w:r>
    </w:p>
    <w:p w:rsidR="003F2288" w:rsidRPr="004F7405" w:rsidP="003F2288">
      <w:pPr>
        <w:rPr>
          <w:color w:val="000000"/>
          <w:szCs w:val="22"/>
        </w:rPr>
      </w:pPr>
    </w:p>
    <w:p w:rsidR="003F2288" w:rsidP="003F2288">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3F2288" w:rsidP="003F2288">
      <w:pPr>
        <w:ind w:firstLine="720"/>
        <w:rPr>
          <w:color w:val="000000"/>
          <w:szCs w:val="22"/>
        </w:rPr>
      </w:pPr>
    </w:p>
    <w:p w:rsidR="009560CD" w:rsidRPr="0073741A" w:rsidP="009560CD">
      <w:pPr>
        <w:jc w:val="center"/>
        <w:rPr>
          <w:color w:val="000000"/>
          <w:szCs w:val="22"/>
        </w:rPr>
      </w:pPr>
      <w:r>
        <w:rPr>
          <w:color w:val="000000"/>
          <w:szCs w:val="22"/>
        </w:rPr>
        <w:t>-FCC-</w:t>
      </w:r>
    </w:p>
    <w:p w:rsidR="009560CD" w:rsidRPr="00930ECF" w:rsidP="009560CD">
      <w:pPr>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pPr>
      <w:pStyle w:val="Footer"/>
      <w:framePr w:wrap="around" w:vAnchor="text" w:hAnchor="margin" w:xAlign="center" w:y="1"/>
    </w:pPr>
    <w:r>
      <w:fldChar w:fldCharType="begin"/>
    </w:r>
    <w:r>
      <w:instrText xml:space="preserve">PAGE  </w:instrText>
    </w:r>
    <w:r>
      <w:fldChar w:fldCharType="separate"/>
    </w:r>
    <w:r>
      <w:fldChar w:fldCharType="end"/>
    </w:r>
  </w:p>
  <w:p w:rsidR="0095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4427">
      <w:r>
        <w:separator/>
      </w:r>
    </w:p>
  </w:footnote>
  <w:footnote w:type="continuationSeparator" w:id="1">
    <w:p w:rsidR="00C44427">
      <w:pPr>
        <w:rPr>
          <w:sz w:val="20"/>
        </w:rPr>
      </w:pPr>
      <w:r>
        <w:rPr>
          <w:sz w:val="20"/>
        </w:rPr>
        <w:t xml:space="preserve">(Continued from previous page)  </w:t>
      </w:r>
      <w:r>
        <w:rPr>
          <w:sz w:val="20"/>
        </w:rPr>
        <w:separator/>
      </w:r>
    </w:p>
  </w:footnote>
  <w:footnote w:type="continuationNotice" w:id="2">
    <w:p w:rsidR="00C44427" w:rsidP="009560CD">
      <w:pPr>
        <w:jc w:val="right"/>
        <w:rPr>
          <w:sz w:val="20"/>
        </w:rPr>
      </w:pPr>
      <w:r>
        <w:rPr>
          <w:sz w:val="20"/>
        </w:rPr>
        <w:t>(continued….)</w:t>
      </w:r>
    </w:p>
  </w:footnote>
  <w:footnote w:id="3">
    <w:p w:rsidR="004762AB" w:rsidRPr="00FD3FFD" w:rsidP="004762AB">
      <w:pPr>
        <w:pStyle w:val="FootnoteText"/>
      </w:pPr>
      <w:r w:rsidRPr="00FD3FFD">
        <w:rPr>
          <w:rStyle w:val="FootnoteReference"/>
        </w:rPr>
        <w:footnoteRef/>
      </w:r>
      <w:r w:rsidRPr="00FD3FFD">
        <w:t xml:space="preserve"> </w:t>
      </w:r>
      <w:r w:rsidRPr="00FD3FFD">
        <w:rPr>
          <w:i/>
        </w:rPr>
        <w:t xml:space="preserve">See </w:t>
      </w:r>
      <w:r>
        <w:t>47 U.S.C.</w:t>
      </w:r>
      <w:r w:rsidRPr="00FD3FFD">
        <w:t xml:space="preserve"> § 214</w:t>
      </w:r>
      <w:r>
        <w:t>;</w:t>
      </w:r>
      <w:r w:rsidRPr="002B13E2">
        <w:t xml:space="preserve"> </w:t>
      </w:r>
      <w:r>
        <w:t xml:space="preserve">47 CFR </w:t>
      </w:r>
      <w:bookmarkStart w:id="0" w:name="_Hlk515884438"/>
      <w:r>
        <w:t>§</w:t>
      </w:r>
      <w:bookmarkEnd w:id="0"/>
      <w:r>
        <w:t>§ 63.03-63.04.  Application of James A. Smith and Timothy J. Smith and Oregon Telephone Corporation, WC Docket No. 19-307 (filed Oct. 23, 2019) (Helix/OTC Application</w:t>
      </w:r>
      <w:r w:rsidRPr="005874E5">
        <w:t>)</w:t>
      </w:r>
      <w:r>
        <w:t>.  Applicants filed a supplement to the Helix/OTC Application on November 1, 2019.  Letter from Richard A. Finnigan</w:t>
      </w:r>
      <w:r w:rsidR="00557F9A">
        <w:t>, Counsel to Applicants,</w:t>
      </w:r>
      <w:r>
        <w:t xml:space="preserve"> to Marlene Dortch, Secretary, F</w:t>
      </w:r>
      <w:r w:rsidR="001073F8">
        <w:t>CC</w:t>
      </w:r>
      <w:r>
        <w:t xml:space="preserve"> (filed Nov. 1, 2019) (on file in WC Docket No. 19-307) (OTC </w:t>
      </w:r>
      <w:r w:rsidRPr="0068538C">
        <w:rPr>
          <w:i/>
        </w:rPr>
        <w:t>Ex Parte</w:t>
      </w:r>
      <w:r>
        <w:t xml:space="preserve"> Letter); Application of Charles W. Crow, Ruth Ann Crow and David R. Crow and New Florence Telephone Company for Consent for Transfer of Control, WC Docket No. 19-336 (filed Nov. 1</w:t>
      </w:r>
      <w:r w:rsidR="008B4602">
        <w:t>2</w:t>
      </w:r>
      <w:r>
        <w:t>, 2019) (Farber/New Florence Application, together with Helix/OTC Application, Applications).  Any action on the Applications</w:t>
      </w:r>
      <w:r w:rsidRPr="00FD3FFD">
        <w:t xml:space="preserve"> is without prejudice to Commission action on other related, pending applications.</w:t>
      </w:r>
      <w:r>
        <w:t xml:space="preserve"> </w:t>
      </w:r>
    </w:p>
  </w:footnote>
  <w:footnote w:id="4">
    <w:p w:rsidR="0011735A" w:rsidRPr="00E20623" w:rsidP="0011735A">
      <w:pPr>
        <w:pStyle w:val="FootnoteText"/>
      </w:pPr>
      <w:r w:rsidRPr="00CC4A75">
        <w:rPr>
          <w:rStyle w:val="FootnoteReference"/>
        </w:rPr>
        <w:footnoteRef/>
      </w:r>
      <w:r w:rsidRPr="00CC4A75">
        <w:t xml:space="preserve"> </w:t>
      </w:r>
      <w:r w:rsidRPr="003870E8">
        <w:rPr>
          <w:i/>
        </w:rPr>
        <w:t xml:space="preserve">Domestic 214 Application Filed for the Transfer of Control of </w:t>
      </w:r>
      <w:r>
        <w:rPr>
          <w:i/>
        </w:rPr>
        <w:t>Helix Telephone Company to Oregon Telephone Corporation</w:t>
      </w:r>
      <w:r>
        <w:t>, WC Docket No. 19-307, Public Notice, DA 19-1151 (rel. Nov. 6, 2019).</w:t>
      </w:r>
      <w:r w:rsidRPr="00E20623">
        <w:t xml:space="preserve">  </w:t>
      </w:r>
    </w:p>
  </w:footnote>
  <w:footnote w:id="5">
    <w:p w:rsidR="00D5278C">
      <w:pPr>
        <w:pStyle w:val="FootnoteText"/>
      </w:pPr>
      <w:r>
        <w:rPr>
          <w:rStyle w:val="FootnoteReference"/>
        </w:rPr>
        <w:footnoteRef/>
      </w:r>
      <w:r>
        <w:t xml:space="preserve"> </w:t>
      </w:r>
      <w:r w:rsidR="00325FA0">
        <w:t>Helix/OTC Application at 5.</w:t>
      </w:r>
    </w:p>
  </w:footnote>
  <w:footnote w:id="6">
    <w:p w:rsidR="00E0389F" w:rsidP="00E0389F">
      <w:pPr>
        <w:pStyle w:val="FootnoteText"/>
      </w:pPr>
      <w:r>
        <w:rPr>
          <w:rStyle w:val="FootnoteReference"/>
        </w:rPr>
        <w:footnoteRef/>
      </w:r>
      <w:r>
        <w:t xml:space="preserve"> </w:t>
      </w:r>
      <w:r w:rsidRPr="006650A4">
        <w:t>Universal Service Administrative Co., Tools,</w:t>
      </w:r>
      <w:r w:rsidRPr="00BE1D98" w:rsidR="00F142E2">
        <w:rPr>
          <w:rStyle w:val="Hyperlink"/>
          <w:u w:val="none"/>
        </w:rPr>
        <w:t xml:space="preserve"> </w:t>
      </w:r>
      <w:hyperlink r:id="rId1" w:history="1">
        <w:r w:rsidRPr="00F142E2" w:rsidR="00F142E2">
          <w:rPr>
            <w:rStyle w:val="Hyperlink"/>
          </w:rPr>
          <w:t>https://www.usac.org/high-cost/resources/tools/</w:t>
        </w:r>
      </w:hyperlink>
      <w:r w:rsidRPr="006650A4">
        <w:rPr>
          <w:rStyle w:val="Hyperlink"/>
          <w:color w:val="auto"/>
          <w:u w:val="none"/>
        </w:rPr>
        <w:t>.</w:t>
      </w:r>
      <w:r>
        <w:t xml:space="preserve">  </w:t>
      </w:r>
      <w:r w:rsidRPr="00F46420" w:rsidR="007C69C8">
        <w:rPr>
          <w:i/>
        </w:rPr>
        <w:t>See</w:t>
      </w:r>
      <w:r w:rsidRPr="00F46420" w:rsidR="007C69C8">
        <w:t xml:space="preserve"> </w:t>
      </w:r>
      <w:r w:rsidRPr="00F46420" w:rsidR="007C69C8">
        <w:rPr>
          <w:i/>
        </w:rPr>
        <w:t xml:space="preserve">Wireline Competition Bureau Authorizes 182 Rate-of-Return Companies to Receive $454 Million Annually in Alternative Connect America Cost Model Support to Expand Rural Broadband, </w:t>
      </w:r>
      <w:r w:rsidRPr="00F46420" w:rsidR="007C69C8">
        <w:t>WC Docket No. 10-90, Public Notice, 32 FCC Rcd 842 (WCB Jan. 24, 2017) (</w:t>
      </w:r>
      <w:r w:rsidRPr="00F46420" w:rsidR="007C69C8">
        <w:rPr>
          <w:i/>
        </w:rPr>
        <w:t>A-CAM Public Notice</w:t>
      </w:r>
      <w:r w:rsidRPr="00F46420" w:rsidR="007C69C8">
        <w:t xml:space="preserve">).  The Commission adopted a voluntary path by which rate-of-return carriers could elect to receive a fixed amount of universal service support under A-CAM, a forward-looking broadband cost model, for 10 years, in exchange for deploying broadband-capable networks to eligible locations.  </w:t>
      </w:r>
      <w:r w:rsidRPr="00F46420" w:rsidR="007C69C8">
        <w:rPr>
          <w:rStyle w:val="Emphasis"/>
        </w:rPr>
        <w:t>Connect America Fund et al.</w:t>
      </w:r>
      <w:r w:rsidRPr="00F46420" w:rsidR="007C69C8">
        <w:t>, Report and Order, Order and Order on Reconsideration and Further Notice of Proposed Rulemaking, 31 FCC Rcd 3087, 3090, para. 4, 3096-3117, paras. 20-79 (2016).</w:t>
      </w:r>
    </w:p>
  </w:footnote>
  <w:footnote w:id="7">
    <w:p w:rsidR="007C69C8">
      <w:pPr>
        <w:pStyle w:val="FootnoteText"/>
      </w:pPr>
      <w:r>
        <w:rPr>
          <w:rStyle w:val="FootnoteReference"/>
        </w:rPr>
        <w:footnoteRef/>
      </w:r>
      <w:r>
        <w:t xml:space="preserve"> </w:t>
      </w:r>
      <w:bookmarkStart w:id="3" w:name="_Hlk27683694"/>
      <w:r w:rsidR="0011735A">
        <w:t xml:space="preserve">Helix/OTC </w:t>
      </w:r>
      <w:r>
        <w:t>Application at 5</w:t>
      </w:r>
      <w:bookmarkEnd w:id="3"/>
      <w:r w:rsidR="00BE1D98">
        <w:t xml:space="preserve">; </w:t>
      </w:r>
      <w:r w:rsidRPr="00B76D5C" w:rsidR="0011735A">
        <w:t>OTC</w:t>
      </w:r>
      <w:r w:rsidRPr="006A65D3" w:rsidR="00BE1D98">
        <w:rPr>
          <w:i/>
        </w:rPr>
        <w:t xml:space="preserve"> </w:t>
      </w:r>
      <w:r w:rsidRPr="00BE1D98" w:rsidR="00BE1D98">
        <w:rPr>
          <w:i/>
        </w:rPr>
        <w:t>Ex Parte</w:t>
      </w:r>
      <w:r w:rsidR="00BE1D98">
        <w:t xml:space="preserve"> Letter at 1.</w:t>
      </w:r>
      <w:r w:rsidR="00373C2C">
        <w:t xml:space="preserve">  </w:t>
      </w:r>
    </w:p>
  </w:footnote>
  <w:footnote w:id="8">
    <w:p w:rsidR="007C69C8">
      <w:pPr>
        <w:pStyle w:val="FootnoteText"/>
      </w:pPr>
      <w:r>
        <w:rPr>
          <w:rStyle w:val="FootnoteReference"/>
        </w:rPr>
        <w:footnoteRef/>
      </w:r>
      <w:r>
        <w:t xml:space="preserve"> </w:t>
      </w:r>
      <w:r w:rsidR="00557F9A">
        <w:t xml:space="preserve">Helix/OTC </w:t>
      </w:r>
      <w:r>
        <w:t xml:space="preserve">Application at </w:t>
      </w:r>
      <w:r w:rsidR="00BE1D98">
        <w:t>3-</w:t>
      </w:r>
      <w:r>
        <w:t xml:space="preserve">4. </w:t>
      </w:r>
    </w:p>
  </w:footnote>
  <w:footnote w:id="9">
    <w:p w:rsidR="009C7271" w:rsidP="009C7271">
      <w:pPr>
        <w:pStyle w:val="FootnoteText"/>
      </w:pPr>
      <w:r>
        <w:rPr>
          <w:rStyle w:val="FootnoteReference"/>
        </w:rPr>
        <w:footnoteRef/>
      </w:r>
      <w:r>
        <w:t xml:space="preserve"> </w:t>
      </w:r>
      <w:r w:rsidRPr="006650A4">
        <w:t xml:space="preserve">Universal Service Administrative Co., Tools, </w:t>
      </w:r>
      <w:hyperlink r:id="rId1" w:history="1">
        <w:r w:rsidRPr="00F142E2" w:rsidR="00F142E2">
          <w:rPr>
            <w:snapToGrid w:val="0"/>
            <w:color w:val="0000FF"/>
            <w:kern w:val="28"/>
            <w:u w:val="single"/>
          </w:rPr>
          <w:t>https://www.usac.org/high-cost/resources/tools/</w:t>
        </w:r>
      </w:hyperlink>
      <w:r w:rsidRPr="006650A4">
        <w:rPr>
          <w:rStyle w:val="Hyperlink"/>
          <w:color w:val="auto"/>
          <w:u w:val="none"/>
        </w:rPr>
        <w:t>.</w:t>
      </w:r>
      <w:r>
        <w:t xml:space="preserve">  </w:t>
      </w:r>
      <w:r w:rsidR="00CD4064">
        <w:t xml:space="preserve">On August 22, 2019, the Commission authorized 171 rate-of-return companies that elected 184 offers of A-CAM II support to receive model-based support.  </w:t>
      </w:r>
      <w:r w:rsidRPr="00CF4485" w:rsidR="00CD4064">
        <w:rPr>
          <w:i/>
        </w:rPr>
        <w:t>See</w:t>
      </w:r>
      <w:r w:rsidR="00CD4064">
        <w:t xml:space="preserve"> </w:t>
      </w:r>
      <w:r w:rsidRPr="002940B4" w:rsidR="00CD4064">
        <w:rPr>
          <w:i/>
        </w:rPr>
        <w:t>Wireline Competition Bureau Authorizes 171 Rate-Of-Return Companies to Receive $491 Million Annually in Alternative Connect America Cost Model Support to Expand Rural Broadband</w:t>
      </w:r>
      <w:r w:rsidR="00CD4064">
        <w:t>, WC Docket No. 10-90, Public Notice, DA 19-808 (WCB Aug. 22, 2019) (</w:t>
      </w:r>
      <w:r w:rsidRPr="002940B4" w:rsidR="00CD4064">
        <w:rPr>
          <w:i/>
        </w:rPr>
        <w:t>A</w:t>
      </w:r>
      <w:r w:rsidR="00CD4064">
        <w:rPr>
          <w:i/>
        </w:rPr>
        <w:t>-</w:t>
      </w:r>
      <w:r w:rsidRPr="002940B4" w:rsidR="00CD4064">
        <w:rPr>
          <w:i/>
        </w:rPr>
        <w:t>CAM II Public Notice</w:t>
      </w:r>
      <w:r w:rsidR="00CD4064">
        <w:t xml:space="preserve">); </w:t>
      </w:r>
      <w:r w:rsidRPr="00E2331D" w:rsidR="00CD4064">
        <w:rPr>
          <w:i/>
        </w:rPr>
        <w:t>Wireline Competition Bureau Announces Alternative Connect America Cost Model II Support Amounts Offered to Rate-of-Return Carriers to Expand Rural Broadband</w:t>
      </w:r>
      <w:r w:rsidR="00CD4064">
        <w:t>, WC Docket No. 10-90, Public Notice, DA 19-372 (WCB May 2, 2019) (</w:t>
      </w:r>
      <w:r w:rsidRPr="00E2331D" w:rsidR="00CD4064">
        <w:rPr>
          <w:i/>
        </w:rPr>
        <w:t>A-CAM II Offer Public Notice</w:t>
      </w:r>
      <w:r w:rsidR="00CD4064">
        <w:t xml:space="preserve">); </w:t>
      </w:r>
      <w:r w:rsidRPr="00E2331D" w:rsidR="00CD4064">
        <w:rPr>
          <w:i/>
          <w:iCs/>
        </w:rPr>
        <w:t>Wireline Competition Bureau Issues Corrected Connect</w:t>
      </w:r>
      <w:r w:rsidR="00CD4064">
        <w:rPr>
          <w:i/>
          <w:iCs/>
        </w:rPr>
        <w:t xml:space="preserve"> </w:t>
      </w:r>
      <w:r w:rsidRPr="00E2331D" w:rsidR="00CD4064">
        <w:rPr>
          <w:i/>
          <w:iCs/>
        </w:rPr>
        <w:t>America Model II Offers to 37 Companies, Extends the Election Deadline, and Seeks Comment on Location Adjustment Procedures</w:t>
      </w:r>
      <w:r w:rsidRPr="00E2331D" w:rsidR="00CD4064">
        <w:t>, WC Docket No. 10-90, Public Notice, DA 19-504 (WCB June 5, 2019).</w:t>
      </w:r>
      <w:r w:rsidR="008473D9">
        <w:t xml:space="preserve">  Authorization Report 6.0 shows the authorization amount and deployment obligations for each carrier that elected an offer under ACAM II.  </w:t>
      </w:r>
      <w:r w:rsidRPr="008473D9" w:rsidR="008473D9">
        <w:t xml:space="preserve">The report is available at </w:t>
      </w:r>
      <w:bookmarkStart w:id="5" w:name="_Hlk26448781"/>
      <w:r w:rsidRPr="008B1967" w:rsidR="008473D9">
        <w:rPr>
          <w:rStyle w:val="Hyperlink"/>
        </w:rPr>
        <w:t>https://docs.fcc.gov/public/attachments/DOC-359222A1.xlsx</w:t>
      </w:r>
      <w:r w:rsidRPr="008473D9" w:rsidR="008473D9">
        <w:t xml:space="preserve"> (Authorization Report 6.0).</w:t>
      </w:r>
      <w:bookmarkEnd w:id="5"/>
    </w:p>
  </w:footnote>
  <w:footnote w:id="10">
    <w:p w:rsidR="0025269E" w:rsidRPr="008E4CC6" w:rsidP="0025269E">
      <w:pPr>
        <w:pStyle w:val="FootnoteText"/>
      </w:pPr>
      <w:r>
        <w:rPr>
          <w:rStyle w:val="FootnoteReference"/>
        </w:rPr>
        <w:footnoteRef/>
      </w:r>
      <w:r w:rsidRPr="00C460C9">
        <w:t xml:space="preserve"> </w:t>
      </w:r>
      <w:bookmarkStart w:id="6" w:name="_Hlk26280726"/>
      <w:r w:rsidRPr="00E25C28" w:rsidR="006A65D3">
        <w:t>OTC</w:t>
      </w:r>
      <w:r w:rsidRPr="006A65D3" w:rsidR="007C69C8">
        <w:rPr>
          <w:i/>
        </w:rPr>
        <w:t xml:space="preserve"> </w:t>
      </w:r>
      <w:r w:rsidRPr="006A65D3" w:rsidR="00714BDA">
        <w:rPr>
          <w:i/>
        </w:rPr>
        <w:t>E</w:t>
      </w:r>
      <w:r w:rsidRPr="00714BDA" w:rsidR="00714BDA">
        <w:rPr>
          <w:i/>
        </w:rPr>
        <w:t>x Parte</w:t>
      </w:r>
      <w:r w:rsidR="00714BDA">
        <w:t xml:space="preserve"> Letter</w:t>
      </w:r>
      <w:r w:rsidR="007C69C8">
        <w:t xml:space="preserve"> at 1.  </w:t>
      </w:r>
      <w:bookmarkEnd w:id="6"/>
      <w:r w:rsidRPr="00C460C9">
        <w:t>Applicants state that Mr. Bott holds the other 5% of North</w:t>
      </w:r>
      <w:r>
        <w:t>-</w:t>
      </w:r>
      <w:r w:rsidRPr="00C460C9">
        <w:t>State</w:t>
      </w:r>
      <w:r>
        <w:t xml:space="preserve">. </w:t>
      </w:r>
      <w:r w:rsidRPr="00C460C9">
        <w:t xml:space="preserve"> N</w:t>
      </w:r>
      <w:r w:rsidRPr="000D6AF4">
        <w:t>orth</w:t>
      </w:r>
      <w:r>
        <w:t>-</w:t>
      </w:r>
      <w:r w:rsidRPr="000D6AF4">
        <w:t>State wholly owns three rural incumbent LECs:  Home Telephone Company</w:t>
      </w:r>
      <w:r>
        <w:t xml:space="preserve"> (Home Telephone)</w:t>
      </w:r>
      <w:r w:rsidRPr="000D6AF4">
        <w:t>, an Oregon corporation, serving the Condon</w:t>
      </w:r>
      <w:r>
        <w:t xml:space="preserve"> exchange in</w:t>
      </w:r>
      <w:r w:rsidRPr="000D6AF4">
        <w:t xml:space="preserve"> Oregon; Pine Telephone System, Inc.</w:t>
      </w:r>
      <w:r>
        <w:t xml:space="preserve"> (Pine Telephone)</w:t>
      </w:r>
      <w:r w:rsidRPr="000D6AF4">
        <w:t xml:space="preserve">, an Oregon corporation, serving the </w:t>
      </w:r>
      <w:r w:rsidRPr="000D6AF4">
        <w:rPr>
          <w:snapToGrid w:val="0"/>
        </w:rPr>
        <w:t>Halfway, Granite, and Three Rivers</w:t>
      </w:r>
      <w:r>
        <w:rPr>
          <w:snapToGrid w:val="0"/>
        </w:rPr>
        <w:t xml:space="preserve"> exchanges in</w:t>
      </w:r>
      <w:r w:rsidRPr="000D6AF4">
        <w:t xml:space="preserve"> Oregon; and Skyline Telecom, Inc.</w:t>
      </w:r>
      <w:r w:rsidR="00E7470B">
        <w:t xml:space="preserve"> (Skyline Telecom)</w:t>
      </w:r>
      <w:r w:rsidRPr="000D6AF4">
        <w:t>, a Washington corporation, serving the Mt. Hull and Beaver Creek</w:t>
      </w:r>
      <w:r>
        <w:t xml:space="preserve"> exchanges in</w:t>
      </w:r>
      <w:r w:rsidRPr="000D6AF4">
        <w:t xml:space="preserve"> Washington.</w:t>
      </w:r>
      <w:r w:rsidR="007C69C8">
        <w:t xml:space="preserve">  </w:t>
      </w:r>
      <w:r w:rsidR="00557F9A">
        <w:rPr>
          <w:i/>
        </w:rPr>
        <w:t>Id.</w:t>
      </w:r>
      <w:r w:rsidR="00AD18BA">
        <w:t xml:space="preserve"> </w:t>
      </w:r>
      <w:r w:rsidR="007C69C8">
        <w:t xml:space="preserve">at 1-2.    </w:t>
      </w:r>
      <w:r w:rsidRPr="000D6AF4">
        <w:t xml:space="preserve"> </w:t>
      </w:r>
      <w:r>
        <w:t xml:space="preserve"> </w:t>
      </w:r>
    </w:p>
  </w:footnote>
  <w:footnote w:id="11">
    <w:p w:rsidR="0025269E" w:rsidRPr="008E4CC6" w:rsidP="0025269E">
      <w:pPr>
        <w:pStyle w:val="FootnoteText"/>
      </w:pPr>
      <w:r w:rsidRPr="008E4CC6">
        <w:rPr>
          <w:rStyle w:val="FootnoteReference"/>
        </w:rPr>
        <w:footnoteRef/>
      </w:r>
      <w:r w:rsidRPr="008E4CC6">
        <w:t xml:space="preserve"> New Florence wholly owns the following three rural incumbent LECs</w:t>
      </w:r>
      <w:r>
        <w:t xml:space="preserve">, </w:t>
      </w:r>
      <w:r w:rsidR="006A65D3">
        <w:t>all</w:t>
      </w:r>
      <w:r>
        <w:t xml:space="preserve"> Missouri corporations</w:t>
      </w:r>
      <w:r w:rsidRPr="008E4CC6">
        <w:t xml:space="preserve"> providing service in Missouri:  New London Telephone Company</w:t>
      </w:r>
      <w:r>
        <w:t>,</w:t>
      </w:r>
      <w:r w:rsidRPr="008E4CC6">
        <w:t xml:space="preserve"> serving </w:t>
      </w:r>
      <w:r>
        <w:t>the New London exchange;</w:t>
      </w:r>
      <w:r w:rsidRPr="008E4CC6">
        <w:t xml:space="preserve"> Stoutland Telephone Company</w:t>
      </w:r>
      <w:r>
        <w:t>,</w:t>
      </w:r>
      <w:r w:rsidRPr="008E4CC6">
        <w:t xml:space="preserve"> serving </w:t>
      </w:r>
      <w:r>
        <w:t>the Southerland exchange;</w:t>
      </w:r>
      <w:r w:rsidRPr="008E4CC6">
        <w:t xml:space="preserve"> and Orchard Farm Telephone Company</w:t>
      </w:r>
      <w:r>
        <w:t>,</w:t>
      </w:r>
      <w:r w:rsidRPr="008E4CC6">
        <w:t xml:space="preserve"> serving </w:t>
      </w:r>
      <w:r>
        <w:t>the Orchard Farm exchange</w:t>
      </w:r>
      <w:r w:rsidRPr="008E4CC6">
        <w:t>.</w:t>
      </w:r>
      <w:r>
        <w:t xml:space="preserve">  </w:t>
      </w:r>
      <w:r w:rsidRPr="000372E6" w:rsidR="000372E6">
        <w:rPr>
          <w:i/>
        </w:rPr>
        <w:t>Id</w:t>
      </w:r>
      <w:r w:rsidR="000372E6">
        <w:t>.</w:t>
      </w:r>
      <w:r w:rsidR="00714BDA">
        <w:t xml:space="preserve"> at 2</w:t>
      </w:r>
      <w:r w:rsidR="00FA3C30">
        <w:t xml:space="preserve">; </w:t>
      </w:r>
      <w:r w:rsidR="00654741">
        <w:t xml:space="preserve">Farber/New Florence Application at </w:t>
      </w:r>
      <w:r w:rsidR="006A65D3">
        <w:t>5-6</w:t>
      </w:r>
      <w:r w:rsidR="00714BDA">
        <w:t xml:space="preserve">. </w:t>
      </w:r>
      <w:r w:rsidR="00F10C9D">
        <w:t xml:space="preserve"> Applicants provided the study area codes for the entities receiving universal service support.  Farber/New Florence Application at 4-6.</w:t>
      </w:r>
    </w:p>
  </w:footnote>
  <w:footnote w:id="12">
    <w:p w:rsidR="00557F9A">
      <w:pPr>
        <w:pStyle w:val="FootnoteText"/>
      </w:pPr>
      <w:r>
        <w:rPr>
          <w:rStyle w:val="FootnoteReference"/>
        </w:rPr>
        <w:footnoteRef/>
      </w:r>
      <w:r>
        <w:t xml:space="preserve"> </w:t>
      </w:r>
      <w:r w:rsidRPr="006650A4">
        <w:t>Universal Service Administrative Co., Tools,</w:t>
      </w:r>
      <w:r w:rsidRPr="00F142E2">
        <w:rPr>
          <w:snapToGrid w:val="0"/>
          <w:kern w:val="28"/>
          <w:sz w:val="22"/>
        </w:rPr>
        <w:t xml:space="preserve"> </w:t>
      </w:r>
      <w:hyperlink r:id="rId1" w:history="1">
        <w:r w:rsidRPr="00F142E2">
          <w:rPr>
            <w:rStyle w:val="Hyperlink"/>
          </w:rPr>
          <w:t>https://www.usac.org/high-cost/resources/tools/</w:t>
        </w:r>
      </w:hyperlink>
      <w:r>
        <w:rPr>
          <w:rStyle w:val="Hyperlink"/>
          <w:color w:val="auto"/>
          <w:u w:val="none"/>
        </w:rPr>
        <w:t xml:space="preserve">; </w:t>
      </w:r>
      <w:hyperlink r:id="rId2" w:history="1">
        <w:r w:rsidRPr="00346506">
          <w:rPr>
            <w:rStyle w:val="Hyperlink"/>
          </w:rPr>
          <w:t xml:space="preserve">https://docs.fcc.gov/public/attachments/DOC-359222A1.xlsx </w:t>
        </w:r>
        <w:r w:rsidRPr="001D4DD9">
          <w:rPr>
            <w:rStyle w:val="Hyperlink"/>
            <w:color w:val="auto"/>
            <w:u w:val="none"/>
          </w:rPr>
          <w:t>(Authorization Report 6.0).</w:t>
        </w:r>
      </w:hyperlink>
    </w:p>
  </w:footnote>
  <w:footnote w:id="13">
    <w:p w:rsidR="00DC32C3" w:rsidRPr="00F46420" w:rsidP="00DC32C3">
      <w:pPr>
        <w:pStyle w:val="FootnoteText"/>
      </w:pPr>
      <w:r w:rsidRPr="00F46420">
        <w:rPr>
          <w:rStyle w:val="FootnoteReference"/>
          <w:sz w:val="20"/>
        </w:rPr>
        <w:footnoteRef/>
      </w:r>
      <w:r w:rsidRPr="00F46420">
        <w:t xml:space="preserve"> Universal Service Administrative Co., Tools, </w:t>
      </w:r>
      <w:hyperlink r:id="rId1" w:history="1">
        <w:r w:rsidRPr="00F142E2" w:rsidR="00F142E2">
          <w:rPr>
            <w:snapToGrid w:val="0"/>
            <w:color w:val="0000FF"/>
            <w:kern w:val="28"/>
            <w:u w:val="single"/>
          </w:rPr>
          <w:t>https://www.usac.org/high-cost/resources/tools/</w:t>
        </w:r>
      </w:hyperlink>
      <w:r w:rsidRPr="00F46420">
        <w:t xml:space="preserve">.    </w:t>
      </w:r>
    </w:p>
  </w:footnote>
  <w:footnote w:id="14">
    <w:p w:rsidR="00EE03EA">
      <w:pPr>
        <w:pStyle w:val="FootnoteText"/>
      </w:pPr>
      <w:r>
        <w:rPr>
          <w:rStyle w:val="FootnoteReference"/>
        </w:rPr>
        <w:footnoteRef/>
      </w:r>
      <w:r>
        <w:t xml:space="preserve"> </w:t>
      </w:r>
      <w:r w:rsidRPr="00CA316D" w:rsidR="006A65D3">
        <w:t>OTC</w:t>
      </w:r>
      <w:r w:rsidRPr="006A65D3">
        <w:rPr>
          <w:i/>
        </w:rPr>
        <w:t xml:space="preserve"> </w:t>
      </w:r>
      <w:r w:rsidRPr="006A65D3" w:rsidR="0068538C">
        <w:rPr>
          <w:i/>
        </w:rPr>
        <w:t>E</w:t>
      </w:r>
      <w:r w:rsidRPr="0068538C" w:rsidR="0068538C">
        <w:rPr>
          <w:i/>
        </w:rPr>
        <w:t xml:space="preserve">x Parte </w:t>
      </w:r>
      <w:r w:rsidRPr="00565A49" w:rsidR="0068538C">
        <w:t>Letter</w:t>
      </w:r>
      <w:r>
        <w:t xml:space="preserve"> at 2.</w:t>
      </w:r>
    </w:p>
  </w:footnote>
  <w:footnote w:id="15">
    <w:p w:rsidR="009C7271" w:rsidP="009C7271">
      <w:pPr>
        <w:pStyle w:val="FootnoteText"/>
      </w:pPr>
      <w:r>
        <w:rPr>
          <w:rStyle w:val="FootnoteReference"/>
        </w:rPr>
        <w:footnoteRef/>
      </w:r>
      <w:r>
        <w:t xml:space="preserve"> </w:t>
      </w:r>
      <w:r w:rsidRPr="00B76D5C" w:rsidR="006A65D3">
        <w:rPr>
          <w:i/>
        </w:rPr>
        <w:t>Id</w:t>
      </w:r>
      <w:r w:rsidRPr="00B76D5C" w:rsidR="006A65D3">
        <w:t>.</w:t>
      </w:r>
      <w:r w:rsidRPr="00B76D5C">
        <w:t xml:space="preserve"> at 1</w:t>
      </w:r>
      <w:r w:rsidRPr="00B76D5C" w:rsidR="0068538C">
        <w:t>-2</w:t>
      </w:r>
      <w:r w:rsidRPr="00B76D5C">
        <w:t>.</w:t>
      </w:r>
      <w:r w:rsidRPr="00B76D5C" w:rsidR="000372E6">
        <w:t xml:space="preserve"> </w:t>
      </w:r>
    </w:p>
  </w:footnote>
  <w:footnote w:id="16">
    <w:p w:rsidR="008B4602">
      <w:pPr>
        <w:pStyle w:val="FootnoteText"/>
      </w:pPr>
      <w:r>
        <w:rPr>
          <w:rStyle w:val="FootnoteReference"/>
        </w:rPr>
        <w:footnoteRef/>
      </w:r>
      <w:r>
        <w:t xml:space="preserve"> </w:t>
      </w:r>
      <w:r w:rsidRPr="003870E8">
        <w:rPr>
          <w:i/>
        </w:rPr>
        <w:t xml:space="preserve">Domestic 214 Application Filed for the Transfer of Control of </w:t>
      </w:r>
      <w:r>
        <w:rPr>
          <w:i/>
        </w:rPr>
        <w:t>Farber Telephone Company to New Florence Telephone Company</w:t>
      </w:r>
      <w:r>
        <w:t>, WC Docket No. 19-336, Public Notice, DA 19-1197 (rel. Nov. 20, 2019).</w:t>
      </w:r>
    </w:p>
  </w:footnote>
  <w:footnote w:id="17">
    <w:p w:rsidR="00AE12BC">
      <w:pPr>
        <w:pStyle w:val="FootnoteText"/>
      </w:pPr>
      <w:r>
        <w:rPr>
          <w:rStyle w:val="FootnoteReference"/>
        </w:rPr>
        <w:footnoteRef/>
      </w:r>
      <w:r>
        <w:t xml:space="preserve"> Farber/New Florence Application at 5.</w:t>
      </w:r>
    </w:p>
  </w:footnote>
  <w:footnote w:id="18">
    <w:p w:rsidR="006D2EA5" w:rsidRPr="00F46420" w:rsidP="006D2EA5">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p>
  </w:footnote>
  <w:footnote w:id="19">
    <w:p w:rsidR="006D2EA5">
      <w:pPr>
        <w:pStyle w:val="FootnoteText"/>
      </w:pPr>
      <w:r>
        <w:rPr>
          <w:rStyle w:val="FootnoteReference"/>
        </w:rPr>
        <w:footnoteRef/>
      </w:r>
      <w:r>
        <w:t xml:space="preserve"> Farber/New Florence Application at 9; </w:t>
      </w:r>
      <w:r w:rsidRPr="006650A4">
        <w:t>Universal Service Administrative Co., Tools,</w:t>
      </w:r>
      <w:r w:rsidRPr="00F142E2">
        <w:rPr>
          <w:snapToGrid w:val="0"/>
          <w:kern w:val="28"/>
          <w:sz w:val="22"/>
        </w:rPr>
        <w:t xml:space="preserve"> </w:t>
      </w:r>
      <w:hyperlink r:id="rId1" w:history="1">
        <w:r w:rsidRPr="00F142E2">
          <w:rPr>
            <w:rStyle w:val="Hyperlink"/>
          </w:rPr>
          <w:t>https://www.usac.org/high-cost/resources/tools/</w:t>
        </w:r>
      </w:hyperlink>
      <w:r>
        <w:rPr>
          <w:rStyle w:val="Hyperlink"/>
          <w:color w:val="auto"/>
          <w:u w:val="none"/>
        </w:rPr>
        <w:t xml:space="preserve">; </w:t>
      </w:r>
      <w:hyperlink r:id="rId2" w:history="1">
        <w:r w:rsidRPr="00346506">
          <w:rPr>
            <w:rStyle w:val="Hyperlink"/>
          </w:rPr>
          <w:t xml:space="preserve">https://docs.fcc.gov/public/attachments/DOC-359222A1.xlsx </w:t>
        </w:r>
        <w:r w:rsidRPr="001D4DD9">
          <w:rPr>
            <w:rStyle w:val="Hyperlink"/>
            <w:color w:val="auto"/>
            <w:u w:val="none"/>
          </w:rPr>
          <w:t>(Authorization Report 6.0).</w:t>
        </w:r>
      </w:hyperlink>
    </w:p>
  </w:footnote>
  <w:footnote w:id="20">
    <w:p w:rsidR="00170171">
      <w:pPr>
        <w:pStyle w:val="FootnoteText"/>
      </w:pPr>
      <w:r>
        <w:rPr>
          <w:rStyle w:val="FootnoteReference"/>
        </w:rPr>
        <w:footnoteRef/>
      </w:r>
      <w:r>
        <w:t xml:space="preserve"> </w:t>
      </w:r>
      <w:bookmarkStart w:id="9" w:name="_Hlk27683961"/>
      <w:r>
        <w:t>Farber/New Florence Application at 6.</w:t>
      </w:r>
      <w:bookmarkEnd w:id="9"/>
    </w:p>
  </w:footnote>
  <w:footnote w:id="21">
    <w:p w:rsidR="0047633D" w:rsidRPr="00265992" w:rsidP="0047633D">
      <w:pPr>
        <w:pStyle w:val="FootnoteText"/>
      </w:pPr>
      <w:r w:rsidRPr="00265992">
        <w:rPr>
          <w:rStyle w:val="FootnoteReference"/>
          <w:sz w:val="20"/>
        </w:rPr>
        <w:footnoteRef/>
      </w:r>
      <w:r w:rsidRPr="00265992">
        <w:t xml:space="preserve"> </w:t>
      </w:r>
      <w:r w:rsidRPr="00265992">
        <w:rPr>
          <w:i/>
        </w:rPr>
        <w:t>Joint Application of W. Mansfield Jennings Limited Partnership and Har</w:t>
      </w:r>
      <w:r>
        <w:rPr>
          <w:i/>
        </w:rPr>
        <w:t>gray Communications Group, Inc.</w:t>
      </w:r>
      <w:r w:rsidRPr="00265992">
        <w:rPr>
          <w:i/>
        </w:rPr>
        <w:t xml:space="preserve"> for Consent to the Transfer of Control of ComSouth Corporation Pursuant to Section 214 of the Communications Act of 1934</w:t>
      </w:r>
      <w:r w:rsidRPr="00265992">
        <w:t xml:space="preserve">, WC Docket 18-52, Memorandum Opinion and Order, </w:t>
      </w:r>
      <w:r w:rsidR="00341E18">
        <w:t>33 FCC Rcd 478</w:t>
      </w:r>
      <w:r w:rsidR="00D92B9C">
        <w:t>0, 4784</w:t>
      </w:r>
      <w:r w:rsidRPr="00265992">
        <w:t>, para. 19 (rel. May 11, 2018). (</w:t>
      </w:r>
      <w:r w:rsidRPr="00265992">
        <w:rPr>
          <w:i/>
        </w:rPr>
        <w:t>Hargray/ComSouth Order</w:t>
      </w:r>
      <w:r w:rsidRPr="00265992">
        <w:t>).</w:t>
      </w:r>
    </w:p>
  </w:footnote>
  <w:footnote w:id="22">
    <w:p w:rsidR="0047633D" w:rsidRPr="00265992" w:rsidP="0047633D">
      <w:pPr>
        <w:pStyle w:val="FootnoteText"/>
      </w:pPr>
      <w:r w:rsidRPr="00265992">
        <w:rPr>
          <w:rStyle w:val="FootnoteReference"/>
          <w:sz w:val="20"/>
        </w:rPr>
        <w:footnoteRef/>
      </w:r>
      <w:r w:rsidRPr="00265992">
        <w:t xml:space="preserve"> </w:t>
      </w:r>
      <w:r w:rsidRPr="00F46420" w:rsidR="00B038EB">
        <w:rPr>
          <w:i/>
        </w:rPr>
        <w:t>Id</w:t>
      </w:r>
      <w:r w:rsidRPr="00F46420" w:rsidR="00B038EB">
        <w:t>. at 4785-86, para. 20.</w:t>
      </w:r>
    </w:p>
  </w:footnote>
  <w:footnote w:id="23">
    <w:p w:rsidR="0047633D" w:rsidRPr="00265992" w:rsidP="0047633D">
      <w:pPr>
        <w:pStyle w:val="FootnoteText"/>
      </w:pPr>
      <w:r w:rsidRPr="00265992">
        <w:rPr>
          <w:rStyle w:val="FootnoteReference"/>
          <w:sz w:val="20"/>
        </w:rPr>
        <w:footnoteRef/>
      </w:r>
      <w:r w:rsidRPr="00265992">
        <w:t xml:space="preserve"> </w:t>
      </w:r>
      <w:r w:rsidRPr="00265992">
        <w:rPr>
          <w:i/>
        </w:rPr>
        <w:t>Id</w:t>
      </w:r>
      <w:r w:rsidRPr="00265992">
        <w:t>.</w:t>
      </w:r>
    </w:p>
  </w:footnote>
  <w:footnote w:id="24">
    <w:p w:rsidR="0047633D" w:rsidRPr="00265992" w:rsidP="0047633D">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25">
    <w:p w:rsidR="0047633D" w:rsidRPr="00265992" w:rsidP="0047633D">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26">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27">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at 4789, para. 27, n.72.   </w:t>
      </w:r>
    </w:p>
  </w:footnote>
  <w:footnote w:id="28">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at 4788-90, paras. 26-31.</w:t>
      </w:r>
    </w:p>
  </w:footnote>
  <w:footnote w:id="29">
    <w:p w:rsidR="003F2288" w:rsidRPr="00F46420" w:rsidP="003F2288">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30">
    <w:p w:rsidR="003F2288" w:rsidRPr="00F46420" w:rsidP="003F2288">
      <w:pPr>
        <w:pStyle w:val="FootnoteText"/>
      </w:pPr>
      <w:r w:rsidRPr="00F46420">
        <w:rPr>
          <w:rStyle w:val="FootnoteReference"/>
          <w:sz w:val="20"/>
        </w:rPr>
        <w:footnoteRef/>
      </w:r>
      <w:r w:rsidRPr="00F46420">
        <w:t xml:space="preserve"> </w:t>
      </w:r>
      <w:r w:rsidRPr="00F46420">
        <w:rPr>
          <w:i/>
        </w:rPr>
        <w:t xml:space="preserve">Hargray/ComSouth Order </w:t>
      </w:r>
      <w:r w:rsidRPr="00F46420">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xml:space="preserve">. at 4790, para. 31.      </w:t>
      </w:r>
    </w:p>
  </w:footnote>
  <w:footnote w:id="31">
    <w:p w:rsidR="003F2288" w:rsidRPr="00F46420" w:rsidP="003F2288">
      <w:pPr>
        <w:pStyle w:val="FootnoteText"/>
      </w:pPr>
      <w:r w:rsidRPr="00F46420">
        <w:rPr>
          <w:rStyle w:val="FootnoteReference"/>
          <w:sz w:val="20"/>
        </w:rPr>
        <w:footnoteRef/>
      </w:r>
      <w:r w:rsidRPr="00F46420">
        <w:t xml:space="preserve"> </w:t>
      </w:r>
      <w:r w:rsidRPr="00F46420">
        <w:rPr>
          <w:i/>
        </w:rPr>
        <w:t>Hargray/ComSouth Order</w:t>
      </w:r>
      <w:r w:rsidRPr="00F46420">
        <w:t xml:space="preserve"> at 4789, para. 28.</w:t>
      </w:r>
    </w:p>
  </w:footnote>
  <w:footnote w:id="32">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w:t>
      </w:r>
    </w:p>
  </w:footnote>
  <w:footnote w:id="33">
    <w:p w:rsidR="003F2288" w:rsidRPr="00F46420" w:rsidP="003F2288">
      <w:pPr>
        <w:pStyle w:val="FootnoteText"/>
      </w:pPr>
      <w:r w:rsidRPr="00F46420">
        <w:rPr>
          <w:rStyle w:val="FootnoteReference"/>
          <w:sz w:val="20"/>
        </w:rPr>
        <w:footnoteRef/>
      </w:r>
      <w:r w:rsidRPr="00F46420">
        <w:t xml:space="preserve"> </w:t>
      </w:r>
      <w:r w:rsidRPr="00F46420">
        <w:rPr>
          <w:i/>
        </w:rPr>
        <w:t>Id.</w:t>
      </w:r>
    </w:p>
  </w:footnote>
  <w:footnote w:id="34">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35">
    <w:p w:rsidR="003F2288" w:rsidRPr="00F46420" w:rsidP="003F2288">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fn.78.  The cap will not apply if the parties do not consummate the proposed transaction</w:t>
      </w:r>
      <w:r w:rsidR="00557F9A">
        <w:t>s</w:t>
      </w:r>
      <w:r w:rsidRPr="00F46420">
        <w:t>.</w:t>
      </w:r>
    </w:p>
  </w:footnote>
  <w:footnote w:id="36">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37">
    <w:p w:rsidR="003F2288" w:rsidRPr="00F46420" w:rsidP="003F2288">
      <w:pPr>
        <w:pStyle w:val="FootnoteText"/>
        <w:rPr>
          <w:iCs/>
          <w:color w:val="212121"/>
        </w:rPr>
      </w:pPr>
      <w:r w:rsidRPr="00F46420">
        <w:rPr>
          <w:rStyle w:val="FootnoteReference"/>
          <w:sz w:val="20"/>
        </w:rPr>
        <w:footnoteRef/>
      </w:r>
      <w:r w:rsidRPr="00F46420">
        <w:t xml:space="preserve"> </w:t>
      </w:r>
      <w:r w:rsidRPr="00B76D5C">
        <w:rPr>
          <w:i/>
          <w:iCs/>
        </w:rPr>
        <w:t>See</w:t>
      </w:r>
      <w:r w:rsidRPr="00B76D5C">
        <w:t> </w:t>
      </w:r>
      <w:hyperlink r:id="rId3" w:anchor="co_pp_8b3b0000958a4" w:history="1">
        <w:r w:rsidRPr="00B76D5C">
          <w:t>47 U.S.C. § 214(a)</w:t>
        </w:r>
      </w:hyperlink>
      <w:r w:rsidRPr="00B76D5C">
        <w:t>; </w:t>
      </w:r>
      <w:hyperlink r:id="rId4" w:history="1">
        <w:r w:rsidRPr="00B76D5C">
          <w:t>47 CFR § 63.03</w:t>
        </w:r>
      </w:hyperlink>
      <w:r w:rsidRPr="00B76D5C">
        <w:t>.</w:t>
      </w:r>
    </w:p>
  </w:footnote>
  <w:footnote w:id="38">
    <w:p w:rsidR="003F2288" w:rsidRPr="00F46420" w:rsidP="003F2288">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in th</w:t>
      </w:r>
      <w:r w:rsidR="00557F9A">
        <w:t>ese</w:t>
      </w:r>
      <w:r w:rsidRPr="00F46420">
        <w:t xml:space="preserve"> proceeding</w:t>
      </w:r>
      <w:r w:rsidR="00557F9A">
        <w:t>s</w:t>
      </w:r>
      <w:r w:rsidRPr="00F46420">
        <w:t xml:space="preserve"> provide incumbent LEC services in their respective study areas.  Within 30 days of closing the proposed transaction</w:t>
      </w:r>
      <w:r w:rsidR="006A65D3">
        <w:t>s</w:t>
      </w:r>
      <w:r w:rsidRPr="00F46420">
        <w:t>,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pPr>
      <w:tabs>
        <w:tab w:val="center" w:pos="4680"/>
        <w:tab w:val="right" w:pos="9360"/>
      </w:tabs>
    </w:pPr>
    <w:r w:rsidRPr="009838BC">
      <w:rPr>
        <w:b/>
      </w:rPr>
      <w:tab/>
      <w:t>Federal Communications Commission</w:t>
    </w:r>
    <w:r w:rsidRPr="009838BC">
      <w:rPr>
        <w:b/>
      </w:rPr>
      <w:tab/>
    </w:r>
    <w:r>
      <w:rPr>
        <w:b/>
      </w:rPr>
      <w:t>DA 1</w:t>
    </w:r>
    <w:r w:rsidR="00EB3799">
      <w:rPr>
        <w:b/>
      </w:rPr>
      <w:t>9</w:t>
    </w:r>
    <w:r>
      <w:rPr>
        <w:b/>
      </w:rPr>
      <w:t>-</w:t>
    </w:r>
    <w:r w:rsidR="006614C1">
      <w:rPr>
        <w:b/>
      </w:rPr>
      <w:t>1324</w:t>
    </w:r>
  </w:p>
  <w:p w:rsidR="009560CD" w:rsidRPr="009838BC" w:rsidP="009560CD">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560CD" w:rsidRPr="009838BC" w:rsidP="009560CD">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pPr>
                            <w:rPr>
                              <w:rFonts w:ascii="Arial" w:hAnsi="Arial"/>
                              <w:b/>
                            </w:rPr>
                          </w:pPr>
                          <w:r>
                            <w:rPr>
                              <w:rFonts w:ascii="Arial" w:hAnsi="Arial"/>
                              <w:b/>
                            </w:rPr>
                            <w:t>Federal Communications Commission</w:t>
                          </w:r>
                        </w:p>
                        <w:p w:rsidR="009560CD" w:rsidP="009560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pPr>
                      <w:rPr>
                        <w:rFonts w:ascii="Arial" w:hAnsi="Arial"/>
                        <w:b/>
                      </w:rPr>
                    </w:pPr>
                    <w:r>
                      <w:rPr>
                        <w:rFonts w:ascii="Arial" w:hAnsi="Arial"/>
                        <w:b/>
                      </w:rPr>
                      <w:t>Federal Communications Commission</w:t>
                    </w:r>
                  </w:p>
                  <w:p w:rsidR="009560CD" w:rsidP="009560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3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pPr>
                            <w:spacing w:before="40"/>
                            <w:jc w:val="right"/>
                            <w:rPr>
                              <w:rFonts w:ascii="Arial" w:hAnsi="Arial"/>
                              <w:b/>
                              <w:sz w:val="16"/>
                            </w:rPr>
                          </w:pPr>
                          <w:r>
                            <w:rPr>
                              <w:rFonts w:ascii="Arial" w:hAnsi="Arial"/>
                              <w:b/>
                              <w:sz w:val="16"/>
                            </w:rPr>
                            <w:t>News Media Information 202 / 418-0500</w:t>
                          </w:r>
                        </w:p>
                        <w:p w:rsidR="009560CD" w:rsidP="009560CD">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560CD" w:rsidP="009560CD">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pPr>
                      <w:spacing w:before="40"/>
                      <w:jc w:val="right"/>
                      <w:rPr>
                        <w:rFonts w:ascii="Arial" w:hAnsi="Arial"/>
                        <w:b/>
                        <w:sz w:val="16"/>
                      </w:rPr>
                    </w:pPr>
                    <w:r>
                      <w:rPr>
                        <w:rFonts w:ascii="Arial" w:hAnsi="Arial"/>
                        <w:b/>
                        <w:sz w:val="16"/>
                      </w:rPr>
                      <w:t>News Media Information 202 / 418-0500</w:t>
                    </w:r>
                  </w:p>
                  <w:p w:rsidR="009560CD" w:rsidP="009560CD">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560CD" w:rsidP="009560CD">
                    <w:pPr>
                      <w:jc w:val="right"/>
                    </w:pPr>
                    <w:r>
                      <w:rPr>
                        <w:rFonts w:ascii="Arial" w:hAnsi="Arial"/>
                        <w:b/>
                        <w:sz w:val="16"/>
                      </w:rPr>
                      <w:t>TTY: 1-888-835-5322</w:t>
                    </w:r>
                  </w:p>
                </w:txbxContent>
              </v:textbox>
            </v:shape>
          </w:pict>
        </mc:Fallback>
      </mc:AlternateContent>
    </w:r>
  </w:p>
  <w:p w:rsidR="009560CD" w:rsidRPr="009838BC" w:rsidP="009560C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34BE8"/>
    <w:rsid w:val="000372E6"/>
    <w:rsid w:val="000418D2"/>
    <w:rsid w:val="0004613C"/>
    <w:rsid w:val="00050449"/>
    <w:rsid w:val="000524B4"/>
    <w:rsid w:val="00062A4F"/>
    <w:rsid w:val="0006543D"/>
    <w:rsid w:val="00081548"/>
    <w:rsid w:val="00097664"/>
    <w:rsid w:val="000A4D44"/>
    <w:rsid w:val="000A6021"/>
    <w:rsid w:val="000B0AF7"/>
    <w:rsid w:val="000D6AF4"/>
    <w:rsid w:val="000E7034"/>
    <w:rsid w:val="000E78BD"/>
    <w:rsid w:val="000F4074"/>
    <w:rsid w:val="000F5D40"/>
    <w:rsid w:val="00105A80"/>
    <w:rsid w:val="001073F8"/>
    <w:rsid w:val="00113574"/>
    <w:rsid w:val="0011735A"/>
    <w:rsid w:val="001401F3"/>
    <w:rsid w:val="001407B1"/>
    <w:rsid w:val="00141A16"/>
    <w:rsid w:val="001539FC"/>
    <w:rsid w:val="00163C91"/>
    <w:rsid w:val="00170171"/>
    <w:rsid w:val="001761B2"/>
    <w:rsid w:val="00177B81"/>
    <w:rsid w:val="00191F3D"/>
    <w:rsid w:val="001D1964"/>
    <w:rsid w:val="001D4DD9"/>
    <w:rsid w:val="001E44A8"/>
    <w:rsid w:val="001E6D45"/>
    <w:rsid w:val="001F4EB1"/>
    <w:rsid w:val="001F6A0C"/>
    <w:rsid w:val="0020405A"/>
    <w:rsid w:val="00205454"/>
    <w:rsid w:val="002142F7"/>
    <w:rsid w:val="0023170B"/>
    <w:rsid w:val="0023369C"/>
    <w:rsid w:val="002470F8"/>
    <w:rsid w:val="0025269E"/>
    <w:rsid w:val="002538EE"/>
    <w:rsid w:val="002574B7"/>
    <w:rsid w:val="00257C5D"/>
    <w:rsid w:val="00264EFA"/>
    <w:rsid w:val="00265992"/>
    <w:rsid w:val="002707E1"/>
    <w:rsid w:val="002738F1"/>
    <w:rsid w:val="00277A7E"/>
    <w:rsid w:val="00286FDD"/>
    <w:rsid w:val="00292AE8"/>
    <w:rsid w:val="002940B4"/>
    <w:rsid w:val="002A13B7"/>
    <w:rsid w:val="002B13E2"/>
    <w:rsid w:val="002B3A65"/>
    <w:rsid w:val="002E44D9"/>
    <w:rsid w:val="002F0235"/>
    <w:rsid w:val="00306EEF"/>
    <w:rsid w:val="00325C8A"/>
    <w:rsid w:val="00325FA0"/>
    <w:rsid w:val="003338CD"/>
    <w:rsid w:val="00341E18"/>
    <w:rsid w:val="00346506"/>
    <w:rsid w:val="00356188"/>
    <w:rsid w:val="00357D50"/>
    <w:rsid w:val="00360A25"/>
    <w:rsid w:val="00361E29"/>
    <w:rsid w:val="00373C2C"/>
    <w:rsid w:val="00386B01"/>
    <w:rsid w:val="003870E8"/>
    <w:rsid w:val="00391D67"/>
    <w:rsid w:val="00392396"/>
    <w:rsid w:val="003C564B"/>
    <w:rsid w:val="003D22F9"/>
    <w:rsid w:val="003E5F04"/>
    <w:rsid w:val="003F2288"/>
    <w:rsid w:val="003F5C32"/>
    <w:rsid w:val="003F5FD5"/>
    <w:rsid w:val="0041513E"/>
    <w:rsid w:val="00422637"/>
    <w:rsid w:val="00427EB3"/>
    <w:rsid w:val="0044021E"/>
    <w:rsid w:val="0044046E"/>
    <w:rsid w:val="00445585"/>
    <w:rsid w:val="00472D8C"/>
    <w:rsid w:val="004762AB"/>
    <w:rsid w:val="0047633D"/>
    <w:rsid w:val="00485F44"/>
    <w:rsid w:val="00496424"/>
    <w:rsid w:val="004A0B35"/>
    <w:rsid w:val="004B1DE5"/>
    <w:rsid w:val="004B5558"/>
    <w:rsid w:val="004B6CF4"/>
    <w:rsid w:val="004B7EBD"/>
    <w:rsid w:val="004C3980"/>
    <w:rsid w:val="004C39E4"/>
    <w:rsid w:val="004C52B2"/>
    <w:rsid w:val="004E02FE"/>
    <w:rsid w:val="004F0B5B"/>
    <w:rsid w:val="004F340A"/>
    <w:rsid w:val="004F37A3"/>
    <w:rsid w:val="004F659A"/>
    <w:rsid w:val="004F7405"/>
    <w:rsid w:val="00516504"/>
    <w:rsid w:val="00533D3B"/>
    <w:rsid w:val="0054080B"/>
    <w:rsid w:val="00554A55"/>
    <w:rsid w:val="00557F9A"/>
    <w:rsid w:val="00561173"/>
    <w:rsid w:val="00565A49"/>
    <w:rsid w:val="00566466"/>
    <w:rsid w:val="005708F1"/>
    <w:rsid w:val="00576F3C"/>
    <w:rsid w:val="005812EE"/>
    <w:rsid w:val="0058534C"/>
    <w:rsid w:val="005874E5"/>
    <w:rsid w:val="005B1800"/>
    <w:rsid w:val="005B75B3"/>
    <w:rsid w:val="005C3880"/>
    <w:rsid w:val="005C4B42"/>
    <w:rsid w:val="005C5609"/>
    <w:rsid w:val="005C7D71"/>
    <w:rsid w:val="005F4E54"/>
    <w:rsid w:val="00600899"/>
    <w:rsid w:val="00611481"/>
    <w:rsid w:val="0061344C"/>
    <w:rsid w:val="00613C3A"/>
    <w:rsid w:val="00622DF5"/>
    <w:rsid w:val="00626DE6"/>
    <w:rsid w:val="00640931"/>
    <w:rsid w:val="00647A6E"/>
    <w:rsid w:val="00653788"/>
    <w:rsid w:val="00654741"/>
    <w:rsid w:val="006614C1"/>
    <w:rsid w:val="006650A4"/>
    <w:rsid w:val="006657C3"/>
    <w:rsid w:val="00677C03"/>
    <w:rsid w:val="0068538C"/>
    <w:rsid w:val="00696C93"/>
    <w:rsid w:val="006A65D3"/>
    <w:rsid w:val="006B0317"/>
    <w:rsid w:val="006B6FEB"/>
    <w:rsid w:val="006D2EA5"/>
    <w:rsid w:val="006D5E3A"/>
    <w:rsid w:val="00702592"/>
    <w:rsid w:val="00706977"/>
    <w:rsid w:val="007069DD"/>
    <w:rsid w:val="00711614"/>
    <w:rsid w:val="00714BDA"/>
    <w:rsid w:val="007305E9"/>
    <w:rsid w:val="0073741A"/>
    <w:rsid w:val="00750859"/>
    <w:rsid w:val="00756CF7"/>
    <w:rsid w:val="00762CDC"/>
    <w:rsid w:val="00766B73"/>
    <w:rsid w:val="00767932"/>
    <w:rsid w:val="0077087C"/>
    <w:rsid w:val="007C69C8"/>
    <w:rsid w:val="00804B0E"/>
    <w:rsid w:val="008103A8"/>
    <w:rsid w:val="0081347F"/>
    <w:rsid w:val="0082446B"/>
    <w:rsid w:val="00827491"/>
    <w:rsid w:val="0083415B"/>
    <w:rsid w:val="00834342"/>
    <w:rsid w:val="008454A4"/>
    <w:rsid w:val="008473D9"/>
    <w:rsid w:val="00870737"/>
    <w:rsid w:val="00871F43"/>
    <w:rsid w:val="00872C6A"/>
    <w:rsid w:val="0087682A"/>
    <w:rsid w:val="008A5C2D"/>
    <w:rsid w:val="008A5FEF"/>
    <w:rsid w:val="008B1967"/>
    <w:rsid w:val="008B3790"/>
    <w:rsid w:val="008B4602"/>
    <w:rsid w:val="008C7AD1"/>
    <w:rsid w:val="008D2EB0"/>
    <w:rsid w:val="008E09B6"/>
    <w:rsid w:val="008E4CC6"/>
    <w:rsid w:val="008F04B1"/>
    <w:rsid w:val="009061CF"/>
    <w:rsid w:val="00930423"/>
    <w:rsid w:val="00930ECF"/>
    <w:rsid w:val="009322C0"/>
    <w:rsid w:val="00945B79"/>
    <w:rsid w:val="00950931"/>
    <w:rsid w:val="009560CD"/>
    <w:rsid w:val="00960E82"/>
    <w:rsid w:val="009838BC"/>
    <w:rsid w:val="00994314"/>
    <w:rsid w:val="009A0A07"/>
    <w:rsid w:val="009B0F0C"/>
    <w:rsid w:val="009B5A07"/>
    <w:rsid w:val="009C7271"/>
    <w:rsid w:val="009D2F73"/>
    <w:rsid w:val="009D361F"/>
    <w:rsid w:val="009E703B"/>
    <w:rsid w:val="00A04201"/>
    <w:rsid w:val="00A44430"/>
    <w:rsid w:val="00A530A3"/>
    <w:rsid w:val="00A53330"/>
    <w:rsid w:val="00A65DF7"/>
    <w:rsid w:val="00A82512"/>
    <w:rsid w:val="00A866AC"/>
    <w:rsid w:val="00A90863"/>
    <w:rsid w:val="00AB699D"/>
    <w:rsid w:val="00AC00DB"/>
    <w:rsid w:val="00AC5680"/>
    <w:rsid w:val="00AD18BA"/>
    <w:rsid w:val="00AE12BC"/>
    <w:rsid w:val="00AE3359"/>
    <w:rsid w:val="00AE5FA3"/>
    <w:rsid w:val="00B038EB"/>
    <w:rsid w:val="00B16ACF"/>
    <w:rsid w:val="00B17585"/>
    <w:rsid w:val="00B45C5D"/>
    <w:rsid w:val="00B76D5C"/>
    <w:rsid w:val="00B80854"/>
    <w:rsid w:val="00B9233A"/>
    <w:rsid w:val="00BA5EC1"/>
    <w:rsid w:val="00BB23E9"/>
    <w:rsid w:val="00BB5719"/>
    <w:rsid w:val="00BC767F"/>
    <w:rsid w:val="00BD076D"/>
    <w:rsid w:val="00BD7197"/>
    <w:rsid w:val="00BE1D98"/>
    <w:rsid w:val="00BF492A"/>
    <w:rsid w:val="00C021C8"/>
    <w:rsid w:val="00C0281C"/>
    <w:rsid w:val="00C0409C"/>
    <w:rsid w:val="00C05D47"/>
    <w:rsid w:val="00C06EE4"/>
    <w:rsid w:val="00C16154"/>
    <w:rsid w:val="00C16D24"/>
    <w:rsid w:val="00C23F1A"/>
    <w:rsid w:val="00C24C5F"/>
    <w:rsid w:val="00C3081E"/>
    <w:rsid w:val="00C373AB"/>
    <w:rsid w:val="00C44427"/>
    <w:rsid w:val="00C460C9"/>
    <w:rsid w:val="00C50EBF"/>
    <w:rsid w:val="00C576F0"/>
    <w:rsid w:val="00C66D1D"/>
    <w:rsid w:val="00C710E0"/>
    <w:rsid w:val="00C8359B"/>
    <w:rsid w:val="00CA1BA1"/>
    <w:rsid w:val="00CA316D"/>
    <w:rsid w:val="00CB6D42"/>
    <w:rsid w:val="00CC4A75"/>
    <w:rsid w:val="00CC4C1E"/>
    <w:rsid w:val="00CC62D8"/>
    <w:rsid w:val="00CD4064"/>
    <w:rsid w:val="00CD40D8"/>
    <w:rsid w:val="00CF4485"/>
    <w:rsid w:val="00CF5D99"/>
    <w:rsid w:val="00D00C2E"/>
    <w:rsid w:val="00D01D05"/>
    <w:rsid w:val="00D115F7"/>
    <w:rsid w:val="00D116C2"/>
    <w:rsid w:val="00D216CD"/>
    <w:rsid w:val="00D260D4"/>
    <w:rsid w:val="00D438C7"/>
    <w:rsid w:val="00D5278C"/>
    <w:rsid w:val="00D54847"/>
    <w:rsid w:val="00D60708"/>
    <w:rsid w:val="00D62FBC"/>
    <w:rsid w:val="00D708CD"/>
    <w:rsid w:val="00D92B9C"/>
    <w:rsid w:val="00DA34DD"/>
    <w:rsid w:val="00DA6514"/>
    <w:rsid w:val="00DC32C3"/>
    <w:rsid w:val="00DC3725"/>
    <w:rsid w:val="00DE4ABF"/>
    <w:rsid w:val="00DE5A50"/>
    <w:rsid w:val="00DE7B1E"/>
    <w:rsid w:val="00E0389F"/>
    <w:rsid w:val="00E20623"/>
    <w:rsid w:val="00E2331D"/>
    <w:rsid w:val="00E25C28"/>
    <w:rsid w:val="00E415F4"/>
    <w:rsid w:val="00E432B8"/>
    <w:rsid w:val="00E50942"/>
    <w:rsid w:val="00E51A89"/>
    <w:rsid w:val="00E572E9"/>
    <w:rsid w:val="00E619D6"/>
    <w:rsid w:val="00E6719E"/>
    <w:rsid w:val="00E679CD"/>
    <w:rsid w:val="00E70943"/>
    <w:rsid w:val="00E7470B"/>
    <w:rsid w:val="00EB3799"/>
    <w:rsid w:val="00ED2AC4"/>
    <w:rsid w:val="00ED32C7"/>
    <w:rsid w:val="00EE03EA"/>
    <w:rsid w:val="00EE3B42"/>
    <w:rsid w:val="00EE568B"/>
    <w:rsid w:val="00EE65ED"/>
    <w:rsid w:val="00EF299B"/>
    <w:rsid w:val="00F10C9D"/>
    <w:rsid w:val="00F11B64"/>
    <w:rsid w:val="00F142E2"/>
    <w:rsid w:val="00F2676B"/>
    <w:rsid w:val="00F336F1"/>
    <w:rsid w:val="00F46084"/>
    <w:rsid w:val="00F46420"/>
    <w:rsid w:val="00F61613"/>
    <w:rsid w:val="00F70187"/>
    <w:rsid w:val="00F9008E"/>
    <w:rsid w:val="00F9389F"/>
    <w:rsid w:val="00FA3C30"/>
    <w:rsid w:val="00FB2BBF"/>
    <w:rsid w:val="00FD3FFD"/>
    <w:rsid w:val="00FD42AF"/>
    <w:rsid w:val="00FE0C05"/>
    <w:rsid w:val="00FE52EB"/>
    <w:rsid w:val="00FF0304"/>
    <w:rsid w:val="00FF47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1EDAFC-BB11-4B2A-82D3-9DD12C70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C1"/>
    <w:pPr>
      <w:widowControl w:val="0"/>
    </w:pPr>
    <w:rPr>
      <w:snapToGrid w:val="0"/>
      <w:kern w:val="28"/>
      <w:sz w:val="22"/>
      <w:lang w:eastAsia="en-US"/>
    </w:rPr>
  </w:style>
  <w:style w:type="paragraph" w:styleId="Heading1">
    <w:name w:val="heading 1"/>
    <w:basedOn w:val="Normal"/>
    <w:next w:val="ParaNum"/>
    <w:qFormat/>
    <w:rsid w:val="006614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14C1"/>
    <w:pPr>
      <w:keepNext/>
      <w:numPr>
        <w:ilvl w:val="1"/>
        <w:numId w:val="3"/>
      </w:numPr>
      <w:spacing w:after="120"/>
      <w:outlineLvl w:val="1"/>
    </w:pPr>
    <w:rPr>
      <w:b/>
    </w:rPr>
  </w:style>
  <w:style w:type="paragraph" w:styleId="Heading3">
    <w:name w:val="heading 3"/>
    <w:basedOn w:val="Normal"/>
    <w:next w:val="ParaNum"/>
    <w:qFormat/>
    <w:rsid w:val="006614C1"/>
    <w:pPr>
      <w:keepNext/>
      <w:numPr>
        <w:ilvl w:val="2"/>
        <w:numId w:val="3"/>
      </w:numPr>
      <w:tabs>
        <w:tab w:val="left" w:pos="2160"/>
      </w:tabs>
      <w:spacing w:after="120"/>
      <w:outlineLvl w:val="2"/>
    </w:pPr>
    <w:rPr>
      <w:b/>
    </w:rPr>
  </w:style>
  <w:style w:type="paragraph" w:styleId="Heading4">
    <w:name w:val="heading 4"/>
    <w:basedOn w:val="Normal"/>
    <w:next w:val="ParaNum"/>
    <w:qFormat/>
    <w:rsid w:val="006614C1"/>
    <w:pPr>
      <w:keepNext/>
      <w:numPr>
        <w:ilvl w:val="3"/>
        <w:numId w:val="3"/>
      </w:numPr>
      <w:tabs>
        <w:tab w:val="left" w:pos="2880"/>
      </w:tabs>
      <w:spacing w:after="120"/>
      <w:outlineLvl w:val="3"/>
    </w:pPr>
    <w:rPr>
      <w:b/>
    </w:rPr>
  </w:style>
  <w:style w:type="paragraph" w:styleId="Heading5">
    <w:name w:val="heading 5"/>
    <w:basedOn w:val="Normal"/>
    <w:next w:val="ParaNum"/>
    <w:qFormat/>
    <w:rsid w:val="006614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14C1"/>
    <w:pPr>
      <w:numPr>
        <w:ilvl w:val="5"/>
        <w:numId w:val="3"/>
      </w:numPr>
      <w:tabs>
        <w:tab w:val="left" w:pos="4320"/>
      </w:tabs>
      <w:spacing w:after="120"/>
      <w:outlineLvl w:val="5"/>
    </w:pPr>
    <w:rPr>
      <w:b/>
    </w:rPr>
  </w:style>
  <w:style w:type="paragraph" w:styleId="Heading7">
    <w:name w:val="heading 7"/>
    <w:basedOn w:val="Normal"/>
    <w:next w:val="ParaNum"/>
    <w:qFormat/>
    <w:rsid w:val="006614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14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14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614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614C1"/>
  </w:style>
  <w:style w:type="paragraph" w:customStyle="1" w:styleId="ParaNum">
    <w:name w:val="ParaNum"/>
    <w:basedOn w:val="Normal"/>
    <w:rsid w:val="006614C1"/>
    <w:pPr>
      <w:numPr>
        <w:numId w:val="2"/>
      </w:numPr>
      <w:tabs>
        <w:tab w:val="clear" w:pos="1080"/>
        <w:tab w:val="num" w:pos="1440"/>
      </w:tabs>
      <w:spacing w:after="120"/>
    </w:pPr>
  </w:style>
  <w:style w:type="paragraph" w:styleId="EndnoteText">
    <w:name w:val="endnote text"/>
    <w:basedOn w:val="Normal"/>
    <w:semiHidden/>
    <w:rsid w:val="006614C1"/>
    <w:rPr>
      <w:sz w:val="20"/>
    </w:rPr>
  </w:style>
  <w:style w:type="character" w:styleId="EndnoteReference">
    <w:name w:val="endnote reference"/>
    <w:semiHidden/>
    <w:rsid w:val="006614C1"/>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6614C1"/>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614C1"/>
    <w:rPr>
      <w:rFonts w:ascii="Times New Roman" w:hAnsi="Times New Roman"/>
      <w:dstrike w:val="0"/>
      <w:color w:val="auto"/>
      <w:sz w:val="22"/>
      <w:vertAlign w:val="superscript"/>
    </w:rPr>
  </w:style>
  <w:style w:type="paragraph" w:styleId="TOC1">
    <w:name w:val="toc 1"/>
    <w:basedOn w:val="Normal"/>
    <w:next w:val="Normal"/>
    <w:uiPriority w:val="39"/>
    <w:rsid w:val="006614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14C1"/>
    <w:pPr>
      <w:tabs>
        <w:tab w:val="left" w:pos="720"/>
        <w:tab w:val="right" w:leader="dot" w:pos="9360"/>
      </w:tabs>
      <w:suppressAutoHyphens/>
      <w:ind w:left="720" w:right="720" w:hanging="360"/>
    </w:pPr>
    <w:rPr>
      <w:noProof/>
    </w:rPr>
  </w:style>
  <w:style w:type="paragraph" w:styleId="TOC3">
    <w:name w:val="toc 3"/>
    <w:basedOn w:val="Normal"/>
    <w:next w:val="Normal"/>
    <w:semiHidden/>
    <w:rsid w:val="006614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14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14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14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14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14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14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14C1"/>
    <w:pPr>
      <w:tabs>
        <w:tab w:val="right" w:pos="9360"/>
      </w:tabs>
      <w:suppressAutoHyphens/>
    </w:pPr>
  </w:style>
  <w:style w:type="character" w:customStyle="1" w:styleId="EquationCaption">
    <w:name w:val="_Equation Caption"/>
    <w:rsid w:val="006614C1"/>
  </w:style>
  <w:style w:type="paragraph" w:styleId="Header">
    <w:name w:val="header"/>
    <w:basedOn w:val="Normal"/>
    <w:autoRedefine/>
    <w:rsid w:val="006614C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614C1"/>
    <w:pPr>
      <w:tabs>
        <w:tab w:val="center" w:pos="4320"/>
        <w:tab w:val="right" w:pos="8640"/>
      </w:tabs>
    </w:pPr>
  </w:style>
  <w:style w:type="character" w:styleId="PageNumber">
    <w:name w:val="page number"/>
    <w:basedOn w:val="DefaultParagraphFont"/>
    <w:rsid w:val="006614C1"/>
  </w:style>
  <w:style w:type="paragraph" w:styleId="BlockText">
    <w:name w:val="Block Text"/>
    <w:basedOn w:val="Normal"/>
    <w:rsid w:val="006614C1"/>
    <w:pPr>
      <w:spacing w:after="240"/>
      <w:ind w:left="1440" w:right="1440"/>
    </w:pPr>
  </w:style>
  <w:style w:type="paragraph" w:customStyle="1" w:styleId="Paratitle">
    <w:name w:val="Para title"/>
    <w:basedOn w:val="Normal"/>
    <w:rsid w:val="006614C1"/>
    <w:pPr>
      <w:tabs>
        <w:tab w:val="center" w:pos="9270"/>
      </w:tabs>
      <w:spacing w:after="240"/>
    </w:pPr>
    <w:rPr>
      <w:spacing w:val="-2"/>
    </w:rPr>
  </w:style>
  <w:style w:type="paragraph" w:customStyle="1" w:styleId="Bullet">
    <w:name w:val="Bullet"/>
    <w:basedOn w:val="Normal"/>
    <w:rsid w:val="006614C1"/>
    <w:pPr>
      <w:numPr>
        <w:numId w:val="1"/>
      </w:numPr>
      <w:tabs>
        <w:tab w:val="clear" w:pos="360"/>
        <w:tab w:val="left" w:pos="2160"/>
      </w:tabs>
      <w:spacing w:after="220"/>
      <w:ind w:left="2160" w:hanging="720"/>
    </w:pPr>
  </w:style>
  <w:style w:type="paragraph" w:customStyle="1" w:styleId="TableFormat">
    <w:name w:val="TableFormat"/>
    <w:basedOn w:val="Bullet"/>
    <w:rsid w:val="006614C1"/>
    <w:pPr>
      <w:numPr>
        <w:numId w:val="0"/>
      </w:numPr>
      <w:tabs>
        <w:tab w:val="clear" w:pos="2160"/>
        <w:tab w:val="left" w:pos="5040"/>
      </w:tabs>
      <w:ind w:left="5040" w:hanging="3600"/>
    </w:pPr>
  </w:style>
  <w:style w:type="paragraph" w:customStyle="1" w:styleId="TOCTitle">
    <w:name w:val="TOC Title"/>
    <w:basedOn w:val="Normal"/>
    <w:rsid w:val="006614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14C1"/>
    <w:pPr>
      <w:jc w:val="center"/>
    </w:pPr>
    <w:rPr>
      <w:rFonts w:ascii="Times New Roman Bold" w:hAnsi="Times New Roman Bold"/>
      <w:b/>
      <w:bCs/>
      <w:caps/>
      <w:szCs w:val="22"/>
    </w:rPr>
  </w:style>
  <w:style w:type="character" w:styleId="Hyperlink">
    <w:name w:val="Hyperlink"/>
    <w:rsid w:val="006614C1"/>
    <w:rPr>
      <w:color w:val="0000FF"/>
      <w:u w:val="single"/>
    </w:rPr>
  </w:style>
  <w:style w:type="character" w:customStyle="1" w:styleId="FooterChar">
    <w:name w:val="Footer Char"/>
    <w:link w:val="Footer"/>
    <w:uiPriority w:val="99"/>
    <w:rsid w:val="006614C1"/>
    <w:rPr>
      <w:snapToGrid w:val="0"/>
      <w:kern w:val="28"/>
      <w:sz w:val="22"/>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rPr>
      <w:lang w:eastAsia="en-US"/>
    </w:rPr>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
    <w:name w:val="Unresolved Mention"/>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docs.fcc.gov/public/attachments/DOC-359222A1.xlsx%20(Authorization%20Report%206.0)." TargetMode="External" /><Relationship Id="rId3"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4"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