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EF04DC">
        <w:rPr>
          <w:b/>
          <w:snapToGrid/>
          <w:color w:val="000000"/>
          <w:kern w:val="0"/>
          <w:szCs w:val="22"/>
        </w:rPr>
        <w:t>1328</w:t>
      </w:r>
      <w:bookmarkStart w:id="0" w:name="_GoBack"/>
      <w:bookmarkEnd w:id="0"/>
    </w:p>
    <w:p w:rsidR="005F2117" w:rsidRPr="005E4925">
      <w:pPr>
        <w:widowControl/>
        <w:jc w:val="right"/>
        <w:rPr>
          <w:b/>
          <w:snapToGrid/>
          <w:color w:val="000000"/>
          <w:kern w:val="0"/>
          <w:szCs w:val="22"/>
        </w:rPr>
      </w:pPr>
      <w:r>
        <w:rPr>
          <w:b/>
          <w:snapToGrid/>
          <w:color w:val="000000"/>
          <w:kern w:val="0"/>
          <w:szCs w:val="22"/>
        </w:rPr>
        <w:t xml:space="preserve">December </w:t>
      </w:r>
      <w:r w:rsidR="00DD6105">
        <w:rPr>
          <w:b/>
          <w:snapToGrid/>
          <w:color w:val="000000"/>
          <w:kern w:val="0"/>
          <w:szCs w:val="22"/>
        </w:rPr>
        <w:t>26</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00691CF2">
        <w:rPr>
          <w:b/>
          <w:snapToGrid/>
          <w:kern w:val="0"/>
          <w:szCs w:val="22"/>
        </w:rPr>
        <w:t>3</w:t>
      </w:r>
      <w:r w:rsidR="00DD6105">
        <w:rPr>
          <w:b/>
          <w:snapToGrid/>
          <w:kern w:val="0"/>
          <w:szCs w:val="22"/>
        </w:rPr>
        <w:t>44</w:t>
      </w:r>
    </w:p>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 xml:space="preserve">The Wireline Competition Bureau (Bureau) grants the application listed in this </w:t>
      </w:r>
      <w:r w:rsidRPr="00691CF2" w:rsidR="00691CF2">
        <w:rPr>
          <w:snapToGrid/>
          <w:color w:val="000000"/>
          <w:kern w:val="0"/>
          <w:szCs w:val="22"/>
        </w:rPr>
        <w:t xml:space="preserve">Public Notice </w:t>
      </w:r>
      <w:r>
        <w:rPr>
          <w:snapToGrid/>
          <w:color w:val="000000"/>
          <w:kern w:val="0"/>
          <w:szCs w:val="22"/>
        </w:rPr>
        <w:t>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w:t>
      </w:r>
      <w:r>
        <w:rPr>
          <w:snapToGrid/>
          <w:color w:val="000000"/>
          <w:kern w:val="0"/>
          <w:szCs w:val="22"/>
        </w:rPr>
        <w:t>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w:t>
      </w:r>
      <w:r w:rsidRPr="00691CF2" w:rsidR="00691CF2">
        <w:rPr>
          <w:snapToGrid/>
          <w:color w:val="000000"/>
          <w:kern w:val="0"/>
          <w:szCs w:val="22"/>
        </w:rPr>
        <w:t>Public Notice</w:t>
      </w:r>
      <w:r>
        <w:rPr>
          <w:snapToGrid/>
          <w:color w:val="000000"/>
          <w:kern w:val="0"/>
          <w:szCs w:val="22"/>
        </w:rPr>
        <w:t>.</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DD6105" w:rsidRPr="00DD6105" w:rsidP="00DD6105">
      <w:pPr>
        <w:autoSpaceDE w:val="0"/>
        <w:autoSpaceDN w:val="0"/>
        <w:adjustRightInd w:val="0"/>
        <w:ind w:left="720"/>
        <w:rPr>
          <w:bCs/>
          <w:snapToGrid/>
          <w:kern w:val="0"/>
          <w:szCs w:val="22"/>
        </w:rPr>
      </w:pPr>
      <w:r w:rsidRPr="00DD6105">
        <w:rPr>
          <w:bCs/>
          <w:snapToGrid/>
          <w:kern w:val="0"/>
          <w:szCs w:val="22"/>
        </w:rPr>
        <w:t xml:space="preserve">Velocity Networks of Kentucky, Inc. to Rural Broadband Consulting, Inc., </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sidR="00691CF2">
        <w:rPr>
          <w:snapToGrid/>
          <w:kern w:val="0"/>
          <w:szCs w:val="22"/>
        </w:rPr>
        <w:t>3</w:t>
      </w:r>
      <w:r w:rsidR="00DD6105">
        <w:rPr>
          <w:snapToGrid/>
          <w:kern w:val="0"/>
          <w:szCs w:val="22"/>
        </w:rPr>
        <w:t>44</w:t>
      </w:r>
      <w:r>
        <w:t>, Public Notice, DA 19-</w:t>
      </w:r>
      <w:r w:rsidR="008F6379">
        <w:t>1</w:t>
      </w:r>
      <w:r w:rsidR="00DD6105">
        <w:t>209</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691CF2">
        <w:rPr>
          <w:b/>
          <w:bCs/>
          <w:snapToGrid/>
          <w:color w:val="000000"/>
          <w:kern w:val="0"/>
          <w:szCs w:val="22"/>
          <w:lang w:eastAsia="ja-JP"/>
        </w:rPr>
        <w:t xml:space="preserve">December </w:t>
      </w:r>
      <w:r w:rsidR="007B20FA">
        <w:rPr>
          <w:b/>
          <w:bCs/>
          <w:snapToGrid/>
          <w:color w:val="000000"/>
          <w:kern w:val="0"/>
          <w:szCs w:val="22"/>
          <w:lang w:eastAsia="ja-JP"/>
        </w:rPr>
        <w:t>26</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A3620A" w:rsidR="00A3620A">
        <w:rPr>
          <w:snapToGrid/>
          <w:kern w:val="0"/>
        </w:rPr>
        <w:t xml:space="preserve">Myrva Charles at (202) 418-1506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505">
      <w:r>
        <w:separator/>
      </w:r>
    </w:p>
  </w:footnote>
  <w:footnote w:type="continuationSeparator" w:id="1">
    <w:p w:rsidR="00951505">
      <w:pPr>
        <w:spacing w:before="120"/>
        <w:rPr>
          <w:sz w:val="20"/>
        </w:rPr>
      </w:pPr>
      <w:r>
        <w:rPr>
          <w:sz w:val="20"/>
        </w:rPr>
        <w:t xml:space="preserve">(Continued from previous page)  </w:t>
      </w:r>
      <w:r>
        <w:rPr>
          <w:sz w:val="20"/>
        </w:rPr>
        <w:separator/>
      </w:r>
    </w:p>
  </w:footnote>
  <w:footnote w:type="continuationNotice" w:id="2">
    <w:p w:rsidR="0095150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mso-wrap-distance-bottom:0pt;mso-wrap-distance-top:0pt;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5342"/>
    <w:rsid w:val="001264C9"/>
    <w:rsid w:val="0013145F"/>
    <w:rsid w:val="00133C82"/>
    <w:rsid w:val="0015603D"/>
    <w:rsid w:val="00156143"/>
    <w:rsid w:val="00173198"/>
    <w:rsid w:val="0019579C"/>
    <w:rsid w:val="00196C65"/>
    <w:rsid w:val="001A121B"/>
    <w:rsid w:val="00200296"/>
    <w:rsid w:val="00211D73"/>
    <w:rsid w:val="0022791B"/>
    <w:rsid w:val="00243084"/>
    <w:rsid w:val="002D022F"/>
    <w:rsid w:val="00305194"/>
    <w:rsid w:val="003129F6"/>
    <w:rsid w:val="00335FA8"/>
    <w:rsid w:val="00344A9D"/>
    <w:rsid w:val="00361ADD"/>
    <w:rsid w:val="00371B78"/>
    <w:rsid w:val="00395243"/>
    <w:rsid w:val="00396731"/>
    <w:rsid w:val="003A3E1F"/>
    <w:rsid w:val="003F530B"/>
    <w:rsid w:val="004257A5"/>
    <w:rsid w:val="004301FC"/>
    <w:rsid w:val="0043636B"/>
    <w:rsid w:val="00440F35"/>
    <w:rsid w:val="004437AE"/>
    <w:rsid w:val="004C64BE"/>
    <w:rsid w:val="004E5C2C"/>
    <w:rsid w:val="00532267"/>
    <w:rsid w:val="00532F9E"/>
    <w:rsid w:val="00535F00"/>
    <w:rsid w:val="00571B4A"/>
    <w:rsid w:val="005A05C2"/>
    <w:rsid w:val="005E4925"/>
    <w:rsid w:val="005F2117"/>
    <w:rsid w:val="00691CF2"/>
    <w:rsid w:val="006D23CF"/>
    <w:rsid w:val="00762548"/>
    <w:rsid w:val="00767F4C"/>
    <w:rsid w:val="007B20FA"/>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51505"/>
    <w:rsid w:val="009802E8"/>
    <w:rsid w:val="00984307"/>
    <w:rsid w:val="009E7DF4"/>
    <w:rsid w:val="00A3620A"/>
    <w:rsid w:val="00A44BFC"/>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0A98"/>
    <w:rsid w:val="00DD6105"/>
    <w:rsid w:val="00DD7A7F"/>
    <w:rsid w:val="00DE3D4C"/>
    <w:rsid w:val="00DF2E9A"/>
    <w:rsid w:val="00E21E19"/>
    <w:rsid w:val="00EC5D0A"/>
    <w:rsid w:val="00EF04DC"/>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