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37D7D659" w14:textId="6A83E73C">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6E46D61E" w14:textId="77777777">
      <w:pPr>
        <w:pStyle w:val="StyleBoldCentered"/>
      </w:pPr>
      <w:r>
        <w:t>F</w:t>
      </w:r>
      <w:r>
        <w:rPr>
          <w:caps w:val="0"/>
        </w:rPr>
        <w:t>ederal Communications Commission</w:t>
      </w:r>
    </w:p>
    <w:p w:rsidR="004C2EE3" w:rsidP="00096D8C" w14:paraId="2E91292C" w14:textId="63A72272">
      <w:pPr>
        <w:pStyle w:val="StyleBoldCentered"/>
      </w:pPr>
      <w:r>
        <w:rPr>
          <w:caps w:val="0"/>
        </w:rPr>
        <w:t>Washington, D.C. 20554</w:t>
      </w:r>
    </w:p>
    <w:p w:rsidR="004C2EE3" w:rsidP="0070224F" w14:paraId="11E54299" w14:textId="77777777"/>
    <w:p w:rsidR="004C2EE3" w:rsidP="0070224F" w14:paraId="2338913F" w14:textId="77777777"/>
    <w:tbl>
      <w:tblPr>
        <w:tblW w:w="0" w:type="auto"/>
        <w:tblLayout w:type="fixed"/>
        <w:tblLook w:val="0000"/>
      </w:tblPr>
      <w:tblGrid>
        <w:gridCol w:w="4698"/>
        <w:gridCol w:w="630"/>
        <w:gridCol w:w="4248"/>
      </w:tblGrid>
      <w:tr w14:paraId="290EA744" w14:textId="77777777">
        <w:tblPrEx>
          <w:tblW w:w="0" w:type="auto"/>
          <w:tblLayout w:type="fixed"/>
          <w:tblLook w:val="0000"/>
        </w:tblPrEx>
        <w:tc>
          <w:tcPr>
            <w:tcW w:w="4698" w:type="dxa"/>
          </w:tcPr>
          <w:p w:rsidR="004C2EE3" w14:paraId="4C28D110" w14:textId="77777777">
            <w:pPr>
              <w:tabs>
                <w:tab w:val="center" w:pos="4680"/>
              </w:tabs>
              <w:suppressAutoHyphens/>
              <w:rPr>
                <w:spacing w:val="-2"/>
              </w:rPr>
            </w:pPr>
            <w:r>
              <w:rPr>
                <w:spacing w:val="-2"/>
              </w:rPr>
              <w:t>In the Matter of</w:t>
            </w:r>
          </w:p>
          <w:p w:rsidR="004C2EE3" w14:paraId="54E92EF9" w14:textId="77777777">
            <w:pPr>
              <w:tabs>
                <w:tab w:val="center" w:pos="4680"/>
              </w:tabs>
              <w:suppressAutoHyphens/>
              <w:rPr>
                <w:spacing w:val="-2"/>
              </w:rPr>
            </w:pPr>
          </w:p>
          <w:p w:rsidR="00CC78BE" w:rsidRPr="007115F7" w:rsidP="007115F7" w14:paraId="14FFB99C" w14:textId="2E85E857">
            <w:pPr>
              <w:tabs>
                <w:tab w:val="center" w:pos="4680"/>
              </w:tabs>
              <w:suppressAutoHyphens/>
              <w:rPr>
                <w:spacing w:val="-2"/>
              </w:rPr>
            </w:pPr>
            <w:r>
              <w:rPr>
                <w:spacing w:val="-2"/>
              </w:rPr>
              <w:t xml:space="preserve">Pivotal </w:t>
            </w:r>
            <w:r>
              <w:rPr>
                <w:spacing w:val="-2"/>
              </w:rPr>
              <w:t>Commware</w:t>
            </w:r>
            <w:r>
              <w:rPr>
                <w:spacing w:val="-2"/>
              </w:rPr>
              <w:t xml:space="preserve"> Request for </w:t>
            </w:r>
            <w:r>
              <w:rPr>
                <w:spacing w:val="-2"/>
              </w:rPr>
              <w:t>Waiver of Industrial Signal Booster</w:t>
            </w:r>
            <w:r>
              <w:rPr>
                <w:spacing w:val="-2"/>
              </w:rPr>
              <w:t xml:space="preserve"> </w:t>
            </w:r>
            <w:r>
              <w:rPr>
                <w:spacing w:val="-2"/>
              </w:rPr>
              <w:t>Labelling Requirements</w:t>
            </w:r>
          </w:p>
        </w:tc>
        <w:tc>
          <w:tcPr>
            <w:tcW w:w="630" w:type="dxa"/>
          </w:tcPr>
          <w:p w:rsidR="004C2EE3" w14:paraId="31804926" w14:textId="77777777">
            <w:pPr>
              <w:tabs>
                <w:tab w:val="center" w:pos="4680"/>
              </w:tabs>
              <w:suppressAutoHyphens/>
              <w:rPr>
                <w:b/>
                <w:spacing w:val="-2"/>
              </w:rPr>
            </w:pPr>
            <w:r>
              <w:rPr>
                <w:b/>
                <w:spacing w:val="-2"/>
              </w:rPr>
              <w:t>)</w:t>
            </w:r>
          </w:p>
          <w:p w:rsidR="004C2EE3" w14:paraId="2183087B" w14:textId="77777777">
            <w:pPr>
              <w:tabs>
                <w:tab w:val="center" w:pos="4680"/>
              </w:tabs>
              <w:suppressAutoHyphens/>
              <w:rPr>
                <w:b/>
                <w:spacing w:val="-2"/>
              </w:rPr>
            </w:pPr>
            <w:r>
              <w:rPr>
                <w:b/>
                <w:spacing w:val="-2"/>
              </w:rPr>
              <w:t>)</w:t>
            </w:r>
          </w:p>
          <w:p w:rsidR="004C2EE3" w14:paraId="3AE909B6" w14:textId="77777777">
            <w:pPr>
              <w:tabs>
                <w:tab w:val="center" w:pos="4680"/>
              </w:tabs>
              <w:suppressAutoHyphens/>
              <w:rPr>
                <w:b/>
                <w:spacing w:val="-2"/>
              </w:rPr>
            </w:pPr>
            <w:r>
              <w:rPr>
                <w:b/>
                <w:spacing w:val="-2"/>
              </w:rPr>
              <w:t>)</w:t>
            </w:r>
          </w:p>
          <w:p w:rsidR="009F729C" w:rsidRPr="00AF6230" w14:paraId="19265958" w14:textId="3C2654A3">
            <w:pPr>
              <w:tabs>
                <w:tab w:val="center" w:pos="4680"/>
              </w:tabs>
              <w:suppressAutoHyphens/>
              <w:rPr>
                <w:b/>
                <w:spacing w:val="-2"/>
              </w:rPr>
            </w:pPr>
            <w:r>
              <w:rPr>
                <w:b/>
                <w:spacing w:val="-2"/>
              </w:rPr>
              <w:t>)</w:t>
            </w:r>
          </w:p>
        </w:tc>
        <w:tc>
          <w:tcPr>
            <w:tcW w:w="4248" w:type="dxa"/>
          </w:tcPr>
          <w:p w:rsidR="004C2EE3" w14:paraId="6F3E50B8" w14:textId="77777777">
            <w:pPr>
              <w:tabs>
                <w:tab w:val="center" w:pos="4680"/>
              </w:tabs>
              <w:suppressAutoHyphens/>
              <w:rPr>
                <w:spacing w:val="-2"/>
              </w:rPr>
            </w:pPr>
          </w:p>
          <w:p w:rsidR="004C2EE3" w14:paraId="44AB952F" w14:textId="77777777">
            <w:pPr>
              <w:pStyle w:val="TOAHeading"/>
              <w:tabs>
                <w:tab w:val="center" w:pos="4680"/>
                <w:tab w:val="clear" w:pos="9360"/>
              </w:tabs>
              <w:rPr>
                <w:spacing w:val="-2"/>
              </w:rPr>
            </w:pPr>
          </w:p>
          <w:p w:rsidR="004C2EE3" w14:paraId="05870D1C" w14:textId="77777777">
            <w:pPr>
              <w:tabs>
                <w:tab w:val="center" w:pos="4680"/>
              </w:tabs>
              <w:suppressAutoHyphens/>
              <w:rPr>
                <w:spacing w:val="-2"/>
              </w:rPr>
            </w:pPr>
            <w:r>
              <w:rPr>
                <w:spacing w:val="-2"/>
              </w:rPr>
              <w:t xml:space="preserve"> </w:t>
            </w:r>
            <w:r w:rsidR="00A60D72">
              <w:rPr>
                <w:spacing w:val="-2"/>
              </w:rPr>
              <w:t>WT Docket No. 19-272</w:t>
            </w:r>
          </w:p>
        </w:tc>
      </w:tr>
    </w:tbl>
    <w:p w:rsidR="004C2EE3" w:rsidP="0070224F" w14:paraId="3233A91B" w14:textId="77777777"/>
    <w:p w:rsidR="00841AB1" w:rsidP="00F5390E" w14:paraId="02EB3CA4" w14:textId="77777777">
      <w:pPr>
        <w:pStyle w:val="StyleBoldCentered"/>
      </w:pPr>
      <w:r>
        <w:t>ORDER</w:t>
      </w:r>
    </w:p>
    <w:p w:rsidR="004C2EE3" w14:paraId="15820C2A" w14:textId="77777777">
      <w:pPr>
        <w:tabs>
          <w:tab w:val="left" w:pos="-720"/>
        </w:tabs>
        <w:suppressAutoHyphens/>
        <w:spacing w:line="227" w:lineRule="auto"/>
        <w:rPr>
          <w:spacing w:val="-2"/>
        </w:rPr>
      </w:pPr>
    </w:p>
    <w:p w:rsidR="004C2EE3" w:rsidP="00133F79" w14:paraId="39195DA9" w14:textId="32D88BA1">
      <w:pPr>
        <w:tabs>
          <w:tab w:val="left" w:pos="720"/>
          <w:tab w:val="right" w:pos="9360"/>
        </w:tabs>
        <w:suppressAutoHyphens/>
        <w:spacing w:line="227" w:lineRule="auto"/>
        <w:rPr>
          <w:spacing w:val="-2"/>
        </w:rPr>
      </w:pPr>
      <w:r>
        <w:rPr>
          <w:b/>
          <w:spacing w:val="-2"/>
        </w:rPr>
        <w:t xml:space="preserve">Adopted:  </w:t>
      </w:r>
      <w:r w:rsidR="003A5411">
        <w:rPr>
          <w:b/>
          <w:spacing w:val="-2"/>
        </w:rPr>
        <w:t xml:space="preserve">December </w:t>
      </w:r>
      <w:r w:rsidR="000A3DEC">
        <w:rPr>
          <w:b/>
          <w:spacing w:val="-2"/>
        </w:rPr>
        <w:t>26</w:t>
      </w:r>
      <w:r w:rsidR="00AF6230">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A5411">
        <w:rPr>
          <w:b/>
          <w:spacing w:val="-2"/>
        </w:rPr>
        <w:t xml:space="preserve">December </w:t>
      </w:r>
      <w:r w:rsidR="000A3DEC">
        <w:rPr>
          <w:b/>
          <w:spacing w:val="-2"/>
        </w:rPr>
        <w:t>26</w:t>
      </w:r>
      <w:r w:rsidR="00AF6230">
        <w:rPr>
          <w:b/>
          <w:spacing w:val="-2"/>
        </w:rPr>
        <w:t>, 2019</w:t>
      </w:r>
    </w:p>
    <w:p w:rsidR="00822CE0" w14:paraId="1D2AE1EE" w14:textId="77777777"/>
    <w:p w:rsidR="004C2EE3" w14:paraId="112A3085" w14:textId="25CD44B6">
      <w:pPr>
        <w:rPr>
          <w:spacing w:val="-2"/>
        </w:rPr>
      </w:pPr>
      <w:r>
        <w:t xml:space="preserve">By </w:t>
      </w:r>
      <w:r w:rsidR="004E4A22">
        <w:t>the</w:t>
      </w:r>
      <w:r w:rsidR="002A2D2E">
        <w:t xml:space="preserve"> </w:t>
      </w:r>
      <w:r w:rsidR="00A60D72">
        <w:rPr>
          <w:spacing w:val="-2"/>
        </w:rPr>
        <w:t>Chief, Mobility Division, Wireless Telecommunications Bureau</w:t>
      </w:r>
      <w:r w:rsidR="003A5411">
        <w:rPr>
          <w:spacing w:val="-2"/>
        </w:rPr>
        <w:t>:</w:t>
      </w:r>
    </w:p>
    <w:p w:rsidR="00822CE0" w14:paraId="1A94159E" w14:textId="77777777">
      <w:pPr>
        <w:rPr>
          <w:spacing w:val="-2"/>
        </w:rPr>
      </w:pPr>
    </w:p>
    <w:p w:rsidR="00412FC5" w:rsidP="00C36B4C" w14:paraId="3E0E03D3" w14:textId="77777777">
      <w:pPr>
        <w:pStyle w:val="Heading1"/>
      </w:pPr>
      <w:r>
        <w:t>INTRODUCTION</w:t>
      </w:r>
    </w:p>
    <w:p w:rsidR="00003FA3" w:rsidP="00003FA3" w14:paraId="65F50EB1" w14:textId="42531D5A">
      <w:pPr>
        <w:pStyle w:val="ParaNum"/>
      </w:pPr>
      <w:r>
        <w:t xml:space="preserve">In this Order, we address the request for waiver of </w:t>
      </w:r>
      <w:r w:rsidR="00D76B62">
        <w:t xml:space="preserve">section 20.21(f) </w:t>
      </w:r>
      <w:r w:rsidR="00FF34CB">
        <w:t xml:space="preserve">Industrial Signal Booster labeling requirements filed by Pivotal </w:t>
      </w:r>
      <w:r w:rsidR="00FF34CB">
        <w:t>Commware</w:t>
      </w:r>
      <w:r w:rsidR="00FF34CB">
        <w:t xml:space="preserve"> (Pivotal).</w:t>
      </w:r>
      <w:r>
        <w:rPr>
          <w:rStyle w:val="FootnoteReference"/>
        </w:rPr>
        <w:footnoteReference w:id="3"/>
      </w:r>
      <w:r w:rsidR="00FF34CB">
        <w:t xml:space="preserve">  </w:t>
      </w:r>
      <w:r w:rsidR="00FD3667">
        <w:t>For the reasons discussed below</w:t>
      </w:r>
      <w:r>
        <w:t xml:space="preserve">, we grant Pivotal a partial waiver of section 20.21(f) of the Commission’s rules to provide for an alternate label on </w:t>
      </w:r>
      <w:r w:rsidR="00887635">
        <w:t xml:space="preserve">its </w:t>
      </w:r>
      <w:r>
        <w:t>“Echo 5G Subscriber” Industrial Signal Booster (Device)</w:t>
      </w:r>
      <w:r w:rsidR="00FE6F59">
        <w:t>.</w:t>
      </w:r>
      <w:r w:rsidR="00FD3667">
        <w:t xml:space="preserve">  </w:t>
      </w:r>
      <w:r w:rsidR="00E9701B">
        <w:t>We</w:t>
      </w:r>
      <w:r w:rsidR="00FD3667">
        <w:t xml:space="preserve"> condition</w:t>
      </w:r>
      <w:r w:rsidR="00E9701B">
        <w:t xml:space="preserve"> </w:t>
      </w:r>
      <w:r w:rsidR="00FD3667">
        <w:t>this grant</w:t>
      </w:r>
      <w:r w:rsidR="001B5FE1">
        <w:t>, however,</w:t>
      </w:r>
      <w:r w:rsidR="00FD3667">
        <w:t xml:space="preserve"> on certain features of Pivotal’s Device.</w:t>
      </w:r>
    </w:p>
    <w:p w:rsidR="008E5147" w:rsidP="007B7BF3" w14:paraId="5F7D26E8" w14:textId="49AAE420">
      <w:pPr>
        <w:pStyle w:val="Heading1"/>
      </w:pPr>
      <w:r>
        <w:t>BACKGROUND</w:t>
      </w:r>
    </w:p>
    <w:p w:rsidR="00E72BF3" w:rsidRPr="00E72BF3" w:rsidP="00E72BF3" w14:paraId="3BFE82FB" w14:textId="4BF1C17D">
      <w:pPr>
        <w:pStyle w:val="Heading2"/>
      </w:pPr>
      <w:r>
        <w:t>Signal Booster Requirements</w:t>
      </w:r>
    </w:p>
    <w:p w:rsidR="00140A0B" w:rsidP="00D8607F" w14:paraId="44DAD62B" w14:textId="42AB281F">
      <w:pPr>
        <w:pStyle w:val="ParaNum"/>
        <w:rPr>
          <w:rStyle w:val="st"/>
        </w:rPr>
      </w:pPr>
      <w:r>
        <w:rPr>
          <w:i/>
        </w:rPr>
        <w:t>Signal Booster</w:t>
      </w:r>
      <w:r w:rsidR="00E72BF3">
        <w:rPr>
          <w:i/>
        </w:rPr>
        <w:t xml:space="preserve"> Framework</w:t>
      </w:r>
      <w:r w:rsidRPr="008E5147">
        <w:t xml:space="preserve">.  </w:t>
      </w:r>
      <w:r>
        <w:t xml:space="preserve">In 2013, the Commission </w:t>
      </w:r>
      <w:r w:rsidR="00BB5B05">
        <w:t xml:space="preserve">established </w:t>
      </w:r>
      <w:r w:rsidR="00AD4681">
        <w:t>a regulatory framework for</w:t>
      </w:r>
      <w:r>
        <w:t xml:space="preserve"> signal boosters.</w:t>
      </w:r>
      <w:r>
        <w:rPr>
          <w:rStyle w:val="FootnoteReference"/>
        </w:rPr>
        <w:footnoteReference w:id="4"/>
      </w:r>
      <w:r>
        <w:t xml:space="preserve">  In that Order, the Commission created two classes of signal boosters</w:t>
      </w:r>
      <w:r w:rsidR="00DA5B85">
        <w:rPr>
          <w:rStyle w:val="st"/>
        </w:rPr>
        <w:t>—</w:t>
      </w:r>
      <w:r>
        <w:t>Consumer and Industrial</w:t>
      </w:r>
      <w:r w:rsidR="00DA5B85">
        <w:rPr>
          <w:rStyle w:val="st"/>
        </w:rPr>
        <w:t>—</w:t>
      </w:r>
      <w:r>
        <w:rPr>
          <w:rStyle w:val="st"/>
        </w:rPr>
        <w:t>with distinct regulatory requirements.</w:t>
      </w:r>
      <w:r>
        <w:rPr>
          <w:rStyle w:val="FootnoteReference"/>
        </w:rPr>
        <w:footnoteReference w:id="5"/>
      </w:r>
      <w:r w:rsidR="00D8607F">
        <w:rPr>
          <w:rStyle w:val="st"/>
        </w:rPr>
        <w:t xml:space="preserve">  </w:t>
      </w:r>
      <w:r w:rsidR="0021006C">
        <w:t xml:space="preserve">A </w:t>
      </w:r>
      <w:r>
        <w:t xml:space="preserve">Consumer Signal Booster </w:t>
      </w:r>
      <w:r w:rsidR="0021006C">
        <w:t xml:space="preserve">is required to </w:t>
      </w:r>
      <w:r w:rsidR="00361DBE">
        <w:t>contain a</w:t>
      </w:r>
      <w:r w:rsidR="002A33C4">
        <w:t xml:space="preserve"> series of </w:t>
      </w:r>
      <w:r w:rsidR="00FF4869">
        <w:t>buil</w:t>
      </w:r>
      <w:r w:rsidR="0012171A">
        <w:t>t</w:t>
      </w:r>
      <w:r w:rsidR="00FF4869">
        <w:t xml:space="preserve">-in </w:t>
      </w:r>
      <w:r w:rsidR="002A33C4">
        <w:t>technical safeguard</w:t>
      </w:r>
      <w:r w:rsidR="00F95A1F">
        <w:t>s</w:t>
      </w:r>
      <w:r w:rsidR="002A33C4">
        <w:t xml:space="preserve"> </w:t>
      </w:r>
      <w:r w:rsidR="00AD4681">
        <w:t xml:space="preserve">and is </w:t>
      </w:r>
      <w:r w:rsidR="002A33C4">
        <w:t>designed to minimize interference to wireless networks.</w:t>
      </w:r>
      <w:r>
        <w:rPr>
          <w:rStyle w:val="FootnoteReference"/>
        </w:rPr>
        <w:footnoteReference w:id="6"/>
      </w:r>
      <w:r w:rsidR="00F95A1F">
        <w:t xml:space="preserve">  </w:t>
      </w:r>
      <w:r w:rsidR="00FF4869">
        <w:t>These devices are authorized for use only in certain wireless radio service spectrum bands.</w:t>
      </w:r>
      <w:r>
        <w:rPr>
          <w:rStyle w:val="FootnoteReference"/>
        </w:rPr>
        <w:footnoteReference w:id="7"/>
      </w:r>
      <w:r w:rsidR="00FF4869">
        <w:t xml:space="preserve">  </w:t>
      </w:r>
      <w:r w:rsidR="00FF4869">
        <w:rPr>
          <w:rStyle w:val="st"/>
        </w:rPr>
        <w:t>All other signal boosters are Industrial Signal Boosters.</w:t>
      </w:r>
      <w:r>
        <w:rPr>
          <w:rStyle w:val="FootnoteReference"/>
        </w:rPr>
        <w:footnoteReference w:id="8"/>
      </w:r>
      <w:r w:rsidR="00A53F11">
        <w:rPr>
          <w:rStyle w:val="st"/>
        </w:rPr>
        <w:t xml:space="preserve">  </w:t>
      </w:r>
      <w:r w:rsidR="00AD4681">
        <w:rPr>
          <w:rStyle w:val="st"/>
        </w:rPr>
        <w:t xml:space="preserve">Unlike Consumer Signal Boosters, </w:t>
      </w:r>
      <w:r w:rsidR="00E82A74">
        <w:rPr>
          <w:rStyle w:val="st"/>
        </w:rPr>
        <w:t>Industrial Signal Boosters</w:t>
      </w:r>
      <w:r w:rsidR="00AD4681">
        <w:rPr>
          <w:rStyle w:val="st"/>
        </w:rPr>
        <w:t xml:space="preserve"> </w:t>
      </w:r>
      <w:r w:rsidR="00A53F11">
        <w:rPr>
          <w:rStyle w:val="st"/>
        </w:rPr>
        <w:t>are not required to contain</w:t>
      </w:r>
      <w:r w:rsidR="00E33985">
        <w:rPr>
          <w:rStyle w:val="st"/>
        </w:rPr>
        <w:t xml:space="preserve"> </w:t>
      </w:r>
      <w:r w:rsidR="00351354">
        <w:rPr>
          <w:rStyle w:val="st"/>
        </w:rPr>
        <w:t xml:space="preserve">specific built-in </w:t>
      </w:r>
      <w:r w:rsidR="00AD4681">
        <w:rPr>
          <w:rStyle w:val="st"/>
        </w:rPr>
        <w:t xml:space="preserve">technical </w:t>
      </w:r>
      <w:r w:rsidR="00A53F11">
        <w:rPr>
          <w:rStyle w:val="st"/>
        </w:rPr>
        <w:t>safeguards</w:t>
      </w:r>
      <w:r w:rsidR="00CB0BD5">
        <w:rPr>
          <w:rStyle w:val="st"/>
        </w:rPr>
        <w:t>,</w:t>
      </w:r>
      <w:r w:rsidR="00E8763E">
        <w:rPr>
          <w:rStyle w:val="st"/>
        </w:rPr>
        <w:t xml:space="preserve"> </w:t>
      </w:r>
      <w:r w:rsidR="00147718">
        <w:rPr>
          <w:rStyle w:val="st"/>
        </w:rPr>
        <w:t>but</w:t>
      </w:r>
      <w:r w:rsidR="00FE6F59">
        <w:rPr>
          <w:rStyle w:val="st"/>
        </w:rPr>
        <w:t xml:space="preserve"> </w:t>
      </w:r>
      <w:r w:rsidR="00CB0BD5">
        <w:rPr>
          <w:rStyle w:val="st"/>
        </w:rPr>
        <w:t xml:space="preserve">they </w:t>
      </w:r>
      <w:r w:rsidR="00E8763E">
        <w:rPr>
          <w:rStyle w:val="st"/>
        </w:rPr>
        <w:t>are required to be installed with explicit licensee consent and close licensee coordination</w:t>
      </w:r>
      <w:r w:rsidR="00D76B62">
        <w:rPr>
          <w:rStyle w:val="st"/>
        </w:rPr>
        <w:t>.</w:t>
      </w:r>
      <w:r>
        <w:rPr>
          <w:rStyle w:val="FootnoteReference"/>
        </w:rPr>
        <w:footnoteReference w:id="9"/>
      </w:r>
      <w:r w:rsidR="00D76B62">
        <w:rPr>
          <w:rStyle w:val="st"/>
        </w:rPr>
        <w:t xml:space="preserve">  </w:t>
      </w:r>
      <w:r w:rsidR="00AB2F30">
        <w:rPr>
          <w:rStyle w:val="st"/>
        </w:rPr>
        <w:t xml:space="preserve">Both Consumer and Industrial Signal Boosters </w:t>
      </w:r>
      <w:r w:rsidR="002E45D2">
        <w:rPr>
          <w:rStyle w:val="st"/>
        </w:rPr>
        <w:t xml:space="preserve">are </w:t>
      </w:r>
      <w:r w:rsidR="00D76B62">
        <w:rPr>
          <w:rStyle w:val="st"/>
        </w:rPr>
        <w:t>required t</w:t>
      </w:r>
      <w:r w:rsidR="00FE6F59">
        <w:rPr>
          <w:rStyle w:val="st"/>
        </w:rPr>
        <w:t xml:space="preserve">o </w:t>
      </w:r>
      <w:r w:rsidR="00E8763E">
        <w:rPr>
          <w:rStyle w:val="st"/>
        </w:rPr>
        <w:t>include labels</w:t>
      </w:r>
      <w:r w:rsidR="00AB2F30">
        <w:rPr>
          <w:rStyle w:val="st"/>
        </w:rPr>
        <w:t xml:space="preserve"> with text </w:t>
      </w:r>
      <w:r w:rsidR="0091533A">
        <w:rPr>
          <w:rStyle w:val="st"/>
        </w:rPr>
        <w:t>applicable</w:t>
      </w:r>
      <w:r w:rsidR="00AB2F30">
        <w:rPr>
          <w:rStyle w:val="st"/>
        </w:rPr>
        <w:t xml:space="preserve"> to the category of signal booster</w:t>
      </w:r>
      <w:r w:rsidR="00351354">
        <w:rPr>
          <w:rStyle w:val="st"/>
        </w:rPr>
        <w:t>.</w:t>
      </w:r>
      <w:r>
        <w:rPr>
          <w:rStyle w:val="FootnoteReference"/>
        </w:rPr>
        <w:footnoteReference w:id="10"/>
      </w:r>
    </w:p>
    <w:p w:rsidR="00CA62F2" w:rsidP="00416471" w14:paraId="1632BB24" w14:textId="0999D739">
      <w:pPr>
        <w:pStyle w:val="ParaNum"/>
      </w:pPr>
      <w:r>
        <w:rPr>
          <w:i/>
        </w:rPr>
        <w:t>Signal Booster Labeling Requirements</w:t>
      </w:r>
      <w:r>
        <w:t xml:space="preserve">.  </w:t>
      </w:r>
      <w:r w:rsidR="00134B5E">
        <w:t xml:space="preserve">Section 20.21(f)(1) requires that </w:t>
      </w:r>
      <w:r>
        <w:t xml:space="preserve">all signal boosters in the United States include specific advisories concerning the device, regardless of whether </w:t>
      </w:r>
      <w:r w:rsidR="00AA71E8">
        <w:t xml:space="preserve">the device is classified as a </w:t>
      </w:r>
      <w:r w:rsidR="00134B5E">
        <w:t xml:space="preserve">Consumer </w:t>
      </w:r>
      <w:r w:rsidR="00AA71E8">
        <w:t>or</w:t>
      </w:r>
      <w:r w:rsidR="00134B5E">
        <w:t xml:space="preserve"> Industrial Signal Booster</w:t>
      </w:r>
      <w:r>
        <w:t>.</w:t>
      </w:r>
      <w:r>
        <w:rPr>
          <w:rStyle w:val="FootnoteReference"/>
        </w:rPr>
        <w:footnoteReference w:id="11"/>
      </w:r>
      <w:r w:rsidR="00134B5E">
        <w:t xml:space="preserve">  </w:t>
      </w:r>
      <w:r w:rsidR="00351354">
        <w:t>Because</w:t>
      </w:r>
      <w:r w:rsidR="001A3EE4">
        <w:t xml:space="preserve"> Industrial Signal Boosters</w:t>
      </w:r>
      <w:r w:rsidR="00351354">
        <w:t xml:space="preserve"> do</w:t>
      </w:r>
      <w:r w:rsidR="002B77F9">
        <w:t xml:space="preserve"> not contain built-in, consumer-targeted safeguards, </w:t>
      </w:r>
      <w:r w:rsidR="00351354">
        <w:t>they are required to contain labels</w:t>
      </w:r>
      <w:r w:rsidR="001A3EE4">
        <w:t xml:space="preserve"> to </w:t>
      </w:r>
      <w:r w:rsidR="008F2F2D">
        <w:t>prevent consumers from</w:t>
      </w:r>
      <w:r w:rsidR="001A3EE4">
        <w:t xml:space="preserve"> </w:t>
      </w:r>
      <w:r w:rsidR="00E33985">
        <w:rPr>
          <w:rStyle w:val="st"/>
        </w:rPr>
        <w:t>erroneously purchas</w:t>
      </w:r>
      <w:r w:rsidR="008F2F2D">
        <w:rPr>
          <w:rStyle w:val="st"/>
        </w:rPr>
        <w:t>ing</w:t>
      </w:r>
      <w:r w:rsidR="00E33985">
        <w:rPr>
          <w:rStyle w:val="st"/>
        </w:rPr>
        <w:t xml:space="preserve"> </w:t>
      </w:r>
      <w:r w:rsidR="001A3EE4">
        <w:rPr>
          <w:rStyle w:val="st"/>
        </w:rPr>
        <w:t>th</w:t>
      </w:r>
      <w:r w:rsidR="008F2F2D">
        <w:rPr>
          <w:rStyle w:val="st"/>
        </w:rPr>
        <w:t xml:space="preserve">e </w:t>
      </w:r>
      <w:r w:rsidR="001A3EE4">
        <w:rPr>
          <w:rStyle w:val="st"/>
        </w:rPr>
        <w:t>device</w:t>
      </w:r>
      <w:r w:rsidR="00E33985">
        <w:rPr>
          <w:rStyle w:val="st"/>
        </w:rPr>
        <w:t xml:space="preserve"> and unwittingly caus</w:t>
      </w:r>
      <w:r w:rsidR="008F2F2D">
        <w:rPr>
          <w:rStyle w:val="st"/>
        </w:rPr>
        <w:t>ing</w:t>
      </w:r>
      <w:r w:rsidR="00E33985">
        <w:rPr>
          <w:rStyle w:val="st"/>
        </w:rPr>
        <w:t xml:space="preserve"> interference to wireless networks</w:t>
      </w:r>
      <w:r w:rsidR="001A3EE4">
        <w:rPr>
          <w:rStyle w:val="st"/>
        </w:rPr>
        <w:t>.</w:t>
      </w:r>
      <w:r>
        <w:rPr>
          <w:rStyle w:val="FootnoteReference"/>
        </w:rPr>
        <w:footnoteReference w:id="12"/>
      </w:r>
      <w:r w:rsidR="00416471">
        <w:rPr>
          <w:rStyle w:val="st"/>
        </w:rPr>
        <w:t xml:space="preserve">  </w:t>
      </w:r>
      <w:r w:rsidR="00E9701B">
        <w:rPr>
          <w:rStyle w:val="st"/>
        </w:rPr>
        <w:t>Industrial Signal Boosters are required to contain the following disclosures</w:t>
      </w:r>
      <w:r>
        <w:t xml:space="preserve">: </w:t>
      </w:r>
      <w:r w:rsidR="00F377ED">
        <w:t xml:space="preserve"> </w:t>
      </w:r>
      <w:r>
        <w:t xml:space="preserve">“WARNING.  This is NOT a CONSUMER device.  It is designed for installation by FCC LICENSEES and QUALIFIED INSTALLERS.  You MUST have an FCC LICENSE or express consent of an FCC </w:t>
      </w:r>
      <w:r>
        <w:t>Licensee</w:t>
      </w:r>
      <w:r>
        <w:t xml:space="preserve"> to operate this device.  Unauthorized use may result in significant forfeiture penalties, including penalties in excess of $100,000 for each continuing violation.”</w:t>
      </w:r>
      <w:r>
        <w:rPr>
          <w:rStyle w:val="FootnoteReference"/>
        </w:rPr>
        <w:footnoteReference w:id="13"/>
      </w:r>
    </w:p>
    <w:p w:rsidR="009F6C0F" w:rsidP="00416471" w14:paraId="20061B17" w14:textId="501ADBA4">
      <w:pPr>
        <w:pStyle w:val="ParaNum"/>
      </w:pPr>
      <w:r>
        <w:rPr>
          <w:i/>
        </w:rPr>
        <w:t>Background on Pivotal’s Device</w:t>
      </w:r>
      <w:r>
        <w:t xml:space="preserve">.  Pivotal’s Device is a type of Industrial Signal Booster that operates on millimeter wavelength </w:t>
      </w:r>
      <w:r>
        <w:t>frequencies.</w:t>
      </w:r>
      <w:r>
        <w:rPr>
          <w:rStyle w:val="FootnoteReference"/>
        </w:rPr>
        <w:footnoteReference w:id="14"/>
      </w:r>
      <w:r>
        <w:t xml:space="preserve">  The Device contains certain features that distinguish it from a typical Industrial Signal Booster.  For example, the Device may be obtained exclusively from the FCC licensee </w:t>
      </w:r>
      <w:r w:rsidR="001B5FE1">
        <w:t>that</w:t>
      </w:r>
      <w:r>
        <w:t xml:space="preserve"> is the </w:t>
      </w:r>
      <w:r w:rsidR="001B5FE1">
        <w:t xml:space="preserve">user’s </w:t>
      </w:r>
      <w:r>
        <w:t>service provider.</w:t>
      </w:r>
      <w:r>
        <w:rPr>
          <w:rStyle w:val="FootnoteReference"/>
        </w:rPr>
        <w:footnoteReference w:id="15"/>
      </w:r>
      <w:r>
        <w:t xml:space="preserve">  </w:t>
      </w:r>
      <w:r>
        <w:t>It</w:t>
      </w:r>
      <w:r>
        <w:t xml:space="preserve"> is not sold at retail.</w:t>
      </w:r>
      <w:r>
        <w:rPr>
          <w:rStyle w:val="FootnoteReference"/>
        </w:rPr>
        <w:footnoteReference w:id="16"/>
      </w:r>
      <w:r>
        <w:t xml:space="preserve">  The Device operates </w:t>
      </w:r>
      <w:r w:rsidR="001B5FE1">
        <w:t xml:space="preserve">only </w:t>
      </w:r>
      <w:r>
        <w:t xml:space="preserve">on spectrum licensed to the service provider and only </w:t>
      </w:r>
      <w:r>
        <w:t>if properly authenticated and provisioned by the licensee</w:t>
      </w:r>
      <w:r>
        <w:t xml:space="preserve">, </w:t>
      </w:r>
      <w:r>
        <w:t>which retains the ability to control and disable the Device remotely.</w:t>
      </w:r>
      <w:r>
        <w:rPr>
          <w:rStyle w:val="FootnoteReference"/>
        </w:rPr>
        <w:footnoteReference w:id="17"/>
      </w:r>
      <w:r>
        <w:t xml:space="preserve">  The Device operates at very low power levels and is designed for self-installation by consumers.</w:t>
      </w:r>
      <w:r>
        <w:rPr>
          <w:rStyle w:val="FootnoteReference"/>
        </w:rPr>
        <w:footnoteReference w:id="18"/>
      </w:r>
    </w:p>
    <w:p w:rsidR="00E72BF3" w:rsidP="00E72BF3" w14:paraId="41F527AC" w14:textId="06616140">
      <w:pPr>
        <w:pStyle w:val="Heading2"/>
      </w:pPr>
      <w:r>
        <w:t>Pivotal’s Request</w:t>
      </w:r>
    </w:p>
    <w:p w:rsidR="001B5989" w:rsidP="0026688D" w14:paraId="3AFA0E2E" w14:textId="78A5DAEA">
      <w:pPr>
        <w:pStyle w:val="ParaNum"/>
        <w:widowControl/>
      </w:pPr>
      <w:r w:rsidRPr="00D859BA">
        <w:rPr>
          <w:i/>
        </w:rPr>
        <w:t>Pivotal Waiver Request</w:t>
      </w:r>
      <w:r>
        <w:t xml:space="preserve">.  On September 16, 2019, Pivotal filed a request </w:t>
      </w:r>
      <w:r w:rsidR="0058324A">
        <w:t>for</w:t>
      </w:r>
      <w:r>
        <w:t xml:space="preserve"> waiver of </w:t>
      </w:r>
      <w:r w:rsidR="002A5F35">
        <w:t xml:space="preserve">the </w:t>
      </w:r>
      <w:r w:rsidR="002C719A">
        <w:t xml:space="preserve">Industrial Signal Booster labeling requirement under </w:t>
      </w:r>
      <w:r>
        <w:t>section 20.21(f) of the Commission’s rules</w:t>
      </w:r>
      <w:r w:rsidR="002C719A">
        <w:t>.</w:t>
      </w:r>
      <w:r>
        <w:rPr>
          <w:rStyle w:val="FootnoteReference"/>
        </w:rPr>
        <w:footnoteReference w:id="19"/>
      </w:r>
      <w:r w:rsidR="00355D00">
        <w:t xml:space="preserve">  Pivotal </w:t>
      </w:r>
      <w:r w:rsidR="00600C19">
        <w:t xml:space="preserve">seeks </w:t>
      </w:r>
      <w:r w:rsidR="00351354">
        <w:t>a waiver of</w:t>
      </w:r>
      <w:r w:rsidR="00470502">
        <w:t xml:space="preserve"> the Industrial Signal Booster</w:t>
      </w:r>
      <w:r w:rsidR="00355D00">
        <w:t xml:space="preserve"> labeling requirement</w:t>
      </w:r>
      <w:r w:rsidR="0058324A">
        <w:t xml:space="preserve"> in its entirety</w:t>
      </w:r>
      <w:r w:rsidR="00355D00">
        <w:t>.</w:t>
      </w:r>
      <w:r>
        <w:rPr>
          <w:rStyle w:val="FootnoteReference"/>
        </w:rPr>
        <w:footnoteReference w:id="20"/>
      </w:r>
      <w:r w:rsidR="00355D00">
        <w:t xml:space="preserve">  </w:t>
      </w:r>
      <w:r w:rsidR="0058324A">
        <w:t>In the alternative</w:t>
      </w:r>
      <w:r w:rsidR="00355D00">
        <w:t xml:space="preserve">, Pivotal </w:t>
      </w:r>
      <w:r w:rsidR="00600C19">
        <w:t>requests an</w:t>
      </w:r>
      <w:r w:rsidR="00355D00">
        <w:t xml:space="preserve"> alternate label and modified placement of the labeling disclosures.</w:t>
      </w:r>
      <w:r>
        <w:rPr>
          <w:rStyle w:val="FootnoteReference"/>
        </w:rPr>
        <w:footnoteReference w:id="21"/>
      </w:r>
    </w:p>
    <w:p w:rsidR="0058324A" w:rsidP="002F03CA" w14:paraId="4D050369" w14:textId="44A3A8E3">
      <w:pPr>
        <w:pStyle w:val="ParaNum"/>
      </w:pPr>
      <w:r>
        <w:t>Pursuant to the Commission’s waiver standard</w:t>
      </w:r>
      <w:r w:rsidR="00514887">
        <w:t xml:space="preserve"> under section 1.925 of the Commission’s rules</w:t>
      </w:r>
      <w:r>
        <w:t xml:space="preserve">, </w:t>
      </w:r>
      <w:r w:rsidRPr="00B1084D">
        <w:t>Pivotal argue</w:t>
      </w:r>
      <w:r>
        <w:t xml:space="preserve">s </w:t>
      </w:r>
      <w:r w:rsidR="0077262E">
        <w:t xml:space="preserve">that </w:t>
      </w:r>
      <w:r w:rsidR="00BE3E7D">
        <w:t xml:space="preserve">grant of its requested </w:t>
      </w:r>
      <w:r>
        <w:t xml:space="preserve">waiver is warranted because </w:t>
      </w:r>
      <w:r w:rsidR="00943EFF">
        <w:t>application of the labeling requirements would not serve the underlying purpose of the rule</w:t>
      </w:r>
      <w:r>
        <w:t>.</w:t>
      </w:r>
      <w:r>
        <w:rPr>
          <w:rStyle w:val="FootnoteReference"/>
        </w:rPr>
        <w:footnoteReference w:id="22"/>
      </w:r>
      <w:r w:rsidR="002F03CA">
        <w:t xml:space="preserve">  </w:t>
      </w:r>
      <w:r w:rsidR="005902EF">
        <w:t xml:space="preserve">In support of its </w:t>
      </w:r>
      <w:r w:rsidR="00943282">
        <w:t>request for waiver</w:t>
      </w:r>
      <w:r w:rsidR="005902EF">
        <w:t>, Pivotal claims that</w:t>
      </w:r>
      <w:r w:rsidR="005A0E53">
        <w:t>,</w:t>
      </w:r>
      <w:r w:rsidR="005902EF">
        <w:t xml:space="preserve"> while the underlying purpose of the labeling requirement is to </w:t>
      </w:r>
      <w:r w:rsidR="002F03CA">
        <w:t>prevent consumers from erroneously purchasing the Device and unwittingly causing interference to wireless networks</w:t>
      </w:r>
      <w:r w:rsidR="005902EF">
        <w:t>,</w:t>
      </w:r>
      <w:r w:rsidR="009B3327">
        <w:t xml:space="preserve"> consumers cannot “erroneously purchase” the Device </w:t>
      </w:r>
      <w:r w:rsidR="00BC1D4B">
        <w:t>because it is not sold at retail</w:t>
      </w:r>
      <w:r w:rsidR="00CB14D9">
        <w:t>,</w:t>
      </w:r>
      <w:r w:rsidR="00BC1D4B">
        <w:t xml:space="preserve"> </w:t>
      </w:r>
      <w:r w:rsidR="009B3327">
        <w:t>and</w:t>
      </w:r>
      <w:r w:rsidR="00CB14D9">
        <w:t xml:space="preserve"> they</w:t>
      </w:r>
      <w:r w:rsidR="009B3327">
        <w:t xml:space="preserve"> “cannot cause interference to wireless networks”</w:t>
      </w:r>
      <w:r w:rsidR="00BC1D4B">
        <w:t xml:space="preserve"> because the Device does not operate without authentication by the service provider.</w:t>
      </w:r>
      <w:r>
        <w:rPr>
          <w:rStyle w:val="FootnoteReference"/>
        </w:rPr>
        <w:footnoteReference w:id="23"/>
      </w:r>
    </w:p>
    <w:p w:rsidR="00D9543E" w:rsidP="009E5846" w14:paraId="1DC77AFA" w14:textId="213033FD">
      <w:pPr>
        <w:pStyle w:val="ParaNum"/>
      </w:pPr>
      <w:r>
        <w:t>Pivotal</w:t>
      </w:r>
      <w:r w:rsidR="00E82A74">
        <w:t xml:space="preserve"> also</w:t>
      </w:r>
      <w:r>
        <w:t xml:space="preserve"> </w:t>
      </w:r>
      <w:r w:rsidR="00A053EA">
        <w:t>claims</w:t>
      </w:r>
      <w:r>
        <w:t xml:space="preserve"> </w:t>
      </w:r>
      <w:r w:rsidR="003644A7">
        <w:t>a</w:t>
      </w:r>
      <w:r>
        <w:t xml:space="preserve"> </w:t>
      </w:r>
      <w:r w:rsidR="002F03CA">
        <w:t xml:space="preserve">waiver is warranted </w:t>
      </w:r>
      <w:r w:rsidR="00E51B9F">
        <w:t xml:space="preserve">because </w:t>
      </w:r>
      <w:r w:rsidR="007D2A9B">
        <w:t xml:space="preserve">the unique features of Pivotal’s Device render </w:t>
      </w:r>
      <w:r>
        <w:t xml:space="preserve">the text of the label “inapplicable” </w:t>
      </w:r>
      <w:r>
        <w:t>and</w:t>
      </w:r>
      <w:r w:rsidR="003644A7">
        <w:t xml:space="preserve"> thus </w:t>
      </w:r>
      <w:r w:rsidR="00140701">
        <w:t xml:space="preserve">retention </w:t>
      </w:r>
      <w:r w:rsidR="007D2A9B">
        <w:t xml:space="preserve">of the labeling requirements </w:t>
      </w:r>
      <w:r w:rsidR="00E51B9F">
        <w:t>will result in “confusion” and “undue concern” among consumers</w:t>
      </w:r>
      <w:r>
        <w:t>.</w:t>
      </w:r>
      <w:r>
        <w:rPr>
          <w:rStyle w:val="FootnoteReference"/>
        </w:rPr>
        <w:footnoteReference w:id="24"/>
      </w:r>
      <w:r>
        <w:t xml:space="preserve">  </w:t>
      </w:r>
      <w:r w:rsidR="00E51B9F">
        <w:t>Pivotal</w:t>
      </w:r>
      <w:r>
        <w:t xml:space="preserve"> </w:t>
      </w:r>
      <w:r w:rsidR="00A053EA">
        <w:t>states</w:t>
      </w:r>
      <w:r>
        <w:t xml:space="preserve"> that </w:t>
      </w:r>
      <w:r w:rsidR="00200504">
        <w:t xml:space="preserve">including </w:t>
      </w:r>
      <w:r>
        <w:t xml:space="preserve">the text “WARNING.  This is NOT a CONSUMER device.  It is designed for installation by FCC LICENSEES and QUALIFIED INSTALLERS,” will cause confusion </w:t>
      </w:r>
      <w:r w:rsidR="00E82A74">
        <w:t xml:space="preserve">among consumers </w:t>
      </w:r>
      <w:r>
        <w:t xml:space="preserve">because the Device is specifically </w:t>
      </w:r>
      <w:r w:rsidR="00E82A74">
        <w:t>designed</w:t>
      </w:r>
      <w:r>
        <w:t xml:space="preserve"> for self-installation by consumers.</w:t>
      </w:r>
      <w:r>
        <w:rPr>
          <w:rStyle w:val="FootnoteReference"/>
        </w:rPr>
        <w:footnoteReference w:id="25"/>
      </w:r>
      <w:r w:rsidR="0012171A">
        <w:t xml:space="preserve">  Pivotal also </w:t>
      </w:r>
      <w:r w:rsidR="00A053EA">
        <w:t>claims</w:t>
      </w:r>
      <w:r>
        <w:t xml:space="preserve"> that the </w:t>
      </w:r>
      <w:r w:rsidR="0012171A">
        <w:t xml:space="preserve">text of the </w:t>
      </w:r>
      <w:r>
        <w:t xml:space="preserve">warning regarding </w:t>
      </w:r>
      <w:r w:rsidR="0012171A">
        <w:t xml:space="preserve">the </w:t>
      </w:r>
      <w:r>
        <w:t xml:space="preserve">requirement to hold an FCC license is </w:t>
      </w:r>
      <w:r w:rsidR="000A1433">
        <w:t>“</w:t>
      </w:r>
      <w:r>
        <w:t>unnecessary</w:t>
      </w:r>
      <w:r w:rsidR="000A1433">
        <w:t>”</w:t>
      </w:r>
      <w:r>
        <w:t xml:space="preserve"> and </w:t>
      </w:r>
      <w:r w:rsidR="000A1433">
        <w:t>“</w:t>
      </w:r>
      <w:r>
        <w:t>confusing</w:t>
      </w:r>
      <w:r w:rsidR="000A1433">
        <w:t>”</w:t>
      </w:r>
      <w:r>
        <w:t xml:space="preserve"> because </w:t>
      </w:r>
      <w:r w:rsidR="00E82A74">
        <w:t xml:space="preserve">consumers can only obtain the Device through their service provider, </w:t>
      </w:r>
      <w:r w:rsidR="003644A7">
        <w:t>which</w:t>
      </w:r>
      <w:r>
        <w:t xml:space="preserve"> always hold</w:t>
      </w:r>
      <w:r w:rsidR="00464B1B">
        <w:t xml:space="preserve">s </w:t>
      </w:r>
      <w:r>
        <w:t>the appropriate FCC license.</w:t>
      </w:r>
      <w:r>
        <w:rPr>
          <w:rStyle w:val="FootnoteReference"/>
        </w:rPr>
        <w:footnoteReference w:id="26"/>
      </w:r>
      <w:r w:rsidR="00BB2A03">
        <w:t xml:space="preserve">  </w:t>
      </w:r>
      <w:r w:rsidR="0012171A">
        <w:t>Moreover</w:t>
      </w:r>
      <w:r w:rsidR="00BB2A03">
        <w:t xml:space="preserve">, </w:t>
      </w:r>
      <w:r w:rsidR="0012171A">
        <w:t>Pivotal</w:t>
      </w:r>
      <w:r w:rsidR="00BB2A03">
        <w:t xml:space="preserve"> </w:t>
      </w:r>
      <w:r w:rsidR="00200504">
        <w:t xml:space="preserve">asserts </w:t>
      </w:r>
      <w:r w:rsidR="00BB2A03">
        <w:t xml:space="preserve">that the text regarding penalties is </w:t>
      </w:r>
      <w:r w:rsidR="000A1433">
        <w:t>“</w:t>
      </w:r>
      <w:r w:rsidR="00BB2A03">
        <w:t>irrelevant</w:t>
      </w:r>
      <w:r w:rsidR="000A1433">
        <w:t>”</w:t>
      </w:r>
      <w:r w:rsidR="00BB2A03">
        <w:t xml:space="preserve"> and </w:t>
      </w:r>
      <w:r w:rsidR="000A1433">
        <w:t>“</w:t>
      </w:r>
      <w:r w:rsidR="00BB2A03">
        <w:t>unduly alarming</w:t>
      </w:r>
      <w:r w:rsidR="000A1433">
        <w:t>”</w:t>
      </w:r>
      <w:r w:rsidR="00BB2A03">
        <w:t xml:space="preserve"> because consumers cannot violate FCC regulations by using the Device.</w:t>
      </w:r>
      <w:r>
        <w:rPr>
          <w:rStyle w:val="FootnoteReference"/>
        </w:rPr>
        <w:footnoteReference w:id="27"/>
      </w:r>
      <w:r w:rsidR="00E51B9F">
        <w:t xml:space="preserve">  It also claims that the rule was intended for high-power signal boosters used in network and enterprise operations, but that its Device operates at very low radiated power levels.</w:t>
      </w:r>
      <w:r>
        <w:rPr>
          <w:rStyle w:val="FootnoteReference"/>
        </w:rPr>
        <w:footnoteReference w:id="28"/>
      </w:r>
      <w:r w:rsidR="00200504">
        <w:t xml:space="preserve">  </w:t>
      </w:r>
      <w:r>
        <w:t xml:space="preserve">Pivotal </w:t>
      </w:r>
      <w:r w:rsidR="00200504">
        <w:t xml:space="preserve">concludes </w:t>
      </w:r>
      <w:r>
        <w:t xml:space="preserve">that application of the requirement would be contrary to the public interest because the </w:t>
      </w:r>
      <w:r w:rsidR="00D57173">
        <w:t>labeling r</w:t>
      </w:r>
      <w:r>
        <w:t>equirement is “onerous” and could create a “material barrier” to the deployment of the Device into the 5G ecosystem.</w:t>
      </w:r>
      <w:r>
        <w:rPr>
          <w:rStyle w:val="FootnoteReference"/>
        </w:rPr>
        <w:footnoteReference w:id="29"/>
      </w:r>
    </w:p>
    <w:p w:rsidR="00110A73" w:rsidP="008E36A1" w14:paraId="08C58FEE" w14:textId="357C08B2">
      <w:pPr>
        <w:pStyle w:val="ParaNum"/>
      </w:pPr>
      <w:bookmarkStart w:id="1" w:name="_Hlk23514014"/>
      <w:r>
        <w:rPr>
          <w:i/>
        </w:rPr>
        <w:t>Comments and Replies</w:t>
      </w:r>
      <w:r>
        <w:t xml:space="preserve">.  </w:t>
      </w:r>
      <w:r w:rsidR="00516730">
        <w:t>On September 18, 2019, the Bureau placed the Waiver Request on public notice for comment.</w:t>
      </w:r>
      <w:r>
        <w:rPr>
          <w:rStyle w:val="FootnoteReference"/>
        </w:rPr>
        <w:footnoteReference w:id="30"/>
      </w:r>
      <w:r w:rsidR="009D61D2">
        <w:t xml:space="preserve">  </w:t>
      </w:r>
      <w:r w:rsidR="00200504">
        <w:t>A</w:t>
      </w:r>
      <w:r w:rsidR="009D61D2">
        <w:t>ll commenters oppose the blanket waiver request.</w:t>
      </w:r>
      <w:r>
        <w:rPr>
          <w:rStyle w:val="FootnoteReference"/>
        </w:rPr>
        <w:footnoteReference w:id="31"/>
      </w:r>
      <w:r w:rsidR="009D61D2">
        <w:t xml:space="preserve">  Pivotal filed in reply to the opposition.</w:t>
      </w:r>
      <w:r>
        <w:rPr>
          <w:rStyle w:val="FootnoteReference"/>
        </w:rPr>
        <w:footnoteReference w:id="32"/>
      </w:r>
    </w:p>
    <w:p w:rsidR="00F33F19" w:rsidP="008E36A1" w14:paraId="1E2F5F66" w14:textId="72666103">
      <w:pPr>
        <w:pStyle w:val="ParaNum"/>
      </w:pPr>
      <w:r>
        <w:t>Surecall</w:t>
      </w:r>
      <w:r>
        <w:t xml:space="preserve"> and Simple Foundry</w:t>
      </w:r>
      <w:r w:rsidR="00B81504">
        <w:t xml:space="preserve"> </w:t>
      </w:r>
      <w:r w:rsidR="00016CCF">
        <w:t xml:space="preserve">assert </w:t>
      </w:r>
      <w:r w:rsidR="00890570">
        <w:t xml:space="preserve">that the labeling requirement for Industrial Signal Boosters should </w:t>
      </w:r>
      <w:r w:rsidR="002963C8">
        <w:t xml:space="preserve">continue to be enforced for </w:t>
      </w:r>
      <w:r w:rsidR="002963C8">
        <w:t xml:space="preserve">all </w:t>
      </w:r>
      <w:r w:rsidR="00110A73">
        <w:t>Industrial Signal Boosters</w:t>
      </w:r>
      <w:r w:rsidR="00890570">
        <w:t>.</w:t>
      </w:r>
      <w:r>
        <w:rPr>
          <w:rStyle w:val="FootnoteReference"/>
        </w:rPr>
        <w:footnoteReference w:id="33"/>
      </w:r>
      <w:r w:rsidR="00890570">
        <w:t xml:space="preserve">  </w:t>
      </w:r>
      <w:r>
        <w:t>Surecall</w:t>
      </w:r>
      <w:r>
        <w:t>, Rich’s Contracting, and Simple Foundry</w:t>
      </w:r>
      <w:r w:rsidR="002963C8">
        <w:t xml:space="preserve"> </w:t>
      </w:r>
      <w:r w:rsidR="00016CCF">
        <w:t xml:space="preserve">claim </w:t>
      </w:r>
      <w:r w:rsidR="002963C8">
        <w:t>that a grant of the requested relief would frustrate the underlying purpose of the rule</w:t>
      </w:r>
      <w:r w:rsidR="007B7859">
        <w:t xml:space="preserve"> </w:t>
      </w:r>
      <w:r w:rsidR="002963C8">
        <w:t xml:space="preserve">to </w:t>
      </w:r>
      <w:r w:rsidR="00803FCC">
        <w:t>prevent interference</w:t>
      </w:r>
      <w:r w:rsidR="002963C8">
        <w:t>.</w:t>
      </w:r>
      <w:r>
        <w:rPr>
          <w:rStyle w:val="FootnoteReference"/>
        </w:rPr>
        <w:footnoteReference w:id="34"/>
      </w:r>
      <w:r w:rsidR="006D3F0E">
        <w:t xml:space="preserve">  </w:t>
      </w:r>
      <w:r>
        <w:t>AT&amp;T, T-Mobile</w:t>
      </w:r>
      <w:r w:rsidR="003644A7">
        <w:t xml:space="preserve">, and </w:t>
      </w:r>
      <w:r w:rsidR="003644A7">
        <w:t>Surecall</w:t>
      </w:r>
      <w:r w:rsidR="006D3F0E">
        <w:t xml:space="preserve"> </w:t>
      </w:r>
      <w:r w:rsidRPr="004A3017" w:rsidR="006D3F0E">
        <w:t>argue</w:t>
      </w:r>
      <w:r w:rsidR="006D3F0E">
        <w:t xml:space="preserve"> that Pivotal should be required to comply with Consumer Signal Booster labeling and technical requirements</w:t>
      </w:r>
      <w:r w:rsidR="00A10DDD">
        <w:t xml:space="preserve"> because the device is akin to a Consumer Signal Booster</w:t>
      </w:r>
      <w:r w:rsidR="006D3F0E">
        <w:t>.</w:t>
      </w:r>
      <w:r>
        <w:rPr>
          <w:rStyle w:val="FootnoteReference"/>
        </w:rPr>
        <w:footnoteReference w:id="35"/>
      </w:r>
      <w:r w:rsidR="006D3F0E">
        <w:t xml:space="preserve">  </w:t>
      </w:r>
      <w:r w:rsidR="00E420A0">
        <w:t>Some commenters</w:t>
      </w:r>
      <w:r w:rsidR="006D3F0E">
        <w:t xml:space="preserve"> </w:t>
      </w:r>
      <w:r w:rsidR="004A3017">
        <w:t xml:space="preserve">claim </w:t>
      </w:r>
      <w:r w:rsidR="006D3F0E">
        <w:t>that a grant of the requested relief would be contrary to the public interest</w:t>
      </w:r>
      <w:r w:rsidR="00C2748D">
        <w:t xml:space="preserve"> because</w:t>
      </w:r>
      <w:r w:rsidR="00E420A0">
        <w:t xml:space="preserve"> </w:t>
      </w:r>
      <w:r w:rsidR="006D3F0E">
        <w:t>it would unfairly distort competition in the signal booster industry.</w:t>
      </w:r>
      <w:r>
        <w:rPr>
          <w:rStyle w:val="FootnoteReference"/>
        </w:rPr>
        <w:footnoteReference w:id="36"/>
      </w:r>
      <w:r w:rsidRPr="00CB14D9" w:rsidR="00CB14D9">
        <w:t xml:space="preserve"> </w:t>
      </w:r>
      <w:r w:rsidR="00AB2F30">
        <w:t xml:space="preserve"> </w:t>
      </w:r>
      <w:r w:rsidR="00CB14D9">
        <w:t>While opposing the request, AT&amp;T notes that, if the request is granted, it would support conditions involving certain features of the device.</w:t>
      </w:r>
      <w:r>
        <w:rPr>
          <w:rStyle w:val="FootnoteReference"/>
        </w:rPr>
        <w:footnoteReference w:id="37"/>
      </w:r>
      <w:r w:rsidR="00CB14D9">
        <w:t xml:space="preserve">   </w:t>
      </w:r>
    </w:p>
    <w:bookmarkEnd w:id="1"/>
    <w:p w:rsidR="00D62840" w:rsidP="007B7BF3" w14:paraId="1A6B9FE7" w14:textId="77777777">
      <w:pPr>
        <w:pStyle w:val="Heading1"/>
        <w:rPr>
          <w:rStyle w:val="st"/>
        </w:rPr>
      </w:pPr>
      <w:r>
        <w:rPr>
          <w:rStyle w:val="st"/>
        </w:rPr>
        <w:t>DISCUSSION</w:t>
      </w:r>
    </w:p>
    <w:p w:rsidR="00283F4B" w:rsidP="00772195" w14:paraId="1578FC4F" w14:textId="0186B9DD">
      <w:pPr>
        <w:pStyle w:val="ParaNum"/>
      </w:pPr>
      <w:r w:rsidRPr="008C619C">
        <w:rPr>
          <w:i/>
        </w:rPr>
        <w:t>Standard of Review</w:t>
      </w:r>
      <w:r w:rsidRPr="008C619C">
        <w:t xml:space="preserve">.  </w:t>
      </w:r>
      <w:r w:rsidRPr="008C619C" w:rsidR="008C619C">
        <w:t xml:space="preserve">The Commission may grant a request for a waiver </w:t>
      </w:r>
      <w:r w:rsidR="00B57A58">
        <w:t xml:space="preserve">under section 1.925 </w:t>
      </w:r>
      <w:r w:rsidRPr="008C619C" w:rsidR="008C619C">
        <w:t>when:</w:t>
      </w:r>
      <w:r w:rsidR="00B21E2A">
        <w:t xml:space="preserve"> </w:t>
      </w:r>
      <w:r w:rsidRPr="008C619C" w:rsidR="008C619C">
        <w:t xml:space="preserve"> (i) the underlying purpose of the rule(s) would not be served or would be frustrated by application to the instant case, and that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38"/>
      </w:r>
      <w:bookmarkStart w:id="8" w:name="_Hlk23766030"/>
    </w:p>
    <w:bookmarkEnd w:id="8"/>
    <w:p w:rsidR="007E7571" w:rsidP="002B067E" w14:paraId="24D15F6A" w14:textId="1C6A569D">
      <w:pPr>
        <w:pStyle w:val="ParaNum"/>
      </w:pPr>
      <w:r>
        <w:rPr>
          <w:i/>
        </w:rPr>
        <w:t>Discussion</w:t>
      </w:r>
      <w:r>
        <w:t xml:space="preserve">.  After review of the record and for the reasons discussed below, we </w:t>
      </w:r>
      <w:r w:rsidR="00283F4B">
        <w:t>grant the request to the extent described herein but otherwise deny the request.</w:t>
      </w:r>
      <w:r w:rsidR="002B067E">
        <w:t xml:space="preserve">  We find that a limited waiver permitting the following alternate label is warranted:</w:t>
      </w:r>
    </w:p>
    <w:p w:rsidR="00245D88" w:rsidRPr="00B80C87" w:rsidP="00245D88" w14:paraId="25CDBF63" w14:textId="16B46C6A">
      <w:pPr>
        <w:spacing w:after="120"/>
        <w:ind w:left="720" w:right="720"/>
        <w:jc w:val="both"/>
        <w:rPr>
          <w:b/>
        </w:rPr>
      </w:pPr>
      <w:bookmarkStart w:id="9" w:name="_Hlk23514712"/>
      <w:r>
        <w:rPr>
          <w:b/>
        </w:rPr>
        <w:t xml:space="preserve">WARNING.  </w:t>
      </w:r>
      <w:r w:rsidR="005E029E">
        <w:rPr>
          <w:b/>
        </w:rPr>
        <w:t xml:space="preserve">This is </w:t>
      </w:r>
      <w:r>
        <w:rPr>
          <w:b/>
        </w:rPr>
        <w:t xml:space="preserve">not </w:t>
      </w:r>
      <w:r w:rsidR="005E029E">
        <w:rPr>
          <w:b/>
        </w:rPr>
        <w:t xml:space="preserve">a CONSUMER device.  This device may </w:t>
      </w:r>
      <w:r>
        <w:rPr>
          <w:b/>
        </w:rPr>
        <w:t xml:space="preserve">not </w:t>
      </w:r>
      <w:r w:rsidR="005E029E">
        <w:rPr>
          <w:b/>
        </w:rPr>
        <w:t>be sold at retail.  You MUST have an FCC LICENSE or express consent of an FCC Licensee (</w:t>
      </w:r>
      <w:r w:rsidR="000F2676">
        <w:rPr>
          <w:b/>
        </w:rPr>
        <w:t xml:space="preserve">or </w:t>
      </w:r>
      <w:r>
        <w:rPr>
          <w:b/>
        </w:rPr>
        <w:t>express consent</w:t>
      </w:r>
      <w:r w:rsidR="005E029E">
        <w:rPr>
          <w:b/>
        </w:rPr>
        <w:t xml:space="preserve"> of your service provider) to operate this device.  </w:t>
      </w:r>
      <w:r w:rsidR="00A56DEA">
        <w:rPr>
          <w:b/>
        </w:rPr>
        <w:t xml:space="preserve">Antennas must </w:t>
      </w:r>
      <w:r w:rsidR="00A56DEA">
        <w:rPr>
          <w:b/>
        </w:rPr>
        <w:t xml:space="preserve">be installed at least 20 cm (8 inches) from any person.  </w:t>
      </w:r>
      <w:r w:rsidR="005E029E">
        <w:rPr>
          <w:b/>
        </w:rPr>
        <w:t xml:space="preserve">Unauthorized use may result in significant forfeiture penalties, including penalties in excess of $100,000 for </w:t>
      </w:r>
      <w:r w:rsidRPr="00B80C87" w:rsidR="005E029E">
        <w:rPr>
          <w:b/>
        </w:rPr>
        <w:t>each continuing violation.</w:t>
      </w:r>
      <w:bookmarkEnd w:id="9"/>
    </w:p>
    <w:p w:rsidR="002B067E" w:rsidRPr="00B80C87" w:rsidP="00B80C87" w14:paraId="03B89345" w14:textId="2F506169">
      <w:pPr>
        <w:pStyle w:val="ParaNum"/>
      </w:pPr>
      <w:r w:rsidRPr="00B80C87">
        <w:t>In addition</w:t>
      </w:r>
      <w:r w:rsidRPr="00B80C87">
        <w:t xml:space="preserve">, </w:t>
      </w:r>
      <w:r w:rsidRPr="00B80C87" w:rsidR="000A7427">
        <w:t xml:space="preserve">we </w:t>
      </w:r>
      <w:r w:rsidR="00AB2F30">
        <w:t>grant</w:t>
      </w:r>
      <w:r w:rsidRPr="00B80C87" w:rsidR="00AB2F30">
        <w:t xml:space="preserve"> </w:t>
      </w:r>
      <w:r w:rsidRPr="00B80C87" w:rsidR="000A7427">
        <w:t xml:space="preserve">this waiver </w:t>
      </w:r>
      <w:r w:rsidR="00A43778">
        <w:t xml:space="preserve">so that it applies only so long as </w:t>
      </w:r>
      <w:r w:rsidRPr="00B80C87" w:rsidR="000A7427">
        <w:t>Pivotal’s Device</w:t>
      </w:r>
      <w:r w:rsidR="00A43778">
        <w:t xml:space="preserve"> </w:t>
      </w:r>
      <w:r w:rsidR="00A750E3">
        <w:t>satisfies the following conditions</w:t>
      </w:r>
      <w:r w:rsidRPr="00B80C87">
        <w:t>:</w:t>
      </w:r>
      <w:r w:rsidRPr="00B80C87" w:rsidR="00B80C87">
        <w:t xml:space="preserve"> </w:t>
      </w:r>
      <w:r w:rsidR="002A090A">
        <w:t xml:space="preserve"> </w:t>
      </w:r>
      <w:r w:rsidR="00725DD4">
        <w:t xml:space="preserve">(1) </w:t>
      </w:r>
      <w:r w:rsidRPr="00B80C87" w:rsidR="00B80C87">
        <w:t xml:space="preserve">the Device may be obtained exclusively from the FCC licensee that is the </w:t>
      </w:r>
      <w:r w:rsidR="00A43778">
        <w:t xml:space="preserve">user’s </w:t>
      </w:r>
      <w:r w:rsidRPr="00B80C87" w:rsidR="00B80C87">
        <w:t xml:space="preserve">service provider; </w:t>
      </w:r>
      <w:r w:rsidR="00725DD4">
        <w:t xml:space="preserve">(2) </w:t>
      </w:r>
      <w:r w:rsidRPr="00B80C87" w:rsidR="00B80C87">
        <w:t xml:space="preserve">the Device is not distributed at retail; </w:t>
      </w:r>
      <w:r w:rsidR="00725DD4">
        <w:t xml:space="preserve">(3) </w:t>
      </w:r>
      <w:r w:rsidRPr="00B80C87" w:rsidR="00B80C87">
        <w:t xml:space="preserve">the Device only operates with FCC licensee-provided end user equipment and </w:t>
      </w:r>
      <w:r w:rsidR="00A750E3">
        <w:t>is provisioned by the licensee</w:t>
      </w:r>
      <w:r w:rsidRPr="00B80C87" w:rsidR="00B80C87">
        <w:t xml:space="preserve">; </w:t>
      </w:r>
      <w:r w:rsidR="00725DD4">
        <w:t xml:space="preserve">and (4) </w:t>
      </w:r>
      <w:r w:rsidRPr="00B80C87" w:rsidR="00B80C87">
        <w:t>as with all Industrial Signal Boosters, the FCC licensee must retain control of the Device and avoid unauthorized operation and interference in the installation process.</w:t>
      </w:r>
      <w:r>
        <w:rPr>
          <w:rStyle w:val="FootnoteReference"/>
        </w:rPr>
        <w:footnoteReference w:id="39"/>
      </w:r>
      <w:bookmarkStart w:id="10" w:name="_Hlk23856385"/>
      <w:r w:rsidR="00001903">
        <w:t xml:space="preserve">  We anticipate </w:t>
      </w:r>
      <w:r w:rsidR="00641BEE">
        <w:t xml:space="preserve">Pivotal and </w:t>
      </w:r>
      <w:r w:rsidR="00001903">
        <w:t xml:space="preserve">the </w:t>
      </w:r>
      <w:bookmarkStart w:id="11" w:name="_Hlk27472297"/>
      <w:r w:rsidR="00001903">
        <w:t>licensee will provide appropriate instructions for proper installation and operation.</w:t>
      </w:r>
    </w:p>
    <w:bookmarkEnd w:id="10"/>
    <w:p w:rsidR="0072114F" w:rsidP="005302B2" w14:paraId="3A324241" w14:textId="420F55AA">
      <w:pPr>
        <w:pStyle w:val="ParaNum"/>
      </w:pPr>
      <w:r>
        <w:t>As discussed above, Pivotal argues that application of the Industrial Signal Booster labeling requirements would not serve the underlying purpose of the rule and would be inequitable, unduly burdensome, and contrary to the public interest.</w:t>
      </w:r>
      <w:r>
        <w:rPr>
          <w:rStyle w:val="FootnoteReference"/>
        </w:rPr>
        <w:footnoteReference w:id="40"/>
      </w:r>
      <w:r>
        <w:t xml:space="preserve">  In light of the </w:t>
      </w:r>
      <w:r w:rsidR="00BF610E">
        <w:rPr>
          <w:i/>
        </w:rPr>
        <w:t>Report  &amp;</w:t>
      </w:r>
      <w:r w:rsidRPr="002B067E" w:rsidR="00BF610E">
        <w:rPr>
          <w:i/>
        </w:rPr>
        <w:t xml:space="preserve"> </w:t>
      </w:r>
      <w:r w:rsidRPr="002B067E">
        <w:rPr>
          <w:i/>
        </w:rPr>
        <w:t>Order</w:t>
      </w:r>
      <w:r>
        <w:t xml:space="preserve"> and the underlying purpose of the labeling requirement, we find that Pivotal has met the waiver standard under section 1.925 and that:</w:t>
      </w:r>
      <w:r w:rsidR="00AC014B">
        <w:t xml:space="preserve"> </w:t>
      </w:r>
      <w:r>
        <w:t xml:space="preserve"> (1) the underlying purpose of the rule would not be served by application in the instant case, and a grant would be in the public interest, and (2) there are unique factual circumstances of the instant case such that application of the </w:t>
      </w:r>
      <w:r w:rsidR="004A3017">
        <w:t xml:space="preserve">labeling requirement </w:t>
      </w:r>
      <w:r>
        <w:t>would be inequitable, unduly burdensome</w:t>
      </w:r>
      <w:r w:rsidR="00F52B74">
        <w:t>,</w:t>
      </w:r>
      <w:r>
        <w:t xml:space="preserve"> or contrary to the public interest.</w:t>
      </w:r>
    </w:p>
    <w:bookmarkEnd w:id="11"/>
    <w:p w:rsidR="00480D81" w:rsidP="00480D81" w14:paraId="718F12A5" w14:textId="77777777">
      <w:pPr>
        <w:pStyle w:val="ParaNum"/>
      </w:pPr>
      <w:r>
        <w:t>W</w:t>
      </w:r>
      <w:r w:rsidR="000D0E4E">
        <w:t>e find that the underlying purpose</w:t>
      </w:r>
      <w:r w:rsidR="00B44574">
        <w:t>s</w:t>
      </w:r>
      <w:r w:rsidR="000D0E4E">
        <w:t xml:space="preserve"> of section 20.21(f)</w:t>
      </w:r>
      <w:r w:rsidR="00B44574">
        <w:t xml:space="preserve"> </w:t>
      </w:r>
      <w:r w:rsidR="000D0E4E">
        <w:t>would not be served by application</w:t>
      </w:r>
      <w:r w:rsidR="00701E58">
        <w:t xml:space="preserve"> of the requirement</w:t>
      </w:r>
      <w:r w:rsidR="00A95B54">
        <w:t xml:space="preserve"> because the rule, as originally written, contains text that </w:t>
      </w:r>
      <w:r w:rsidR="00725DD4">
        <w:t xml:space="preserve">is inapplicable to the particular characteristics of this device and that </w:t>
      </w:r>
      <w:r w:rsidR="00AC014B">
        <w:t xml:space="preserve">may </w:t>
      </w:r>
      <w:r w:rsidR="00A95B54">
        <w:t xml:space="preserve">confuse </w:t>
      </w:r>
      <w:r w:rsidR="000C047C">
        <w:t xml:space="preserve">users </w:t>
      </w:r>
      <w:r w:rsidR="00A95B54">
        <w:t>and decrease compliance with Commission rules</w:t>
      </w:r>
      <w:r w:rsidR="000D0E4E">
        <w:t xml:space="preserve">.  </w:t>
      </w:r>
      <w:r>
        <w:t xml:space="preserve">An alternate label that eliminates the inapplicable text should reduce the likelihood of consumer confusion.  The language, “It is designed for installation by FCC LICENSEES and QUALIFIED INSTALLERS,” is inapplicable to Pivotal’s Device and likely to cause confusion among consumers because the Device is specifically intended for self-installation by consumers.  In the </w:t>
      </w:r>
      <w:r>
        <w:rPr>
          <w:i/>
        </w:rPr>
        <w:t>Report &amp;</w:t>
      </w:r>
      <w:r w:rsidRPr="00BF5C71">
        <w:rPr>
          <w:i/>
        </w:rPr>
        <w:t xml:space="preserve"> Order</w:t>
      </w:r>
      <w:r>
        <w:t>, the Commission stated that it “consistently has adopted labeling requirements to avoid consumer confusion and provide consumers with needed information.”</w:t>
      </w:r>
      <w:r>
        <w:rPr>
          <w:rStyle w:val="FootnoteReference"/>
        </w:rPr>
        <w:footnoteReference w:id="41"/>
      </w:r>
      <w:r>
        <w:t xml:space="preserve">  By eliminating this text, this grant provides consumers with accurate information about the Device’s proper use and avoids consumer confusion.  We therefore waive this portion of the labeling requirement.</w:t>
      </w:r>
    </w:p>
    <w:p w:rsidR="002A084D" w:rsidP="00F13457" w14:paraId="097AB1A3" w14:textId="7E6B8252">
      <w:pPr>
        <w:pStyle w:val="ParaNum"/>
      </w:pPr>
      <w:r>
        <w:t>When the Commission adopted section 20.21(f), it stated that the labeling requirement was the “best method to inform consumers about which devices are appropriate for their use and how to comply with our rules,” as well as to decrease interference to wireless networks.</w:t>
      </w:r>
      <w:r>
        <w:rPr>
          <w:rStyle w:val="FootnoteReference"/>
        </w:rPr>
        <w:footnoteReference w:id="42"/>
      </w:r>
      <w:r w:rsidR="007B1E2B">
        <w:t xml:space="preserve">  The </w:t>
      </w:r>
      <w:r w:rsidR="007B1E2B">
        <w:t xml:space="preserve">Commission stated that appropriately crafted labels “will lead to increased compliance with </w:t>
      </w:r>
      <w:r w:rsidR="00A95B54">
        <w:t>Commission</w:t>
      </w:r>
      <w:r w:rsidR="007B1E2B">
        <w:t xml:space="preserve"> rules and decreased interference to wireless networks.”</w:t>
      </w:r>
      <w:r>
        <w:rPr>
          <w:rStyle w:val="FootnoteReference"/>
        </w:rPr>
        <w:footnoteReference w:id="43"/>
      </w:r>
      <w:r w:rsidR="0058646D">
        <w:t xml:space="preserve">  </w:t>
      </w:r>
      <w:r w:rsidR="00725DD4">
        <w:t>Here, t</w:t>
      </w:r>
      <w:r w:rsidR="006C4B99">
        <w:t>he underlying purposes of the labeling requirement would not be served by strict application</w:t>
      </w:r>
      <w:r w:rsidR="00A95B54">
        <w:t xml:space="preserve"> </w:t>
      </w:r>
      <w:r w:rsidR="00725DD4">
        <w:t xml:space="preserve">of the rule </w:t>
      </w:r>
      <w:r w:rsidR="00A95B54">
        <w:t>because</w:t>
      </w:r>
      <w:r w:rsidR="00F13457">
        <w:t xml:space="preserve"> the label, as originally written, would not </w:t>
      </w:r>
      <w:r w:rsidR="00E84E7E">
        <w:t xml:space="preserve">appropriately </w:t>
      </w:r>
      <w:r w:rsidR="00C07D64">
        <w:t>account for</w:t>
      </w:r>
      <w:r w:rsidR="00E84E7E">
        <w:t xml:space="preserve"> the unique features of</w:t>
      </w:r>
      <w:r w:rsidR="00F13457">
        <w:t xml:space="preserve"> Pivotal’s Device.  Pivotal’s Device contains </w:t>
      </w:r>
      <w:r w:rsidR="00BF5C71">
        <w:t>certain</w:t>
      </w:r>
      <w:r w:rsidR="005B77EB">
        <w:t xml:space="preserve"> features </w:t>
      </w:r>
      <w:r w:rsidR="00F13457">
        <w:t>that</w:t>
      </w:r>
      <w:r w:rsidR="005B77EB">
        <w:t xml:space="preserve"> render </w:t>
      </w:r>
      <w:r w:rsidR="00A96D14">
        <w:t>portions of the</w:t>
      </w:r>
      <w:r w:rsidR="005B77EB">
        <w:t xml:space="preserve"> warning inapplicable and </w:t>
      </w:r>
      <w:r w:rsidR="003644A7">
        <w:t>likely to mislead</w:t>
      </w:r>
      <w:r w:rsidR="005B77EB">
        <w:t xml:space="preserve"> consumers about the Device’s proper use.</w:t>
      </w:r>
      <w:r w:rsidR="00A95B54">
        <w:t xml:space="preserve">  A label with inapplicable text may lead to </w:t>
      </w:r>
      <w:r w:rsidR="000F2676">
        <w:t>confusion and not serve to inform consumers about which devices are appropriate and how to comply</w:t>
      </w:r>
      <w:r w:rsidR="00A95B54">
        <w:t>.</w:t>
      </w:r>
    </w:p>
    <w:p w:rsidR="00094930" w:rsidP="00C2702A" w14:paraId="2B8B1660" w14:textId="78A970B3">
      <w:pPr>
        <w:pStyle w:val="ParaNum"/>
      </w:pPr>
      <w:bookmarkStart w:id="12" w:name="_Hlk27472324"/>
      <w:bookmarkStart w:id="13" w:name="_Hlk27471277"/>
      <w:r>
        <w:t>An</w:t>
      </w:r>
      <w:r w:rsidR="00642C93">
        <w:t xml:space="preserve"> alternate label with additional text that accounts for the unique features of Pivotal’s Device </w:t>
      </w:r>
      <w:r>
        <w:t>is in the public interest because it furthers the rule’s purpose of</w:t>
      </w:r>
      <w:r w:rsidR="00556FF3">
        <w:t xml:space="preserve"> ensuring</w:t>
      </w:r>
      <w:r w:rsidR="00642C93">
        <w:t xml:space="preserve"> that consumers </w:t>
      </w:r>
      <w:r w:rsidR="00D4542A">
        <w:t>do</w:t>
      </w:r>
      <w:r w:rsidR="00642C93">
        <w:t xml:space="preserve"> not erroneously purchase the Device</w:t>
      </w:r>
      <w:bookmarkEnd w:id="12"/>
      <w:r w:rsidR="00642C93">
        <w:t xml:space="preserve">.  Pivotal claims that consumers will not erroneously purchase the Device because it only </w:t>
      </w:r>
      <w:r w:rsidR="00725DD4">
        <w:t xml:space="preserve">may </w:t>
      </w:r>
      <w:r w:rsidR="00642C93">
        <w:t xml:space="preserve">be obtained from the FCC licensee </w:t>
      </w:r>
      <w:r w:rsidR="000C047C">
        <w:t>that</w:t>
      </w:r>
      <w:r w:rsidR="00642C93">
        <w:t xml:space="preserve"> is the service provider.</w:t>
      </w:r>
      <w:r>
        <w:rPr>
          <w:rStyle w:val="FootnoteReference"/>
        </w:rPr>
        <w:footnoteReference w:id="44"/>
      </w:r>
      <w:r w:rsidR="00642C93">
        <w:t xml:space="preserve">  It </w:t>
      </w:r>
      <w:r w:rsidR="00BD280B">
        <w:t xml:space="preserve">also </w:t>
      </w:r>
      <w:r w:rsidR="00642C93">
        <w:t>claims that the Device will not be sold at retail.</w:t>
      </w:r>
      <w:r>
        <w:rPr>
          <w:rStyle w:val="FootnoteReference"/>
        </w:rPr>
        <w:footnoteReference w:id="45"/>
      </w:r>
      <w:r w:rsidR="00642C93">
        <w:t xml:space="preserve">  </w:t>
      </w:r>
      <w:r w:rsidR="00D4542A">
        <w:t xml:space="preserve">We agree that </w:t>
      </w:r>
      <w:r w:rsidR="00725DD4">
        <w:t xml:space="preserve">consumers are </w:t>
      </w:r>
      <w:r w:rsidR="00D4542A">
        <w:t xml:space="preserve">unlikely </w:t>
      </w:r>
      <w:r w:rsidR="00725DD4">
        <w:t xml:space="preserve">to purchase </w:t>
      </w:r>
      <w:r w:rsidR="00D4542A">
        <w:t>the</w:t>
      </w:r>
      <w:r>
        <w:t xml:space="preserve"> Device erroneously because it is not sold at retail</w:t>
      </w:r>
      <w:r w:rsidR="00D36EBE">
        <w:t xml:space="preserve"> and can only be obtained through the consumer’s service provider</w:t>
      </w:r>
      <w:r w:rsidR="00BD280B">
        <w:t xml:space="preserve">.  Nevertheless, we find that </w:t>
      </w:r>
      <w:r w:rsidR="007B08D9">
        <w:t xml:space="preserve">label </w:t>
      </w:r>
      <w:r w:rsidR="00BD280B">
        <w:t xml:space="preserve">warnings are necessary to ensure that information about the Device’s proper use and sale is conveyed to consumers who potentially </w:t>
      </w:r>
      <w:r w:rsidR="007B08D9">
        <w:t xml:space="preserve">may </w:t>
      </w:r>
      <w:r w:rsidR="00BD280B">
        <w:t xml:space="preserve">purchase the Device through distribution channels not anticipated by Pivotal (i.e., through secondary markets).  </w:t>
      </w:r>
      <w:r>
        <w:t>We therefore require that the Device contain the warning, “</w:t>
      </w:r>
      <w:r w:rsidR="00907EAD">
        <w:t xml:space="preserve">WARNING.  This is not a CONSUMER device.  This device may not be sold at retail.  You MUST have an FCC LICENSE or express consent of an FCC Licensee (or express consent of your service provider) to operate this device.  </w:t>
      </w:r>
      <w:r w:rsidR="00BA20C0">
        <w:t xml:space="preserve">Antennas must be installed at least 20 cm (8 inches) from any person.  </w:t>
      </w:r>
      <w:r w:rsidR="00907EAD">
        <w:t>Unauthorized use may result in significant forfeiture penalties, including penalties in excess of $100,000 for each continuing violation</w:t>
      </w:r>
      <w:r>
        <w:t>.”</w:t>
      </w:r>
    </w:p>
    <w:bookmarkEnd w:id="13"/>
    <w:p w:rsidR="00977EE9" w:rsidP="008B57F1" w14:paraId="4C8DE3AE" w14:textId="37D23606">
      <w:pPr>
        <w:pStyle w:val="ParaNum"/>
      </w:pPr>
      <w:r>
        <w:t xml:space="preserve">An alternate label that informs consumers about </w:t>
      </w:r>
      <w:r w:rsidR="00116151">
        <w:t xml:space="preserve">the Device’s </w:t>
      </w:r>
      <w:r>
        <w:t xml:space="preserve">proper use </w:t>
      </w:r>
      <w:r w:rsidR="006B3E45">
        <w:t xml:space="preserve">promotes </w:t>
      </w:r>
      <w:r w:rsidR="000F6816">
        <w:t>safe</w:t>
      </w:r>
      <w:r w:rsidR="006B3E45">
        <w:t xml:space="preserve"> operation of the Device, </w:t>
      </w:r>
      <w:r w:rsidR="00BD280B">
        <w:t>reduces</w:t>
      </w:r>
      <w:r w:rsidR="00D066AD">
        <w:t xml:space="preserve"> the</w:t>
      </w:r>
      <w:r>
        <w:t xml:space="preserve"> risk of interference</w:t>
      </w:r>
      <w:r w:rsidR="006B3E45">
        <w:t>,</w:t>
      </w:r>
      <w:r w:rsidR="00BD280B">
        <w:t xml:space="preserve"> and facilitates the resolution of interference events should they occur.</w:t>
      </w:r>
      <w:r>
        <w:rPr>
          <w:rStyle w:val="FootnoteReference"/>
        </w:rPr>
        <w:footnoteReference w:id="46"/>
      </w:r>
      <w:r w:rsidR="00076BAD">
        <w:t xml:space="preserve">  We require Pivotal’s Device to include the warning, “</w:t>
      </w:r>
      <w:r w:rsidR="00D066AD">
        <w:t xml:space="preserve">This is </w:t>
      </w:r>
      <w:r w:rsidR="00907EAD">
        <w:t xml:space="preserve">not </w:t>
      </w:r>
      <w:r w:rsidR="00D066AD">
        <w:t>a CONSUMER Device</w:t>
      </w:r>
      <w:r w:rsidR="00F127AC">
        <w:t>,</w:t>
      </w:r>
      <w:r w:rsidR="00D066AD">
        <w:t xml:space="preserve">” which informs consumers that the Device is an Industrial Signal Booster that requires an FCC license or the express consent of an FCC licensee and not a Consumer Signal Booster, which is otherwise suitable for their use.  </w:t>
      </w:r>
      <w:r w:rsidR="00F127AC">
        <w:t xml:space="preserve">We also require the </w:t>
      </w:r>
      <w:r w:rsidR="00D066AD">
        <w:t>language</w:t>
      </w:r>
      <w:r w:rsidR="00F127AC">
        <w:t xml:space="preserve">, “You MUST have an FCC LICENSE or express consent of an FCC Licensee (or express consent of your service provider) to operate this device,” which </w:t>
      </w:r>
      <w:r w:rsidR="00D066AD">
        <w:t>also facilitates the resolution of interference events by informing consumers about use requirements.</w:t>
      </w:r>
      <w:r>
        <w:rPr>
          <w:rStyle w:val="FootnoteReference"/>
        </w:rPr>
        <w:footnoteReference w:id="47"/>
      </w:r>
      <w:r w:rsidR="00D066AD">
        <w:t xml:space="preserve">  The </w:t>
      </w:r>
      <w:r w:rsidR="008B57F1">
        <w:t>additional language, “</w:t>
      </w:r>
      <w:r w:rsidR="004763E5">
        <w:t>or express consent</w:t>
      </w:r>
      <w:r w:rsidR="00D066AD">
        <w:t xml:space="preserve"> of your service provider</w:t>
      </w:r>
      <w:r w:rsidR="008B57F1">
        <w:t>,”</w:t>
      </w:r>
      <w:r w:rsidR="00D066AD">
        <w:t xml:space="preserve"> avoids consumer confusion by making clear that operation of the Device is authorized when consumers obtain the Device through their service providers</w:t>
      </w:r>
      <w:r w:rsidR="008B57F1">
        <w:t xml:space="preserve">.  </w:t>
      </w:r>
      <w:r w:rsidR="00116151">
        <w:t xml:space="preserve">We </w:t>
      </w:r>
      <w:r w:rsidR="008B57F1">
        <w:t>also r</w:t>
      </w:r>
      <w:r w:rsidR="00116151">
        <w:t>equire language involving penalties to further enforce proper sale and operation of the Device.</w:t>
      </w:r>
    </w:p>
    <w:p w:rsidR="00475F00" w:rsidP="00D36EBE" w14:paraId="7614082B" w14:textId="77902AC2">
      <w:pPr>
        <w:pStyle w:val="ParaNum"/>
      </w:pPr>
      <w:r>
        <w:t>We note that</w:t>
      </w:r>
      <w:r w:rsidR="00977EE9">
        <w:t xml:space="preserve"> </w:t>
      </w:r>
      <w:r w:rsidR="000F6816">
        <w:t xml:space="preserve">Pivotal </w:t>
      </w:r>
      <w:r w:rsidR="003A4BF5">
        <w:t>supports including</w:t>
      </w:r>
      <w:r w:rsidR="000F6816">
        <w:t xml:space="preserve"> </w:t>
      </w:r>
      <w:r>
        <w:t xml:space="preserve">the </w:t>
      </w:r>
      <w:r w:rsidR="000F6816">
        <w:t>information regarding separation distance requirements</w:t>
      </w:r>
      <w:r>
        <w:t xml:space="preserve"> that applies to </w:t>
      </w:r>
      <w:r w:rsidR="00C97ADA">
        <w:t>Consumer Signal Boosters</w:t>
      </w:r>
      <w:r>
        <w:t>, and we conclude that providing such RF safety-related information is in the public interest, as it promotes safe operation and use of the Device</w:t>
      </w:r>
      <w:r w:rsidR="000F6816">
        <w:t>.</w:t>
      </w:r>
      <w:r>
        <w:rPr>
          <w:rStyle w:val="FootnoteReference"/>
        </w:rPr>
        <w:footnoteReference w:id="48"/>
      </w:r>
      <w:r w:rsidR="000F6816">
        <w:t xml:space="preserve">  We therefore require that the Device contain the warning, “Antennas must be installed at least 20 cm</w:t>
      </w:r>
      <w:r w:rsidR="00E726B4">
        <w:t> </w:t>
      </w:r>
      <w:r w:rsidR="000F6816">
        <w:t>(8 inches) from any person.”</w:t>
      </w:r>
    </w:p>
    <w:p w:rsidR="000D0E4E" w:rsidP="00D36EBE" w14:paraId="69EA688C" w14:textId="6013E3B9">
      <w:pPr>
        <w:pStyle w:val="ParaNum"/>
      </w:pPr>
      <w:r>
        <w:t xml:space="preserve">We agree with commenters that a blanket waiver of the labeling requirements should not be granted because labels concerning the Device’s use requirements are still </w:t>
      </w:r>
      <w:r w:rsidR="00413D92">
        <w:t>necessary</w:t>
      </w:r>
      <w:r>
        <w:t xml:space="preserve"> to satisfy the purposes of the rule.</w:t>
      </w:r>
      <w:r>
        <w:rPr>
          <w:rStyle w:val="FootnoteReference"/>
        </w:rPr>
        <w:footnoteReference w:id="49"/>
      </w:r>
      <w:r>
        <w:t xml:space="preserve">  </w:t>
      </w:r>
      <w:r w:rsidR="00B359F0">
        <w:t>Moreover,</w:t>
      </w:r>
      <w:r>
        <w:t xml:space="preserve"> some form of labeling is required for all signal boosters in the United States, regardless of whether the device is a Consumer Signal Booster or an Industrial Signal Booster.</w:t>
      </w:r>
      <w:r>
        <w:rPr>
          <w:rStyle w:val="FootnoteReference"/>
        </w:rPr>
        <w:footnoteReference w:id="50"/>
      </w:r>
      <w:r>
        <w:t xml:space="preserve">  We do not find that Pivotal has presented such an unusual or unique factual circumstance that the labeling requirement should be waived </w:t>
      </w:r>
      <w:r w:rsidRPr="00DE343F">
        <w:rPr>
          <w:i/>
        </w:rPr>
        <w:t>in its entirety</w:t>
      </w:r>
      <w:r>
        <w:t xml:space="preserve">.  </w:t>
      </w:r>
      <w:r w:rsidR="004841B8">
        <w:t>The Commission’s rules provide for exemptions to certain labeling requirements only when the device is so small or for such use that it would be impracticable to label it with the required language.</w:t>
      </w:r>
      <w:r>
        <w:rPr>
          <w:rStyle w:val="FootnoteReference"/>
        </w:rPr>
        <w:footnoteReference w:id="51"/>
      </w:r>
      <w:r w:rsidR="004841B8">
        <w:t xml:space="preserve">  </w:t>
      </w:r>
      <w:r w:rsidR="0096710B">
        <w:t>We therefore</w:t>
      </w:r>
      <w:r w:rsidR="00B359F0">
        <w:t xml:space="preserve"> agree with commenters that Pivotal should be required to place a label on its device</w:t>
      </w:r>
      <w:r w:rsidR="0096710B">
        <w:t>.</w:t>
      </w:r>
    </w:p>
    <w:p w:rsidR="00A4022E" w:rsidP="00A4022E" w14:paraId="5AA20442" w14:textId="5BF49358">
      <w:pPr>
        <w:pStyle w:val="ParaNum"/>
      </w:pPr>
      <w:r>
        <w:t>To the extent that commenters express concerns about the risk of interference due to the technical operation of the Device, and not due to improper use by consumers, we find these arguments misplaced.</w:t>
      </w:r>
      <w:r>
        <w:rPr>
          <w:rStyle w:val="FootnoteReference"/>
        </w:rPr>
        <w:footnoteReference w:id="52"/>
      </w:r>
      <w:r>
        <w:t xml:space="preserve">  Technical operation of the Device is evaluated </w:t>
      </w:r>
      <w:r w:rsidR="00385EAD">
        <w:t>during the equipment authorization process</w:t>
      </w:r>
      <w:r>
        <w:t>.</w:t>
      </w:r>
      <w:r>
        <w:rPr>
          <w:rStyle w:val="FootnoteReference"/>
        </w:rPr>
        <w:footnoteReference w:id="53"/>
      </w:r>
      <w:r>
        <w:t xml:space="preserve">  If the Device is deemed out of compliance with the Commission’s technical rules, it will not be authorized.  </w:t>
      </w:r>
      <w:r w:rsidR="002A2491">
        <w:t>Thus</w:t>
      </w:r>
      <w:r>
        <w:t xml:space="preserve">, concerns about the Device’s “safe and effective” operation are </w:t>
      </w:r>
      <w:r w:rsidR="002A5167">
        <w:t>beyond the scope of</w:t>
      </w:r>
      <w:r>
        <w:t xml:space="preserve"> this proceeding, which only addresses the Device’s compliance with labeling requirements.</w:t>
      </w:r>
      <w:r>
        <w:rPr>
          <w:rStyle w:val="FootnoteReference"/>
        </w:rPr>
        <w:footnoteReference w:id="54"/>
      </w:r>
    </w:p>
    <w:p w:rsidR="002503B8" w:rsidP="002503B8" w14:paraId="6D8A25FA" w14:textId="33EFA702">
      <w:pPr>
        <w:pStyle w:val="ParaNum"/>
      </w:pPr>
      <w:r>
        <w:t>Some commenters argue that the Device is akin to a Consumer Signal Booster and that both Consumer Signal Booster label</w:t>
      </w:r>
      <w:r w:rsidR="00D22EB0">
        <w:t>l</w:t>
      </w:r>
      <w:r>
        <w:t>ing and technical requirements should apply to prevent interference.</w:t>
      </w:r>
      <w:r>
        <w:rPr>
          <w:rStyle w:val="FootnoteReference"/>
        </w:rPr>
        <w:footnoteReference w:id="55"/>
      </w:r>
      <w:r>
        <w:t xml:space="preserve">  </w:t>
      </w:r>
      <w:r w:rsidR="00507EBC">
        <w:t xml:space="preserve">Because the Device does not meet the technical specifications for Consumer </w:t>
      </w:r>
      <w:r w:rsidR="00507EBC">
        <w:t>Signal Boosters, it is considered an Industrial Signal Booster by rule.</w:t>
      </w:r>
      <w:r>
        <w:rPr>
          <w:rStyle w:val="FootnoteReference"/>
        </w:rPr>
        <w:footnoteReference w:id="56"/>
      </w:r>
      <w:r w:rsidR="00507EBC">
        <w:t xml:space="preserve">  </w:t>
      </w:r>
      <w:r>
        <w:t>Consumer Signal Booster requirements are therefore inappropriate.  Nevertheless, the warning, “You MUST have an FCC LICENSE or express consent of an FCC Licensee (</w:t>
      </w:r>
      <w:r w:rsidR="002A5167">
        <w:t>or express consent</w:t>
      </w:r>
      <w:r>
        <w:t xml:space="preserve"> of your service provider) to operate this device,” </w:t>
      </w:r>
      <w:r w:rsidR="002A5167">
        <w:t>facilitates</w:t>
      </w:r>
      <w:r>
        <w:t xml:space="preserve"> coordination with providers and assist</w:t>
      </w:r>
      <w:r w:rsidR="003D039B">
        <w:t>s</w:t>
      </w:r>
      <w:r>
        <w:t xml:space="preserve"> in interference prevention</w:t>
      </w:r>
      <w:r w:rsidR="00D26569">
        <w:t xml:space="preserve"> and proper installation and operation</w:t>
      </w:r>
      <w:r>
        <w:t>.</w:t>
      </w:r>
      <w:r>
        <w:rPr>
          <w:rStyle w:val="FootnoteReference"/>
        </w:rPr>
        <w:footnoteReference w:id="57"/>
      </w:r>
      <w:r>
        <w:t xml:space="preserve">  </w:t>
      </w:r>
      <w:r w:rsidR="009C047C">
        <w:t>Moreover</w:t>
      </w:r>
      <w:r>
        <w:t>, Pivotal claims that the Device operates only with authentication and provisioning by a consumer’s service provider and that service providers retain remote control over the Device</w:t>
      </w:r>
      <w:r w:rsidR="009C047C">
        <w:t>, which we agree will reduce the risk of interference and facilitate the resolution of these issues should they occur.</w:t>
      </w:r>
      <w:r>
        <w:rPr>
          <w:rStyle w:val="FootnoteReference"/>
        </w:rPr>
        <w:footnoteReference w:id="58"/>
      </w:r>
    </w:p>
    <w:p w:rsidR="007533D3" w:rsidP="00AF4D44" w14:paraId="42B16064" w14:textId="0CE4736A">
      <w:pPr>
        <w:pStyle w:val="ParaNum"/>
      </w:pPr>
      <w:r>
        <w:t xml:space="preserve">In conclusion, for the reasons discussed above, we </w:t>
      </w:r>
      <w:r w:rsidR="000F138E">
        <w:t xml:space="preserve">find that Pivotal has met the standard for section 1.925 of the Commission’s rules and </w:t>
      </w:r>
      <w:r>
        <w:t xml:space="preserve">grant a limited waiver of the Industrial </w:t>
      </w:r>
      <w:r w:rsidR="00E05FE4">
        <w:t xml:space="preserve">Signal Booster </w:t>
      </w:r>
      <w:r>
        <w:t>labeling requirements</w:t>
      </w:r>
      <w:r w:rsidR="000F138E">
        <w:t>.</w:t>
      </w:r>
      <w:r w:rsidR="00AF4D44">
        <w:t xml:space="preserve">  On our own motion, we find that, to the extent Pivotal’s Device is manufactured, distributed, and sold in compliance with this waiver, the relevant manufacturers, distributors, and retailers are in compliance with the section 20.21(f)(1).</w:t>
      </w:r>
    </w:p>
    <w:p w:rsidR="00A61D94" w:rsidP="00A61D94" w14:paraId="261450D4" w14:textId="6B01F91F">
      <w:pPr>
        <w:pStyle w:val="Heading1"/>
      </w:pPr>
      <w:r>
        <w:t>ordering clauses</w:t>
      </w:r>
    </w:p>
    <w:p w:rsidR="00A61D94" w:rsidP="00A61D94" w14:paraId="45BF052F" w14:textId="3E7272D2">
      <w:pPr>
        <w:pStyle w:val="ParaNum"/>
      </w:pPr>
      <w:r>
        <w:t xml:space="preserve">Accordingly, IT IS ORDERED that, pursuant to </w:t>
      </w:r>
      <w:r w:rsidR="00C329F5">
        <w:t>section</w:t>
      </w:r>
      <w:r w:rsidR="008A744A">
        <w:t xml:space="preserve"> </w:t>
      </w:r>
      <w:r w:rsidR="00C329F5">
        <w:t>1.925(b)(3)</w:t>
      </w:r>
      <w:r w:rsidR="006F2D48">
        <w:t xml:space="preserve"> </w:t>
      </w:r>
      <w:r w:rsidR="00C329F5">
        <w:t>of the Commission’s rules, 47 CFR § 1.925(b)(3),</w:t>
      </w:r>
      <w:r w:rsidR="006F2D48">
        <w:t xml:space="preserve"> </w:t>
      </w:r>
      <w:r w:rsidR="00C329F5">
        <w:t xml:space="preserve">the request of Pivotal </w:t>
      </w:r>
      <w:r w:rsidR="00C329F5">
        <w:t>Commware</w:t>
      </w:r>
      <w:r w:rsidR="00D674DA">
        <w:t xml:space="preserve"> for a partial waiver of section 20.21(f) of the </w:t>
      </w:r>
      <w:r w:rsidR="00ED2F3B">
        <w:t xml:space="preserve">Commission’s </w:t>
      </w:r>
      <w:r w:rsidR="00D674DA">
        <w:t>rules, 47 CFR</w:t>
      </w:r>
      <w:r w:rsidRPr="00D674DA" w:rsidR="00D674DA">
        <w:t xml:space="preserve"> </w:t>
      </w:r>
      <w:r w:rsidR="00D674DA">
        <w:t>§ 20.21(f)</w:t>
      </w:r>
      <w:r w:rsidR="00ED2F3B">
        <w:t>,</w:t>
      </w:r>
      <w:r w:rsidR="00C329F5">
        <w:t xml:space="preserve"> IS GRANTED</w:t>
      </w:r>
      <w:r w:rsidR="00D674DA">
        <w:t xml:space="preserve"> to the extent specified herein</w:t>
      </w:r>
      <w:r w:rsidR="00C329F5">
        <w:t>.</w:t>
      </w:r>
    </w:p>
    <w:p w:rsidR="00E958D2" w:rsidRPr="00A61D94" w:rsidP="007631B6" w14:paraId="34647275" w14:textId="033D98FC">
      <w:pPr>
        <w:pStyle w:val="ParaNum"/>
        <w:keepNext/>
        <w:widowControl/>
      </w:pPr>
      <w:r>
        <w:t xml:space="preserve">These actions are taken under delegated authority pursuant to </w:t>
      </w:r>
      <w:r w:rsidR="00CE4E64">
        <w:t>s</w:t>
      </w:r>
      <w:r>
        <w:t xml:space="preserve">ections 0.331 </w:t>
      </w:r>
      <w:r w:rsidR="00106291">
        <w:t xml:space="preserve">and 0.131 </w:t>
      </w:r>
      <w:r>
        <w:t>of the Commission’s rules, 47 CFR §</w:t>
      </w:r>
      <w:r w:rsidR="00CE4E64">
        <w:t>§</w:t>
      </w:r>
      <w:r>
        <w:t xml:space="preserve"> 0.331</w:t>
      </w:r>
      <w:r w:rsidR="00106291">
        <w:t>, 0.131</w:t>
      </w:r>
      <w:r>
        <w:t>.</w:t>
      </w:r>
    </w:p>
    <w:p w:rsidR="00A61D94" w:rsidP="0026688D" w14:paraId="6647806A" w14:textId="601658BE">
      <w:pPr>
        <w:pStyle w:val="ParaNum"/>
        <w:keepNext/>
        <w:numPr>
          <w:ilvl w:val="0"/>
          <w:numId w:val="0"/>
        </w:numPr>
      </w:pPr>
    </w:p>
    <w:p w:rsidR="00D674DA" w:rsidP="0026688D" w14:paraId="73ECAFC8" w14:textId="17E3EC52">
      <w:pPr>
        <w:pStyle w:val="ParaNum"/>
        <w:keepNext/>
        <w:numPr>
          <w:ilvl w:val="0"/>
          <w:numId w:val="0"/>
        </w:numPr>
        <w:tabs>
          <w:tab w:val="left" w:pos="720"/>
          <w:tab w:val="left" w:pos="1080"/>
        </w:tabs>
        <w:spacing w:after="0"/>
        <w:ind w:left="4320"/>
      </w:pPr>
      <w:r>
        <w:t>FEDERAL COMMUNICATIONS COMMISSION</w:t>
      </w:r>
    </w:p>
    <w:p w:rsidR="00D674DA" w:rsidP="0026688D" w14:paraId="1DEDD2D1" w14:textId="158012B1">
      <w:pPr>
        <w:pStyle w:val="ParaNum"/>
        <w:keepNext/>
        <w:numPr>
          <w:ilvl w:val="0"/>
          <w:numId w:val="0"/>
        </w:numPr>
        <w:tabs>
          <w:tab w:val="left" w:pos="720"/>
          <w:tab w:val="left" w:pos="1080"/>
        </w:tabs>
        <w:spacing w:after="0"/>
        <w:ind w:left="4320"/>
      </w:pPr>
    </w:p>
    <w:p w:rsidR="00CE4E64" w:rsidP="0026688D" w14:paraId="6D59BF34" w14:textId="270922DB">
      <w:pPr>
        <w:pStyle w:val="ParaNum"/>
        <w:keepNext/>
        <w:numPr>
          <w:ilvl w:val="0"/>
          <w:numId w:val="0"/>
        </w:numPr>
        <w:tabs>
          <w:tab w:val="left" w:pos="720"/>
          <w:tab w:val="left" w:pos="1080"/>
        </w:tabs>
        <w:spacing w:after="0"/>
        <w:ind w:left="4320"/>
      </w:pPr>
    </w:p>
    <w:p w:rsidR="00CE4E64" w:rsidP="0026688D" w14:paraId="248AF3DE" w14:textId="01BA49FE">
      <w:pPr>
        <w:pStyle w:val="ParaNum"/>
        <w:keepNext/>
        <w:numPr>
          <w:ilvl w:val="0"/>
          <w:numId w:val="0"/>
        </w:numPr>
        <w:tabs>
          <w:tab w:val="left" w:pos="720"/>
          <w:tab w:val="left" w:pos="1080"/>
        </w:tabs>
        <w:spacing w:after="0"/>
        <w:ind w:left="4320"/>
      </w:pPr>
    </w:p>
    <w:p w:rsidR="00CE4E64" w:rsidP="0026688D" w14:paraId="62B54D8B" w14:textId="77777777">
      <w:pPr>
        <w:pStyle w:val="ParaNum"/>
        <w:keepNext/>
        <w:numPr>
          <w:ilvl w:val="0"/>
          <w:numId w:val="0"/>
        </w:numPr>
        <w:tabs>
          <w:tab w:val="left" w:pos="720"/>
          <w:tab w:val="left" w:pos="1080"/>
        </w:tabs>
        <w:spacing w:after="0"/>
        <w:ind w:left="4320"/>
      </w:pPr>
    </w:p>
    <w:p w:rsidR="00D674DA" w:rsidP="0026688D" w14:paraId="48C943FB" w14:textId="5E0B9F8C">
      <w:pPr>
        <w:pStyle w:val="ParaNum"/>
        <w:keepNext/>
        <w:numPr>
          <w:ilvl w:val="0"/>
          <w:numId w:val="0"/>
        </w:numPr>
        <w:tabs>
          <w:tab w:val="left" w:pos="720"/>
          <w:tab w:val="left" w:pos="1080"/>
        </w:tabs>
        <w:spacing w:after="0"/>
        <w:ind w:left="4320"/>
      </w:pPr>
      <w:r>
        <w:t>Roger S. Noel</w:t>
      </w:r>
    </w:p>
    <w:p w:rsidR="00EC3F5E" w:rsidRPr="007B7BF3" w:rsidP="0026688D" w14:paraId="542EE445" w14:textId="27D952DD">
      <w:pPr>
        <w:pStyle w:val="ParaNum"/>
        <w:keepNext/>
        <w:numPr>
          <w:ilvl w:val="0"/>
          <w:numId w:val="0"/>
        </w:numPr>
        <w:tabs>
          <w:tab w:val="left" w:pos="720"/>
          <w:tab w:val="left" w:pos="1080"/>
        </w:tabs>
        <w:spacing w:after="0"/>
        <w:ind w:left="4320"/>
      </w:pPr>
      <w:r>
        <w:t>Chief, Mobility Division</w:t>
      </w:r>
      <w:r>
        <w:br/>
        <w:t>Wireless Telecommunications Bureau</w:t>
      </w:r>
    </w:p>
    <w:sectPr w:rsidSect="00A43778">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DBA" w:rsidP="0055614C" w14:paraId="59DB2AD4" w14:textId="77777777">
    <w:pPr>
      <w:pStyle w:val="Footer"/>
      <w:framePr w:wrap="around" w:vAnchor="text" w:hAnchor="margin" w:xAlign="center" w:y="1"/>
    </w:pPr>
    <w:r>
      <w:fldChar w:fldCharType="begin"/>
    </w:r>
    <w:r>
      <w:instrText xml:space="preserve">PAGE  </w:instrText>
    </w:r>
    <w:r>
      <w:fldChar w:fldCharType="separate"/>
    </w:r>
    <w:r>
      <w:fldChar w:fldCharType="end"/>
    </w:r>
  </w:p>
  <w:p w:rsidR="005C3DBA" w14:paraId="4806E6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DBA" w14:paraId="77A2DF13" w14:textId="0819CFBD">
    <w:pPr>
      <w:pStyle w:val="Footer"/>
      <w:jc w:val="center"/>
    </w:pPr>
    <w:r>
      <w:fldChar w:fldCharType="begin"/>
    </w:r>
    <w:r>
      <w:instrText xml:space="preserve"> PAGE   \* MERGEFORMAT </w:instrText>
    </w:r>
    <w:r>
      <w:fldChar w:fldCharType="separate"/>
    </w:r>
    <w:r w:rsidR="008F0AFD">
      <w:rPr>
        <w:noProof/>
      </w:rPr>
      <w:t>8</w:t>
    </w:r>
    <w:r>
      <w:rPr>
        <w:noProof/>
      </w:rPr>
      <w:fldChar w:fldCharType="end"/>
    </w:r>
  </w:p>
  <w:p w:rsidR="005C3DBA" w14:paraId="3E54C81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DBA" w14:paraId="574A3E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469C" w14:paraId="130F5FC0" w14:textId="77777777">
      <w:r>
        <w:separator/>
      </w:r>
    </w:p>
  </w:footnote>
  <w:footnote w:type="continuationSeparator" w:id="1">
    <w:p w:rsidR="0091469C" w:rsidP="00C721AC" w14:paraId="524E2EDF" w14:textId="77777777">
      <w:pPr>
        <w:spacing w:before="120"/>
        <w:rPr>
          <w:sz w:val="20"/>
        </w:rPr>
      </w:pPr>
      <w:r>
        <w:rPr>
          <w:sz w:val="20"/>
        </w:rPr>
        <w:t xml:space="preserve">(Continued from previous page)  </w:t>
      </w:r>
      <w:r>
        <w:rPr>
          <w:sz w:val="20"/>
        </w:rPr>
        <w:separator/>
      </w:r>
    </w:p>
  </w:footnote>
  <w:footnote w:type="continuationNotice" w:id="2">
    <w:p w:rsidR="0091469C" w:rsidP="00C721AC" w14:paraId="02F92889" w14:textId="0B5DBDB7">
      <w:pPr>
        <w:jc w:val="right"/>
        <w:rPr>
          <w:sz w:val="20"/>
        </w:rPr>
      </w:pPr>
    </w:p>
  </w:footnote>
  <w:footnote w:id="3">
    <w:p w:rsidR="00FF34CB" w14:paraId="0AD944BA" w14:textId="33B147CB">
      <w:pPr>
        <w:pStyle w:val="FootnoteText"/>
      </w:pPr>
      <w:r>
        <w:rPr>
          <w:rStyle w:val="FootnoteReference"/>
        </w:rPr>
        <w:footnoteRef/>
      </w:r>
      <w:r>
        <w:t xml:space="preserve"> Pivotal </w:t>
      </w:r>
      <w:r>
        <w:t>Commware</w:t>
      </w:r>
      <w:r>
        <w:t xml:space="preserve"> Request for Waiver of Section 20.21(f), WT Docket No. 19-272 (filed Sept. 16, 2019) (Pivotal Waiver Request).</w:t>
      </w:r>
    </w:p>
  </w:footnote>
  <w:footnote w:id="4">
    <w:p w:rsidR="005C3DBA" w:rsidRPr="008E5147" w:rsidP="00140A0B" w14:paraId="3D973309" w14:textId="2D5012B9">
      <w:pPr>
        <w:pStyle w:val="FootnoteText"/>
      </w:pPr>
      <w:r>
        <w:rPr>
          <w:rStyle w:val="FootnoteReference"/>
        </w:rPr>
        <w:footnoteRef/>
      </w:r>
      <w:r>
        <w:t xml:space="preserve"> </w:t>
      </w:r>
      <w:r>
        <w:rPr>
          <w:i/>
        </w:rPr>
        <w:t>See Amendment of Parts 1, 2, 22, 24, 27, 90 and 95</w:t>
      </w:r>
      <w:r>
        <w:t xml:space="preserve"> </w:t>
      </w:r>
      <w:r>
        <w:rPr>
          <w:i/>
        </w:rPr>
        <w:t xml:space="preserve">of the Commission’s Rules </w:t>
      </w:r>
      <w:r w:rsidR="00341FF5">
        <w:rPr>
          <w:i/>
        </w:rPr>
        <w:t xml:space="preserve">to </w:t>
      </w:r>
      <w:r>
        <w:rPr>
          <w:i/>
        </w:rPr>
        <w:t>Improve Wireless Coverage Through the Use of Signal Boosters</w:t>
      </w:r>
      <w:r>
        <w:t xml:space="preserve">, Report and Order, 28 FCC </w:t>
      </w:r>
      <w:r>
        <w:t>Rcd</w:t>
      </w:r>
      <w:r>
        <w:t xml:space="preserve"> 1663 (2013) (</w:t>
      </w:r>
      <w:r w:rsidR="00893BA0">
        <w:rPr>
          <w:i/>
        </w:rPr>
        <w:t>Report and Order</w:t>
      </w:r>
      <w:r>
        <w:t>).</w:t>
      </w:r>
    </w:p>
  </w:footnote>
  <w:footnote w:id="5">
    <w:p w:rsidR="005C3DBA" w:rsidRPr="008E5147" w:rsidP="00140A0B" w14:paraId="6C8DB742" w14:textId="77777777">
      <w:pPr>
        <w:pStyle w:val="FootnoteText"/>
      </w:pPr>
      <w:r>
        <w:rPr>
          <w:rStyle w:val="FootnoteReference"/>
        </w:rPr>
        <w:footnoteRef/>
      </w:r>
      <w:r>
        <w:t xml:space="preserve"> </w:t>
      </w:r>
      <w:r>
        <w:rPr>
          <w:i/>
        </w:rPr>
        <w:t>Report and Order</w:t>
      </w:r>
      <w:r>
        <w:t xml:space="preserve">, 28 FCC </w:t>
      </w:r>
      <w:r>
        <w:t>Rcd</w:t>
      </w:r>
      <w:r>
        <w:t xml:space="preserve"> at 1664-65, para. 3.</w:t>
      </w:r>
    </w:p>
  </w:footnote>
  <w:footnote w:id="6">
    <w:p w:rsidR="005C3DBA" w:rsidRPr="009F729C" w:rsidP="002E4867" w14:paraId="13BC5AC3" w14:textId="0FB06C9E">
      <w:pPr>
        <w:pStyle w:val="FootnoteText"/>
        <w:suppressAutoHyphens/>
      </w:pPr>
      <w:r>
        <w:rPr>
          <w:rStyle w:val="FootnoteReference"/>
        </w:rPr>
        <w:footnoteRef/>
      </w:r>
      <w:r>
        <w:t xml:space="preserve"> </w:t>
      </w:r>
      <w:r w:rsidR="0096055B">
        <w:rPr>
          <w:i/>
        </w:rPr>
        <w:t>Id.</w:t>
      </w:r>
      <w:r>
        <w:t xml:space="preserve"> at 1680, 1685, paras. 44, 57.  </w:t>
      </w:r>
      <w:r w:rsidR="009F729C">
        <w:t xml:space="preserve">In particular, </w:t>
      </w:r>
      <w:r w:rsidR="00893BA0">
        <w:t>“</w:t>
      </w:r>
      <w:r w:rsidR="00B57A58">
        <w:t>[u]</w:t>
      </w:r>
      <w:r>
        <w:t>nder</w:t>
      </w:r>
      <w:r>
        <w:t xml:space="preserve"> the Network Protection Standard, all Consumer Signal Boosters must:</w:t>
      </w:r>
      <w:r w:rsidR="00287EDB">
        <w:t xml:space="preserve"> </w:t>
      </w:r>
      <w:r>
        <w:t xml:space="preserve"> (1) comply with existing technical parameters for the applicable spectrum band of operation;</w:t>
      </w:r>
      <w:r w:rsidR="00CB6B67">
        <w:t xml:space="preserve"> </w:t>
      </w:r>
      <w:r w:rsidR="002E4867">
        <w:t>(2) </w:t>
      </w:r>
      <w:r>
        <w:t xml:space="preserve">automatically self-monitor certain operations and shut down if not in compliance with our new technical rules; </w:t>
      </w:r>
      <w:r w:rsidR="002E4867">
        <w:t>(3) </w:t>
      </w:r>
      <w:r>
        <w:t>automatically detect and mitigate oscillations in the uplink and downlink bands; (4)</w:t>
      </w:r>
      <w:r w:rsidR="00893BA0">
        <w:t> </w:t>
      </w:r>
      <w:r>
        <w:t>power down or shut down automatically when a device is not needed, such as when the device approaches the base station with which it is communicating; (5) be designed so that these features cannot be easily defeated; and (6)</w:t>
      </w:r>
      <w:r w:rsidR="00893BA0">
        <w:t> </w:t>
      </w:r>
      <w:r>
        <w:t>incorporate interference avoidance for wireless subsystems.”</w:t>
      </w:r>
      <w:r w:rsidR="009F729C">
        <w:t xml:space="preserve">  </w:t>
      </w:r>
      <w:r w:rsidR="009F729C">
        <w:rPr>
          <w:i/>
        </w:rPr>
        <w:t>Id.</w:t>
      </w:r>
      <w:r w:rsidR="009F729C">
        <w:t xml:space="preserve"> at 1685, para. 57.</w:t>
      </w:r>
    </w:p>
  </w:footnote>
  <w:footnote w:id="7">
    <w:p w:rsidR="005C3DBA" w14:paraId="3BF2A103" w14:textId="716C4968">
      <w:pPr>
        <w:pStyle w:val="FootnoteText"/>
      </w:pPr>
      <w:r>
        <w:rPr>
          <w:rStyle w:val="FootnoteReference"/>
        </w:rPr>
        <w:footnoteRef/>
      </w:r>
      <w:r>
        <w:t xml:space="preserve"> 47 CFR </w:t>
      </w:r>
      <w:r>
        <w:rPr>
          <w:color w:val="000000"/>
        </w:rPr>
        <w:t xml:space="preserve">§ 20.21(e)(3); </w:t>
      </w:r>
      <w:r>
        <w:rPr>
          <w:i/>
          <w:color w:val="000000"/>
        </w:rPr>
        <w:t>Report and Order</w:t>
      </w:r>
      <w:r>
        <w:rPr>
          <w:color w:val="000000"/>
        </w:rPr>
        <w:t xml:space="preserve">, 28 FCC </w:t>
      </w:r>
      <w:r>
        <w:rPr>
          <w:color w:val="000000"/>
        </w:rPr>
        <w:t>Rcd</w:t>
      </w:r>
      <w:r>
        <w:rPr>
          <w:color w:val="000000"/>
        </w:rPr>
        <w:t xml:space="preserve"> at 1677-79, paras. 36-40.  Consumer Signal Boosters are authorized for use in the wireless radio service spectrum bands used for the provision of subscriber-based services under Part 22, including: </w:t>
      </w:r>
      <w:r w:rsidR="00287EDB">
        <w:rPr>
          <w:color w:val="000000"/>
        </w:rPr>
        <w:t xml:space="preserve"> </w:t>
      </w:r>
      <w:r>
        <w:rPr>
          <w:color w:val="000000"/>
        </w:rPr>
        <w:t>Cellular (824-849 MHz and 869-894 MHz)</w:t>
      </w:r>
      <w:r w:rsidR="009C3AC3">
        <w:rPr>
          <w:color w:val="000000"/>
        </w:rPr>
        <w:t>;</w:t>
      </w:r>
      <w:r>
        <w:rPr>
          <w:color w:val="000000"/>
        </w:rPr>
        <w:t xml:space="preserve"> Broadband PCS (1850-1915 MHz and 1930-1995 MHz)</w:t>
      </w:r>
      <w:r w:rsidR="009C3AC3">
        <w:rPr>
          <w:color w:val="000000"/>
        </w:rPr>
        <w:t>;</w:t>
      </w:r>
      <w:r>
        <w:rPr>
          <w:color w:val="000000"/>
        </w:rPr>
        <w:t xml:space="preserve"> AWS-1 (1710-1755 MHz and 2110-2155 MHz)</w:t>
      </w:r>
      <w:r w:rsidR="009C3AC3">
        <w:rPr>
          <w:color w:val="000000"/>
        </w:rPr>
        <w:t>;</w:t>
      </w:r>
      <w:r>
        <w:rPr>
          <w:color w:val="000000"/>
        </w:rPr>
        <w:t xml:space="preserve"> 700 MHz Lower A through E (698-746 MHz) and Upper C (746-757 MHz and 776-787 MHz) Blocks</w:t>
      </w:r>
      <w:r w:rsidR="009C3AC3">
        <w:rPr>
          <w:color w:val="000000"/>
        </w:rPr>
        <w:t>;</w:t>
      </w:r>
      <w:r>
        <w:rPr>
          <w:color w:val="000000"/>
        </w:rPr>
        <w:t xml:space="preserve"> and 800 MHz Enhanced Specialized Mobile Radio (ESMR) (817-824 MHz and 862-869 MHz).</w:t>
      </w:r>
    </w:p>
  </w:footnote>
  <w:footnote w:id="8">
    <w:p w:rsidR="005C3DBA" w:rsidP="00FF4869" w14:paraId="6617D671" w14:textId="77777777">
      <w:pPr>
        <w:pStyle w:val="FootnoteText"/>
      </w:pPr>
      <w:r>
        <w:rPr>
          <w:rStyle w:val="FootnoteReference"/>
        </w:rPr>
        <w:footnoteRef/>
      </w:r>
      <w:r>
        <w:t xml:space="preserve"> 47 CFR </w:t>
      </w:r>
      <w:r>
        <w:rPr>
          <w:color w:val="000000"/>
        </w:rPr>
        <w:t>§ 20.3.  Industrial Signal Boosters are defined as “[a]</w:t>
      </w:r>
      <w:r>
        <w:rPr>
          <w:color w:val="000000"/>
        </w:rPr>
        <w:t>ll</w:t>
      </w:r>
      <w:r>
        <w:rPr>
          <w:color w:val="000000"/>
        </w:rPr>
        <w:t xml:space="preserve"> signal boosters other than Consumer Signal Boosters.”</w:t>
      </w:r>
    </w:p>
  </w:footnote>
  <w:footnote w:id="9">
    <w:p w:rsidR="00D76B62" w:rsidP="00D76B62" w14:paraId="18611D5A" w14:textId="0875E228">
      <w:pPr>
        <w:pStyle w:val="FootnoteText"/>
      </w:pPr>
      <w:r>
        <w:rPr>
          <w:rStyle w:val="FootnoteReference"/>
        </w:rPr>
        <w:footnoteRef/>
      </w:r>
      <w:r>
        <w:t xml:space="preserve"> </w:t>
      </w:r>
      <w:r>
        <w:rPr>
          <w:i/>
        </w:rPr>
        <w:t>Report and Order</w:t>
      </w:r>
      <w:r>
        <w:t xml:space="preserve">, 28 FCC </w:t>
      </w:r>
      <w:r>
        <w:t>Rcd</w:t>
      </w:r>
      <w:r>
        <w:t xml:space="preserve"> at 1669-70, para</w:t>
      </w:r>
      <w:r w:rsidR="00B04FA4">
        <w:t>s</w:t>
      </w:r>
      <w:r>
        <w:t>. 15, 20.</w:t>
      </w:r>
    </w:p>
  </w:footnote>
  <w:footnote w:id="10">
    <w:p w:rsidR="005C3DBA" w14:paraId="21D6070A" w14:textId="76CACC8A">
      <w:pPr>
        <w:pStyle w:val="FootnoteText"/>
      </w:pPr>
      <w:r>
        <w:rPr>
          <w:rStyle w:val="FootnoteReference"/>
        </w:rPr>
        <w:footnoteRef/>
      </w:r>
      <w:r>
        <w:t xml:space="preserve"> </w:t>
      </w:r>
      <w:r w:rsidR="0096055B">
        <w:rPr>
          <w:i/>
        </w:rPr>
        <w:t>Id.</w:t>
      </w:r>
    </w:p>
  </w:footnote>
  <w:footnote w:id="11">
    <w:p w:rsidR="005C3DBA" w:rsidP="00CA62F2" w14:paraId="4D17E27B" w14:textId="0771F9BA">
      <w:pPr>
        <w:pStyle w:val="FootnoteText"/>
      </w:pPr>
      <w:r>
        <w:rPr>
          <w:rStyle w:val="FootnoteReference"/>
        </w:rPr>
        <w:footnoteRef/>
      </w:r>
      <w:r>
        <w:t xml:space="preserve"> 47 CFR </w:t>
      </w:r>
      <w:r>
        <w:rPr>
          <w:color w:val="000000"/>
        </w:rPr>
        <w:t xml:space="preserve">§ 20.21(f).  </w:t>
      </w:r>
      <w:r>
        <w:t>Section 20.21(f)(1) requires that Consumer and Industrial Signal Booster manufacturers, distributors, and retailers ensure that all signal boosters marketed on or after March 1, 2014</w:t>
      </w:r>
      <w:r w:rsidR="000212C3">
        <w:t>,</w:t>
      </w:r>
      <w:r>
        <w:t xml:space="preserve"> include specific advisories concerning the device.</w:t>
      </w:r>
    </w:p>
  </w:footnote>
  <w:footnote w:id="12">
    <w:p w:rsidR="005C3DBA" w14:paraId="28586F1D" w14:textId="77777777">
      <w:pPr>
        <w:pStyle w:val="FootnoteText"/>
      </w:pPr>
      <w:r>
        <w:rPr>
          <w:rStyle w:val="FootnoteReference"/>
        </w:rPr>
        <w:footnoteRef/>
      </w:r>
      <w:r>
        <w:t xml:space="preserve"> </w:t>
      </w:r>
      <w:r>
        <w:rPr>
          <w:i/>
        </w:rPr>
        <w:t>Report and Order</w:t>
      </w:r>
      <w:r>
        <w:t xml:space="preserve">, 28 FCC </w:t>
      </w:r>
      <w:r>
        <w:t>Rcd</w:t>
      </w:r>
      <w:r>
        <w:t xml:space="preserve"> at 1670, para. 20.</w:t>
      </w:r>
    </w:p>
  </w:footnote>
  <w:footnote w:id="13">
    <w:p w:rsidR="005C3DBA" w14:paraId="63AB6A9F" w14:textId="77777777">
      <w:pPr>
        <w:pStyle w:val="FootnoteText"/>
      </w:pPr>
      <w:r>
        <w:rPr>
          <w:rStyle w:val="FootnoteReference"/>
        </w:rPr>
        <w:footnoteRef/>
      </w:r>
      <w:r>
        <w:t xml:space="preserve"> 47 CFR </w:t>
      </w:r>
      <w:r>
        <w:rPr>
          <w:color w:val="000000"/>
        </w:rPr>
        <w:t>§ 20.21(f)(1)(B).</w:t>
      </w:r>
    </w:p>
  </w:footnote>
  <w:footnote w:id="14">
    <w:p w:rsidR="009F6C0F" w14:paraId="5C3C4007" w14:textId="5EA0C356">
      <w:pPr>
        <w:pStyle w:val="FootnoteText"/>
      </w:pPr>
      <w:r>
        <w:rPr>
          <w:rStyle w:val="FootnoteReference"/>
        </w:rPr>
        <w:footnoteRef/>
      </w:r>
      <w:r>
        <w:t xml:space="preserve"> Pivotal </w:t>
      </w:r>
      <w:r w:rsidR="0096055B">
        <w:t>Waiver Request at 1.</w:t>
      </w:r>
    </w:p>
  </w:footnote>
  <w:footnote w:id="15">
    <w:p w:rsidR="009F6C0F" w14:paraId="2611B8E4" w14:textId="684E1370">
      <w:pPr>
        <w:pStyle w:val="FootnoteText"/>
      </w:pPr>
      <w:r>
        <w:rPr>
          <w:rStyle w:val="FootnoteReference"/>
        </w:rPr>
        <w:footnoteRef/>
      </w:r>
      <w:r>
        <w:t xml:space="preserve"> </w:t>
      </w:r>
      <w:r w:rsidRPr="0096055B" w:rsidR="0096055B">
        <w:rPr>
          <w:i/>
        </w:rPr>
        <w:t>Id.</w:t>
      </w:r>
      <w:r w:rsidR="00EC745B">
        <w:t xml:space="preserve"> at 2.</w:t>
      </w:r>
    </w:p>
  </w:footnote>
  <w:footnote w:id="16">
    <w:p w:rsidR="00EC745B" w14:paraId="24E27D00" w14:textId="6FD7400C">
      <w:pPr>
        <w:pStyle w:val="FootnoteText"/>
      </w:pPr>
      <w:r>
        <w:rPr>
          <w:rStyle w:val="FootnoteReference"/>
        </w:rPr>
        <w:footnoteRef/>
      </w:r>
      <w:r>
        <w:t xml:space="preserve"> </w:t>
      </w:r>
      <w:r w:rsidRPr="0096055B" w:rsidR="0096055B">
        <w:rPr>
          <w:i/>
        </w:rPr>
        <w:t>Id.</w:t>
      </w:r>
    </w:p>
  </w:footnote>
  <w:footnote w:id="17">
    <w:p w:rsidR="00EC745B" w14:paraId="042C0676" w14:textId="1CDAB8C0">
      <w:pPr>
        <w:pStyle w:val="FootnoteText"/>
      </w:pPr>
      <w:r>
        <w:rPr>
          <w:rStyle w:val="FootnoteReference"/>
        </w:rPr>
        <w:footnoteRef/>
      </w:r>
      <w:r>
        <w:t xml:space="preserve"> </w:t>
      </w:r>
      <w:r w:rsidRPr="0096055B" w:rsidR="0096055B">
        <w:rPr>
          <w:i/>
        </w:rPr>
        <w:t>Id.</w:t>
      </w:r>
    </w:p>
  </w:footnote>
  <w:footnote w:id="18">
    <w:p w:rsidR="00EC745B" w14:paraId="7DB5E524" w14:textId="0D2FF2E8">
      <w:pPr>
        <w:pStyle w:val="FootnoteText"/>
      </w:pPr>
      <w:r>
        <w:rPr>
          <w:rStyle w:val="FootnoteReference"/>
        </w:rPr>
        <w:footnoteRef/>
      </w:r>
      <w:r>
        <w:t xml:space="preserve"> </w:t>
      </w:r>
      <w:r w:rsidRPr="0096055B" w:rsidR="0096055B">
        <w:rPr>
          <w:i/>
        </w:rPr>
        <w:t>Id.</w:t>
      </w:r>
    </w:p>
  </w:footnote>
  <w:footnote w:id="19">
    <w:p w:rsidR="005C3DBA" w14:paraId="422653B7" w14:textId="4935D47C">
      <w:pPr>
        <w:pStyle w:val="FootnoteText"/>
      </w:pPr>
      <w:r>
        <w:rPr>
          <w:rStyle w:val="FootnoteReference"/>
        </w:rPr>
        <w:footnoteRef/>
      </w:r>
      <w:r>
        <w:t xml:space="preserve"> </w:t>
      </w:r>
      <w:r w:rsidRPr="0096055B" w:rsidR="0096055B">
        <w:rPr>
          <w:i/>
        </w:rPr>
        <w:t>Id.</w:t>
      </w:r>
      <w:r w:rsidR="0096055B">
        <w:t xml:space="preserve"> at 1.</w:t>
      </w:r>
    </w:p>
  </w:footnote>
  <w:footnote w:id="20">
    <w:p w:rsidR="005C3DBA" w14:paraId="53667A48" w14:textId="52454105">
      <w:pPr>
        <w:pStyle w:val="FootnoteText"/>
      </w:pPr>
      <w:r>
        <w:rPr>
          <w:rStyle w:val="FootnoteReference"/>
        </w:rPr>
        <w:footnoteRef/>
      </w:r>
      <w:r>
        <w:t xml:space="preserve"> </w:t>
      </w:r>
      <w:r w:rsidRPr="0096055B" w:rsidR="0096055B">
        <w:rPr>
          <w:i/>
        </w:rPr>
        <w:t>Id.</w:t>
      </w:r>
      <w:r>
        <w:t xml:space="preserve"> at 5.</w:t>
      </w:r>
    </w:p>
  </w:footnote>
  <w:footnote w:id="21">
    <w:p w:rsidR="005C3DBA" w14:paraId="1D6DFE17" w14:textId="125AEFA5">
      <w:pPr>
        <w:pStyle w:val="FootnoteText"/>
      </w:pPr>
      <w:r>
        <w:rPr>
          <w:rStyle w:val="FootnoteReference"/>
        </w:rPr>
        <w:footnoteRef/>
      </w:r>
      <w:r>
        <w:t xml:space="preserve"> </w:t>
      </w:r>
      <w:r w:rsidRPr="0096055B" w:rsidR="0096055B">
        <w:rPr>
          <w:i/>
        </w:rPr>
        <w:t>Id.</w:t>
      </w:r>
    </w:p>
  </w:footnote>
  <w:footnote w:id="22">
    <w:p w:rsidR="00B1084D" w14:paraId="401CE119" w14:textId="591B3576">
      <w:pPr>
        <w:pStyle w:val="FootnoteText"/>
      </w:pPr>
      <w:r>
        <w:rPr>
          <w:rStyle w:val="FootnoteReference"/>
        </w:rPr>
        <w:footnoteRef/>
      </w:r>
      <w:r>
        <w:t xml:space="preserve"> 47 CFR </w:t>
      </w:r>
      <w:r>
        <w:rPr>
          <w:color w:val="000000"/>
        </w:rPr>
        <w:t>§ 1.925(b)(3)</w:t>
      </w:r>
      <w:r w:rsidR="00943EFF">
        <w:rPr>
          <w:color w:val="000000"/>
        </w:rPr>
        <w:t>; Pivotal Waiver Request at 3.</w:t>
      </w:r>
      <w:r w:rsidR="007D0BB3">
        <w:rPr>
          <w:color w:val="000000"/>
        </w:rPr>
        <w:t xml:space="preserve">  Pivotal </w:t>
      </w:r>
      <w:r w:rsidR="00DD5A24">
        <w:rPr>
          <w:color w:val="000000"/>
        </w:rPr>
        <w:t>requested</w:t>
      </w:r>
      <w:r w:rsidR="007D0BB3">
        <w:rPr>
          <w:color w:val="000000"/>
        </w:rPr>
        <w:t xml:space="preserve"> </w:t>
      </w:r>
      <w:r w:rsidR="00DD5A24">
        <w:rPr>
          <w:color w:val="000000"/>
        </w:rPr>
        <w:t xml:space="preserve">a </w:t>
      </w:r>
      <w:r w:rsidR="007D0BB3">
        <w:rPr>
          <w:color w:val="000000"/>
        </w:rPr>
        <w:t xml:space="preserve">waiver under sections 1.925 and 1.3 of the Commission’s rules.  We find that Pivotal has satisfied the waiver standard under section 1.925, </w:t>
      </w:r>
      <w:r w:rsidR="004F2E63">
        <w:rPr>
          <w:color w:val="000000"/>
        </w:rPr>
        <w:t xml:space="preserve">and </w:t>
      </w:r>
      <w:r w:rsidR="007D0BB3">
        <w:rPr>
          <w:color w:val="000000"/>
        </w:rPr>
        <w:t>a discussion under section 1.3 is not necessary.</w:t>
      </w:r>
    </w:p>
  </w:footnote>
  <w:footnote w:id="23">
    <w:p w:rsidR="00BC1D4B" w:rsidP="00BC1D4B" w14:paraId="36B92219" w14:textId="60174A41">
      <w:pPr>
        <w:pStyle w:val="FootnoteText"/>
      </w:pPr>
      <w:r>
        <w:rPr>
          <w:rStyle w:val="FootnoteReference"/>
        </w:rPr>
        <w:footnoteRef/>
      </w:r>
      <w:r>
        <w:t xml:space="preserve"> Pivotal Waiver Request at 4.</w:t>
      </w:r>
      <w:r w:rsidR="000838F1">
        <w:t xml:space="preserve">  Service providers also retain the ability to shut down and lock the Device</w:t>
      </w:r>
      <w:r w:rsidR="00A850C0">
        <w:t xml:space="preserve"> remotely</w:t>
      </w:r>
      <w:r w:rsidR="000838F1">
        <w:t xml:space="preserve"> in the event </w:t>
      </w:r>
      <w:r w:rsidR="00A543F9">
        <w:t>a consumer terminates service or interference occurs.</w:t>
      </w:r>
    </w:p>
  </w:footnote>
  <w:footnote w:id="24">
    <w:p w:rsidR="005C3DBA" w14:paraId="51AE2EB3" w14:textId="63A21032">
      <w:pPr>
        <w:pStyle w:val="FootnoteText"/>
      </w:pPr>
      <w:r>
        <w:rPr>
          <w:rStyle w:val="FootnoteReference"/>
        </w:rPr>
        <w:footnoteRef/>
      </w:r>
      <w:r>
        <w:t xml:space="preserve"> </w:t>
      </w:r>
      <w:r w:rsidRPr="0096055B" w:rsidR="0096055B">
        <w:rPr>
          <w:i/>
        </w:rPr>
        <w:t>Id.</w:t>
      </w:r>
    </w:p>
  </w:footnote>
  <w:footnote w:id="25">
    <w:p w:rsidR="005C3DBA" w14:paraId="224269E9" w14:textId="48D425E9">
      <w:pPr>
        <w:pStyle w:val="FootnoteText"/>
      </w:pPr>
      <w:r>
        <w:rPr>
          <w:rStyle w:val="FootnoteReference"/>
        </w:rPr>
        <w:footnoteRef/>
      </w:r>
      <w:r>
        <w:t xml:space="preserve"> </w:t>
      </w:r>
      <w:r w:rsidRPr="0096055B" w:rsidR="0096055B">
        <w:rPr>
          <w:i/>
        </w:rPr>
        <w:t>Id.</w:t>
      </w:r>
    </w:p>
  </w:footnote>
  <w:footnote w:id="26">
    <w:p w:rsidR="005C3DBA" w14:paraId="68E5E429" w14:textId="5FAB4F0D">
      <w:pPr>
        <w:pStyle w:val="FootnoteText"/>
      </w:pPr>
      <w:r>
        <w:rPr>
          <w:rStyle w:val="FootnoteReference"/>
        </w:rPr>
        <w:footnoteRef/>
      </w:r>
      <w:r>
        <w:t xml:space="preserve"> </w:t>
      </w:r>
      <w:r w:rsidRPr="0096055B" w:rsidR="0096055B">
        <w:rPr>
          <w:i/>
        </w:rPr>
        <w:t>Id.</w:t>
      </w:r>
      <w:r w:rsidRPr="0096055B" w:rsidR="0096055B">
        <w:t xml:space="preserve"> </w:t>
      </w:r>
      <w:r>
        <w:t>at 5.</w:t>
      </w:r>
    </w:p>
  </w:footnote>
  <w:footnote w:id="27">
    <w:p w:rsidR="005C3DBA" w14:paraId="566EF4E6" w14:textId="2A733F6A">
      <w:pPr>
        <w:pStyle w:val="FootnoteText"/>
      </w:pPr>
      <w:r>
        <w:rPr>
          <w:rStyle w:val="FootnoteReference"/>
        </w:rPr>
        <w:footnoteRef/>
      </w:r>
      <w:r>
        <w:t xml:space="preserve"> </w:t>
      </w:r>
      <w:r w:rsidRPr="0096055B" w:rsidR="0096055B">
        <w:rPr>
          <w:i/>
        </w:rPr>
        <w:t>Id.</w:t>
      </w:r>
    </w:p>
  </w:footnote>
  <w:footnote w:id="28">
    <w:p w:rsidR="00E51B9F" w14:paraId="5017858A" w14:textId="01D1A492">
      <w:pPr>
        <w:pStyle w:val="FootnoteText"/>
      </w:pPr>
      <w:r>
        <w:rPr>
          <w:rStyle w:val="FootnoteReference"/>
        </w:rPr>
        <w:footnoteRef/>
      </w:r>
      <w:r>
        <w:t xml:space="preserve"> </w:t>
      </w:r>
      <w:r w:rsidRPr="0096055B" w:rsidR="0096055B">
        <w:rPr>
          <w:i/>
        </w:rPr>
        <w:t>Id.</w:t>
      </w:r>
      <w:r w:rsidRPr="0096055B" w:rsidR="0096055B">
        <w:t xml:space="preserve"> </w:t>
      </w:r>
      <w:r>
        <w:t>at 4.</w:t>
      </w:r>
    </w:p>
  </w:footnote>
  <w:footnote w:id="29">
    <w:p w:rsidR="005C3DBA" w14:paraId="79B60CFE" w14:textId="5A342788">
      <w:pPr>
        <w:pStyle w:val="FootnoteText"/>
      </w:pPr>
      <w:r>
        <w:rPr>
          <w:rStyle w:val="FootnoteReference"/>
        </w:rPr>
        <w:footnoteRef/>
      </w:r>
      <w:r>
        <w:t xml:space="preserve"> </w:t>
      </w:r>
      <w:r w:rsidRPr="0096055B" w:rsidR="0096055B">
        <w:rPr>
          <w:i/>
        </w:rPr>
        <w:t>Id.</w:t>
      </w:r>
      <w:r w:rsidRPr="0096055B" w:rsidR="0096055B">
        <w:t xml:space="preserve"> </w:t>
      </w:r>
      <w:r>
        <w:t>at 5.</w:t>
      </w:r>
      <w:r w:rsidR="00E60E55">
        <w:t xml:space="preserve">  Pivotal claims that its Device would expedite the introduction of 5G millimeter wave broadband into the market and that the labeling requirement could create a barrier to the widespread and rapid deployment of the Device into the 5G ecosystem.</w:t>
      </w:r>
    </w:p>
  </w:footnote>
  <w:footnote w:id="30">
    <w:p w:rsidR="005C3DBA" w:rsidRPr="00EA7D9A" w14:paraId="581D6CA0" w14:textId="30AAA245">
      <w:pPr>
        <w:pStyle w:val="FootnoteText"/>
      </w:pPr>
      <w:r>
        <w:rPr>
          <w:rStyle w:val="FootnoteReference"/>
        </w:rPr>
        <w:footnoteRef/>
      </w:r>
      <w:r>
        <w:t xml:space="preserve"> </w:t>
      </w:r>
      <w:r>
        <w:rPr>
          <w:i/>
        </w:rPr>
        <w:t xml:space="preserve">Wireless Telecommunications Bureau Seeks Comment on Pivotal </w:t>
      </w:r>
      <w:r>
        <w:rPr>
          <w:i/>
        </w:rPr>
        <w:t>Commware</w:t>
      </w:r>
      <w:r>
        <w:rPr>
          <w:i/>
        </w:rPr>
        <w:t xml:space="preserve"> Request for Waiver of Industrial Signal Booster Labelling Rules</w:t>
      </w:r>
      <w:r>
        <w:t>, Public Notice, DA 19-928 (WTB Sept.</w:t>
      </w:r>
      <w:r w:rsidR="00500E72">
        <w:t xml:space="preserve"> 18,</w:t>
      </w:r>
      <w:r>
        <w:t xml:space="preserve"> 2019) (</w:t>
      </w:r>
      <w:r>
        <w:rPr>
          <w:i/>
        </w:rPr>
        <w:t>Pivotal Public Notice</w:t>
      </w:r>
      <w:r>
        <w:t>).</w:t>
      </w:r>
    </w:p>
  </w:footnote>
  <w:footnote w:id="31">
    <w:p w:rsidR="005C3DBA" w:rsidRPr="00B95BBD" w14:paraId="7BDD15CE" w14:textId="09ADF8FA">
      <w:pPr>
        <w:pStyle w:val="FootnoteText"/>
      </w:pPr>
      <w:r>
        <w:rPr>
          <w:rStyle w:val="FootnoteReference"/>
        </w:rPr>
        <w:footnoteRef/>
      </w:r>
      <w:r>
        <w:t xml:space="preserve"> </w:t>
      </w:r>
      <w:r>
        <w:rPr>
          <w:i/>
        </w:rPr>
        <w:t>See, e.g</w:t>
      </w:r>
      <w:r w:rsidRPr="009D61D2">
        <w:t xml:space="preserve">., </w:t>
      </w:r>
      <w:r>
        <w:t>Surecall</w:t>
      </w:r>
      <w:r>
        <w:t xml:space="preserve"> Petition </w:t>
      </w:r>
      <w:r w:rsidR="00ED2F3B">
        <w:t xml:space="preserve">to </w:t>
      </w:r>
      <w:r>
        <w:t>Deny (filed Sept. 30, 2019) (</w:t>
      </w:r>
      <w:bookmarkStart w:id="2" w:name="_Hlk27995856"/>
      <w:r>
        <w:t>Surecall</w:t>
      </w:r>
      <w:r>
        <w:t xml:space="preserve"> </w:t>
      </w:r>
      <w:r w:rsidR="004A3017">
        <w:t>Petition to Deny</w:t>
      </w:r>
      <w:bookmarkEnd w:id="2"/>
      <w:r>
        <w:t>); T-Mobile Comments at 4 (filed Sept</w:t>
      </w:r>
      <w:r w:rsidR="00200504">
        <w:t>.</w:t>
      </w:r>
      <w:r>
        <w:t xml:space="preserve"> 30, 2019)</w:t>
      </w:r>
      <w:r w:rsidR="0096055B">
        <w:t xml:space="preserve"> (</w:t>
      </w:r>
      <w:bookmarkStart w:id="3" w:name="_Hlk27995861"/>
      <w:r w:rsidR="0096055B">
        <w:t>T-Mobile Comments</w:t>
      </w:r>
      <w:bookmarkEnd w:id="3"/>
      <w:r w:rsidR="0096055B">
        <w:t>)</w:t>
      </w:r>
      <w:r>
        <w:t xml:space="preserve">; Rich’s Contracting &amp; Custom Audio/Video </w:t>
      </w:r>
      <w:r w:rsidR="00200504">
        <w:t xml:space="preserve">Comments </w:t>
      </w:r>
      <w:r>
        <w:t>(filed Oct. 3, 2019)</w:t>
      </w:r>
      <w:r w:rsidR="0096055B">
        <w:t xml:space="preserve"> (</w:t>
      </w:r>
      <w:bookmarkStart w:id="4" w:name="_Hlk27995866"/>
      <w:r w:rsidR="0096055B">
        <w:t>Rich’s Contracting Comments</w:t>
      </w:r>
      <w:bookmarkEnd w:id="4"/>
      <w:r w:rsidR="0096055B">
        <w:t>)</w:t>
      </w:r>
      <w:r>
        <w:t xml:space="preserve">.  AT&amp;T would require conditions if the Commission </w:t>
      </w:r>
      <w:r w:rsidR="00ED2F3B">
        <w:t xml:space="preserve">grants </w:t>
      </w:r>
      <w:r>
        <w:t xml:space="preserve">the request.  </w:t>
      </w:r>
      <w:r>
        <w:rPr>
          <w:i/>
        </w:rPr>
        <w:t>See</w:t>
      </w:r>
      <w:r>
        <w:t xml:space="preserve"> AT&amp;T Comments at 4-5 (filed Oct. 7, 2019) </w:t>
      </w:r>
      <w:r w:rsidR="0096055B">
        <w:t>(</w:t>
      </w:r>
      <w:bookmarkStart w:id="5" w:name="_Hlk27995870"/>
      <w:r w:rsidR="0096055B">
        <w:t>AT&amp;T Comments</w:t>
      </w:r>
      <w:bookmarkEnd w:id="5"/>
      <w:r w:rsidR="0096055B">
        <w:t xml:space="preserve">) </w:t>
      </w:r>
      <w:r>
        <w:t>(arguing that the Commission should condition the request, if granted, on two key facts:</w:t>
      </w:r>
      <w:r w:rsidR="00200504">
        <w:t xml:space="preserve"> </w:t>
      </w:r>
      <w:r>
        <w:t xml:space="preserve"> (1) that the device will only be available via carriers, and (2) that licensed carriers may disable the device remotely).</w:t>
      </w:r>
    </w:p>
  </w:footnote>
  <w:footnote w:id="32">
    <w:p w:rsidR="005C3DBA" w:rsidRPr="00996067" w14:paraId="6B9A7E50" w14:textId="1C7B123E">
      <w:pPr>
        <w:pStyle w:val="FootnoteText"/>
      </w:pPr>
      <w:r>
        <w:rPr>
          <w:rStyle w:val="FootnoteReference"/>
        </w:rPr>
        <w:footnoteRef/>
      </w:r>
      <w:r>
        <w:t xml:space="preserve"> </w:t>
      </w:r>
      <w:r>
        <w:rPr>
          <w:i/>
        </w:rPr>
        <w:t xml:space="preserve">See </w:t>
      </w:r>
      <w:r>
        <w:t xml:space="preserve">Reply Comments of Pivotal </w:t>
      </w:r>
      <w:r>
        <w:t>Commware</w:t>
      </w:r>
      <w:r>
        <w:t xml:space="preserve"> (filed Oct. 7, 2019) (</w:t>
      </w:r>
      <w:bookmarkStart w:id="6" w:name="_Hlk27995877"/>
      <w:r>
        <w:t>Pivotal Reply</w:t>
      </w:r>
      <w:bookmarkEnd w:id="6"/>
      <w:r>
        <w:t>).</w:t>
      </w:r>
    </w:p>
  </w:footnote>
  <w:footnote w:id="33">
    <w:p w:rsidR="005C3DBA" w:rsidRPr="00890570" w14:paraId="20ECB448" w14:textId="4A5E0F8B">
      <w:pPr>
        <w:pStyle w:val="FootnoteText"/>
      </w:pPr>
      <w:r>
        <w:rPr>
          <w:rStyle w:val="FootnoteReference"/>
        </w:rPr>
        <w:footnoteRef/>
      </w:r>
      <w:r>
        <w:t xml:space="preserve"> </w:t>
      </w:r>
      <w:r>
        <w:t>Surecall</w:t>
      </w:r>
      <w:r>
        <w:t xml:space="preserve"> </w:t>
      </w:r>
      <w:r w:rsidR="00A348AA">
        <w:t xml:space="preserve">Petition to Deny </w:t>
      </w:r>
      <w:r>
        <w:t>at 1 (arguing that the labeling requirement for Industrial Signal Boosters “serves a critically important purpose in protecting the integrity of wireless networks” and “should not be waived for any party”); Simple Foundry Comments at 2 (filed Oct. 7, 2019) (</w:t>
      </w:r>
      <w:bookmarkStart w:id="7" w:name="_Hlk27995893"/>
      <w:r>
        <w:t>Simple Foundry Comments</w:t>
      </w:r>
      <w:bookmarkEnd w:id="7"/>
      <w:r>
        <w:t>) (“[T]he best route forward is to hold all manufacturers to the same standard requiring that every signal booster meet the Part 20 rules or contain the full industrial booster warning label.”).</w:t>
      </w:r>
    </w:p>
  </w:footnote>
  <w:footnote w:id="34">
    <w:p w:rsidR="005C3DBA" w14:paraId="33CCF351" w14:textId="21AB9B96">
      <w:pPr>
        <w:pStyle w:val="FootnoteText"/>
      </w:pPr>
      <w:r>
        <w:rPr>
          <w:rStyle w:val="FootnoteReference"/>
        </w:rPr>
        <w:footnoteRef/>
      </w:r>
      <w:r>
        <w:t xml:space="preserve"> </w:t>
      </w:r>
      <w:r>
        <w:t>Surecall</w:t>
      </w:r>
      <w:r>
        <w:t xml:space="preserve"> </w:t>
      </w:r>
      <w:r w:rsidR="00A348AA">
        <w:t xml:space="preserve">Petition to Deny </w:t>
      </w:r>
      <w:r>
        <w:t xml:space="preserve">at 4; Rich’s Contracting </w:t>
      </w:r>
      <w:r w:rsidR="00B21E2A">
        <w:t xml:space="preserve">Comments </w:t>
      </w:r>
      <w:r>
        <w:t>at 1 (“We oppose this request because it would effectively permit wireless carriers to market Pivotal’s signal boosters directly to consumers even though the boosters do not meet the technical requirements for Consumer Signal Boosters, including the critically important Network Protection Standard (“NPS”).”); Simple Foundry Comments at 1 (“The problem with this is that multiple carriers will be operating on the frequency bands that the non-compliant Pivotal booster will be boosting, and without proper NPS in place, there is a high likelihood of negatively impacting other carriers who did not approve the booster for use on their network, and as such, have no recourse.”).</w:t>
      </w:r>
    </w:p>
  </w:footnote>
  <w:footnote w:id="35">
    <w:p w:rsidR="005C3DBA" w:rsidRPr="00DF7FDC" w14:paraId="589F3700" w14:textId="1790CBA1">
      <w:pPr>
        <w:pStyle w:val="FootnoteText"/>
      </w:pPr>
      <w:r>
        <w:rPr>
          <w:rStyle w:val="FootnoteReference"/>
        </w:rPr>
        <w:footnoteRef/>
      </w:r>
      <w:r>
        <w:t xml:space="preserve"> </w:t>
      </w:r>
      <w:r>
        <w:rPr>
          <w:i/>
        </w:rPr>
        <w:t>See</w:t>
      </w:r>
      <w:r>
        <w:t xml:space="preserve"> </w:t>
      </w:r>
      <w:r>
        <w:t>Surecall</w:t>
      </w:r>
      <w:r>
        <w:t xml:space="preserve"> </w:t>
      </w:r>
      <w:r w:rsidR="00A348AA">
        <w:t xml:space="preserve">Petition to Deny </w:t>
      </w:r>
      <w:r>
        <w:t>at 2; AT&amp;T Comments at 2; T-Mobile Comments at 3-4.</w:t>
      </w:r>
    </w:p>
  </w:footnote>
  <w:footnote w:id="36">
    <w:p w:rsidR="005C3DBA" w14:paraId="6F0DED43" w14:textId="28E09942">
      <w:pPr>
        <w:pStyle w:val="FootnoteText"/>
      </w:pPr>
      <w:r>
        <w:rPr>
          <w:rStyle w:val="FootnoteReference"/>
        </w:rPr>
        <w:footnoteRef/>
      </w:r>
      <w:r>
        <w:t xml:space="preserve"> </w:t>
      </w:r>
      <w:r>
        <w:rPr>
          <w:i/>
        </w:rPr>
        <w:t xml:space="preserve">See </w:t>
      </w:r>
      <w:r>
        <w:t>Surecall</w:t>
      </w:r>
      <w:r>
        <w:t xml:space="preserve"> </w:t>
      </w:r>
      <w:r w:rsidR="000D7A49">
        <w:t xml:space="preserve">Petition to Deny </w:t>
      </w:r>
      <w:r>
        <w:t xml:space="preserve">at 6-7 (arguing that the Commission “should immediately initiate a rulemaking on expanding its rules for Consumer Signal Boosters to include the recently auctioned [millimeter wavelength] frequencies”); Rich’s Contracting </w:t>
      </w:r>
      <w:r w:rsidR="00B21E2A">
        <w:t xml:space="preserve">Comments </w:t>
      </w:r>
      <w:r>
        <w:t>at 1.</w:t>
      </w:r>
    </w:p>
  </w:footnote>
  <w:footnote w:id="37">
    <w:p w:rsidR="00CB14D9" w:rsidRPr="00FE4CA2" w:rsidP="00CB14D9" w14:paraId="71CB118A" w14:textId="7DA15BCF">
      <w:pPr>
        <w:pStyle w:val="FootnoteText"/>
      </w:pPr>
      <w:r>
        <w:rPr>
          <w:rStyle w:val="FootnoteReference"/>
        </w:rPr>
        <w:footnoteRef/>
      </w:r>
      <w:r>
        <w:t xml:space="preserve"> </w:t>
      </w:r>
      <w:r>
        <w:rPr>
          <w:i/>
        </w:rPr>
        <w:t xml:space="preserve">See </w:t>
      </w:r>
      <w:r>
        <w:t>AT&amp;T Comments at 4</w:t>
      </w:r>
      <w:r w:rsidR="0096055B">
        <w:t>.</w:t>
      </w:r>
    </w:p>
  </w:footnote>
  <w:footnote w:id="38">
    <w:p w:rsidR="008C619C" w:rsidP="008C619C" w14:paraId="4C200F25" w14:textId="77777777">
      <w:pPr>
        <w:pStyle w:val="FootnoteText"/>
      </w:pPr>
      <w:r>
        <w:rPr>
          <w:rStyle w:val="FootnoteReference"/>
        </w:rPr>
        <w:footnoteRef/>
      </w:r>
      <w:r>
        <w:t xml:space="preserve"> 47 CFR </w:t>
      </w:r>
      <w:r>
        <w:rPr>
          <w:color w:val="000000"/>
        </w:rPr>
        <w:t>§ 1.925.</w:t>
      </w:r>
    </w:p>
  </w:footnote>
  <w:footnote w:id="39">
    <w:p w:rsidR="001C7205" w:rsidRPr="001C7205" w14:paraId="525C23FB" w14:textId="324C1F58">
      <w:pPr>
        <w:pStyle w:val="FootnoteText"/>
      </w:pPr>
      <w:r>
        <w:rPr>
          <w:rStyle w:val="FootnoteReference"/>
        </w:rPr>
        <w:footnoteRef/>
      </w:r>
      <w:r>
        <w:t xml:space="preserve"> We agree with AT&amp;T that conditions should be imposed.  </w:t>
      </w:r>
      <w:r>
        <w:rPr>
          <w:i/>
        </w:rPr>
        <w:t xml:space="preserve">See </w:t>
      </w:r>
      <w:r>
        <w:t>AT&amp;T Comments at 4 (arguing that “any grant by the Commission of the Petition should be conditioned on Pivotal only selling the device through carriers and providing a mechanism for remote carrier shutoff.”).</w:t>
      </w:r>
    </w:p>
  </w:footnote>
  <w:footnote w:id="40">
    <w:p w:rsidR="002B067E" w:rsidP="002B067E" w14:paraId="4AB539BD" w14:textId="77777777">
      <w:pPr>
        <w:pStyle w:val="FootnoteText"/>
      </w:pPr>
      <w:r>
        <w:rPr>
          <w:rStyle w:val="FootnoteReference"/>
        </w:rPr>
        <w:footnoteRef/>
      </w:r>
      <w:r>
        <w:t xml:space="preserve"> Pivotal Waiver Request at 3.</w:t>
      </w:r>
    </w:p>
  </w:footnote>
  <w:footnote w:id="41">
    <w:p w:rsidR="00480D81" w:rsidP="00480D81" w14:paraId="4622324C" w14:textId="1EA4E0A8">
      <w:pPr>
        <w:pStyle w:val="FootnoteText"/>
      </w:pPr>
      <w:r>
        <w:rPr>
          <w:rStyle w:val="FootnoteReference"/>
        </w:rPr>
        <w:footnoteRef/>
      </w:r>
      <w:r>
        <w:t xml:space="preserve"> </w:t>
      </w:r>
      <w:r>
        <w:rPr>
          <w:i/>
        </w:rPr>
        <w:t>Report and Order</w:t>
      </w:r>
      <w:r>
        <w:t xml:space="preserve">, 28 FCC </w:t>
      </w:r>
      <w:r>
        <w:t>Rcd</w:t>
      </w:r>
      <w:r>
        <w:t xml:space="preserve"> at 1705, para. 120.</w:t>
      </w:r>
    </w:p>
  </w:footnote>
  <w:footnote w:id="42">
    <w:p w:rsidR="000D0E4E" w:rsidRPr="000D0E4E" w:rsidP="000D0E4E" w14:paraId="66F3FFD6" w14:textId="0D938FC4">
      <w:pPr>
        <w:pStyle w:val="ParaNum"/>
        <w:numPr>
          <w:ilvl w:val="0"/>
          <w:numId w:val="0"/>
        </w:numPr>
        <w:rPr>
          <w:sz w:val="20"/>
        </w:rPr>
      </w:pPr>
      <w:r w:rsidRPr="000D0E4E">
        <w:rPr>
          <w:rStyle w:val="FootnoteReference"/>
        </w:rPr>
        <w:footnoteRef/>
      </w:r>
      <w:r w:rsidRPr="000D0E4E">
        <w:rPr>
          <w:sz w:val="20"/>
        </w:rPr>
        <w:t xml:space="preserve"> </w:t>
      </w:r>
      <w:r w:rsidR="0096055B">
        <w:rPr>
          <w:i/>
          <w:sz w:val="20"/>
        </w:rPr>
        <w:t>Id.</w:t>
      </w:r>
      <w:r w:rsidRPr="000D0E4E">
        <w:rPr>
          <w:sz w:val="20"/>
        </w:rPr>
        <w:t xml:space="preserve"> at 1704, para. 119.  “We believe that appropriately crafted labeling and marketing requirements will lead to increased compliance with our rules and decreased interference to wireless networks.”</w:t>
      </w:r>
    </w:p>
  </w:footnote>
  <w:footnote w:id="43">
    <w:p w:rsidR="007B1E2B" w14:paraId="39838A38" w14:textId="672D7C4F">
      <w:pPr>
        <w:pStyle w:val="FootnoteText"/>
      </w:pPr>
      <w:r>
        <w:rPr>
          <w:rStyle w:val="FootnoteReference"/>
        </w:rPr>
        <w:footnoteRef/>
      </w:r>
      <w:r>
        <w:t xml:space="preserve"> </w:t>
      </w:r>
      <w:r w:rsidR="0096055B">
        <w:rPr>
          <w:i/>
        </w:rPr>
        <w:t>Id.</w:t>
      </w:r>
      <w:r>
        <w:t xml:space="preserve">  </w:t>
      </w:r>
    </w:p>
  </w:footnote>
  <w:footnote w:id="44">
    <w:p w:rsidR="00D4542A" w14:paraId="623B8FB1" w14:textId="2107564E">
      <w:pPr>
        <w:pStyle w:val="FootnoteText"/>
      </w:pPr>
      <w:r>
        <w:rPr>
          <w:rStyle w:val="FootnoteReference"/>
        </w:rPr>
        <w:footnoteRef/>
      </w:r>
      <w:r>
        <w:t xml:space="preserve"> Pivotal Waiver Request at 4.</w:t>
      </w:r>
    </w:p>
  </w:footnote>
  <w:footnote w:id="45">
    <w:p w:rsidR="00D4542A" w14:paraId="1733A0A1" w14:textId="0F56EEEB">
      <w:pPr>
        <w:pStyle w:val="FootnoteText"/>
      </w:pPr>
      <w:r>
        <w:rPr>
          <w:rStyle w:val="FootnoteReference"/>
        </w:rPr>
        <w:footnoteRef/>
      </w:r>
      <w:r>
        <w:t xml:space="preserve"> </w:t>
      </w:r>
      <w:r w:rsidR="00904D08">
        <w:rPr>
          <w:i/>
        </w:rPr>
        <w:t>Id.</w:t>
      </w:r>
    </w:p>
  </w:footnote>
  <w:footnote w:id="46">
    <w:p w:rsidR="00BD280B" w14:paraId="7526D0CF" w14:textId="04400DD8">
      <w:pPr>
        <w:pStyle w:val="FootnoteText"/>
      </w:pPr>
      <w:r>
        <w:rPr>
          <w:rStyle w:val="FootnoteReference"/>
        </w:rPr>
        <w:footnoteRef/>
      </w:r>
      <w:r>
        <w:t xml:space="preserve"> </w:t>
      </w:r>
      <w:r>
        <w:rPr>
          <w:i/>
        </w:rPr>
        <w:t>Report and Order</w:t>
      </w:r>
      <w:r>
        <w:t xml:space="preserve">, 28 FCC </w:t>
      </w:r>
      <w:r>
        <w:t>Rcd</w:t>
      </w:r>
      <w:r>
        <w:t xml:space="preserve"> at 1707, para. 124.</w:t>
      </w:r>
    </w:p>
  </w:footnote>
  <w:footnote w:id="47">
    <w:p w:rsidR="00D066AD" w:rsidP="00D066AD" w14:paraId="5C4111A6" w14:textId="01221761">
      <w:pPr>
        <w:pStyle w:val="FootnoteText"/>
      </w:pPr>
      <w:r>
        <w:rPr>
          <w:rStyle w:val="FootnoteReference"/>
        </w:rPr>
        <w:footnoteRef/>
      </w:r>
      <w:r>
        <w:t xml:space="preserve"> </w:t>
      </w:r>
      <w:r w:rsidR="00904D08">
        <w:rPr>
          <w:i/>
        </w:rPr>
        <w:t>Id.</w:t>
      </w:r>
    </w:p>
  </w:footnote>
  <w:footnote w:id="48">
    <w:p w:rsidR="000F6816" w:rsidRPr="002C527C" w14:paraId="37E22E67" w14:textId="39955946">
      <w:pPr>
        <w:pStyle w:val="FootnoteText"/>
      </w:pPr>
      <w:r>
        <w:rPr>
          <w:rStyle w:val="FootnoteReference"/>
        </w:rPr>
        <w:footnoteRef/>
      </w:r>
      <w:r>
        <w:t xml:space="preserve"> </w:t>
      </w:r>
      <w:r w:rsidR="002C527C">
        <w:rPr>
          <w:i/>
        </w:rPr>
        <w:t>See</w:t>
      </w:r>
      <w:r w:rsidR="002C527C">
        <w:t xml:space="preserve"> Letter from Robert S. Koppel, Counsel to Pivotal </w:t>
      </w:r>
      <w:r w:rsidR="002C527C">
        <w:t>Commware</w:t>
      </w:r>
      <w:r w:rsidR="002C527C">
        <w:t xml:space="preserve">, to Marlene H. Dortch, Secretary, FCC, WT Docket No. 19-272, at 2 (filed Oct. 30, 2019) (Pivotal </w:t>
      </w:r>
      <w:r w:rsidR="002C527C">
        <w:rPr>
          <w:i/>
        </w:rPr>
        <w:t>Ex Parte</w:t>
      </w:r>
      <w:r w:rsidR="002C527C">
        <w:t>).</w:t>
      </w:r>
    </w:p>
  </w:footnote>
  <w:footnote w:id="49">
    <w:p w:rsidR="00C2702A" w:rsidRPr="00B95BBD" w:rsidP="00C2702A" w14:paraId="40E798E2" w14:textId="50D03C29">
      <w:pPr>
        <w:pStyle w:val="FootnoteText"/>
      </w:pPr>
      <w:r>
        <w:rPr>
          <w:rStyle w:val="FootnoteReference"/>
        </w:rPr>
        <w:footnoteRef/>
      </w:r>
      <w:r>
        <w:t xml:space="preserve"> </w:t>
      </w:r>
      <w:r>
        <w:rPr>
          <w:i/>
        </w:rPr>
        <w:t>See, e.g</w:t>
      </w:r>
      <w:r w:rsidRPr="009D61D2">
        <w:t xml:space="preserve">., </w:t>
      </w:r>
      <w:r>
        <w:t>Surecall</w:t>
      </w:r>
      <w:r>
        <w:t xml:space="preserve"> Petition </w:t>
      </w:r>
      <w:r w:rsidR="00DE5418">
        <w:t xml:space="preserve">to </w:t>
      </w:r>
      <w:r>
        <w:t>Deny</w:t>
      </w:r>
      <w:r w:rsidR="00792DFC">
        <w:t xml:space="preserve"> at 1</w:t>
      </w:r>
      <w:r>
        <w:t xml:space="preserve">; T-Mobile Comments at 4; Rich’s Contracting </w:t>
      </w:r>
      <w:r w:rsidR="001E47D8">
        <w:t>Comments</w:t>
      </w:r>
      <w:r w:rsidR="00792DFC">
        <w:t xml:space="preserve"> at 1</w:t>
      </w:r>
      <w:r>
        <w:t>.</w:t>
      </w:r>
    </w:p>
  </w:footnote>
  <w:footnote w:id="50">
    <w:p w:rsidR="00D36EBE" w:rsidRPr="00890570" w:rsidP="00D36EBE" w14:paraId="558B4505" w14:textId="5817DD6E">
      <w:pPr>
        <w:pStyle w:val="FootnoteText"/>
      </w:pPr>
      <w:r>
        <w:rPr>
          <w:rStyle w:val="FootnoteReference"/>
        </w:rPr>
        <w:footnoteRef/>
      </w:r>
      <w:r>
        <w:t xml:space="preserve"> </w:t>
      </w:r>
      <w:r w:rsidR="002A5167">
        <w:t>47 CFR § 20.21(f)</w:t>
      </w:r>
      <w:r w:rsidR="00246AAF">
        <w:t>.</w:t>
      </w:r>
    </w:p>
  </w:footnote>
  <w:footnote w:id="51">
    <w:p w:rsidR="004841B8" w14:paraId="62C269C3" w14:textId="203E8EC1">
      <w:pPr>
        <w:pStyle w:val="FootnoteText"/>
      </w:pPr>
      <w:r>
        <w:rPr>
          <w:rStyle w:val="FootnoteReference"/>
        </w:rPr>
        <w:footnoteRef/>
      </w:r>
      <w:r>
        <w:t xml:space="preserve"> </w:t>
      </w:r>
      <w:r>
        <w:rPr>
          <w:i/>
        </w:rPr>
        <w:t xml:space="preserve">See </w:t>
      </w:r>
      <w:r w:rsidR="00792DFC">
        <w:rPr>
          <w:i/>
        </w:rPr>
        <w:t>id.</w:t>
      </w:r>
      <w:r w:rsidRPr="00507EBC">
        <w:t xml:space="preserve"> §§ </w:t>
      </w:r>
      <w:r>
        <w:t>15.19(a)(5)</w:t>
      </w:r>
      <w:r w:rsidR="00CC0F68">
        <w:t xml:space="preserve">; </w:t>
      </w:r>
      <w:r>
        <w:t>2.925(f)</w:t>
      </w:r>
      <w:r w:rsidR="00CC0F68">
        <w:t>.</w:t>
      </w:r>
    </w:p>
  </w:footnote>
  <w:footnote w:id="52">
    <w:p w:rsidR="00A4022E" w:rsidP="00A4022E" w14:paraId="14E24DE2" w14:textId="0AD87EBA">
      <w:pPr>
        <w:pStyle w:val="FootnoteText"/>
      </w:pPr>
      <w:r>
        <w:rPr>
          <w:rStyle w:val="FootnoteReference"/>
        </w:rPr>
        <w:footnoteRef/>
      </w:r>
      <w:r>
        <w:t xml:space="preserve"> </w:t>
      </w:r>
      <w:r>
        <w:rPr>
          <w:i/>
        </w:rPr>
        <w:t>See, e.g</w:t>
      </w:r>
      <w:r w:rsidRPr="00FC3BB2">
        <w:t>.,</w:t>
      </w:r>
      <w:r>
        <w:t xml:space="preserve"> </w:t>
      </w:r>
      <w:r>
        <w:t>Surecall</w:t>
      </w:r>
      <w:r>
        <w:t xml:space="preserve"> </w:t>
      </w:r>
      <w:r w:rsidR="00D7237A">
        <w:t xml:space="preserve">Petition to Deny </w:t>
      </w:r>
      <w:r>
        <w:t>at 2</w:t>
      </w:r>
      <w:r w:rsidR="00792DFC">
        <w:t>.</w:t>
      </w:r>
    </w:p>
  </w:footnote>
  <w:footnote w:id="53">
    <w:p w:rsidR="00E44757" w14:paraId="351A521C" w14:textId="6998455C">
      <w:pPr>
        <w:pStyle w:val="FootnoteText"/>
      </w:pPr>
      <w:r>
        <w:rPr>
          <w:rStyle w:val="FootnoteReference"/>
        </w:rPr>
        <w:footnoteRef/>
      </w:r>
      <w:r>
        <w:t xml:space="preserve"> </w:t>
      </w:r>
      <w:r w:rsidRPr="00BD62EC" w:rsidR="00754545">
        <w:t>We require Pivotal include this waiver in its authorization application.</w:t>
      </w:r>
    </w:p>
  </w:footnote>
  <w:footnote w:id="54">
    <w:p w:rsidR="002A2491" w:rsidP="002A2491" w14:paraId="77D1C972" w14:textId="586E40BD">
      <w:pPr>
        <w:pStyle w:val="FootnoteText"/>
      </w:pPr>
      <w:r>
        <w:rPr>
          <w:rStyle w:val="FootnoteReference"/>
        </w:rPr>
        <w:footnoteRef/>
      </w:r>
      <w:r>
        <w:t xml:space="preserve"> </w:t>
      </w:r>
      <w:r>
        <w:rPr>
          <w:i/>
        </w:rPr>
        <w:t>See, e.g</w:t>
      </w:r>
      <w:r w:rsidRPr="00FC3BB2">
        <w:t>.,</w:t>
      </w:r>
      <w:r>
        <w:t xml:space="preserve"> </w:t>
      </w:r>
      <w:r>
        <w:t>Surecall</w:t>
      </w:r>
      <w:r>
        <w:t xml:space="preserve"> </w:t>
      </w:r>
      <w:r w:rsidR="00D7237A">
        <w:t xml:space="preserve">Petition to Deny </w:t>
      </w:r>
      <w:r>
        <w:t>at 1</w:t>
      </w:r>
      <w:r w:rsidR="00792DFC">
        <w:t>.</w:t>
      </w:r>
    </w:p>
  </w:footnote>
  <w:footnote w:id="55">
    <w:p w:rsidR="002503B8" w:rsidRPr="00DF7FDC" w:rsidP="002503B8" w14:paraId="12E66A97" w14:textId="3F0A2E0A">
      <w:pPr>
        <w:pStyle w:val="FootnoteText"/>
      </w:pPr>
      <w:r>
        <w:rPr>
          <w:rStyle w:val="FootnoteReference"/>
        </w:rPr>
        <w:footnoteRef/>
      </w:r>
      <w:r>
        <w:t xml:space="preserve"> </w:t>
      </w:r>
      <w:r>
        <w:rPr>
          <w:i/>
        </w:rPr>
        <w:t>See</w:t>
      </w:r>
      <w:r>
        <w:t xml:space="preserve"> </w:t>
      </w:r>
      <w:r w:rsidRPr="00792DFC" w:rsidR="00792DFC">
        <w:rPr>
          <w:i/>
        </w:rPr>
        <w:t>id.</w:t>
      </w:r>
      <w:r w:rsidR="00D7237A">
        <w:t xml:space="preserve"> </w:t>
      </w:r>
      <w:r>
        <w:t xml:space="preserve">at 2; AT&amp;T Comments at 2; T-Mobile Comments at 3-4; Rich’s Contracting </w:t>
      </w:r>
      <w:r w:rsidR="001E47D8">
        <w:t>Comments</w:t>
      </w:r>
      <w:r>
        <w:t xml:space="preserve"> at 1 (arguing that grant of the request “would effectively permit wireless carriers to market Pivotal’s signal boosters directly to consumers even though the boosters do not meet the technical requirements for Consumer Signal Boosters . . .”).</w:t>
      </w:r>
    </w:p>
  </w:footnote>
  <w:footnote w:id="56">
    <w:p w:rsidR="00507EBC" w14:paraId="0E9FFBC0" w14:textId="5D4AF963">
      <w:pPr>
        <w:pStyle w:val="FootnoteText"/>
      </w:pPr>
      <w:r>
        <w:rPr>
          <w:rStyle w:val="FootnoteReference"/>
        </w:rPr>
        <w:footnoteRef/>
      </w:r>
      <w:r>
        <w:t xml:space="preserve"> </w:t>
      </w:r>
      <w:r w:rsidRPr="00507EBC">
        <w:t>47 CFR § 20.</w:t>
      </w:r>
      <w:r>
        <w:t>3</w:t>
      </w:r>
      <w:r w:rsidRPr="00507EBC">
        <w:t>.</w:t>
      </w:r>
    </w:p>
  </w:footnote>
  <w:footnote w:id="57">
    <w:p w:rsidR="002503B8" w:rsidP="002503B8" w14:paraId="2C93D2A9" w14:textId="77777777">
      <w:pPr>
        <w:pStyle w:val="FootnoteText"/>
      </w:pPr>
      <w:r>
        <w:rPr>
          <w:rStyle w:val="FootnoteReference"/>
        </w:rPr>
        <w:footnoteRef/>
      </w:r>
      <w:r>
        <w:t xml:space="preserve"> </w:t>
      </w:r>
      <w:r>
        <w:rPr>
          <w:i/>
        </w:rPr>
        <w:t>Report and Order</w:t>
      </w:r>
      <w:r>
        <w:t xml:space="preserve">, 28 FCC </w:t>
      </w:r>
      <w:r>
        <w:t>Rcd</w:t>
      </w:r>
      <w:r>
        <w:t xml:space="preserve"> at 1704, para. 118.</w:t>
      </w:r>
    </w:p>
  </w:footnote>
  <w:footnote w:id="58">
    <w:p w:rsidR="002503B8" w:rsidP="002503B8" w14:paraId="3E0572E3" w14:textId="77777777">
      <w:pPr>
        <w:pStyle w:val="FootnoteText"/>
      </w:pPr>
      <w:r>
        <w:rPr>
          <w:rStyle w:val="FootnoteReference"/>
        </w:rPr>
        <w:footnoteRef/>
      </w:r>
      <w:r>
        <w:t xml:space="preserve"> Pivotal Waiver Request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DBA" w:rsidP="003A5411" w14:paraId="34DFCAD7" w14:textId="3400ED22">
    <w:pPr>
      <w:pStyle w:val="Header"/>
    </w:pPr>
    <w:r>
      <w:tab/>
      <w:t>Federal Communications Commission</w:t>
    </w:r>
    <w:r>
      <w:tab/>
    </w:r>
    <w:r w:rsidR="002509E8">
      <w:rPr>
        <w:spacing w:val="-2"/>
      </w:rPr>
      <w:t>DA 19-</w:t>
    </w:r>
    <w:r w:rsidR="00302F55">
      <w:rPr>
        <w:spacing w:val="-2"/>
      </w:rPr>
      <w:t>1331</w:t>
    </w:r>
  </w:p>
  <w:p w:rsidR="005C3DBA" w14:paraId="0875667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C3DBA" w14:paraId="1AE873D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DBA" w:rsidP="003A5411" w14:paraId="28A9DC45" w14:textId="6DF9BCDD">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302F55">
      <w:rPr>
        <w:spacing w:val="-2"/>
      </w:rPr>
      <w:t>1331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D14662"/>
    <w:multiLevelType w:val="hybridMultilevel"/>
    <w:tmpl w:val="B970752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58C5C0B"/>
    <w:multiLevelType w:val="hybridMultilevel"/>
    <w:tmpl w:val="AE1C15C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33"/>
    <w:rsid w:val="000000B5"/>
    <w:rsid w:val="00001903"/>
    <w:rsid w:val="00002858"/>
    <w:rsid w:val="000036D0"/>
    <w:rsid w:val="00003FA3"/>
    <w:rsid w:val="00007888"/>
    <w:rsid w:val="00011B70"/>
    <w:rsid w:val="00012489"/>
    <w:rsid w:val="00016CCF"/>
    <w:rsid w:val="000212C3"/>
    <w:rsid w:val="00034C2F"/>
    <w:rsid w:val="0003559E"/>
    <w:rsid w:val="00036039"/>
    <w:rsid w:val="00037F90"/>
    <w:rsid w:val="000411E9"/>
    <w:rsid w:val="0004161F"/>
    <w:rsid w:val="0004218E"/>
    <w:rsid w:val="00043C4F"/>
    <w:rsid w:val="0005310F"/>
    <w:rsid w:val="00055159"/>
    <w:rsid w:val="00065A56"/>
    <w:rsid w:val="00065F79"/>
    <w:rsid w:val="00066155"/>
    <w:rsid w:val="000714D7"/>
    <w:rsid w:val="00076BAD"/>
    <w:rsid w:val="00081814"/>
    <w:rsid w:val="000838F1"/>
    <w:rsid w:val="00086DFE"/>
    <w:rsid w:val="000875BF"/>
    <w:rsid w:val="00094930"/>
    <w:rsid w:val="00096D8C"/>
    <w:rsid w:val="000A1433"/>
    <w:rsid w:val="000A3DEC"/>
    <w:rsid w:val="000A7427"/>
    <w:rsid w:val="000B1819"/>
    <w:rsid w:val="000B4CD0"/>
    <w:rsid w:val="000C047C"/>
    <w:rsid w:val="000C0B65"/>
    <w:rsid w:val="000C6AE0"/>
    <w:rsid w:val="000D0E4E"/>
    <w:rsid w:val="000D7A49"/>
    <w:rsid w:val="000E05FE"/>
    <w:rsid w:val="000E2216"/>
    <w:rsid w:val="000E2FCE"/>
    <w:rsid w:val="000E3CB0"/>
    <w:rsid w:val="000E3D42"/>
    <w:rsid w:val="000E6F9A"/>
    <w:rsid w:val="000F0E37"/>
    <w:rsid w:val="000F138E"/>
    <w:rsid w:val="000F2676"/>
    <w:rsid w:val="000F6816"/>
    <w:rsid w:val="000F6AEC"/>
    <w:rsid w:val="00100294"/>
    <w:rsid w:val="00103750"/>
    <w:rsid w:val="00106291"/>
    <w:rsid w:val="00107DB4"/>
    <w:rsid w:val="00110A73"/>
    <w:rsid w:val="001155E7"/>
    <w:rsid w:val="00116151"/>
    <w:rsid w:val="0012171A"/>
    <w:rsid w:val="00122BD5"/>
    <w:rsid w:val="00123509"/>
    <w:rsid w:val="001270DB"/>
    <w:rsid w:val="00133C4D"/>
    <w:rsid w:val="00133F79"/>
    <w:rsid w:val="00134B5E"/>
    <w:rsid w:val="00140701"/>
    <w:rsid w:val="00140A0B"/>
    <w:rsid w:val="00141401"/>
    <w:rsid w:val="00147718"/>
    <w:rsid w:val="00150A75"/>
    <w:rsid w:val="00152BD2"/>
    <w:rsid w:val="00155750"/>
    <w:rsid w:val="00184D07"/>
    <w:rsid w:val="00186F98"/>
    <w:rsid w:val="00190A44"/>
    <w:rsid w:val="0019311A"/>
    <w:rsid w:val="00194A66"/>
    <w:rsid w:val="001959C9"/>
    <w:rsid w:val="001A3EE4"/>
    <w:rsid w:val="001B5989"/>
    <w:rsid w:val="001B5FE1"/>
    <w:rsid w:val="001C7205"/>
    <w:rsid w:val="001D6BCF"/>
    <w:rsid w:val="001E01CA"/>
    <w:rsid w:val="001E04D9"/>
    <w:rsid w:val="001E47D8"/>
    <w:rsid w:val="001E51AD"/>
    <w:rsid w:val="001F36A8"/>
    <w:rsid w:val="00200504"/>
    <w:rsid w:val="002050EE"/>
    <w:rsid w:val="00205AA0"/>
    <w:rsid w:val="0021006C"/>
    <w:rsid w:val="00211175"/>
    <w:rsid w:val="0022773F"/>
    <w:rsid w:val="00234FD3"/>
    <w:rsid w:val="00245D88"/>
    <w:rsid w:val="00246AAF"/>
    <w:rsid w:val="002503B8"/>
    <w:rsid w:val="002509E8"/>
    <w:rsid w:val="002535F8"/>
    <w:rsid w:val="00254B78"/>
    <w:rsid w:val="00261F91"/>
    <w:rsid w:val="0026688D"/>
    <w:rsid w:val="00275CF5"/>
    <w:rsid w:val="00276CDA"/>
    <w:rsid w:val="00280B49"/>
    <w:rsid w:val="0028301F"/>
    <w:rsid w:val="00283371"/>
    <w:rsid w:val="00283936"/>
    <w:rsid w:val="00283C37"/>
    <w:rsid w:val="00283F4B"/>
    <w:rsid w:val="00285017"/>
    <w:rsid w:val="00287EDB"/>
    <w:rsid w:val="002963C8"/>
    <w:rsid w:val="002A084D"/>
    <w:rsid w:val="002A090A"/>
    <w:rsid w:val="002A2491"/>
    <w:rsid w:val="002A2D2E"/>
    <w:rsid w:val="002A33C4"/>
    <w:rsid w:val="002A5167"/>
    <w:rsid w:val="002A5F35"/>
    <w:rsid w:val="002A6742"/>
    <w:rsid w:val="002B067E"/>
    <w:rsid w:val="002B77F9"/>
    <w:rsid w:val="002C00E8"/>
    <w:rsid w:val="002C527C"/>
    <w:rsid w:val="002C6ABD"/>
    <w:rsid w:val="002C719A"/>
    <w:rsid w:val="002E2651"/>
    <w:rsid w:val="002E45D2"/>
    <w:rsid w:val="002E4867"/>
    <w:rsid w:val="002F03CA"/>
    <w:rsid w:val="00302F55"/>
    <w:rsid w:val="00303E64"/>
    <w:rsid w:val="00312297"/>
    <w:rsid w:val="00341FF5"/>
    <w:rsid w:val="0034255F"/>
    <w:rsid w:val="003432F0"/>
    <w:rsid w:val="00343749"/>
    <w:rsid w:val="00350718"/>
    <w:rsid w:val="00351354"/>
    <w:rsid w:val="00355D00"/>
    <w:rsid w:val="00357B77"/>
    <w:rsid w:val="00361DBE"/>
    <w:rsid w:val="003644A7"/>
    <w:rsid w:val="003660ED"/>
    <w:rsid w:val="00366C04"/>
    <w:rsid w:val="00373F4B"/>
    <w:rsid w:val="00376B9B"/>
    <w:rsid w:val="00385728"/>
    <w:rsid w:val="00385EAD"/>
    <w:rsid w:val="00390EE9"/>
    <w:rsid w:val="003A4BF5"/>
    <w:rsid w:val="003A5411"/>
    <w:rsid w:val="003A606A"/>
    <w:rsid w:val="003A6EF1"/>
    <w:rsid w:val="003B0550"/>
    <w:rsid w:val="003B4BAF"/>
    <w:rsid w:val="003B694F"/>
    <w:rsid w:val="003C58A5"/>
    <w:rsid w:val="003D039B"/>
    <w:rsid w:val="003D481D"/>
    <w:rsid w:val="003E04EE"/>
    <w:rsid w:val="003E0BB6"/>
    <w:rsid w:val="003E2E36"/>
    <w:rsid w:val="003F171C"/>
    <w:rsid w:val="00400918"/>
    <w:rsid w:val="00407006"/>
    <w:rsid w:val="004076B8"/>
    <w:rsid w:val="00412FC5"/>
    <w:rsid w:val="00413C6A"/>
    <w:rsid w:val="00413D92"/>
    <w:rsid w:val="00416471"/>
    <w:rsid w:val="00422276"/>
    <w:rsid w:val="00423267"/>
    <w:rsid w:val="004242F1"/>
    <w:rsid w:val="004313E2"/>
    <w:rsid w:val="004452BD"/>
    <w:rsid w:val="00445A00"/>
    <w:rsid w:val="00451B0F"/>
    <w:rsid w:val="00453333"/>
    <w:rsid w:val="00464B1B"/>
    <w:rsid w:val="0047009E"/>
    <w:rsid w:val="00470502"/>
    <w:rsid w:val="0047393D"/>
    <w:rsid w:val="004739EB"/>
    <w:rsid w:val="00475F00"/>
    <w:rsid w:val="004763E5"/>
    <w:rsid w:val="00480D81"/>
    <w:rsid w:val="004841B8"/>
    <w:rsid w:val="00491233"/>
    <w:rsid w:val="0049128C"/>
    <w:rsid w:val="004A125C"/>
    <w:rsid w:val="004A185C"/>
    <w:rsid w:val="004A2F78"/>
    <w:rsid w:val="004A3017"/>
    <w:rsid w:val="004B6B04"/>
    <w:rsid w:val="004C0DAD"/>
    <w:rsid w:val="004C2EA8"/>
    <w:rsid w:val="004C2EE3"/>
    <w:rsid w:val="004D7C5B"/>
    <w:rsid w:val="004E4A22"/>
    <w:rsid w:val="004E7F24"/>
    <w:rsid w:val="004F2E63"/>
    <w:rsid w:val="00500E72"/>
    <w:rsid w:val="0050226B"/>
    <w:rsid w:val="00505FD2"/>
    <w:rsid w:val="00507EBC"/>
    <w:rsid w:val="00511968"/>
    <w:rsid w:val="00514887"/>
    <w:rsid w:val="00516730"/>
    <w:rsid w:val="005302B2"/>
    <w:rsid w:val="00531863"/>
    <w:rsid w:val="00531CFD"/>
    <w:rsid w:val="0053701A"/>
    <w:rsid w:val="00546256"/>
    <w:rsid w:val="0055254B"/>
    <w:rsid w:val="0055614C"/>
    <w:rsid w:val="00556FF3"/>
    <w:rsid w:val="00565F1E"/>
    <w:rsid w:val="00566D06"/>
    <w:rsid w:val="00582EBE"/>
    <w:rsid w:val="0058324A"/>
    <w:rsid w:val="0058646D"/>
    <w:rsid w:val="005902EF"/>
    <w:rsid w:val="00590ABE"/>
    <w:rsid w:val="005A0E53"/>
    <w:rsid w:val="005A41E3"/>
    <w:rsid w:val="005A505E"/>
    <w:rsid w:val="005B1453"/>
    <w:rsid w:val="005B77EB"/>
    <w:rsid w:val="005C3DBA"/>
    <w:rsid w:val="005D1BD9"/>
    <w:rsid w:val="005E029E"/>
    <w:rsid w:val="005E14C2"/>
    <w:rsid w:val="005E15EF"/>
    <w:rsid w:val="005F4BEC"/>
    <w:rsid w:val="005F5F64"/>
    <w:rsid w:val="00600C19"/>
    <w:rsid w:val="00607BA5"/>
    <w:rsid w:val="0061180A"/>
    <w:rsid w:val="00621F7D"/>
    <w:rsid w:val="00625F16"/>
    <w:rsid w:val="00626EB6"/>
    <w:rsid w:val="00632513"/>
    <w:rsid w:val="00641BEE"/>
    <w:rsid w:val="00642C93"/>
    <w:rsid w:val="006431D2"/>
    <w:rsid w:val="006534DE"/>
    <w:rsid w:val="00655D03"/>
    <w:rsid w:val="00663A96"/>
    <w:rsid w:val="00665976"/>
    <w:rsid w:val="00670F65"/>
    <w:rsid w:val="00672A95"/>
    <w:rsid w:val="00672F76"/>
    <w:rsid w:val="00683388"/>
    <w:rsid w:val="00683F84"/>
    <w:rsid w:val="006846B8"/>
    <w:rsid w:val="006A6A81"/>
    <w:rsid w:val="006B3E45"/>
    <w:rsid w:val="006B5009"/>
    <w:rsid w:val="006B6117"/>
    <w:rsid w:val="006C35EB"/>
    <w:rsid w:val="006C4B99"/>
    <w:rsid w:val="006C602C"/>
    <w:rsid w:val="006D3F0E"/>
    <w:rsid w:val="006F2D48"/>
    <w:rsid w:val="006F7393"/>
    <w:rsid w:val="00701E58"/>
    <w:rsid w:val="0070224F"/>
    <w:rsid w:val="007115F7"/>
    <w:rsid w:val="0072114F"/>
    <w:rsid w:val="00725C98"/>
    <w:rsid w:val="00725DD4"/>
    <w:rsid w:val="007533D3"/>
    <w:rsid w:val="00754545"/>
    <w:rsid w:val="00761363"/>
    <w:rsid w:val="007623CF"/>
    <w:rsid w:val="007631B6"/>
    <w:rsid w:val="007656C1"/>
    <w:rsid w:val="00772195"/>
    <w:rsid w:val="0077262E"/>
    <w:rsid w:val="007768AD"/>
    <w:rsid w:val="00777DEF"/>
    <w:rsid w:val="00785689"/>
    <w:rsid w:val="00786D60"/>
    <w:rsid w:val="00792DFC"/>
    <w:rsid w:val="00793E85"/>
    <w:rsid w:val="00794AE6"/>
    <w:rsid w:val="0079754B"/>
    <w:rsid w:val="007A1E6D"/>
    <w:rsid w:val="007B08D9"/>
    <w:rsid w:val="007B0EB2"/>
    <w:rsid w:val="007B1E2B"/>
    <w:rsid w:val="007B7859"/>
    <w:rsid w:val="007B7BF3"/>
    <w:rsid w:val="007C400F"/>
    <w:rsid w:val="007C61E7"/>
    <w:rsid w:val="007C713F"/>
    <w:rsid w:val="007C7CF0"/>
    <w:rsid w:val="007D0BB3"/>
    <w:rsid w:val="007D2A9B"/>
    <w:rsid w:val="007E09C5"/>
    <w:rsid w:val="007E3333"/>
    <w:rsid w:val="007E506A"/>
    <w:rsid w:val="007E73B7"/>
    <w:rsid w:val="007E7571"/>
    <w:rsid w:val="007F0038"/>
    <w:rsid w:val="007F665F"/>
    <w:rsid w:val="00803FCC"/>
    <w:rsid w:val="00810B6F"/>
    <w:rsid w:val="00822CE0"/>
    <w:rsid w:val="00827109"/>
    <w:rsid w:val="008312C1"/>
    <w:rsid w:val="00833D30"/>
    <w:rsid w:val="0084037F"/>
    <w:rsid w:val="0084125E"/>
    <w:rsid w:val="00841AB1"/>
    <w:rsid w:val="008503BB"/>
    <w:rsid w:val="00850E5F"/>
    <w:rsid w:val="00863D9D"/>
    <w:rsid w:val="008720CD"/>
    <w:rsid w:val="00887635"/>
    <w:rsid w:val="00890570"/>
    <w:rsid w:val="00893BA0"/>
    <w:rsid w:val="008A744A"/>
    <w:rsid w:val="008B57F1"/>
    <w:rsid w:val="008C619C"/>
    <w:rsid w:val="008C68F1"/>
    <w:rsid w:val="008D0523"/>
    <w:rsid w:val="008D4E53"/>
    <w:rsid w:val="008D6D12"/>
    <w:rsid w:val="008E06E6"/>
    <w:rsid w:val="008E1F56"/>
    <w:rsid w:val="008E32BC"/>
    <w:rsid w:val="008E36A1"/>
    <w:rsid w:val="008E44CE"/>
    <w:rsid w:val="008E5147"/>
    <w:rsid w:val="008E6308"/>
    <w:rsid w:val="008E7813"/>
    <w:rsid w:val="008F0AFD"/>
    <w:rsid w:val="008F2F2D"/>
    <w:rsid w:val="008F371B"/>
    <w:rsid w:val="00902812"/>
    <w:rsid w:val="0090430C"/>
    <w:rsid w:val="00904D08"/>
    <w:rsid w:val="00905853"/>
    <w:rsid w:val="00907EAD"/>
    <w:rsid w:val="00910AAE"/>
    <w:rsid w:val="009132E7"/>
    <w:rsid w:val="0091469C"/>
    <w:rsid w:val="0091533A"/>
    <w:rsid w:val="00921803"/>
    <w:rsid w:val="009231DB"/>
    <w:rsid w:val="00926503"/>
    <w:rsid w:val="00943282"/>
    <w:rsid w:val="00943EFF"/>
    <w:rsid w:val="00952611"/>
    <w:rsid w:val="00956E17"/>
    <w:rsid w:val="009573AD"/>
    <w:rsid w:val="0096055B"/>
    <w:rsid w:val="0096710B"/>
    <w:rsid w:val="009726D8"/>
    <w:rsid w:val="009768A2"/>
    <w:rsid w:val="00977EE9"/>
    <w:rsid w:val="009825EE"/>
    <w:rsid w:val="00985E62"/>
    <w:rsid w:val="00992A28"/>
    <w:rsid w:val="00992F9F"/>
    <w:rsid w:val="00994003"/>
    <w:rsid w:val="00996067"/>
    <w:rsid w:val="009A495E"/>
    <w:rsid w:val="009B3327"/>
    <w:rsid w:val="009C047C"/>
    <w:rsid w:val="009C3AC3"/>
    <w:rsid w:val="009C414E"/>
    <w:rsid w:val="009C4E09"/>
    <w:rsid w:val="009D0D22"/>
    <w:rsid w:val="009D61D2"/>
    <w:rsid w:val="009D7308"/>
    <w:rsid w:val="009E35CC"/>
    <w:rsid w:val="009E5846"/>
    <w:rsid w:val="009F6C0F"/>
    <w:rsid w:val="009F729C"/>
    <w:rsid w:val="009F76DB"/>
    <w:rsid w:val="00A053EA"/>
    <w:rsid w:val="00A06387"/>
    <w:rsid w:val="00A10DDD"/>
    <w:rsid w:val="00A117F9"/>
    <w:rsid w:val="00A138AD"/>
    <w:rsid w:val="00A23CAF"/>
    <w:rsid w:val="00A24D9A"/>
    <w:rsid w:val="00A30ECC"/>
    <w:rsid w:val="00A3179C"/>
    <w:rsid w:val="00A32C3B"/>
    <w:rsid w:val="00A348AA"/>
    <w:rsid w:val="00A4022E"/>
    <w:rsid w:val="00A40593"/>
    <w:rsid w:val="00A43778"/>
    <w:rsid w:val="00A45F4F"/>
    <w:rsid w:val="00A46959"/>
    <w:rsid w:val="00A47734"/>
    <w:rsid w:val="00A47C20"/>
    <w:rsid w:val="00A53F11"/>
    <w:rsid w:val="00A543F9"/>
    <w:rsid w:val="00A56DEA"/>
    <w:rsid w:val="00A600A9"/>
    <w:rsid w:val="00A60D72"/>
    <w:rsid w:val="00A61D94"/>
    <w:rsid w:val="00A62863"/>
    <w:rsid w:val="00A750E3"/>
    <w:rsid w:val="00A75932"/>
    <w:rsid w:val="00A82B2F"/>
    <w:rsid w:val="00A850C0"/>
    <w:rsid w:val="00A95B54"/>
    <w:rsid w:val="00A96D14"/>
    <w:rsid w:val="00AA55B7"/>
    <w:rsid w:val="00AA5B9E"/>
    <w:rsid w:val="00AA71E8"/>
    <w:rsid w:val="00AB0941"/>
    <w:rsid w:val="00AB22D2"/>
    <w:rsid w:val="00AB2407"/>
    <w:rsid w:val="00AB2F30"/>
    <w:rsid w:val="00AB53DF"/>
    <w:rsid w:val="00AC014B"/>
    <w:rsid w:val="00AC1865"/>
    <w:rsid w:val="00AC37B0"/>
    <w:rsid w:val="00AC42A6"/>
    <w:rsid w:val="00AC73D5"/>
    <w:rsid w:val="00AD4681"/>
    <w:rsid w:val="00AE2AF1"/>
    <w:rsid w:val="00AF4D44"/>
    <w:rsid w:val="00AF6230"/>
    <w:rsid w:val="00B04FA4"/>
    <w:rsid w:val="00B0691D"/>
    <w:rsid w:val="00B07E5C"/>
    <w:rsid w:val="00B1084D"/>
    <w:rsid w:val="00B13097"/>
    <w:rsid w:val="00B208A7"/>
    <w:rsid w:val="00B210A5"/>
    <w:rsid w:val="00B21E2A"/>
    <w:rsid w:val="00B27EA3"/>
    <w:rsid w:val="00B3163F"/>
    <w:rsid w:val="00B359F0"/>
    <w:rsid w:val="00B362D2"/>
    <w:rsid w:val="00B44574"/>
    <w:rsid w:val="00B50F37"/>
    <w:rsid w:val="00B53BF1"/>
    <w:rsid w:val="00B57A58"/>
    <w:rsid w:val="00B703DD"/>
    <w:rsid w:val="00B7074D"/>
    <w:rsid w:val="00B73D2F"/>
    <w:rsid w:val="00B80C87"/>
    <w:rsid w:val="00B811F7"/>
    <w:rsid w:val="00B81504"/>
    <w:rsid w:val="00B825A4"/>
    <w:rsid w:val="00B9060F"/>
    <w:rsid w:val="00B92990"/>
    <w:rsid w:val="00B92DD2"/>
    <w:rsid w:val="00B95BBD"/>
    <w:rsid w:val="00B97719"/>
    <w:rsid w:val="00B97F2A"/>
    <w:rsid w:val="00BA20C0"/>
    <w:rsid w:val="00BA5DC6"/>
    <w:rsid w:val="00BA6196"/>
    <w:rsid w:val="00BB2A03"/>
    <w:rsid w:val="00BB2CF0"/>
    <w:rsid w:val="00BB2D00"/>
    <w:rsid w:val="00BB2DC2"/>
    <w:rsid w:val="00BB5B05"/>
    <w:rsid w:val="00BB710B"/>
    <w:rsid w:val="00BC1D4B"/>
    <w:rsid w:val="00BC6D8C"/>
    <w:rsid w:val="00BD280B"/>
    <w:rsid w:val="00BD62EC"/>
    <w:rsid w:val="00BE1758"/>
    <w:rsid w:val="00BE3E7D"/>
    <w:rsid w:val="00BE58A2"/>
    <w:rsid w:val="00BF2BB4"/>
    <w:rsid w:val="00BF5C71"/>
    <w:rsid w:val="00BF610E"/>
    <w:rsid w:val="00C0371C"/>
    <w:rsid w:val="00C03E7E"/>
    <w:rsid w:val="00C07D64"/>
    <w:rsid w:val="00C25ECB"/>
    <w:rsid w:val="00C26342"/>
    <w:rsid w:val="00C2702A"/>
    <w:rsid w:val="00C2748D"/>
    <w:rsid w:val="00C329F5"/>
    <w:rsid w:val="00C34006"/>
    <w:rsid w:val="00C34B71"/>
    <w:rsid w:val="00C36B4C"/>
    <w:rsid w:val="00C36BE0"/>
    <w:rsid w:val="00C426B1"/>
    <w:rsid w:val="00C5422E"/>
    <w:rsid w:val="00C54E90"/>
    <w:rsid w:val="00C62C9E"/>
    <w:rsid w:val="00C66160"/>
    <w:rsid w:val="00C67404"/>
    <w:rsid w:val="00C67B2F"/>
    <w:rsid w:val="00C721AC"/>
    <w:rsid w:val="00C763F7"/>
    <w:rsid w:val="00C90D6A"/>
    <w:rsid w:val="00C9130A"/>
    <w:rsid w:val="00C97ADA"/>
    <w:rsid w:val="00C97D8E"/>
    <w:rsid w:val="00CA247E"/>
    <w:rsid w:val="00CA32F4"/>
    <w:rsid w:val="00CA62F2"/>
    <w:rsid w:val="00CA6D21"/>
    <w:rsid w:val="00CB0BD5"/>
    <w:rsid w:val="00CB14D9"/>
    <w:rsid w:val="00CB3970"/>
    <w:rsid w:val="00CB475F"/>
    <w:rsid w:val="00CB5B31"/>
    <w:rsid w:val="00CB6B67"/>
    <w:rsid w:val="00CC0F68"/>
    <w:rsid w:val="00CC72B6"/>
    <w:rsid w:val="00CC78BE"/>
    <w:rsid w:val="00CD0627"/>
    <w:rsid w:val="00CD795B"/>
    <w:rsid w:val="00CD7BA4"/>
    <w:rsid w:val="00CE4E64"/>
    <w:rsid w:val="00D0218D"/>
    <w:rsid w:val="00D066AD"/>
    <w:rsid w:val="00D212B0"/>
    <w:rsid w:val="00D22EB0"/>
    <w:rsid w:val="00D25FB5"/>
    <w:rsid w:val="00D26569"/>
    <w:rsid w:val="00D36EBE"/>
    <w:rsid w:val="00D44223"/>
    <w:rsid w:val="00D4542A"/>
    <w:rsid w:val="00D57173"/>
    <w:rsid w:val="00D62840"/>
    <w:rsid w:val="00D62DDE"/>
    <w:rsid w:val="00D64C0F"/>
    <w:rsid w:val="00D674DA"/>
    <w:rsid w:val="00D7237A"/>
    <w:rsid w:val="00D76B62"/>
    <w:rsid w:val="00D80E0D"/>
    <w:rsid w:val="00D859BA"/>
    <w:rsid w:val="00D8607F"/>
    <w:rsid w:val="00D945B6"/>
    <w:rsid w:val="00D94CC1"/>
    <w:rsid w:val="00D9543E"/>
    <w:rsid w:val="00DA2529"/>
    <w:rsid w:val="00DA4210"/>
    <w:rsid w:val="00DA586A"/>
    <w:rsid w:val="00DA5B85"/>
    <w:rsid w:val="00DB130A"/>
    <w:rsid w:val="00DB1F21"/>
    <w:rsid w:val="00DB2EBB"/>
    <w:rsid w:val="00DC10A1"/>
    <w:rsid w:val="00DC20E4"/>
    <w:rsid w:val="00DC2A82"/>
    <w:rsid w:val="00DC3791"/>
    <w:rsid w:val="00DC655F"/>
    <w:rsid w:val="00DC6B8E"/>
    <w:rsid w:val="00DC7CEA"/>
    <w:rsid w:val="00DD0B59"/>
    <w:rsid w:val="00DD46CF"/>
    <w:rsid w:val="00DD46E8"/>
    <w:rsid w:val="00DD5A24"/>
    <w:rsid w:val="00DD7EBD"/>
    <w:rsid w:val="00DE2CD7"/>
    <w:rsid w:val="00DE343F"/>
    <w:rsid w:val="00DE4DC2"/>
    <w:rsid w:val="00DE5418"/>
    <w:rsid w:val="00DE5A34"/>
    <w:rsid w:val="00DE6BA7"/>
    <w:rsid w:val="00DF1C49"/>
    <w:rsid w:val="00DF62B6"/>
    <w:rsid w:val="00DF7FDC"/>
    <w:rsid w:val="00E00C38"/>
    <w:rsid w:val="00E05FE4"/>
    <w:rsid w:val="00E06025"/>
    <w:rsid w:val="00E07225"/>
    <w:rsid w:val="00E07D56"/>
    <w:rsid w:val="00E24759"/>
    <w:rsid w:val="00E33985"/>
    <w:rsid w:val="00E420A0"/>
    <w:rsid w:val="00E44757"/>
    <w:rsid w:val="00E4784A"/>
    <w:rsid w:val="00E51B9F"/>
    <w:rsid w:val="00E5409F"/>
    <w:rsid w:val="00E55AA8"/>
    <w:rsid w:val="00E60E55"/>
    <w:rsid w:val="00E6399D"/>
    <w:rsid w:val="00E63A20"/>
    <w:rsid w:val="00E66785"/>
    <w:rsid w:val="00E726B4"/>
    <w:rsid w:val="00E72BF3"/>
    <w:rsid w:val="00E82A74"/>
    <w:rsid w:val="00E84E7E"/>
    <w:rsid w:val="00E8763E"/>
    <w:rsid w:val="00E903F9"/>
    <w:rsid w:val="00E958D2"/>
    <w:rsid w:val="00E96293"/>
    <w:rsid w:val="00E96E3C"/>
    <w:rsid w:val="00E9701B"/>
    <w:rsid w:val="00EA0065"/>
    <w:rsid w:val="00EA565E"/>
    <w:rsid w:val="00EA7D9A"/>
    <w:rsid w:val="00EC2745"/>
    <w:rsid w:val="00EC3F5E"/>
    <w:rsid w:val="00EC46B1"/>
    <w:rsid w:val="00EC745B"/>
    <w:rsid w:val="00ED2F3B"/>
    <w:rsid w:val="00EE4950"/>
    <w:rsid w:val="00EE4A5E"/>
    <w:rsid w:val="00EE6488"/>
    <w:rsid w:val="00EE777B"/>
    <w:rsid w:val="00F021FA"/>
    <w:rsid w:val="00F04028"/>
    <w:rsid w:val="00F127AC"/>
    <w:rsid w:val="00F13457"/>
    <w:rsid w:val="00F33F19"/>
    <w:rsid w:val="00F33FA6"/>
    <w:rsid w:val="00F377ED"/>
    <w:rsid w:val="00F513DF"/>
    <w:rsid w:val="00F52B74"/>
    <w:rsid w:val="00F5390E"/>
    <w:rsid w:val="00F5608C"/>
    <w:rsid w:val="00F62E97"/>
    <w:rsid w:val="00F64209"/>
    <w:rsid w:val="00F746EE"/>
    <w:rsid w:val="00F836A6"/>
    <w:rsid w:val="00F91ABE"/>
    <w:rsid w:val="00F9268C"/>
    <w:rsid w:val="00F93BF5"/>
    <w:rsid w:val="00F95A1F"/>
    <w:rsid w:val="00F96AF3"/>
    <w:rsid w:val="00FA2317"/>
    <w:rsid w:val="00FB235C"/>
    <w:rsid w:val="00FC22CE"/>
    <w:rsid w:val="00FC3BB2"/>
    <w:rsid w:val="00FC47F5"/>
    <w:rsid w:val="00FC6AA1"/>
    <w:rsid w:val="00FC7A3A"/>
    <w:rsid w:val="00FD22BF"/>
    <w:rsid w:val="00FD3667"/>
    <w:rsid w:val="00FE4CA2"/>
    <w:rsid w:val="00FE60D9"/>
    <w:rsid w:val="00FE6F59"/>
    <w:rsid w:val="00FF34CB"/>
    <w:rsid w:val="00FF48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E4C33F-6565-446C-93FE-8C8C0390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FD"/>
    <w:pPr>
      <w:widowControl w:val="0"/>
    </w:pPr>
    <w:rPr>
      <w:snapToGrid w:val="0"/>
      <w:kern w:val="28"/>
      <w:sz w:val="22"/>
    </w:rPr>
  </w:style>
  <w:style w:type="paragraph" w:styleId="Heading1">
    <w:name w:val="heading 1"/>
    <w:basedOn w:val="Normal"/>
    <w:next w:val="ParaNum"/>
    <w:qFormat/>
    <w:rsid w:val="008F0AF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F0AFD"/>
    <w:pPr>
      <w:keepNext/>
      <w:numPr>
        <w:ilvl w:val="1"/>
        <w:numId w:val="3"/>
      </w:numPr>
      <w:spacing w:after="120"/>
      <w:outlineLvl w:val="1"/>
    </w:pPr>
    <w:rPr>
      <w:b/>
    </w:rPr>
  </w:style>
  <w:style w:type="paragraph" w:styleId="Heading3">
    <w:name w:val="heading 3"/>
    <w:basedOn w:val="Normal"/>
    <w:next w:val="ParaNum"/>
    <w:qFormat/>
    <w:rsid w:val="008F0AFD"/>
    <w:pPr>
      <w:keepNext/>
      <w:numPr>
        <w:ilvl w:val="2"/>
        <w:numId w:val="3"/>
      </w:numPr>
      <w:tabs>
        <w:tab w:val="left" w:pos="2160"/>
      </w:tabs>
      <w:spacing w:after="120"/>
      <w:outlineLvl w:val="2"/>
    </w:pPr>
    <w:rPr>
      <w:b/>
    </w:rPr>
  </w:style>
  <w:style w:type="paragraph" w:styleId="Heading4">
    <w:name w:val="heading 4"/>
    <w:basedOn w:val="Normal"/>
    <w:next w:val="ParaNum"/>
    <w:qFormat/>
    <w:rsid w:val="008F0AFD"/>
    <w:pPr>
      <w:keepNext/>
      <w:numPr>
        <w:ilvl w:val="3"/>
        <w:numId w:val="3"/>
      </w:numPr>
      <w:tabs>
        <w:tab w:val="left" w:pos="2880"/>
      </w:tabs>
      <w:spacing w:after="120"/>
      <w:outlineLvl w:val="3"/>
    </w:pPr>
    <w:rPr>
      <w:b/>
    </w:rPr>
  </w:style>
  <w:style w:type="paragraph" w:styleId="Heading5">
    <w:name w:val="heading 5"/>
    <w:basedOn w:val="Normal"/>
    <w:next w:val="ParaNum"/>
    <w:qFormat/>
    <w:rsid w:val="008F0AF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F0AFD"/>
    <w:pPr>
      <w:numPr>
        <w:ilvl w:val="5"/>
        <w:numId w:val="3"/>
      </w:numPr>
      <w:tabs>
        <w:tab w:val="left" w:pos="4320"/>
      </w:tabs>
      <w:spacing w:after="120"/>
      <w:outlineLvl w:val="5"/>
    </w:pPr>
    <w:rPr>
      <w:b/>
    </w:rPr>
  </w:style>
  <w:style w:type="paragraph" w:styleId="Heading7">
    <w:name w:val="heading 7"/>
    <w:basedOn w:val="Normal"/>
    <w:next w:val="ParaNum"/>
    <w:qFormat/>
    <w:rsid w:val="008F0AF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F0AF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F0AF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F0A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AFD"/>
  </w:style>
  <w:style w:type="paragraph" w:customStyle="1" w:styleId="ParaNum">
    <w:name w:val="ParaNum"/>
    <w:basedOn w:val="Normal"/>
    <w:rsid w:val="008F0AFD"/>
    <w:pPr>
      <w:numPr>
        <w:numId w:val="2"/>
      </w:numPr>
      <w:tabs>
        <w:tab w:val="clear" w:pos="1080"/>
        <w:tab w:val="num" w:pos="1440"/>
      </w:tabs>
      <w:spacing w:after="120"/>
    </w:pPr>
  </w:style>
  <w:style w:type="paragraph" w:styleId="EndnoteText">
    <w:name w:val="endnote text"/>
    <w:basedOn w:val="Normal"/>
    <w:semiHidden/>
    <w:rsid w:val="008F0AFD"/>
    <w:rPr>
      <w:sz w:val="20"/>
    </w:rPr>
  </w:style>
  <w:style w:type="character" w:styleId="EndnoteReference">
    <w:name w:val="endnote reference"/>
    <w:semiHidden/>
    <w:rsid w:val="008F0AFD"/>
    <w:rPr>
      <w:vertAlign w:val="superscript"/>
    </w:rPr>
  </w:style>
  <w:style w:type="paragraph" w:styleId="FootnoteText">
    <w:name w:val="footnote text"/>
    <w:aliases w:val="ALTS FOOTNOTE,Footnote Text Char Char,Footnote Text Char Char Char Char,Footnote Text Char Char Char1 Char,Footnote Text Char1,Footnote Text Char1 Char Char,Footnote Text Char1 Char Char Char Char,Footnote Text Char1 Char2 Char,f,fn,ft"/>
    <w:link w:val="FootnoteTextChar"/>
    <w:rsid w:val="008F0AFD"/>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8F0AFD"/>
    <w:rPr>
      <w:rFonts w:ascii="Times New Roman" w:hAnsi="Times New Roman"/>
      <w:dstrike w:val="0"/>
      <w:color w:val="auto"/>
      <w:sz w:val="20"/>
      <w:vertAlign w:val="superscript"/>
    </w:rPr>
  </w:style>
  <w:style w:type="paragraph" w:styleId="TOC1">
    <w:name w:val="toc 1"/>
    <w:basedOn w:val="Normal"/>
    <w:next w:val="Normal"/>
    <w:semiHidden/>
    <w:rsid w:val="008F0AF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F0AFD"/>
    <w:pPr>
      <w:tabs>
        <w:tab w:val="left" w:pos="720"/>
        <w:tab w:val="right" w:leader="dot" w:pos="9360"/>
      </w:tabs>
      <w:suppressAutoHyphens/>
      <w:ind w:left="720" w:right="720" w:hanging="360"/>
    </w:pPr>
    <w:rPr>
      <w:noProof/>
    </w:rPr>
  </w:style>
  <w:style w:type="paragraph" w:styleId="TOC3">
    <w:name w:val="toc 3"/>
    <w:basedOn w:val="Normal"/>
    <w:next w:val="Normal"/>
    <w:semiHidden/>
    <w:rsid w:val="008F0AF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F0AF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0AF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0AF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0AF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0AF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0AF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0AFD"/>
    <w:pPr>
      <w:tabs>
        <w:tab w:val="right" w:pos="9360"/>
      </w:tabs>
      <w:suppressAutoHyphens/>
    </w:pPr>
  </w:style>
  <w:style w:type="character" w:customStyle="1" w:styleId="EquationCaption">
    <w:name w:val="_Equation Caption"/>
    <w:rsid w:val="008F0AFD"/>
  </w:style>
  <w:style w:type="paragraph" w:styleId="Header">
    <w:name w:val="header"/>
    <w:basedOn w:val="Normal"/>
    <w:autoRedefine/>
    <w:rsid w:val="008F0AFD"/>
    <w:pPr>
      <w:tabs>
        <w:tab w:val="center" w:pos="4680"/>
        <w:tab w:val="right" w:pos="9360"/>
      </w:tabs>
    </w:pPr>
    <w:rPr>
      <w:b/>
    </w:rPr>
  </w:style>
  <w:style w:type="paragraph" w:styleId="Footer">
    <w:name w:val="footer"/>
    <w:basedOn w:val="Normal"/>
    <w:link w:val="FooterChar"/>
    <w:uiPriority w:val="99"/>
    <w:rsid w:val="008F0AFD"/>
    <w:pPr>
      <w:tabs>
        <w:tab w:val="center" w:pos="4320"/>
        <w:tab w:val="right" w:pos="8640"/>
      </w:tabs>
    </w:pPr>
  </w:style>
  <w:style w:type="character" w:styleId="PageNumber">
    <w:name w:val="page number"/>
    <w:basedOn w:val="DefaultParagraphFont"/>
    <w:rsid w:val="008F0AFD"/>
  </w:style>
  <w:style w:type="paragraph" w:styleId="BlockText">
    <w:name w:val="Block Text"/>
    <w:basedOn w:val="Normal"/>
    <w:rsid w:val="008F0AFD"/>
    <w:pPr>
      <w:spacing w:after="240"/>
      <w:ind w:left="1440" w:right="1440"/>
    </w:pPr>
  </w:style>
  <w:style w:type="paragraph" w:customStyle="1" w:styleId="Paratitle">
    <w:name w:val="Para title"/>
    <w:basedOn w:val="Normal"/>
    <w:rsid w:val="008F0AFD"/>
    <w:pPr>
      <w:tabs>
        <w:tab w:val="center" w:pos="9270"/>
      </w:tabs>
      <w:spacing w:after="240"/>
    </w:pPr>
    <w:rPr>
      <w:spacing w:val="-2"/>
    </w:rPr>
  </w:style>
  <w:style w:type="paragraph" w:customStyle="1" w:styleId="Bullet">
    <w:name w:val="Bullet"/>
    <w:basedOn w:val="Normal"/>
    <w:rsid w:val="008F0AFD"/>
    <w:pPr>
      <w:tabs>
        <w:tab w:val="left" w:pos="2160"/>
      </w:tabs>
      <w:spacing w:after="220"/>
      <w:ind w:left="2160" w:hanging="720"/>
    </w:pPr>
  </w:style>
  <w:style w:type="paragraph" w:customStyle="1" w:styleId="TableFormat">
    <w:name w:val="TableFormat"/>
    <w:basedOn w:val="Bullet"/>
    <w:rsid w:val="008F0AFD"/>
    <w:pPr>
      <w:tabs>
        <w:tab w:val="clear" w:pos="2160"/>
        <w:tab w:val="left" w:pos="5040"/>
      </w:tabs>
      <w:ind w:left="5040" w:hanging="3600"/>
    </w:pPr>
  </w:style>
  <w:style w:type="paragraph" w:customStyle="1" w:styleId="TOCTitle">
    <w:name w:val="TOC Title"/>
    <w:basedOn w:val="Normal"/>
    <w:rsid w:val="008F0AF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0AFD"/>
    <w:pPr>
      <w:jc w:val="center"/>
    </w:pPr>
    <w:rPr>
      <w:rFonts w:ascii="Times New Roman Bold" w:hAnsi="Times New Roman Bold"/>
      <w:b/>
      <w:bCs/>
      <w:caps/>
      <w:szCs w:val="22"/>
    </w:rPr>
  </w:style>
  <w:style w:type="character" w:styleId="Hyperlink">
    <w:name w:val="Hyperlink"/>
    <w:rsid w:val="008F0AFD"/>
    <w:rPr>
      <w:color w:val="0000FF"/>
      <w:u w:val="single"/>
    </w:rPr>
  </w:style>
  <w:style w:type="character" w:customStyle="1" w:styleId="FooterChar">
    <w:name w:val="Footer Char"/>
    <w:link w:val="Footer"/>
    <w:uiPriority w:val="99"/>
    <w:rsid w:val="008F0AFD"/>
    <w:rPr>
      <w:snapToGrid w:val="0"/>
      <w:kern w:val="28"/>
      <w:sz w:val="22"/>
    </w:rPr>
  </w:style>
  <w:style w:type="character" w:customStyle="1" w:styleId="st">
    <w:name w:val="st"/>
    <w:basedOn w:val="DefaultParagraphFont"/>
    <w:rsid w:val="008E5147"/>
  </w:style>
  <w:style w:type="character" w:customStyle="1" w:styleId="FootnoteTextChar">
    <w:name w:val="Footnote Text Char"/>
    <w:aliases w:val="ALTS FOOTNOTE Char,Footnote Text Char Char Char,Footnote Text Char Char Char Char Char,Footnote Text Char1 Char,Footnote Text Char1 Char Char Char,Footnote Text Char1 Char2 Char Char,f Char,fn Char,ft Char"/>
    <w:basedOn w:val="DefaultParagraphFont"/>
    <w:link w:val="FootnoteText"/>
    <w:rsid w:val="00E6399D"/>
  </w:style>
  <w:style w:type="character" w:styleId="CommentReference">
    <w:name w:val="annotation reference"/>
    <w:basedOn w:val="DefaultParagraphFont"/>
    <w:rsid w:val="00276CDA"/>
    <w:rPr>
      <w:sz w:val="16"/>
      <w:szCs w:val="16"/>
    </w:rPr>
  </w:style>
  <w:style w:type="paragraph" w:styleId="CommentText">
    <w:name w:val="annotation text"/>
    <w:basedOn w:val="Normal"/>
    <w:link w:val="CommentTextChar"/>
    <w:rsid w:val="00276CDA"/>
    <w:rPr>
      <w:sz w:val="20"/>
    </w:rPr>
  </w:style>
  <w:style w:type="character" w:customStyle="1" w:styleId="CommentTextChar">
    <w:name w:val="Comment Text Char"/>
    <w:basedOn w:val="DefaultParagraphFont"/>
    <w:link w:val="CommentText"/>
    <w:rsid w:val="00276CDA"/>
    <w:rPr>
      <w:snapToGrid w:val="0"/>
      <w:kern w:val="28"/>
    </w:rPr>
  </w:style>
  <w:style w:type="paragraph" w:styleId="CommentSubject">
    <w:name w:val="annotation subject"/>
    <w:basedOn w:val="CommentText"/>
    <w:next w:val="CommentText"/>
    <w:link w:val="CommentSubjectChar"/>
    <w:rsid w:val="00276CDA"/>
    <w:rPr>
      <w:b/>
      <w:bCs/>
    </w:rPr>
  </w:style>
  <w:style w:type="character" w:customStyle="1" w:styleId="CommentSubjectChar">
    <w:name w:val="Comment Subject Char"/>
    <w:basedOn w:val="CommentTextChar"/>
    <w:link w:val="CommentSubject"/>
    <w:rsid w:val="00276CDA"/>
    <w:rPr>
      <w:b/>
      <w:bCs/>
      <w:snapToGrid w:val="0"/>
      <w:kern w:val="28"/>
    </w:rPr>
  </w:style>
  <w:style w:type="paragraph" w:styleId="BalloonText">
    <w:name w:val="Balloon Text"/>
    <w:basedOn w:val="Normal"/>
    <w:link w:val="BalloonTextChar"/>
    <w:rsid w:val="00276CDA"/>
    <w:rPr>
      <w:rFonts w:ascii="Segoe UI" w:hAnsi="Segoe UI" w:cs="Segoe UI"/>
      <w:sz w:val="18"/>
      <w:szCs w:val="18"/>
    </w:rPr>
  </w:style>
  <w:style w:type="character" w:customStyle="1" w:styleId="BalloonTextChar">
    <w:name w:val="Balloon Text Char"/>
    <w:basedOn w:val="DefaultParagraphFont"/>
    <w:link w:val="BalloonText"/>
    <w:rsid w:val="00276CDA"/>
    <w:rPr>
      <w:rFonts w:ascii="Segoe UI" w:hAnsi="Segoe UI" w:cs="Segoe UI"/>
      <w:snapToGrid w:val="0"/>
      <w:kern w:val="28"/>
      <w:sz w:val="18"/>
      <w:szCs w:val="18"/>
    </w:rPr>
  </w:style>
  <w:style w:type="paragraph" w:styleId="ListParagraph">
    <w:name w:val="List Paragraph"/>
    <w:basedOn w:val="Normal"/>
    <w:uiPriority w:val="34"/>
    <w:qFormat/>
    <w:rsid w:val="002B0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