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4375ED" w:rsidP="00013A8B">
      <w:pPr>
        <w:jc w:val="right"/>
        <w:rPr>
          <w:b/>
          <w:szCs w:val="22"/>
        </w:rPr>
      </w:pPr>
      <w:r w:rsidRPr="004375ED">
        <w:rPr>
          <w:b/>
          <w:szCs w:val="22"/>
        </w:rPr>
        <w:t xml:space="preserve">DA </w:t>
      </w:r>
      <w:r w:rsidR="00B6031A">
        <w:rPr>
          <w:b/>
          <w:szCs w:val="22"/>
        </w:rPr>
        <w:t>19</w:t>
      </w:r>
      <w:r w:rsidRPr="004375ED">
        <w:rPr>
          <w:b/>
          <w:szCs w:val="22"/>
        </w:rPr>
        <w:t>-</w:t>
      </w:r>
      <w:r w:rsidR="003A5C5E">
        <w:rPr>
          <w:b/>
          <w:szCs w:val="22"/>
        </w:rPr>
        <w:t>1336</w:t>
      </w:r>
      <w:bookmarkStart w:id="0" w:name="_GoBack"/>
      <w:bookmarkEnd w:id="0"/>
    </w:p>
    <w:p w:rsidR="00013A8B" w:rsidRPr="004375ED" w:rsidP="00013A8B">
      <w:pPr>
        <w:spacing w:before="60"/>
        <w:jc w:val="right"/>
        <w:rPr>
          <w:b/>
          <w:szCs w:val="22"/>
        </w:rPr>
      </w:pPr>
      <w:r w:rsidRPr="004375ED">
        <w:rPr>
          <w:b/>
          <w:szCs w:val="22"/>
        </w:rPr>
        <w:t xml:space="preserve">Released:  </w:t>
      </w:r>
      <w:r w:rsidR="00B6031A">
        <w:rPr>
          <w:b/>
          <w:szCs w:val="22"/>
        </w:rPr>
        <w:t xml:space="preserve">December </w:t>
      </w:r>
      <w:r w:rsidRPr="00CD3544" w:rsidR="00B6031A">
        <w:rPr>
          <w:b/>
          <w:szCs w:val="22"/>
        </w:rPr>
        <w:t>31</w:t>
      </w:r>
      <w:r w:rsidRPr="004375ED" w:rsidR="00D51BA1">
        <w:rPr>
          <w:b/>
          <w:szCs w:val="22"/>
        </w:rPr>
        <w:t>, 20</w:t>
      </w:r>
      <w:r w:rsidR="00B6031A">
        <w:rPr>
          <w:b/>
          <w:szCs w:val="22"/>
        </w:rPr>
        <w:t>19</w:t>
      </w:r>
    </w:p>
    <w:p w:rsidR="00013A8B" w:rsidRPr="004375ED" w:rsidP="00013A8B">
      <w:pPr>
        <w:jc w:val="right"/>
        <w:rPr>
          <w:szCs w:val="22"/>
        </w:rPr>
      </w:pPr>
    </w:p>
    <w:p w:rsidR="00D51BA1" w:rsidRPr="004375ED" w:rsidP="00D51BA1">
      <w:pPr>
        <w:ind w:firstLine="720"/>
        <w:rPr>
          <w:b/>
          <w:caps/>
          <w:szCs w:val="22"/>
        </w:rPr>
      </w:pPr>
      <w:r w:rsidRPr="004375ED">
        <w:rPr>
          <w:b/>
          <w:caps/>
          <w:szCs w:val="22"/>
        </w:rPr>
        <w:t xml:space="preserve">MEDIA BUREAU ANNOUNCES </w:t>
      </w:r>
      <w:r w:rsidRPr="004375ED" w:rsidR="008D1610">
        <w:rPr>
          <w:b/>
          <w:caps/>
          <w:szCs w:val="22"/>
        </w:rPr>
        <w:t xml:space="preserve">COMMENT AND REPLY </w:t>
      </w:r>
      <w:r>
        <w:rPr>
          <w:b/>
          <w:caps/>
          <w:szCs w:val="22"/>
        </w:rPr>
        <w:t xml:space="preserve">COMMENT </w:t>
      </w:r>
      <w:r w:rsidRPr="004375ED" w:rsidR="008D1610">
        <w:rPr>
          <w:b/>
          <w:caps/>
          <w:szCs w:val="22"/>
        </w:rPr>
        <w:t>DEADLINES FOR PROPOSAL TO MODIFY OR ELIMINATE THE RADIO DUPLICATION RULE</w:t>
      </w:r>
      <w:r w:rsidRPr="004375ED">
        <w:rPr>
          <w:b/>
          <w:caps/>
          <w:szCs w:val="22"/>
        </w:rPr>
        <w:t xml:space="preserve"> </w:t>
      </w:r>
    </w:p>
    <w:p w:rsidR="00660F71" w:rsidRPr="004375ED" w:rsidP="00D51BA1">
      <w:pPr>
        <w:ind w:firstLine="720"/>
        <w:rPr>
          <w:b/>
          <w:caps/>
          <w:szCs w:val="22"/>
        </w:rPr>
      </w:pPr>
    </w:p>
    <w:p w:rsidR="00660F71" w:rsidRPr="004375ED" w:rsidP="00660F71">
      <w:pPr>
        <w:jc w:val="center"/>
        <w:rPr>
          <w:b/>
          <w:szCs w:val="22"/>
        </w:rPr>
      </w:pPr>
      <w:r w:rsidRPr="004375ED">
        <w:rPr>
          <w:b/>
          <w:szCs w:val="22"/>
        </w:rPr>
        <w:t xml:space="preserve">MB Docket Nos. </w:t>
      </w:r>
      <w:r w:rsidRPr="004375ED" w:rsidR="008D1610">
        <w:rPr>
          <w:b/>
          <w:szCs w:val="22"/>
        </w:rPr>
        <w:t>19</w:t>
      </w:r>
      <w:r w:rsidRPr="004375ED">
        <w:rPr>
          <w:b/>
          <w:szCs w:val="22"/>
        </w:rPr>
        <w:t>-</w:t>
      </w:r>
      <w:r w:rsidRPr="004375ED" w:rsidR="005E5DBF">
        <w:rPr>
          <w:b/>
          <w:szCs w:val="22"/>
        </w:rPr>
        <w:t>310</w:t>
      </w:r>
      <w:r w:rsidRPr="004375ED">
        <w:rPr>
          <w:b/>
          <w:szCs w:val="22"/>
        </w:rPr>
        <w:t xml:space="preserve"> and 17-</w:t>
      </w:r>
      <w:r w:rsidRPr="004375ED" w:rsidR="005E5DBF">
        <w:rPr>
          <w:b/>
          <w:szCs w:val="22"/>
        </w:rPr>
        <w:t>105</w:t>
      </w:r>
    </w:p>
    <w:p w:rsidR="00660F71" w:rsidRPr="004375ED" w:rsidP="00660F71">
      <w:pPr>
        <w:rPr>
          <w:b/>
          <w:caps/>
          <w:szCs w:val="22"/>
        </w:rPr>
      </w:pPr>
    </w:p>
    <w:p w:rsidR="000D0A47" w:rsidP="000D0A47">
      <w:pPr>
        <w:widowControl/>
        <w:autoSpaceDE w:val="0"/>
        <w:autoSpaceDN w:val="0"/>
        <w:adjustRightInd w:val="0"/>
        <w:rPr>
          <w:rFonts w:ascii="TimesNewRomanPS-BoldMT" w:hAnsi="TimesNewRomanPS-BoldMT" w:cs="TimesNewRomanPS-BoldMT"/>
          <w:b/>
          <w:bCs/>
          <w:snapToGrid/>
          <w:kern w:val="0"/>
          <w:szCs w:val="22"/>
        </w:rPr>
      </w:pPr>
      <w:r>
        <w:rPr>
          <w:rFonts w:ascii="TimesNewRomanPS-BoldMT" w:hAnsi="TimesNewRomanPS-BoldMT" w:cs="TimesNewRomanPS-BoldMT"/>
          <w:b/>
          <w:bCs/>
          <w:snapToGrid/>
          <w:kern w:val="0"/>
          <w:szCs w:val="22"/>
        </w:rPr>
        <w:t>Comment Date:  January 22, 2020</w:t>
      </w:r>
    </w:p>
    <w:p w:rsidR="000D0A47" w:rsidP="000D0A47">
      <w:pPr>
        <w:rPr>
          <w:rFonts w:ascii="TimesNewRomanPS-BoldMT" w:hAnsi="TimesNewRomanPS-BoldMT" w:cs="TimesNewRomanPS-BoldMT"/>
          <w:b/>
          <w:bCs/>
          <w:snapToGrid/>
          <w:kern w:val="0"/>
          <w:szCs w:val="22"/>
        </w:rPr>
      </w:pPr>
      <w:r>
        <w:rPr>
          <w:rFonts w:ascii="TimesNewRomanPS-BoldMT" w:hAnsi="TimesNewRomanPS-BoldMT" w:cs="TimesNewRomanPS-BoldMT"/>
          <w:b/>
          <w:bCs/>
          <w:snapToGrid/>
          <w:kern w:val="0"/>
          <w:szCs w:val="22"/>
        </w:rPr>
        <w:t>Reply Comment Date:  February 6, 2020</w:t>
      </w:r>
    </w:p>
    <w:p w:rsidR="000D0A47" w:rsidP="000D0A47">
      <w:pPr>
        <w:rPr>
          <w:szCs w:val="22"/>
        </w:rPr>
      </w:pPr>
    </w:p>
    <w:p w:rsidR="005E5DBF" w:rsidRPr="004375ED" w:rsidP="005E5DBF">
      <w:pPr>
        <w:ind w:firstLine="720"/>
        <w:rPr>
          <w:szCs w:val="22"/>
        </w:rPr>
      </w:pPr>
      <w:r w:rsidRPr="004375ED">
        <w:rPr>
          <w:szCs w:val="22"/>
        </w:rPr>
        <w:t xml:space="preserve">On November 25, 2019, the Commission released a Notice of Proposed Rulemaking </w:t>
      </w:r>
      <w:r w:rsidR="000D0A47">
        <w:rPr>
          <w:szCs w:val="22"/>
        </w:rPr>
        <w:t xml:space="preserve">(NPRM) </w:t>
      </w:r>
      <w:r w:rsidRPr="004375ED">
        <w:rPr>
          <w:szCs w:val="22"/>
        </w:rPr>
        <w:t xml:space="preserve">seeking comment on whether it should modify or eliminate section </w:t>
      </w:r>
      <w:bookmarkStart w:id="1" w:name="_Hlk21422011"/>
      <w:r w:rsidRPr="004375ED">
        <w:rPr>
          <w:szCs w:val="22"/>
        </w:rPr>
        <w:t xml:space="preserve">73.3556 </w:t>
      </w:r>
      <w:bookmarkEnd w:id="1"/>
      <w:r w:rsidRPr="004375ED">
        <w:rPr>
          <w:szCs w:val="22"/>
        </w:rPr>
        <w:t>of the Commission’s rules (the radio duplication rule).</w:t>
      </w:r>
      <w:r>
        <w:rPr>
          <w:rStyle w:val="FootnoteReference"/>
          <w:szCs w:val="22"/>
        </w:rPr>
        <w:footnoteReference w:id="3"/>
      </w:r>
      <w:r w:rsidRPr="004375ED">
        <w:rPr>
          <w:szCs w:val="22"/>
        </w:rPr>
        <w:t xml:space="preserve">  The rule prohibits any commercial AM or FM radio station from devoting “more than 25 percent of the total hours in its average broadcast week to programs that duplicate those of any other station in the same-service (AM or FM) which is commonly owned or with which it has a time brokerage agreement if the principal community contours . . . of the stations overlap and the overlap constitutes more than 50 percent of the total principal community contour service area of either station.</w:t>
      </w:r>
      <w:r w:rsidR="000D0A47">
        <w:rPr>
          <w:szCs w:val="22"/>
        </w:rPr>
        <w:t>”</w:t>
      </w:r>
      <w:r>
        <w:rPr>
          <w:rStyle w:val="FootnoteReference"/>
          <w:szCs w:val="22"/>
        </w:rPr>
        <w:footnoteReference w:id="4"/>
      </w:r>
      <w:r w:rsidRPr="004375ED">
        <w:rPr>
          <w:szCs w:val="22"/>
        </w:rPr>
        <w:t xml:space="preserve">  The </w:t>
      </w:r>
      <w:r w:rsidRPr="004375ED" w:rsidR="004375ED">
        <w:rPr>
          <w:szCs w:val="22"/>
        </w:rPr>
        <w:t>Commission</w:t>
      </w:r>
      <w:r w:rsidRPr="004375ED">
        <w:rPr>
          <w:szCs w:val="22"/>
        </w:rPr>
        <w:t xml:space="preserve"> set deadlines for filing comments and reply comments at 30 and 45 days, respectively, after publication of the </w:t>
      </w:r>
      <w:r w:rsidR="000D0A47">
        <w:rPr>
          <w:szCs w:val="22"/>
        </w:rPr>
        <w:t>NPRM</w:t>
      </w:r>
      <w:r w:rsidRPr="004375ED">
        <w:rPr>
          <w:szCs w:val="22"/>
        </w:rPr>
        <w:t xml:space="preserve"> in the Federal Register.</w:t>
      </w:r>
      <w:r>
        <w:rPr>
          <w:rStyle w:val="FootnoteReference"/>
          <w:szCs w:val="22"/>
        </w:rPr>
        <w:footnoteReference w:id="5"/>
      </w:r>
    </w:p>
    <w:p w:rsidR="008D1610" w:rsidRPr="004375ED" w:rsidP="008D1610">
      <w:pPr>
        <w:ind w:firstLine="720"/>
        <w:rPr>
          <w:szCs w:val="22"/>
        </w:rPr>
      </w:pPr>
    </w:p>
    <w:p w:rsidR="008D1610" w:rsidRPr="004375ED" w:rsidP="008D1610">
      <w:pPr>
        <w:ind w:firstLine="720"/>
        <w:rPr>
          <w:szCs w:val="22"/>
        </w:rPr>
      </w:pPr>
      <w:r w:rsidRPr="004375ED">
        <w:rPr>
          <w:szCs w:val="22"/>
        </w:rPr>
        <w:t xml:space="preserve">The summary of the </w:t>
      </w:r>
      <w:r w:rsidR="000D0A47">
        <w:rPr>
          <w:szCs w:val="22"/>
        </w:rPr>
        <w:t>NPRM</w:t>
      </w:r>
      <w:r w:rsidRPr="004375ED">
        <w:rPr>
          <w:i/>
          <w:szCs w:val="22"/>
        </w:rPr>
        <w:t xml:space="preserve"> </w:t>
      </w:r>
      <w:r w:rsidRPr="004375ED">
        <w:rPr>
          <w:szCs w:val="22"/>
        </w:rPr>
        <w:t>was published in the Federal Register on Monday, December 23, 2019.</w:t>
      </w:r>
      <w:r>
        <w:rPr>
          <w:rStyle w:val="FootnoteReference"/>
          <w:szCs w:val="22"/>
        </w:rPr>
        <w:footnoteReference w:id="6"/>
      </w:r>
      <w:r w:rsidRPr="004375ED">
        <w:rPr>
          <w:szCs w:val="22"/>
        </w:rPr>
        <w:t xml:space="preserve">  Accordingly, comments will be due on or before January 22, 2020, and reply comments on or before February 6, 2020.  Commenters should follow the filing instructions provided in the </w:t>
      </w:r>
      <w:r w:rsidR="008B0BAC">
        <w:rPr>
          <w:szCs w:val="22"/>
        </w:rPr>
        <w:t>NPRM</w:t>
      </w:r>
      <w:r w:rsidRPr="004375ED">
        <w:rPr>
          <w:szCs w:val="22"/>
        </w:rPr>
        <w:t>.</w:t>
      </w:r>
      <w:r>
        <w:rPr>
          <w:rStyle w:val="FootnoteReference"/>
          <w:szCs w:val="22"/>
        </w:rPr>
        <w:footnoteReference w:id="7"/>
      </w:r>
      <w:r w:rsidRPr="004375ED">
        <w:rPr>
          <w:szCs w:val="22"/>
        </w:rPr>
        <w:t xml:space="preserve">  </w:t>
      </w:r>
    </w:p>
    <w:p w:rsidR="00D51BA1" w:rsidRPr="004375ED" w:rsidP="00D51BA1">
      <w:pPr>
        <w:autoSpaceDE w:val="0"/>
        <w:autoSpaceDN w:val="0"/>
        <w:adjustRightInd w:val="0"/>
        <w:rPr>
          <w:szCs w:val="22"/>
        </w:rPr>
      </w:pPr>
    </w:p>
    <w:p w:rsidR="00D51BA1" w:rsidRPr="004375ED" w:rsidP="00D51BA1">
      <w:pPr>
        <w:keepNext/>
        <w:keepLines/>
        <w:ind w:firstLine="720"/>
        <w:rPr>
          <w:szCs w:val="22"/>
        </w:rPr>
      </w:pPr>
      <w:r w:rsidRPr="004375ED">
        <w:rPr>
          <w:szCs w:val="22"/>
        </w:rPr>
        <w:t>For additional information please contact</w:t>
      </w:r>
      <w:r w:rsidRPr="004375ED" w:rsidR="008D1610">
        <w:rPr>
          <w:szCs w:val="22"/>
        </w:rPr>
        <w:t xml:space="preserve"> Julie Saulnier of the Media Bureau Industry Analysis Division, 202-418-1598 or </w:t>
      </w:r>
      <w:hyperlink r:id="rId5" w:history="1">
        <w:r w:rsidRPr="004375ED" w:rsidR="008D1610">
          <w:rPr>
            <w:rStyle w:val="Hyperlink"/>
            <w:szCs w:val="22"/>
          </w:rPr>
          <w:t>Julie.Saulnier@fcc.gov</w:t>
        </w:r>
      </w:hyperlink>
      <w:r w:rsidRPr="004375ED" w:rsidR="008D1610">
        <w:rPr>
          <w:szCs w:val="22"/>
        </w:rPr>
        <w:t xml:space="preserve">. </w:t>
      </w:r>
      <w:r w:rsidRPr="004375ED">
        <w:rPr>
          <w:szCs w:val="22"/>
        </w:rPr>
        <w:t xml:space="preserve"> Press inquiries should be directed to Janice Wise, </w:t>
      </w:r>
      <w:hyperlink r:id="rId6" w:history="1">
        <w:r w:rsidRPr="004375ED">
          <w:rPr>
            <w:rStyle w:val="Hyperlink"/>
            <w:szCs w:val="22"/>
          </w:rPr>
          <w:t>Janice.Wise@fcc.gov</w:t>
        </w:r>
      </w:hyperlink>
      <w:r w:rsidRPr="004375ED">
        <w:rPr>
          <w:szCs w:val="22"/>
        </w:rPr>
        <w:t xml:space="preserve">, at (202) 418-8165. </w:t>
      </w:r>
    </w:p>
    <w:p w:rsidR="00D51BA1" w:rsidRPr="004375ED" w:rsidP="00D51BA1">
      <w:pPr>
        <w:keepNext/>
        <w:keepLines/>
        <w:rPr>
          <w:szCs w:val="22"/>
        </w:rPr>
      </w:pPr>
    </w:p>
    <w:p w:rsidR="00930ECF" w:rsidRPr="004375ED" w:rsidP="00D51BA1">
      <w:pPr>
        <w:keepNext/>
        <w:keepLines/>
        <w:jc w:val="center"/>
        <w:rPr>
          <w:b/>
          <w:szCs w:val="22"/>
        </w:rPr>
      </w:pPr>
      <w:r w:rsidRPr="004375ED">
        <w:rPr>
          <w:b/>
          <w:szCs w:val="22"/>
        </w:rPr>
        <w:t>- FCC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0D28">
      <w:r>
        <w:separator/>
      </w:r>
    </w:p>
  </w:footnote>
  <w:footnote w:type="continuationSeparator" w:id="1">
    <w:p w:rsidR="005F0D28">
      <w:pPr>
        <w:rPr>
          <w:sz w:val="20"/>
        </w:rPr>
      </w:pPr>
      <w:r>
        <w:rPr>
          <w:sz w:val="20"/>
        </w:rPr>
        <w:t xml:space="preserve">(Continued from previous page)  </w:t>
      </w:r>
      <w:r>
        <w:rPr>
          <w:sz w:val="20"/>
        </w:rPr>
        <w:separator/>
      </w:r>
    </w:p>
  </w:footnote>
  <w:footnote w:type="continuationNotice" w:id="2">
    <w:p w:rsidR="005F0D28" w:rsidP="00910F12">
      <w:pPr>
        <w:jc w:val="right"/>
        <w:rPr>
          <w:sz w:val="20"/>
        </w:rPr>
      </w:pPr>
      <w:r>
        <w:rPr>
          <w:sz w:val="20"/>
        </w:rPr>
        <w:t>(continued….)</w:t>
      </w:r>
    </w:p>
  </w:footnote>
  <w:footnote w:id="3">
    <w:p w:rsidR="004375ED" w:rsidRPr="005E5DBF" w:rsidP="004375ED">
      <w:pPr>
        <w:tabs>
          <w:tab w:val="center" w:pos="4680"/>
        </w:tabs>
        <w:suppressAutoHyphens/>
        <w:spacing w:after="120"/>
        <w:rPr>
          <w:sz w:val="20"/>
        </w:rPr>
      </w:pPr>
      <w:r>
        <w:rPr>
          <w:rStyle w:val="FootnoteReference"/>
        </w:rPr>
        <w:footnoteRef/>
      </w:r>
      <w:r>
        <w:t xml:space="preserve"> </w:t>
      </w:r>
      <w:r w:rsidRPr="005E5DBF">
        <w:rPr>
          <w:i/>
          <w:spacing w:val="-2"/>
          <w:sz w:val="20"/>
        </w:rPr>
        <w:t>Amendment of Section 73.3556 of the Commission’s Rules Regarding Duplication of Programming on Commonly Owned Radio Stations</w:t>
      </w:r>
      <w:r>
        <w:rPr>
          <w:i/>
          <w:spacing w:val="-2"/>
          <w:sz w:val="20"/>
        </w:rPr>
        <w:t xml:space="preserve">, Modernization of Media Regulation Initiative, </w:t>
      </w:r>
      <w:r>
        <w:rPr>
          <w:spacing w:val="-2"/>
          <w:sz w:val="20"/>
        </w:rPr>
        <w:t>MB Docket Nos. 19-310 and 17-105, Notice of Proposed Rulemaking, FCC 19-122 (rel. Nov. 25, 2019)</w:t>
      </w:r>
      <w:r>
        <w:rPr>
          <w:spacing w:val="-2"/>
          <w:sz w:val="20"/>
        </w:rPr>
        <w:t xml:space="preserve"> (</w:t>
      </w:r>
      <w:r w:rsidRPr="004375ED">
        <w:rPr>
          <w:i/>
          <w:spacing w:val="-2"/>
          <w:sz w:val="20"/>
        </w:rPr>
        <w:t>NPRM</w:t>
      </w:r>
      <w:r>
        <w:rPr>
          <w:spacing w:val="-2"/>
          <w:sz w:val="20"/>
        </w:rPr>
        <w:t>)</w:t>
      </w:r>
      <w:r>
        <w:rPr>
          <w:spacing w:val="-2"/>
          <w:sz w:val="20"/>
        </w:rPr>
        <w:t>.</w:t>
      </w:r>
    </w:p>
  </w:footnote>
  <w:footnote w:id="4">
    <w:p w:rsidR="005E5DBF">
      <w:pPr>
        <w:pStyle w:val="FootnoteText"/>
      </w:pPr>
      <w:r>
        <w:rPr>
          <w:rStyle w:val="FootnoteReference"/>
        </w:rPr>
        <w:footnoteRef/>
      </w:r>
      <w:r>
        <w:t xml:space="preserve"> </w:t>
      </w:r>
      <w:r w:rsidR="004375ED">
        <w:t>47 CFR § 73.3556.</w:t>
      </w:r>
    </w:p>
  </w:footnote>
  <w:footnote w:id="5">
    <w:p w:rsidR="005E5DBF" w:rsidRPr="00303B1C" w:rsidP="005E5DBF">
      <w:pPr>
        <w:pStyle w:val="FootnoteText"/>
      </w:pPr>
      <w:r w:rsidRPr="00303B1C">
        <w:rPr>
          <w:rStyle w:val="FootnoteReference"/>
        </w:rPr>
        <w:footnoteRef/>
      </w:r>
      <w:r w:rsidRPr="00303B1C">
        <w:t xml:space="preserve"> </w:t>
      </w:r>
      <w:r w:rsidRPr="004375ED" w:rsidR="004375ED">
        <w:rPr>
          <w:i/>
        </w:rPr>
        <w:t>NPRM</w:t>
      </w:r>
      <w:r w:rsidRPr="00303B1C">
        <w:t xml:space="preserve"> at 1.</w:t>
      </w:r>
    </w:p>
  </w:footnote>
  <w:footnote w:id="6">
    <w:p w:rsidR="008D1610" w:rsidRPr="00303B1C" w:rsidP="008D1610">
      <w:pPr>
        <w:pStyle w:val="FootnoteText"/>
      </w:pPr>
      <w:r w:rsidRPr="00303B1C">
        <w:rPr>
          <w:rStyle w:val="FootnoteReference"/>
        </w:rPr>
        <w:footnoteRef/>
      </w:r>
      <w:r w:rsidRPr="00303B1C">
        <w:t xml:space="preserve"> </w:t>
      </w:r>
      <w:r>
        <w:t>84</w:t>
      </w:r>
      <w:r w:rsidRPr="00303B1C">
        <w:t xml:space="preserve"> FR </w:t>
      </w:r>
      <w:r>
        <w:t>7048</w:t>
      </w:r>
      <w:r w:rsidR="004375ED">
        <w:t>5</w:t>
      </w:r>
      <w:r w:rsidRPr="00303B1C">
        <w:t xml:space="preserve"> </w:t>
      </w:r>
      <w:r>
        <w:t>(Dec. 23, 2019</w:t>
      </w:r>
      <w:r w:rsidRPr="00303B1C">
        <w:t>).</w:t>
      </w:r>
    </w:p>
  </w:footnote>
  <w:footnote w:id="7">
    <w:p w:rsidR="008D1610" w:rsidRPr="00303B1C" w:rsidP="008D1610">
      <w:pPr>
        <w:pStyle w:val="FootnoteText"/>
      </w:pPr>
      <w:r w:rsidRPr="00303B1C">
        <w:rPr>
          <w:rStyle w:val="FootnoteReference"/>
        </w:rPr>
        <w:footnoteRef/>
      </w:r>
      <w:r w:rsidR="004375ED">
        <w:t xml:space="preserve"> </w:t>
      </w:r>
      <w:r w:rsidRPr="004375ED" w:rsidR="004375ED">
        <w:rPr>
          <w:i/>
        </w:rPr>
        <w:t>NPRM</w:t>
      </w:r>
      <w:r w:rsidR="004375ED">
        <w:t xml:space="preserve"> at 7-8, para.19</w:t>
      </w:r>
      <w:r w:rsidRPr="00303B1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51BA1">
      <w:rPr>
        <w:b/>
      </w:rPr>
      <w:t>DA 19-1305</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16816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A1"/>
    <w:rsid w:val="000072CE"/>
    <w:rsid w:val="00013A8B"/>
    <w:rsid w:val="00021445"/>
    <w:rsid w:val="00036039"/>
    <w:rsid w:val="00037F90"/>
    <w:rsid w:val="00070599"/>
    <w:rsid w:val="000875BF"/>
    <w:rsid w:val="00096D8C"/>
    <w:rsid w:val="000C0B65"/>
    <w:rsid w:val="000D0A47"/>
    <w:rsid w:val="000E3D42"/>
    <w:rsid w:val="000E5884"/>
    <w:rsid w:val="00105E98"/>
    <w:rsid w:val="00122BD5"/>
    <w:rsid w:val="001979D9"/>
    <w:rsid w:val="001D6BCF"/>
    <w:rsid w:val="001E01CA"/>
    <w:rsid w:val="002060D9"/>
    <w:rsid w:val="00226822"/>
    <w:rsid w:val="00260594"/>
    <w:rsid w:val="00285017"/>
    <w:rsid w:val="002A2D2E"/>
    <w:rsid w:val="00303B1C"/>
    <w:rsid w:val="00343749"/>
    <w:rsid w:val="00357D50"/>
    <w:rsid w:val="003925DC"/>
    <w:rsid w:val="003A5C5E"/>
    <w:rsid w:val="003B0550"/>
    <w:rsid w:val="003B694F"/>
    <w:rsid w:val="003F171C"/>
    <w:rsid w:val="00412FC5"/>
    <w:rsid w:val="00422276"/>
    <w:rsid w:val="004242F1"/>
    <w:rsid w:val="004375ED"/>
    <w:rsid w:val="00445A00"/>
    <w:rsid w:val="00451B0F"/>
    <w:rsid w:val="0046004A"/>
    <w:rsid w:val="0046125F"/>
    <w:rsid w:val="00473A48"/>
    <w:rsid w:val="00487524"/>
    <w:rsid w:val="00496106"/>
    <w:rsid w:val="004C12D0"/>
    <w:rsid w:val="004C2EE3"/>
    <w:rsid w:val="004D141F"/>
    <w:rsid w:val="004E10E6"/>
    <w:rsid w:val="004E4A22"/>
    <w:rsid w:val="00511968"/>
    <w:rsid w:val="0055614C"/>
    <w:rsid w:val="00571F8B"/>
    <w:rsid w:val="005E5DBF"/>
    <w:rsid w:val="005F0D28"/>
    <w:rsid w:val="00607BA5"/>
    <w:rsid w:val="00626EB6"/>
    <w:rsid w:val="006353A3"/>
    <w:rsid w:val="00655D03"/>
    <w:rsid w:val="00660F71"/>
    <w:rsid w:val="00683F84"/>
    <w:rsid w:val="006A6A81"/>
    <w:rsid w:val="006E26AF"/>
    <w:rsid w:val="006F7393"/>
    <w:rsid w:val="0070224F"/>
    <w:rsid w:val="007115F7"/>
    <w:rsid w:val="00785689"/>
    <w:rsid w:val="0079754B"/>
    <w:rsid w:val="007A1E6D"/>
    <w:rsid w:val="00822CE0"/>
    <w:rsid w:val="00837C62"/>
    <w:rsid w:val="00841AB1"/>
    <w:rsid w:val="008B0BAC"/>
    <w:rsid w:val="008C22FD"/>
    <w:rsid w:val="008C6D0B"/>
    <w:rsid w:val="008D1610"/>
    <w:rsid w:val="008F35CD"/>
    <w:rsid w:val="008F62FD"/>
    <w:rsid w:val="00903C42"/>
    <w:rsid w:val="00910F12"/>
    <w:rsid w:val="00926503"/>
    <w:rsid w:val="00930ECF"/>
    <w:rsid w:val="009838BC"/>
    <w:rsid w:val="009A4437"/>
    <w:rsid w:val="00A45F4F"/>
    <w:rsid w:val="00A600A9"/>
    <w:rsid w:val="00A76F87"/>
    <w:rsid w:val="00A866AC"/>
    <w:rsid w:val="00AA55B7"/>
    <w:rsid w:val="00AA5B9E"/>
    <w:rsid w:val="00AB2407"/>
    <w:rsid w:val="00AB53DF"/>
    <w:rsid w:val="00AD3284"/>
    <w:rsid w:val="00B07E5C"/>
    <w:rsid w:val="00B20363"/>
    <w:rsid w:val="00B326E3"/>
    <w:rsid w:val="00B600DC"/>
    <w:rsid w:val="00B6031A"/>
    <w:rsid w:val="00B811F7"/>
    <w:rsid w:val="00BA3BB4"/>
    <w:rsid w:val="00BA5DC6"/>
    <w:rsid w:val="00BA6196"/>
    <w:rsid w:val="00BC6D8C"/>
    <w:rsid w:val="00BF5586"/>
    <w:rsid w:val="00C16AF2"/>
    <w:rsid w:val="00C34006"/>
    <w:rsid w:val="00C426B1"/>
    <w:rsid w:val="00C74493"/>
    <w:rsid w:val="00C82B6B"/>
    <w:rsid w:val="00C90D6A"/>
    <w:rsid w:val="00CC72B6"/>
    <w:rsid w:val="00CD3544"/>
    <w:rsid w:val="00D0218D"/>
    <w:rsid w:val="00D216CD"/>
    <w:rsid w:val="00D51BA1"/>
    <w:rsid w:val="00DA2529"/>
    <w:rsid w:val="00DB130A"/>
    <w:rsid w:val="00DC10A1"/>
    <w:rsid w:val="00DC655F"/>
    <w:rsid w:val="00DD7EBD"/>
    <w:rsid w:val="00DF62B6"/>
    <w:rsid w:val="00E07225"/>
    <w:rsid w:val="00E155B7"/>
    <w:rsid w:val="00E5409F"/>
    <w:rsid w:val="00EB7E3C"/>
    <w:rsid w:val="00EC0185"/>
    <w:rsid w:val="00F021FA"/>
    <w:rsid w:val="00F567BF"/>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98FA5B9-A3C8-46F7-8C71-5CF5C97E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E3C"/>
    <w:pPr>
      <w:widowControl w:val="0"/>
    </w:pPr>
    <w:rPr>
      <w:snapToGrid w:val="0"/>
      <w:kern w:val="28"/>
      <w:sz w:val="22"/>
    </w:rPr>
  </w:style>
  <w:style w:type="paragraph" w:styleId="Heading1">
    <w:name w:val="heading 1"/>
    <w:basedOn w:val="Normal"/>
    <w:next w:val="ParaNum"/>
    <w:qFormat/>
    <w:rsid w:val="00EB7E3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B7E3C"/>
    <w:pPr>
      <w:keepNext/>
      <w:numPr>
        <w:ilvl w:val="1"/>
        <w:numId w:val="3"/>
      </w:numPr>
      <w:spacing w:after="120"/>
      <w:outlineLvl w:val="1"/>
    </w:pPr>
    <w:rPr>
      <w:b/>
    </w:rPr>
  </w:style>
  <w:style w:type="paragraph" w:styleId="Heading3">
    <w:name w:val="heading 3"/>
    <w:basedOn w:val="Normal"/>
    <w:next w:val="ParaNum"/>
    <w:qFormat/>
    <w:rsid w:val="00EB7E3C"/>
    <w:pPr>
      <w:keepNext/>
      <w:numPr>
        <w:ilvl w:val="2"/>
        <w:numId w:val="3"/>
      </w:numPr>
      <w:tabs>
        <w:tab w:val="left" w:pos="2160"/>
      </w:tabs>
      <w:spacing w:after="120"/>
      <w:outlineLvl w:val="2"/>
    </w:pPr>
    <w:rPr>
      <w:b/>
    </w:rPr>
  </w:style>
  <w:style w:type="paragraph" w:styleId="Heading4">
    <w:name w:val="heading 4"/>
    <w:basedOn w:val="Normal"/>
    <w:next w:val="ParaNum"/>
    <w:qFormat/>
    <w:rsid w:val="00EB7E3C"/>
    <w:pPr>
      <w:keepNext/>
      <w:numPr>
        <w:ilvl w:val="3"/>
        <w:numId w:val="3"/>
      </w:numPr>
      <w:tabs>
        <w:tab w:val="left" w:pos="2880"/>
      </w:tabs>
      <w:spacing w:after="120"/>
      <w:outlineLvl w:val="3"/>
    </w:pPr>
    <w:rPr>
      <w:b/>
    </w:rPr>
  </w:style>
  <w:style w:type="paragraph" w:styleId="Heading5">
    <w:name w:val="heading 5"/>
    <w:basedOn w:val="Normal"/>
    <w:next w:val="ParaNum"/>
    <w:qFormat/>
    <w:rsid w:val="00EB7E3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B7E3C"/>
    <w:pPr>
      <w:numPr>
        <w:ilvl w:val="5"/>
        <w:numId w:val="3"/>
      </w:numPr>
      <w:tabs>
        <w:tab w:val="left" w:pos="4320"/>
      </w:tabs>
      <w:spacing w:after="120"/>
      <w:outlineLvl w:val="5"/>
    </w:pPr>
    <w:rPr>
      <w:b/>
    </w:rPr>
  </w:style>
  <w:style w:type="paragraph" w:styleId="Heading7">
    <w:name w:val="heading 7"/>
    <w:basedOn w:val="Normal"/>
    <w:next w:val="ParaNum"/>
    <w:qFormat/>
    <w:rsid w:val="00EB7E3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B7E3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B7E3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EB7E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B7E3C"/>
  </w:style>
  <w:style w:type="paragraph" w:customStyle="1" w:styleId="ParaNum">
    <w:name w:val="ParaNum"/>
    <w:basedOn w:val="Normal"/>
    <w:rsid w:val="00EB7E3C"/>
    <w:pPr>
      <w:numPr>
        <w:numId w:val="2"/>
      </w:numPr>
      <w:tabs>
        <w:tab w:val="clear" w:pos="1080"/>
        <w:tab w:val="num" w:pos="1440"/>
      </w:tabs>
      <w:spacing w:after="120"/>
    </w:pPr>
  </w:style>
  <w:style w:type="paragraph" w:styleId="EndnoteText">
    <w:name w:val="endnote text"/>
    <w:basedOn w:val="Normal"/>
    <w:semiHidden/>
    <w:rsid w:val="00EB7E3C"/>
    <w:rPr>
      <w:sz w:val="20"/>
    </w:rPr>
  </w:style>
  <w:style w:type="character" w:styleId="EndnoteReference">
    <w:name w:val="endnote reference"/>
    <w:semiHidden/>
    <w:rsid w:val="00EB7E3C"/>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rsid w:val="00EB7E3C"/>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B7E3C"/>
    <w:rPr>
      <w:rFonts w:ascii="Times New Roman" w:hAnsi="Times New Roman"/>
      <w:dstrike w:val="0"/>
      <w:color w:val="auto"/>
      <w:sz w:val="22"/>
      <w:vertAlign w:val="superscript"/>
    </w:rPr>
  </w:style>
  <w:style w:type="paragraph" w:styleId="TOC1">
    <w:name w:val="toc 1"/>
    <w:basedOn w:val="Normal"/>
    <w:next w:val="Normal"/>
    <w:uiPriority w:val="39"/>
    <w:rsid w:val="00EB7E3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B7E3C"/>
    <w:pPr>
      <w:tabs>
        <w:tab w:val="left" w:pos="720"/>
        <w:tab w:val="right" w:leader="dot" w:pos="9360"/>
      </w:tabs>
      <w:suppressAutoHyphens/>
      <w:ind w:left="720" w:right="720" w:hanging="360"/>
    </w:pPr>
    <w:rPr>
      <w:noProof/>
    </w:rPr>
  </w:style>
  <w:style w:type="paragraph" w:styleId="TOC3">
    <w:name w:val="toc 3"/>
    <w:basedOn w:val="Normal"/>
    <w:next w:val="Normal"/>
    <w:semiHidden/>
    <w:rsid w:val="00EB7E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B7E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B7E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B7E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B7E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B7E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B7E3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B7E3C"/>
    <w:pPr>
      <w:tabs>
        <w:tab w:val="right" w:pos="9360"/>
      </w:tabs>
      <w:suppressAutoHyphens/>
    </w:pPr>
  </w:style>
  <w:style w:type="character" w:customStyle="1" w:styleId="EquationCaption">
    <w:name w:val="_Equation Caption"/>
    <w:rsid w:val="00EB7E3C"/>
  </w:style>
  <w:style w:type="paragraph" w:styleId="Header">
    <w:name w:val="header"/>
    <w:basedOn w:val="Normal"/>
    <w:autoRedefine/>
    <w:rsid w:val="00EB7E3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EB7E3C"/>
    <w:pPr>
      <w:tabs>
        <w:tab w:val="center" w:pos="4320"/>
        <w:tab w:val="right" w:pos="8640"/>
      </w:tabs>
    </w:pPr>
  </w:style>
  <w:style w:type="character" w:styleId="PageNumber">
    <w:name w:val="page number"/>
    <w:basedOn w:val="DefaultParagraphFont"/>
    <w:rsid w:val="00EB7E3C"/>
  </w:style>
  <w:style w:type="paragraph" w:styleId="BlockText">
    <w:name w:val="Block Text"/>
    <w:basedOn w:val="Normal"/>
    <w:rsid w:val="00EB7E3C"/>
    <w:pPr>
      <w:spacing w:after="240"/>
      <w:ind w:left="1440" w:right="1440"/>
    </w:pPr>
  </w:style>
  <w:style w:type="paragraph" w:customStyle="1" w:styleId="Paratitle">
    <w:name w:val="Para title"/>
    <w:basedOn w:val="Normal"/>
    <w:rsid w:val="00EB7E3C"/>
    <w:pPr>
      <w:tabs>
        <w:tab w:val="center" w:pos="9270"/>
      </w:tabs>
      <w:spacing w:after="240"/>
    </w:pPr>
    <w:rPr>
      <w:spacing w:val="-2"/>
    </w:rPr>
  </w:style>
  <w:style w:type="paragraph" w:customStyle="1" w:styleId="Bullet">
    <w:name w:val="Bullet"/>
    <w:basedOn w:val="Normal"/>
    <w:rsid w:val="00EB7E3C"/>
    <w:pPr>
      <w:numPr>
        <w:numId w:val="1"/>
      </w:numPr>
      <w:tabs>
        <w:tab w:val="clear" w:pos="360"/>
        <w:tab w:val="left" w:pos="2160"/>
      </w:tabs>
      <w:spacing w:after="220"/>
      <w:ind w:left="2160" w:hanging="720"/>
    </w:pPr>
  </w:style>
  <w:style w:type="paragraph" w:customStyle="1" w:styleId="TableFormat">
    <w:name w:val="TableFormat"/>
    <w:basedOn w:val="Bullet"/>
    <w:rsid w:val="00EB7E3C"/>
    <w:pPr>
      <w:numPr>
        <w:numId w:val="0"/>
      </w:numPr>
      <w:tabs>
        <w:tab w:val="clear" w:pos="2160"/>
        <w:tab w:val="left" w:pos="5040"/>
      </w:tabs>
      <w:ind w:left="5040" w:hanging="3600"/>
    </w:pPr>
  </w:style>
  <w:style w:type="paragraph" w:customStyle="1" w:styleId="TOCTitle">
    <w:name w:val="TOC Title"/>
    <w:basedOn w:val="Normal"/>
    <w:rsid w:val="00EB7E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B7E3C"/>
    <w:pPr>
      <w:jc w:val="center"/>
    </w:pPr>
    <w:rPr>
      <w:rFonts w:ascii="Times New Roman Bold" w:hAnsi="Times New Roman Bold"/>
      <w:b/>
      <w:bCs/>
      <w:caps/>
      <w:szCs w:val="22"/>
    </w:rPr>
  </w:style>
  <w:style w:type="character" w:styleId="Hyperlink">
    <w:name w:val="Hyperlink"/>
    <w:rsid w:val="00EB7E3C"/>
    <w:rPr>
      <w:color w:val="0000FF"/>
      <w:u w:val="single"/>
    </w:rPr>
  </w:style>
  <w:style w:type="character" w:customStyle="1" w:styleId="FooterChar">
    <w:name w:val="Footer Char"/>
    <w:link w:val="Footer"/>
    <w:uiPriority w:val="99"/>
    <w:rsid w:val="00EB7E3C"/>
    <w:rPr>
      <w:snapToGrid w:val="0"/>
      <w:kern w:val="28"/>
      <w:sz w:val="22"/>
    </w:rPr>
  </w:style>
  <w:style w:type="character" w:styleId="Strong">
    <w:name w:val="Strong"/>
    <w:qFormat/>
    <w:rsid w:val="00D51BA1"/>
    <w:rPr>
      <w:b/>
      <w:bCs/>
    </w:rPr>
  </w:style>
  <w:style w:type="character" w:customStyle="1" w:styleId="FootnoteTextChar">
    <w:name w:val="Footnote Text Char"/>
    <w:aliases w:val="Footnote Text Char Char Char Char Char1 Char1,Footnote Text Char Char Char Char1,Footnote Text Char1 Char Char Char1 Char1,Footnote Text Char1 Char Char1,Footnote Text Char2 Char Char1,Footnote Text Char3 Char1"/>
    <w:link w:val="FootnoteText"/>
    <w:rsid w:val="00D51BA1"/>
  </w:style>
  <w:style w:type="character" w:customStyle="1" w:styleId="UnresolvedMention">
    <w:name w:val="Unresolved Mention"/>
    <w:basedOn w:val="DefaultParagraphFont"/>
    <w:uiPriority w:val="99"/>
    <w:rsid w:val="008D1610"/>
    <w:rPr>
      <w:color w:val="605E5C"/>
      <w:shd w:val="clear" w:color="auto" w:fill="E1DFDD"/>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Footnote Text Char3 Char"/>
    <w:rsid w:val="005E5DBF"/>
  </w:style>
  <w:style w:type="paragraph" w:styleId="BalloonText">
    <w:name w:val="Balloon Text"/>
    <w:basedOn w:val="Normal"/>
    <w:link w:val="BalloonTextChar"/>
    <w:uiPriority w:val="99"/>
    <w:semiHidden/>
    <w:unhideWhenUsed/>
    <w:rsid w:val="000D0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4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ulie.Saulnier@fcc.gov" TargetMode="External" /><Relationship Id="rId6" Type="http://schemas.openxmlformats.org/officeDocument/2006/relationships/hyperlink" Target="mailto:Janice.Wis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