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53E41" w:rsidP="00D53E41">
      <w:pPr>
        <w:jc w:val="center"/>
        <w:rPr>
          <w:b/>
        </w:rPr>
      </w:pPr>
      <w:r w:rsidRPr="0070224F">
        <w:rPr>
          <w:rFonts w:ascii="Times New Roman Bold" w:hAnsi="Times New Roman Bold"/>
          <w:b/>
          <w:kern w:val="0"/>
          <w:szCs w:val="22"/>
        </w:rPr>
        <w:t>Before</w:t>
      </w:r>
      <w:r>
        <w:rPr>
          <w:b/>
        </w:rPr>
        <w:t xml:space="preserve"> the</w:t>
      </w:r>
    </w:p>
    <w:p w:rsidR="00D53E41" w:rsidP="00D53E41">
      <w:pPr>
        <w:pStyle w:val="StyleBoldCentered"/>
      </w:pPr>
      <w:r>
        <w:t>F</w:t>
      </w:r>
      <w:r>
        <w:rPr>
          <w:caps w:val="0"/>
        </w:rPr>
        <w:t>ederal Communications Commission</w:t>
      </w:r>
    </w:p>
    <w:p w:rsidR="00D53E41" w:rsidP="00D53E41">
      <w:pPr>
        <w:pStyle w:val="StyleBoldCentered"/>
      </w:pPr>
      <w:r>
        <w:rPr>
          <w:caps w:val="0"/>
        </w:rPr>
        <w:t>Washington, D.C. 20554</w:t>
      </w:r>
    </w:p>
    <w:p w:rsidR="00D53E41" w:rsidP="00D53E41"/>
    <w:tbl>
      <w:tblPr>
        <w:tblW w:w="0" w:type="auto"/>
        <w:tblLayout w:type="fixed"/>
        <w:tblLook w:val="0000"/>
      </w:tblPr>
      <w:tblGrid>
        <w:gridCol w:w="4698"/>
        <w:gridCol w:w="630"/>
        <w:gridCol w:w="4248"/>
      </w:tblGrid>
      <w:tr w:rsidTr="00D53E41">
        <w:tblPrEx>
          <w:tblW w:w="0" w:type="auto"/>
          <w:tblLayout w:type="fixed"/>
          <w:tblLook w:val="0000"/>
        </w:tblPrEx>
        <w:tc>
          <w:tcPr>
            <w:tcW w:w="4698" w:type="dxa"/>
          </w:tcPr>
          <w:p w:rsidR="00D53E41" w:rsidP="00D53E41">
            <w:pPr>
              <w:tabs>
                <w:tab w:val="center" w:pos="4680"/>
              </w:tabs>
              <w:suppressAutoHyphens/>
              <w:rPr>
                <w:spacing w:val="-2"/>
              </w:rPr>
            </w:pPr>
          </w:p>
          <w:p w:rsidR="00D53E41" w:rsidP="00D53E41">
            <w:pPr>
              <w:ind w:left="-108"/>
              <w:rPr>
                <w:szCs w:val="22"/>
              </w:rPr>
            </w:pPr>
            <w:r>
              <w:rPr>
                <w:szCs w:val="22"/>
              </w:rPr>
              <w:t xml:space="preserve">In the Matter of </w:t>
            </w:r>
          </w:p>
          <w:p w:rsidR="00D53E41" w:rsidP="00D53E41">
            <w:pPr>
              <w:ind w:left="-108"/>
              <w:rPr>
                <w:szCs w:val="22"/>
              </w:rPr>
            </w:pPr>
          </w:p>
          <w:p w:rsidR="00D53E41" w:rsidRPr="00F16EAA" w:rsidP="00D53E41">
            <w:pPr>
              <w:ind w:left="-108"/>
              <w:rPr>
                <w:szCs w:val="22"/>
              </w:rPr>
            </w:pPr>
            <w:r>
              <w:rPr>
                <w:szCs w:val="22"/>
              </w:rPr>
              <w:t>Space Net LLC</w:t>
            </w:r>
          </w:p>
          <w:p w:rsidR="00D53E41" w:rsidRPr="00F16EAA" w:rsidP="00D53E41">
            <w:pPr>
              <w:ind w:left="-108"/>
              <w:rPr>
                <w:kern w:val="22"/>
                <w:szCs w:val="22"/>
              </w:rPr>
            </w:pPr>
            <w:r w:rsidRPr="00F16EAA">
              <w:rPr>
                <w:szCs w:val="22"/>
              </w:rPr>
              <w:t xml:space="preserve">Termination of </w:t>
            </w:r>
            <w:r w:rsidRPr="00F16EAA">
              <w:rPr>
                <w:kern w:val="22"/>
                <w:szCs w:val="22"/>
              </w:rPr>
              <w:t>International Section 214 Authorization</w:t>
            </w:r>
          </w:p>
          <w:p w:rsidR="00D53E41" w:rsidRPr="007115F7" w:rsidP="00D53E41">
            <w:pPr>
              <w:tabs>
                <w:tab w:val="center" w:pos="4680"/>
              </w:tabs>
              <w:suppressAutoHyphens/>
              <w:rPr>
                <w:spacing w:val="-2"/>
              </w:rPr>
            </w:pPr>
          </w:p>
        </w:tc>
        <w:tc>
          <w:tcPr>
            <w:tcW w:w="630" w:type="dxa"/>
          </w:tcPr>
          <w:p w:rsidR="00D53E41" w:rsidP="00D53E41">
            <w:pPr>
              <w:tabs>
                <w:tab w:val="center" w:pos="4680"/>
              </w:tabs>
              <w:suppressAutoHyphens/>
              <w:rPr>
                <w:b/>
                <w:spacing w:val="-2"/>
              </w:rPr>
            </w:pPr>
          </w:p>
          <w:p w:rsidR="00D53E41" w:rsidP="00D53E41">
            <w:pPr>
              <w:tabs>
                <w:tab w:val="center" w:pos="4680"/>
              </w:tabs>
              <w:suppressAutoHyphens/>
              <w:rPr>
                <w:b/>
                <w:spacing w:val="-2"/>
              </w:rPr>
            </w:pPr>
            <w:r>
              <w:rPr>
                <w:b/>
                <w:spacing w:val="-2"/>
              </w:rPr>
              <w:t>)</w:t>
            </w:r>
          </w:p>
          <w:p w:rsidR="00D53E41" w:rsidP="00D53E41">
            <w:pPr>
              <w:tabs>
                <w:tab w:val="center" w:pos="4680"/>
              </w:tabs>
              <w:suppressAutoHyphens/>
              <w:rPr>
                <w:b/>
                <w:spacing w:val="-2"/>
              </w:rPr>
            </w:pPr>
            <w:r>
              <w:rPr>
                <w:b/>
                <w:spacing w:val="-2"/>
              </w:rPr>
              <w:t>)</w:t>
            </w:r>
          </w:p>
          <w:p w:rsidR="00D53E41" w:rsidP="00D53E41">
            <w:pPr>
              <w:tabs>
                <w:tab w:val="center" w:pos="4680"/>
              </w:tabs>
              <w:suppressAutoHyphens/>
              <w:rPr>
                <w:b/>
                <w:spacing w:val="-2"/>
              </w:rPr>
            </w:pPr>
            <w:r>
              <w:rPr>
                <w:b/>
                <w:spacing w:val="-2"/>
              </w:rPr>
              <w:t>)</w:t>
            </w:r>
          </w:p>
          <w:p w:rsidR="00D53E41" w:rsidP="00D53E41">
            <w:pPr>
              <w:tabs>
                <w:tab w:val="center" w:pos="4680"/>
              </w:tabs>
              <w:suppressAutoHyphens/>
              <w:rPr>
                <w:b/>
                <w:spacing w:val="-2"/>
              </w:rPr>
            </w:pPr>
            <w:r>
              <w:rPr>
                <w:b/>
                <w:spacing w:val="-2"/>
              </w:rPr>
              <w:t>)</w:t>
            </w:r>
          </w:p>
          <w:p w:rsidR="00D53E41" w:rsidP="00D53E41">
            <w:pPr>
              <w:tabs>
                <w:tab w:val="center" w:pos="4680"/>
              </w:tabs>
              <w:suppressAutoHyphens/>
              <w:rPr>
                <w:spacing w:val="-2"/>
              </w:rPr>
            </w:pPr>
            <w:r>
              <w:rPr>
                <w:b/>
                <w:spacing w:val="-2"/>
              </w:rPr>
              <w:t>)</w:t>
            </w:r>
          </w:p>
        </w:tc>
        <w:tc>
          <w:tcPr>
            <w:tcW w:w="4248" w:type="dxa"/>
          </w:tcPr>
          <w:p w:rsidR="00D53E41" w:rsidP="00D53E41">
            <w:pPr>
              <w:tabs>
                <w:tab w:val="center" w:pos="4680"/>
              </w:tabs>
              <w:suppressAutoHyphens/>
              <w:rPr>
                <w:spacing w:val="-2"/>
              </w:rPr>
            </w:pPr>
          </w:p>
          <w:p w:rsidR="00DF011A" w:rsidP="00DF011A">
            <w:pPr>
              <w:ind w:left="-108"/>
              <w:rPr>
                <w:szCs w:val="22"/>
              </w:rPr>
            </w:pPr>
            <w:r>
              <w:rPr>
                <w:szCs w:val="22"/>
              </w:rPr>
              <w:t>ITC-214-20061204-00538</w:t>
            </w:r>
          </w:p>
          <w:p w:rsidR="00D53E41" w:rsidRPr="00FF0EF0" w:rsidP="00FF0EF0">
            <w:pPr>
              <w:ind w:left="-108"/>
              <w:rPr>
                <w:szCs w:val="22"/>
              </w:rPr>
            </w:pPr>
            <w:r w:rsidRPr="001169DF">
              <w:rPr>
                <w:szCs w:val="22"/>
              </w:rPr>
              <w:t>(Terminated)</w:t>
            </w:r>
          </w:p>
          <w:p w:rsidR="00D53E41" w:rsidP="00FF0EF0">
            <w:pPr>
              <w:ind w:left="-108"/>
              <w:rPr>
                <w:spacing w:val="-2"/>
              </w:rPr>
            </w:pPr>
          </w:p>
        </w:tc>
      </w:tr>
    </w:tbl>
    <w:p w:rsidR="00D53E41" w:rsidP="00D53E41">
      <w:pPr>
        <w:pStyle w:val="StyleBoldCentered"/>
      </w:pPr>
      <w:r>
        <w:t>order</w:t>
      </w:r>
    </w:p>
    <w:p w:rsidR="00D53E41" w:rsidP="00D53E41">
      <w:pPr>
        <w:tabs>
          <w:tab w:val="left" w:pos="-720"/>
        </w:tabs>
        <w:suppressAutoHyphens/>
        <w:spacing w:line="227" w:lineRule="auto"/>
        <w:rPr>
          <w:spacing w:val="-2"/>
        </w:rPr>
      </w:pPr>
    </w:p>
    <w:p w:rsidR="00D53E41" w:rsidP="00D53E41">
      <w:pPr>
        <w:tabs>
          <w:tab w:val="left" w:pos="720"/>
          <w:tab w:val="right" w:pos="9360"/>
        </w:tabs>
        <w:suppressAutoHyphens/>
        <w:spacing w:line="227" w:lineRule="auto"/>
        <w:rPr>
          <w:spacing w:val="-2"/>
        </w:rPr>
      </w:pPr>
      <w:r>
        <w:rPr>
          <w:b/>
          <w:spacing w:val="-2"/>
        </w:rPr>
        <w:t xml:space="preserve">Adopted:  </w:t>
      </w:r>
      <w:r w:rsidR="00D0140D">
        <w:rPr>
          <w:b/>
          <w:spacing w:val="-2"/>
        </w:rPr>
        <w:t xml:space="preserve">March </w:t>
      </w:r>
      <w:bookmarkStart w:id="0" w:name="_GoBack"/>
      <w:r w:rsidR="00785564">
        <w:rPr>
          <w:b/>
          <w:spacing w:val="-2"/>
        </w:rPr>
        <w:t>4</w:t>
      </w:r>
      <w:bookmarkEnd w:id="0"/>
      <w:r>
        <w:rPr>
          <w:b/>
          <w:spacing w:val="-2"/>
        </w:rPr>
        <w:t>, 201</w:t>
      </w:r>
      <w:r w:rsidR="00644BE8">
        <w:rPr>
          <w:b/>
          <w:spacing w:val="-2"/>
        </w:rPr>
        <w:t>9</w:t>
      </w:r>
      <w:r>
        <w:rPr>
          <w:b/>
          <w:spacing w:val="-2"/>
        </w:rPr>
        <w:tab/>
        <w:t xml:space="preserve">Released:  </w:t>
      </w:r>
      <w:r w:rsidR="00D0140D">
        <w:rPr>
          <w:b/>
          <w:spacing w:val="-2"/>
        </w:rPr>
        <w:t>March</w:t>
      </w:r>
      <w:r>
        <w:rPr>
          <w:b/>
          <w:spacing w:val="-2"/>
        </w:rPr>
        <w:t xml:space="preserve"> </w:t>
      </w:r>
      <w:r w:rsidR="00785564">
        <w:rPr>
          <w:b/>
          <w:spacing w:val="-2"/>
        </w:rPr>
        <w:t>4</w:t>
      </w:r>
      <w:r>
        <w:rPr>
          <w:b/>
          <w:spacing w:val="-2"/>
        </w:rPr>
        <w:t>, 201</w:t>
      </w:r>
      <w:r w:rsidR="00F000D5">
        <w:rPr>
          <w:b/>
          <w:spacing w:val="-2"/>
        </w:rPr>
        <w:t>9</w:t>
      </w:r>
    </w:p>
    <w:p w:rsidR="00D53E41" w:rsidP="00D53E41"/>
    <w:p w:rsidR="00D53E41" w:rsidP="00D53E41">
      <w:pPr>
        <w:rPr>
          <w:spacing w:val="-2"/>
        </w:rPr>
      </w:pPr>
      <w:r>
        <w:t xml:space="preserve">By the </w:t>
      </w:r>
      <w:r w:rsidRPr="00F16EAA">
        <w:rPr>
          <w:kern w:val="22"/>
          <w:szCs w:val="22"/>
        </w:rPr>
        <w:t>Chief, Telecommunications and Analysis Division, International Bureau</w:t>
      </w:r>
      <w:r>
        <w:rPr>
          <w:spacing w:val="-2"/>
        </w:rPr>
        <w:t>:</w:t>
      </w:r>
    </w:p>
    <w:p w:rsidR="00D53E41" w:rsidP="00D53E41"/>
    <w:p w:rsidR="00D53E41" w:rsidP="00D53E41">
      <w:pPr>
        <w:pStyle w:val="Heading1"/>
      </w:pPr>
      <w:r>
        <w:t>introduction</w:t>
      </w:r>
    </w:p>
    <w:p w:rsidR="00D53E41" w:rsidP="00D53E41">
      <w:pPr>
        <w:pStyle w:val="ParaNum"/>
      </w:pPr>
      <w:r w:rsidRPr="00F16EAA">
        <w:t xml:space="preserve">By this Order, we declare </w:t>
      </w:r>
      <w:r>
        <w:t>Space Net LLC</w:t>
      </w:r>
      <w:r w:rsidR="00B87AD1">
        <w:t>’s</w:t>
      </w:r>
      <w:r w:rsidRPr="00F16EAA">
        <w:t xml:space="preserve"> (</w:t>
      </w:r>
      <w:r>
        <w:t>Space Net</w:t>
      </w:r>
      <w:r w:rsidRPr="00F16EAA">
        <w:t xml:space="preserve">) </w:t>
      </w:r>
      <w:r w:rsidRPr="00F16EAA" w:rsidR="00B87AD1">
        <w:t xml:space="preserve">international </w:t>
      </w:r>
      <w:r w:rsidR="00A16879">
        <w:t>S</w:t>
      </w:r>
      <w:r w:rsidRPr="00F16EAA" w:rsidR="00B87AD1">
        <w:t xml:space="preserve">ection 214 authorization </w:t>
      </w:r>
      <w:r w:rsidRPr="00F16EAA">
        <w:t xml:space="preserve">terminated </w:t>
      </w:r>
      <w:r w:rsidR="003372EE">
        <w:t>because of</w:t>
      </w:r>
      <w:r w:rsidRPr="00F16EAA" w:rsidR="003372EE">
        <w:t xml:space="preserve"> </w:t>
      </w:r>
      <w:r w:rsidR="00E328AB">
        <w:t>Space Net’s</w:t>
      </w:r>
      <w:r w:rsidRPr="00F16EAA" w:rsidR="00E328AB">
        <w:t xml:space="preserve"> inability</w:t>
      </w:r>
      <w:r w:rsidRPr="00F16EAA">
        <w:t xml:space="preserve"> to comply with </w:t>
      </w:r>
      <w:r>
        <w:t>an</w:t>
      </w:r>
      <w:r w:rsidRPr="00F16EAA">
        <w:t xml:space="preserve"> express condition for holding the authorization.</w:t>
      </w:r>
      <w:r>
        <w:rPr>
          <w:rStyle w:val="FootnoteReference"/>
          <w:szCs w:val="22"/>
        </w:rPr>
        <w:footnoteReference w:id="2"/>
      </w:r>
      <w:r w:rsidRPr="00F16EAA">
        <w:t xml:space="preserve">  We also conclude that </w:t>
      </w:r>
      <w:r>
        <w:t>Space Net</w:t>
      </w:r>
      <w:r w:rsidRPr="00F16EAA">
        <w:t xml:space="preserve"> failed to comply with those requirements of the Communications Act of 1934, as amended (the Act)</w:t>
      </w:r>
      <w:r w:rsidR="00960DC8">
        <w:t>,</w:t>
      </w:r>
      <w:r w:rsidRPr="00F16EAA">
        <w:t xml:space="preserve"> and the Commission’s rules that ensure that the Commission can contact and communicate with the authorization holder and verify </w:t>
      </w:r>
      <w:r>
        <w:t>Space Net</w:t>
      </w:r>
      <w:r w:rsidRPr="00F16EAA">
        <w:t xml:space="preserve"> is still providing service</w:t>
      </w:r>
      <w:r w:rsidR="00B87AD1">
        <w:t>.  These</w:t>
      </w:r>
      <w:r w:rsidRPr="00F16EAA">
        <w:t xml:space="preserve"> failures have prevented any way of addressing </w:t>
      </w:r>
      <w:r w:rsidR="00E328AB">
        <w:t xml:space="preserve">Space Net’s </w:t>
      </w:r>
      <w:r w:rsidRPr="00F16EAA">
        <w:t>inability to comply with the condition of its authorization</w:t>
      </w:r>
      <w:r>
        <w:t xml:space="preserve">.  </w:t>
      </w:r>
    </w:p>
    <w:p w:rsidR="00D53E41" w:rsidRPr="00F16EAA" w:rsidP="00D53E41">
      <w:pPr>
        <w:pStyle w:val="Heading1"/>
        <w:rPr>
          <w:szCs w:val="22"/>
        </w:rPr>
      </w:pPr>
      <w:r w:rsidRPr="00F16EAA">
        <w:t>BACKGROUND</w:t>
      </w:r>
    </w:p>
    <w:p w:rsidR="00A16879" w:rsidP="00D53E41">
      <w:pPr>
        <w:pStyle w:val="ParaNum"/>
      </w:pPr>
      <w:r w:rsidRPr="00F16EAA">
        <w:t>Section 214(a) of the Act prohibits any carrier from constructing, extending, acquiring, or operating any line, and from engaging in transmission through any such line, without first obtaining a certificate of authorization from the Commission.</w:t>
      </w:r>
      <w:r>
        <w:rPr>
          <w:rStyle w:val="FootnoteReference"/>
        </w:rPr>
        <w:footnoteReference w:id="3"/>
      </w:r>
      <w:r w:rsidRPr="00F16EAA">
        <w:t xml:space="preserve">  Under </w:t>
      </w:r>
      <w:r w:rsidR="007941BE">
        <w:t>S</w:t>
      </w:r>
      <w:r w:rsidRPr="00F16EAA">
        <w:t>ection 214(c) of the Act, the Commission “may attach to the issuance of the certificate such terms and conditions as in its judgment the public convenience and necessity may require.”</w:t>
      </w:r>
      <w:r>
        <w:rPr>
          <w:rStyle w:val="FootnoteReference"/>
        </w:rPr>
        <w:footnoteReference w:id="4"/>
      </w:r>
      <w:r w:rsidRPr="00F16EAA">
        <w:t xml:space="preserve">  </w:t>
      </w:r>
    </w:p>
    <w:p w:rsidR="00D53E41" w:rsidP="00D53E41">
      <w:pPr>
        <w:pStyle w:val="ParaNum"/>
      </w:pPr>
      <w:r w:rsidRPr="00F16EAA">
        <w:t xml:space="preserve">On </w:t>
      </w:r>
      <w:r w:rsidR="00D14685">
        <w:t>August 2</w:t>
      </w:r>
      <w:r>
        <w:t>, 2007</w:t>
      </w:r>
      <w:r w:rsidRPr="00F16EAA">
        <w:t>, the International Bureau</w:t>
      </w:r>
      <w:r w:rsidR="001B3539">
        <w:t xml:space="preserve"> (Bureau)</w:t>
      </w:r>
      <w:r w:rsidRPr="00F16EAA">
        <w:t xml:space="preserve"> granted </w:t>
      </w:r>
      <w:r>
        <w:t>Space Net</w:t>
      </w:r>
      <w:r w:rsidRPr="00F16EAA">
        <w:t xml:space="preserve"> an international </w:t>
      </w:r>
      <w:r w:rsidR="00A16879">
        <w:t>S</w:t>
      </w:r>
      <w:r w:rsidRPr="00F16EAA">
        <w:t xml:space="preserve">ection 214 authorization to provide </w:t>
      </w:r>
      <w:r>
        <w:t xml:space="preserve">facilities-based </w:t>
      </w:r>
      <w:r w:rsidR="00827DB4">
        <w:t>service in accordance with Section 63.18(e)(</w:t>
      </w:r>
      <w:r w:rsidR="007C7497">
        <w:t>1</w:t>
      </w:r>
      <w:r w:rsidR="00827DB4">
        <w:t>)</w:t>
      </w:r>
      <w:r w:rsidRPr="00F16EAA" w:rsidR="00827DB4">
        <w:t xml:space="preserve"> of the </w:t>
      </w:r>
      <w:r w:rsidRPr="00F16EAA" w:rsidR="00827DB4">
        <w:t>Commission’s rules</w:t>
      </w:r>
      <w:r w:rsidR="00827DB4">
        <w:t>.</w:t>
      </w:r>
      <w:r>
        <w:rPr>
          <w:rStyle w:val="FootnoteReference"/>
        </w:rPr>
        <w:footnoteReference w:id="5"/>
      </w:r>
      <w:r w:rsidR="00827DB4">
        <w:t xml:space="preserve">  O</w:t>
      </w:r>
      <w:r w:rsidR="006C1D51">
        <w:t>n August 9, 2007</w:t>
      </w:r>
      <w:r w:rsidR="00FD42EA">
        <w:t>, the Bureau</w:t>
      </w:r>
      <w:r w:rsidR="006C1D51">
        <w:t xml:space="preserve"> released a correction </w:t>
      </w:r>
      <w:r w:rsidR="002171E8">
        <w:t xml:space="preserve">to </w:t>
      </w:r>
      <w:r w:rsidR="006C1D51">
        <w:t xml:space="preserve">also grant </w:t>
      </w:r>
      <w:r w:rsidR="00827DB4">
        <w:t xml:space="preserve">Space Net </w:t>
      </w:r>
      <w:r w:rsidR="00500358">
        <w:t xml:space="preserve">authority to provide </w:t>
      </w:r>
      <w:r>
        <w:t xml:space="preserve">resale </w:t>
      </w:r>
      <w:r w:rsidR="00401EC9">
        <w:t>service</w:t>
      </w:r>
      <w:r>
        <w:t xml:space="preserve"> </w:t>
      </w:r>
      <w:r w:rsidRPr="00F16EAA">
        <w:t xml:space="preserve">in accordance with </w:t>
      </w:r>
      <w:r w:rsidR="00401EC9">
        <w:t>S</w:t>
      </w:r>
      <w:r w:rsidRPr="00F16EAA">
        <w:t xml:space="preserve">ection </w:t>
      </w:r>
      <w:r>
        <w:t>63.18(e)(</w:t>
      </w:r>
      <w:r w:rsidR="00EB0074">
        <w:t>2</w:t>
      </w:r>
      <w:r>
        <w:t>)</w:t>
      </w:r>
      <w:r w:rsidR="00500358">
        <w:t xml:space="preserve"> of the Commission’s rules.</w:t>
      </w:r>
      <w:r>
        <w:rPr>
          <w:rStyle w:val="FootnoteReference"/>
          <w:szCs w:val="22"/>
        </w:rPr>
        <w:footnoteReference w:id="6"/>
      </w:r>
      <w:r w:rsidRPr="00F16EAA">
        <w:t xml:space="preserve">  The Bureau granted the</w:t>
      </w:r>
      <w:r w:rsidR="00A16879">
        <w:t xml:space="preserve"> authorization</w:t>
      </w:r>
      <w:r w:rsidRPr="00F16EAA">
        <w:t xml:space="preserve"> on the express condition that </w:t>
      </w:r>
      <w:r>
        <w:t>Space Net</w:t>
      </w:r>
      <w:r w:rsidRPr="00F16EAA">
        <w:t xml:space="preserve"> </w:t>
      </w:r>
      <w:r w:rsidRPr="00F16EAA" w:rsidR="00E328AB">
        <w:t>abide</w:t>
      </w:r>
      <w:r w:rsidRPr="00F16EAA">
        <w:t xml:space="preserve"> by the commitments and undertakings contained in its </w:t>
      </w:r>
      <w:r w:rsidR="001D5ED2">
        <w:t>July 25</w:t>
      </w:r>
      <w:r>
        <w:t xml:space="preserve">, 2007 </w:t>
      </w:r>
      <w:r w:rsidR="0013152E">
        <w:t>Letter of Assurance (</w:t>
      </w:r>
      <w:r w:rsidR="005416CE">
        <w:t>LOA</w:t>
      </w:r>
      <w:r w:rsidR="0013152E">
        <w:t>)</w:t>
      </w:r>
      <w:r>
        <w:t xml:space="preserve"> </w:t>
      </w:r>
      <w:r w:rsidRPr="003C646D">
        <w:t>to DOJ</w:t>
      </w:r>
      <w:r w:rsidR="002F2D53">
        <w:t>, including the</w:t>
      </w:r>
      <w:r w:rsidRPr="00BD2153" w:rsidR="002F2D53">
        <w:t xml:space="preserve"> </w:t>
      </w:r>
      <w:r w:rsidR="002F2D53">
        <w:t xml:space="preserve">FBI, and </w:t>
      </w:r>
      <w:r w:rsidRPr="003C646D">
        <w:t>DHS</w:t>
      </w:r>
      <w:r w:rsidRPr="00F16EAA">
        <w:t>.</w:t>
      </w:r>
      <w:r>
        <w:rPr>
          <w:rStyle w:val="FootnoteReference"/>
          <w:szCs w:val="22"/>
        </w:rPr>
        <w:footnoteReference w:id="7"/>
      </w:r>
      <w:r w:rsidRPr="00F16EAA">
        <w:t xml:space="preserve">  The LOA outlines </w:t>
      </w:r>
      <w:r w:rsidR="002403A3">
        <w:t>the</w:t>
      </w:r>
      <w:r w:rsidRPr="00F16EAA">
        <w:t xml:space="preserve"> commitments made by </w:t>
      </w:r>
      <w:r>
        <w:t>Space Net</w:t>
      </w:r>
      <w:r w:rsidRPr="00F16EAA">
        <w:t xml:space="preserve"> to address</w:t>
      </w:r>
      <w:r w:rsidRPr="00703686">
        <w:t xml:space="preserve"> </w:t>
      </w:r>
      <w:r w:rsidRPr="00F16EAA">
        <w:t>national security, law enforcement, and public safety concerns.</w:t>
      </w:r>
      <w:r>
        <w:rPr>
          <w:rStyle w:val="FootnoteReference"/>
        </w:rPr>
        <w:footnoteReference w:id="8"/>
      </w:r>
    </w:p>
    <w:p w:rsidR="00A67EEA" w:rsidRPr="00A67EEA" w:rsidP="006A03B0">
      <w:pPr>
        <w:pStyle w:val="ParaNum"/>
      </w:pPr>
      <w:r w:rsidRPr="00F16EAA">
        <w:t xml:space="preserve">On </w:t>
      </w:r>
      <w:r>
        <w:t>March 6, 2018</w:t>
      </w:r>
      <w:r w:rsidRPr="00F16EAA">
        <w:t xml:space="preserve">, </w:t>
      </w:r>
      <w:r w:rsidR="006C68AB">
        <w:t>DHS,</w:t>
      </w:r>
      <w:r>
        <w:t xml:space="preserve"> with the concurrence of D</w:t>
      </w:r>
      <w:r w:rsidR="006C68AB">
        <w:t>OJ, to include the FBI</w:t>
      </w:r>
      <w:r>
        <w:t xml:space="preserve"> (collectively, the “</w:t>
      </w:r>
      <w:r w:rsidRPr="00F16EAA">
        <w:t>Executive Branch Agencies</w:t>
      </w:r>
      <w:r>
        <w:t>”)</w:t>
      </w:r>
      <w:r w:rsidR="0013152E">
        <w:t>,</w:t>
      </w:r>
      <w:r>
        <w:t xml:space="preserve"> </w:t>
      </w:r>
      <w:r w:rsidRPr="00F16EAA">
        <w:t xml:space="preserve">notified the Commission of </w:t>
      </w:r>
      <w:r w:rsidR="00E328AB">
        <w:t>Space Net’s</w:t>
      </w:r>
      <w:r w:rsidRPr="00F16EAA" w:rsidR="00E328AB">
        <w:t xml:space="preserve"> </w:t>
      </w:r>
      <w:r w:rsidR="002403A3">
        <w:t>n</w:t>
      </w:r>
      <w:r w:rsidRPr="00F16EAA" w:rsidR="00E328AB">
        <w:t>on</w:t>
      </w:r>
      <w:r w:rsidRPr="00F16EAA">
        <w:t xml:space="preserve">-compliance with the conditions of its authorization and requested that the Commission </w:t>
      </w:r>
      <w:r w:rsidRPr="00175796">
        <w:rPr>
          <w:rFonts w:eastAsia="Calibri"/>
          <w:snapToGrid/>
        </w:rPr>
        <w:t xml:space="preserve">terminate, declare null and void and no longer in effect </w:t>
      </w:r>
      <w:r w:rsidR="002403A3">
        <w:rPr>
          <w:rFonts w:eastAsia="Calibri"/>
          <w:snapToGrid/>
        </w:rPr>
        <w:t xml:space="preserve">Space Net’s </w:t>
      </w:r>
      <w:r w:rsidRPr="00175796">
        <w:rPr>
          <w:rFonts w:eastAsia="Calibri"/>
          <w:snapToGrid/>
        </w:rPr>
        <w:t xml:space="preserve">international </w:t>
      </w:r>
      <w:r w:rsidR="002403A3">
        <w:rPr>
          <w:rFonts w:eastAsia="Calibri"/>
          <w:snapToGrid/>
        </w:rPr>
        <w:t>S</w:t>
      </w:r>
      <w:r w:rsidRPr="00175796">
        <w:rPr>
          <w:rFonts w:eastAsia="Calibri"/>
          <w:snapToGrid/>
        </w:rPr>
        <w:t>ection 214 authorization.</w:t>
      </w:r>
      <w:r>
        <w:rPr>
          <w:rStyle w:val="FootnoteReference"/>
          <w:szCs w:val="22"/>
        </w:rPr>
        <w:footnoteReference w:id="9"/>
      </w:r>
      <w:r w:rsidRPr="00F16EAA">
        <w:t xml:space="preserve">  </w:t>
      </w:r>
      <w:r w:rsidRPr="00A67EEA">
        <w:t>The</w:t>
      </w:r>
      <w:r w:rsidR="006A03B0">
        <w:t xml:space="preserve"> Executive Branch Agencies </w:t>
      </w:r>
      <w:r w:rsidR="0013152E">
        <w:t>assess that</w:t>
      </w:r>
      <w:r w:rsidRPr="00A67EEA">
        <w:t xml:space="preserve"> Space Net is no longer in business</w:t>
      </w:r>
      <w:r w:rsidR="006C68AB">
        <w:t xml:space="preserve"> based on </w:t>
      </w:r>
      <w:r w:rsidR="00B82944">
        <w:t xml:space="preserve">their </w:t>
      </w:r>
      <w:r w:rsidR="006C68AB">
        <w:t>attempts to</w:t>
      </w:r>
      <w:r w:rsidRPr="006C68AB" w:rsidR="006C68AB">
        <w:t xml:space="preserve"> contact the company </w:t>
      </w:r>
      <w:r w:rsidR="0013152E">
        <w:t xml:space="preserve">and </w:t>
      </w:r>
      <w:r w:rsidRPr="006C68AB" w:rsidR="006C68AB">
        <w:t>evidence acquired through open source research and through information provided by a former point of contact.</w:t>
      </w:r>
      <w:r>
        <w:rPr>
          <w:vertAlign w:val="superscript"/>
        </w:rPr>
        <w:footnoteReference w:id="10"/>
      </w:r>
      <w:r w:rsidR="006C1D51">
        <w:t xml:space="preserve"> </w:t>
      </w:r>
    </w:p>
    <w:p w:rsidR="00D53E41" w:rsidRPr="00A70710" w:rsidP="007C7722">
      <w:pPr>
        <w:pStyle w:val="ParaNum"/>
        <w:widowControl/>
      </w:pPr>
      <w:r>
        <w:t>The Commission has made significant efforts to communicate with Space Net but</w:t>
      </w:r>
      <w:r w:rsidR="0013152E">
        <w:t xml:space="preserve"> </w:t>
      </w:r>
      <w:r>
        <w:t xml:space="preserve">has been unable to do so.  </w:t>
      </w:r>
      <w:r w:rsidRPr="00A67EEA" w:rsidR="00A67EEA">
        <w:t xml:space="preserve">On August 13, 2018, the </w:t>
      </w:r>
      <w:r w:rsidR="00C438C3">
        <w:t xml:space="preserve">Bureau’s </w:t>
      </w:r>
      <w:r w:rsidRPr="00A67EEA" w:rsidR="00A67EEA">
        <w:t>Telecommunications and Analysis Division</w:t>
      </w:r>
      <w:r w:rsidR="00C438C3">
        <w:t xml:space="preserve"> </w:t>
      </w:r>
      <w:r w:rsidRPr="00A67EEA" w:rsidR="00A67EEA">
        <w:t>sent</w:t>
      </w:r>
      <w:r w:rsidR="0013152E">
        <w:t xml:space="preserve"> a</w:t>
      </w:r>
      <w:r w:rsidRPr="00A67EEA" w:rsidR="00A67EEA">
        <w:t xml:space="preserve"> </w:t>
      </w:r>
      <w:r w:rsidR="00375B9F">
        <w:t>l</w:t>
      </w:r>
      <w:r w:rsidRPr="00A67EEA" w:rsidR="00A67EEA">
        <w:t>etter to Space Net at the last addresses o</w:t>
      </w:r>
      <w:r w:rsidR="00B259EC">
        <w:t>f</w:t>
      </w:r>
      <w:r w:rsidRPr="00A67EEA" w:rsidR="00A67EEA">
        <w:t xml:space="preserve"> record</w:t>
      </w:r>
      <w:r w:rsidR="0013152E">
        <w:t>,</w:t>
      </w:r>
      <w:r w:rsidRPr="00A67EEA" w:rsidR="00A67EEA">
        <w:t xml:space="preserve"> </w:t>
      </w:r>
      <w:r w:rsidR="00B259EC">
        <w:t>requesting that</w:t>
      </w:r>
      <w:r w:rsidRPr="00A67EEA" w:rsidR="00A67EEA">
        <w:t xml:space="preserve"> Space Net respond to the Executive Branch Agencies’ allegations and possible violations of the Commission’s rules by September 12, 2018.</w:t>
      </w:r>
      <w:r>
        <w:rPr>
          <w:vertAlign w:val="superscript"/>
        </w:rPr>
        <w:footnoteReference w:id="11"/>
      </w:r>
      <w:r w:rsidRPr="00A67EEA" w:rsidR="00A67EEA">
        <w:t xml:space="preserve">  The </w:t>
      </w:r>
      <w:r w:rsidR="0013152E">
        <w:t>mailings</w:t>
      </w:r>
      <w:r w:rsidRPr="00A67EEA" w:rsidR="00A67EEA">
        <w:t xml:space="preserve"> to Space Net were all undeliverable</w:t>
      </w:r>
      <w:r w:rsidR="006C1D51">
        <w:t xml:space="preserve"> and returned to the Commission</w:t>
      </w:r>
      <w:r w:rsidRPr="00A67EEA" w:rsidR="00A67EEA">
        <w:t>.</w:t>
      </w:r>
      <w:r>
        <w:rPr>
          <w:vertAlign w:val="superscript"/>
        </w:rPr>
        <w:footnoteReference w:id="12"/>
      </w:r>
      <w:r w:rsidRPr="00A67EEA" w:rsidR="00A67EEA">
        <w:t xml:space="preserve">  </w:t>
      </w:r>
      <w:r w:rsidR="00BB2BC6">
        <w:t>Since that time, the Bureau has provided Space Net with an additional opportunity to respond to these allegations.</w:t>
      </w:r>
      <w:r>
        <w:rPr>
          <w:rStyle w:val="FootnoteReference"/>
        </w:rPr>
        <w:footnoteReference w:id="13"/>
      </w:r>
      <w:r w:rsidR="009E52A8">
        <w:t xml:space="preserve"> </w:t>
      </w:r>
      <w:r w:rsidR="00E5605A">
        <w:t xml:space="preserve"> </w:t>
      </w:r>
      <w:r w:rsidR="00BB2BC6">
        <w:t xml:space="preserve">The Bureau stated that failure </w:t>
      </w:r>
      <w:r w:rsidR="0013152E">
        <w:t xml:space="preserve">to </w:t>
      </w:r>
      <w:r w:rsidR="00BB2BC6">
        <w:t xml:space="preserve">respond would result in termination of </w:t>
      </w:r>
      <w:r w:rsidRPr="00202648" w:rsidR="009E52A8">
        <w:t>Space Net</w:t>
      </w:r>
      <w:r w:rsidR="00BB2BC6">
        <w:t>’s international Section 214 authorization for failure to comply with the condition of its authorization.</w:t>
      </w:r>
      <w:r w:rsidR="00E5605A">
        <w:t xml:space="preserve"> </w:t>
      </w:r>
      <w:r w:rsidR="00E149D4">
        <w:t xml:space="preserve"> </w:t>
      </w:r>
      <w:r w:rsidR="00363C08">
        <w:t xml:space="preserve">To date, </w:t>
      </w:r>
      <w:r w:rsidR="00E5605A">
        <w:t xml:space="preserve">Space Net </w:t>
      </w:r>
      <w:r w:rsidR="00363C08">
        <w:t>has not responded to any of the Bureau</w:t>
      </w:r>
      <w:r w:rsidR="002E21F3">
        <w:t>’s</w:t>
      </w:r>
      <w:r w:rsidR="00363C08">
        <w:t xml:space="preserve"> or the Executive Branch Agencies’ multiple requests to resolve this matter.</w:t>
      </w:r>
      <w:r w:rsidR="00202648">
        <w:t xml:space="preserve"> </w:t>
      </w:r>
    </w:p>
    <w:p w:rsidR="00D53E41" w:rsidRPr="00F16EAA">
      <w:pPr>
        <w:pStyle w:val="Heading1"/>
        <w:rPr>
          <w:kern w:val="22"/>
          <w:szCs w:val="22"/>
        </w:rPr>
      </w:pPr>
      <w:r w:rsidRPr="00F16EAA">
        <w:t>DISCUSSION</w:t>
      </w:r>
    </w:p>
    <w:p w:rsidR="00D53E41" w:rsidP="00D53E41">
      <w:pPr>
        <w:pStyle w:val="ParaNum"/>
      </w:pPr>
      <w:r w:rsidRPr="00F16EAA">
        <w:rPr>
          <w:kern w:val="22"/>
          <w:szCs w:val="22"/>
        </w:rPr>
        <w:t xml:space="preserve">We determine that </w:t>
      </w:r>
      <w:r w:rsidR="00E328AB">
        <w:t>Space Net’s</w:t>
      </w:r>
      <w:r w:rsidRPr="00F16EAA" w:rsidR="00E328AB">
        <w:t xml:space="preserve"> international</w:t>
      </w:r>
      <w:r w:rsidRPr="00F16EAA">
        <w:t xml:space="preserve"> </w:t>
      </w:r>
      <w:r w:rsidR="005F76E6">
        <w:t>S</w:t>
      </w:r>
      <w:r w:rsidRPr="00F16EAA">
        <w:t>ection 214 authorization to provide services issued under File No</w:t>
      </w:r>
      <w:r>
        <w:t>. ITC-214-20061204-00538</w:t>
      </w:r>
      <w:r w:rsidRPr="00F16EAA">
        <w:t xml:space="preserve"> has terminated </w:t>
      </w:r>
      <w:r w:rsidR="00C603BF">
        <w:t>due to Space Net’s</w:t>
      </w:r>
      <w:r w:rsidRPr="00F16EAA" w:rsidR="00C603BF">
        <w:t xml:space="preserve"> </w:t>
      </w:r>
      <w:r w:rsidRPr="00F16EAA">
        <w:t xml:space="preserve">inability to comply with an express condition for holding the </w:t>
      </w:r>
      <w:r>
        <w:t xml:space="preserve">international </w:t>
      </w:r>
      <w:r w:rsidR="005F76E6">
        <w:t>S</w:t>
      </w:r>
      <w:r w:rsidRPr="00F16EAA">
        <w:t>ection 214 authorization</w:t>
      </w:r>
      <w:r>
        <w:t xml:space="preserve">.  </w:t>
      </w:r>
      <w:r w:rsidR="0086614F">
        <w:t xml:space="preserve">We </w:t>
      </w:r>
      <w:r w:rsidRPr="00F16EAA">
        <w:t xml:space="preserve">provided </w:t>
      </w:r>
      <w:r>
        <w:t>Space Net</w:t>
      </w:r>
      <w:r w:rsidRPr="00F16EAA">
        <w:t xml:space="preserve"> with notice and opportunity to respond to the allegations in the </w:t>
      </w:r>
      <w:r w:rsidR="00FF2D05">
        <w:t xml:space="preserve">March 6, 2018 </w:t>
      </w:r>
      <w:r w:rsidRPr="00FF0EF0" w:rsidR="00E755FC">
        <w:t>DHS Letter</w:t>
      </w:r>
      <w:r w:rsidR="00E755FC">
        <w:rPr>
          <w:i/>
        </w:rPr>
        <w:t xml:space="preserve"> </w:t>
      </w:r>
      <w:r w:rsidRPr="00F16EAA">
        <w:t xml:space="preserve">concerning </w:t>
      </w:r>
      <w:r w:rsidR="00E328AB">
        <w:t>Space Net’s</w:t>
      </w:r>
      <w:r w:rsidRPr="00F16EAA" w:rsidR="00E328AB">
        <w:t xml:space="preserve"> </w:t>
      </w:r>
      <w:r w:rsidR="005F76E6">
        <w:t>n</w:t>
      </w:r>
      <w:r w:rsidRPr="00F16EAA" w:rsidR="00E328AB">
        <w:t>on</w:t>
      </w:r>
      <w:r w:rsidRPr="00F16EAA">
        <w:t xml:space="preserve">-compliance with the </w:t>
      </w:r>
      <w:r w:rsidRPr="00F16EAA">
        <w:rPr>
          <w:kern w:val="22"/>
          <w:szCs w:val="22"/>
        </w:rPr>
        <w:t>condition</w:t>
      </w:r>
      <w:r>
        <w:t xml:space="preserve"> of the grant.  Space Net</w:t>
      </w:r>
      <w:r w:rsidRPr="00F16EAA">
        <w:t xml:space="preserve"> has not responded to any of our multiple requests or requests from the Executive Branch Agencies</w:t>
      </w:r>
      <w:r>
        <w:t xml:space="preserve">.  </w:t>
      </w:r>
      <w:r w:rsidRPr="00F16EAA">
        <w:t xml:space="preserve">We find that </w:t>
      </w:r>
      <w:r w:rsidR="00E328AB">
        <w:t>Space Net’s</w:t>
      </w:r>
      <w:r w:rsidRPr="00F16EAA" w:rsidR="00E328AB">
        <w:t xml:space="preserve"> failure</w:t>
      </w:r>
      <w:r w:rsidRPr="00F16EAA">
        <w:t xml:space="preserve"> to respond to our requests demonstrates that it is unable to satisfy the </w:t>
      </w:r>
      <w:r>
        <w:t>commitments</w:t>
      </w:r>
      <w:r w:rsidR="00C603BF">
        <w:t xml:space="preserve"> in the LOA</w:t>
      </w:r>
      <w:r w:rsidRPr="00F16EAA">
        <w:t>, which the Executive Branch Agencies</w:t>
      </w:r>
      <w:r>
        <w:t xml:space="preserve"> relied </w:t>
      </w:r>
      <w:r w:rsidR="00C603BF">
        <w:t xml:space="preserve">upon </w:t>
      </w:r>
      <w:r>
        <w:t>in providing</w:t>
      </w:r>
      <w:r w:rsidRPr="00F16EAA">
        <w:t xml:space="preserve"> their non-objection to the grant of the authorization to </w:t>
      </w:r>
      <w:r>
        <w:t>Space Net</w:t>
      </w:r>
      <w:r w:rsidRPr="00F16EAA">
        <w:t xml:space="preserve">, and </w:t>
      </w:r>
      <w:r>
        <w:t xml:space="preserve">compliance with </w:t>
      </w:r>
      <w:r w:rsidRPr="00F16EAA">
        <w:t xml:space="preserve">which is a condition of the grant of </w:t>
      </w:r>
      <w:r w:rsidR="00FF2D05">
        <w:t>Space Net’s</w:t>
      </w:r>
      <w:r w:rsidRPr="00F16EAA">
        <w:t xml:space="preserve"> </w:t>
      </w:r>
      <w:r>
        <w:t xml:space="preserve">international </w:t>
      </w:r>
      <w:r w:rsidR="00C603BF">
        <w:t>S</w:t>
      </w:r>
      <w:r w:rsidRPr="00F16EAA">
        <w:t>ection 214 authorization</w:t>
      </w:r>
      <w:r w:rsidR="003F19A3">
        <w:t xml:space="preserve"> to provide facilities-based and resale service</w:t>
      </w:r>
      <w:r>
        <w:t>.</w:t>
      </w:r>
      <w:r>
        <w:rPr>
          <w:rStyle w:val="FootnoteReference"/>
        </w:rPr>
        <w:footnoteReference w:id="14"/>
      </w:r>
      <w:r>
        <w:t xml:space="preserve">  </w:t>
      </w:r>
      <w:r w:rsidRPr="00F16EAA">
        <w:t xml:space="preserve"> </w:t>
      </w:r>
    </w:p>
    <w:p w:rsidR="00D53E41">
      <w:pPr>
        <w:pStyle w:val="ParaNum"/>
      </w:pPr>
      <w:r w:rsidRPr="00F16EAA">
        <w:t xml:space="preserve">Furthermore, </w:t>
      </w:r>
      <w:r w:rsidRPr="00466CF1">
        <w:rPr>
          <w:rFonts w:eastAsia="Calibri"/>
          <w:snapToGrid/>
        </w:rPr>
        <w:t xml:space="preserve">after having received an international </w:t>
      </w:r>
      <w:r w:rsidR="005F76E6">
        <w:rPr>
          <w:rFonts w:eastAsia="Calibri"/>
          <w:snapToGrid/>
        </w:rPr>
        <w:t xml:space="preserve">Section </w:t>
      </w:r>
      <w:r w:rsidRPr="00466CF1">
        <w:rPr>
          <w:rFonts w:eastAsia="Calibri"/>
          <w:snapToGrid/>
        </w:rPr>
        <w:t>214 authorization, a carrier “is responsible for the continuing accuracy of the certifications made in its application” and must promptly correct information no longer accurate, “and in any event, within thirty (30) days.”</w:t>
      </w:r>
      <w:r>
        <w:rPr>
          <w:rFonts w:eastAsia="Calibri"/>
          <w:snapToGrid/>
          <w:sz w:val="20"/>
          <w:vertAlign w:val="superscript"/>
        </w:rPr>
        <w:footnoteReference w:id="15"/>
      </w:r>
      <w:r w:rsidRPr="00466CF1">
        <w:rPr>
          <w:rFonts w:eastAsia="Calibri"/>
          <w:snapToGrid/>
        </w:rPr>
        <w:t xml:space="preserve">  </w:t>
      </w:r>
      <w:r>
        <w:rPr>
          <w:rFonts w:eastAsia="Calibri"/>
          <w:snapToGrid/>
        </w:rPr>
        <w:t>Space Net</w:t>
      </w:r>
      <w:r w:rsidRPr="00466CF1">
        <w:rPr>
          <w:kern w:val="22"/>
          <w:szCs w:val="22"/>
        </w:rPr>
        <w:t xml:space="preserve"> has failed to inform the Commission of any changes in its business status of </w:t>
      </w:r>
      <w:r w:rsidRPr="00217806">
        <w:rPr>
          <w:kern w:val="22"/>
        </w:rPr>
        <w:t xml:space="preserve">providing international </w:t>
      </w:r>
      <w:r w:rsidRPr="00466CF1">
        <w:rPr>
          <w:kern w:val="22"/>
          <w:szCs w:val="22"/>
        </w:rPr>
        <w:t>telecommunications services, as required by the</w:t>
      </w:r>
      <w:r w:rsidR="00C603BF">
        <w:rPr>
          <w:kern w:val="22"/>
          <w:szCs w:val="22"/>
        </w:rPr>
        <w:t xml:space="preserve"> Commission’s</w:t>
      </w:r>
      <w:r w:rsidRPr="00466CF1">
        <w:rPr>
          <w:kern w:val="22"/>
          <w:szCs w:val="22"/>
        </w:rPr>
        <w:t xml:space="preserve"> rules.</w:t>
      </w:r>
      <w:r>
        <w:rPr>
          <w:rStyle w:val="FootnoteReference"/>
          <w:kern w:val="22"/>
          <w:szCs w:val="22"/>
        </w:rPr>
        <w:footnoteReference w:id="16"/>
      </w:r>
      <w:r w:rsidRPr="00466CF1">
        <w:rPr>
          <w:kern w:val="22"/>
          <w:szCs w:val="22"/>
        </w:rPr>
        <w:t xml:space="preserve">  </w:t>
      </w:r>
      <w:r w:rsidRPr="00466CF1">
        <w:rPr>
          <w:rFonts w:eastAsia="Calibri"/>
          <w:snapToGrid/>
        </w:rPr>
        <w:t xml:space="preserve">Finally, as part of its authorization, </w:t>
      </w:r>
      <w:r>
        <w:rPr>
          <w:rFonts w:eastAsia="Calibri"/>
          <w:snapToGrid/>
        </w:rPr>
        <w:t>Space Net</w:t>
      </w:r>
      <w:r w:rsidRPr="00466CF1">
        <w:rPr>
          <w:rFonts w:eastAsia="Calibri"/>
          <w:snapToGrid/>
        </w:rPr>
        <w:t xml:space="preserve"> </w:t>
      </w:r>
      <w:r w:rsidR="005F76E6">
        <w:rPr>
          <w:rFonts w:eastAsia="Calibri"/>
          <w:snapToGrid/>
        </w:rPr>
        <w:t xml:space="preserve">was required to file an </w:t>
      </w:r>
      <w:r w:rsidRPr="00466CF1">
        <w:rPr>
          <w:rFonts w:eastAsia="Calibri"/>
          <w:snapToGrid/>
        </w:rPr>
        <w:t xml:space="preserve">annual international telecommunications traffic and revenue as required by </w:t>
      </w:r>
      <w:r w:rsidR="00080235">
        <w:rPr>
          <w:rFonts w:eastAsia="Calibri"/>
          <w:snapToGrid/>
        </w:rPr>
        <w:t>Section</w:t>
      </w:r>
      <w:r w:rsidRPr="00466CF1">
        <w:rPr>
          <w:rFonts w:eastAsia="Calibri"/>
          <w:snapToGrid/>
        </w:rPr>
        <w:t xml:space="preserve"> 43.62</w:t>
      </w:r>
      <w:r w:rsidR="00080235">
        <w:rPr>
          <w:rFonts w:eastAsia="Calibri"/>
          <w:snapToGrid/>
        </w:rPr>
        <w:t xml:space="preserve"> of the Commission’s rules, which was in effect until April 2018</w:t>
      </w:r>
      <w:r w:rsidRPr="00466CF1">
        <w:rPr>
          <w:rFonts w:eastAsia="Calibri"/>
          <w:snapToGrid/>
        </w:rPr>
        <w:t>.</w:t>
      </w:r>
      <w:r>
        <w:rPr>
          <w:rFonts w:eastAsia="Calibri"/>
          <w:snapToGrid/>
          <w:sz w:val="20"/>
          <w:vertAlign w:val="superscript"/>
        </w:rPr>
        <w:footnoteReference w:id="17"/>
      </w:r>
      <w:r w:rsidRPr="00466CF1">
        <w:rPr>
          <w:rFonts w:eastAsia="Calibri"/>
          <w:snapToGrid/>
        </w:rPr>
        <w:t xml:space="preserve">  Sect</w:t>
      </w:r>
      <w:r w:rsidRPr="00F16EAA">
        <w:t xml:space="preserve">ion 43.62(b) </w:t>
      </w:r>
      <w:r w:rsidR="00462D3C">
        <w:t>stated</w:t>
      </w:r>
      <w:r w:rsidRPr="00F16EAA" w:rsidR="00462D3C">
        <w:t xml:space="preserve"> </w:t>
      </w:r>
      <w:r w:rsidRPr="00F16EAA">
        <w:t>that “[n]</w:t>
      </w:r>
      <w:r w:rsidRPr="00F16EAA">
        <w:t>ot</w:t>
      </w:r>
      <w:r w:rsidRPr="00F16EAA">
        <w:t xml:space="preserve"> later than July 31 of each year, each person or entity that holds an authorization pursuant to </w:t>
      </w:r>
      <w:r w:rsidR="001869B4">
        <w:t>Section</w:t>
      </w:r>
      <w:r w:rsidRPr="00F16EAA">
        <w:t xml:space="preserve"> 214 to provide international telecommunications service shall report </w:t>
      </w:r>
      <w:r w:rsidRPr="00466CF1">
        <w:rPr>
          <w:i/>
        </w:rPr>
        <w:t>whether</w:t>
      </w:r>
      <w:r w:rsidRPr="00F16EAA">
        <w:t xml:space="preserve"> it provided international telecommunications services during the preceding calendar year.”</w:t>
      </w:r>
      <w:r>
        <w:rPr>
          <w:sz w:val="20"/>
          <w:vertAlign w:val="superscript"/>
        </w:rPr>
        <w:footnoteReference w:id="18"/>
      </w:r>
      <w:r w:rsidRPr="00F16EAA">
        <w:t xml:space="preserve">  Our records indicate that </w:t>
      </w:r>
      <w:r>
        <w:t>Space Net</w:t>
      </w:r>
      <w:r w:rsidRPr="00F16EAA">
        <w:t xml:space="preserve"> failed to file annual international telecommunications traffic and revenue report</w:t>
      </w:r>
      <w:r>
        <w:t>s</w:t>
      </w:r>
      <w:r w:rsidRPr="00F16EAA">
        <w:t xml:space="preserve"> indicating whether or not </w:t>
      </w:r>
      <w:r>
        <w:t>Space Net</w:t>
      </w:r>
      <w:r w:rsidRPr="00F16EAA">
        <w:t xml:space="preserve"> provided services in </w:t>
      </w:r>
      <w:r>
        <w:t xml:space="preserve">2014 and </w:t>
      </w:r>
      <w:r w:rsidRPr="00F16EAA">
        <w:t xml:space="preserve">2015, as required by </w:t>
      </w:r>
      <w:r w:rsidR="0086374A">
        <w:t>S</w:t>
      </w:r>
      <w:r w:rsidRPr="00F16EAA">
        <w:t>ection 43.62(b) of the Commission’s rules.</w:t>
      </w:r>
      <w:r>
        <w:rPr>
          <w:rStyle w:val="FootnoteReference"/>
        </w:rPr>
        <w:footnoteReference w:id="19"/>
      </w:r>
      <w:r>
        <w:t xml:space="preserve">  Space Net</w:t>
      </w:r>
      <w:r w:rsidRPr="00B0649C">
        <w:t>’</w:t>
      </w:r>
      <w:r w:rsidR="00202648">
        <w:t>s</w:t>
      </w:r>
      <w:r w:rsidRPr="00B0649C">
        <w:t xml:space="preserve"> failure to adhere to the Commission’s rules designed to ensure its ability to communicate with the holder of the authorization </w:t>
      </w:r>
      <w:r>
        <w:t xml:space="preserve">and to </w:t>
      </w:r>
      <w:r w:rsidRPr="00E11388">
        <w:t xml:space="preserve">verify </w:t>
      </w:r>
      <w:r>
        <w:t xml:space="preserve">if the holder </w:t>
      </w:r>
      <w:r w:rsidRPr="00E11388">
        <w:t>is still providing service</w:t>
      </w:r>
      <w:r>
        <w:t xml:space="preserve"> also warrants termination, wholly apart from Space Net’</w:t>
      </w:r>
      <w:r w:rsidR="00202648">
        <w:t>s</w:t>
      </w:r>
      <w:r>
        <w:t xml:space="preserve"> non-compliance with</w:t>
      </w:r>
      <w:r w:rsidRPr="00F16EAA">
        <w:t xml:space="preserve"> the condition of its </w:t>
      </w:r>
      <w:r>
        <w:t xml:space="preserve">international </w:t>
      </w:r>
      <w:r w:rsidR="001928AB">
        <w:t>S</w:t>
      </w:r>
      <w:r>
        <w:t xml:space="preserve">ection 214 authorization.  </w:t>
      </w:r>
      <w:r w:rsidRPr="00F16EAA">
        <w:t xml:space="preserve"> </w:t>
      </w:r>
    </w:p>
    <w:p w:rsidR="00D53E41" w:rsidRPr="00F16EAA" w:rsidP="00D53E41">
      <w:pPr>
        <w:pStyle w:val="Heading1"/>
      </w:pPr>
      <w:r w:rsidRPr="00F16EAA">
        <w:t>ORDERING CLAUSES</w:t>
      </w:r>
    </w:p>
    <w:p w:rsidR="00D53E41" w:rsidRPr="00175796" w:rsidP="00D53E41">
      <w:pPr>
        <w:pStyle w:val="ParaNum"/>
        <w:rPr>
          <w:rFonts w:eastAsia="Calibri"/>
          <w:snapToGrid/>
        </w:rPr>
      </w:pPr>
      <w:r w:rsidRPr="00175796">
        <w:rPr>
          <w:rFonts w:eastAsia="Calibri"/>
          <w:snapToGrid/>
        </w:rPr>
        <w:t xml:space="preserve">Accordingly, IT IS ORDERED, pursuant to </w:t>
      </w:r>
      <w:r w:rsidR="00934ED4">
        <w:rPr>
          <w:rFonts w:eastAsia="Calibri"/>
          <w:snapToGrid/>
        </w:rPr>
        <w:t>S</w:t>
      </w:r>
      <w:r w:rsidRPr="00175796">
        <w:rPr>
          <w:rFonts w:eastAsia="Calibri"/>
          <w:snapToGrid/>
        </w:rPr>
        <w:t>ections 4(</w:t>
      </w:r>
      <w:r w:rsidRPr="00175796">
        <w:rPr>
          <w:rFonts w:eastAsia="Calibri"/>
          <w:snapToGrid/>
        </w:rPr>
        <w:t>i</w:t>
      </w:r>
      <w:r w:rsidRPr="00175796">
        <w:rPr>
          <w:rFonts w:eastAsia="Calibri"/>
          <w:snapToGrid/>
        </w:rPr>
        <w:t>), 214, and 413 of the Communications Act of 1934, as amended, 47 U.S.C</w:t>
      </w:r>
      <w:r>
        <w:rPr>
          <w:rFonts w:eastAsia="Calibri"/>
          <w:snapToGrid/>
        </w:rPr>
        <w:t>.</w:t>
      </w:r>
      <w:r w:rsidRPr="00175796">
        <w:rPr>
          <w:rFonts w:eastAsia="Calibri"/>
          <w:snapToGrid/>
        </w:rPr>
        <w:t xml:space="preserve"> </w:t>
      </w:r>
      <w:r>
        <w:rPr>
          <w:rFonts w:eastAsia="Calibri"/>
          <w:snapToGrid/>
        </w:rPr>
        <w:t>§§ 154(</w:t>
      </w:r>
      <w:r>
        <w:rPr>
          <w:rFonts w:eastAsia="Calibri"/>
          <w:snapToGrid/>
        </w:rPr>
        <w:t>i</w:t>
      </w:r>
      <w:r>
        <w:rPr>
          <w:rFonts w:eastAsia="Calibri"/>
          <w:snapToGrid/>
        </w:rPr>
        <w:t>), 214, 413,</w:t>
      </w:r>
      <w:r w:rsidRPr="00175796">
        <w:rPr>
          <w:rFonts w:eastAsia="Calibri"/>
          <w:snapToGrid/>
        </w:rPr>
        <w:t xml:space="preserve"> and </w:t>
      </w:r>
      <w:r w:rsidR="00080235">
        <w:rPr>
          <w:rFonts w:eastAsia="Calibri"/>
          <w:snapToGrid/>
        </w:rPr>
        <w:t>S</w:t>
      </w:r>
      <w:r w:rsidRPr="00175796">
        <w:rPr>
          <w:rFonts w:eastAsia="Calibri"/>
          <w:snapToGrid/>
        </w:rPr>
        <w:t xml:space="preserve">ections 1.47(h), 43.62, 63.18, 63.21, 63.22(h), 63.23(e), and 64.1195 of the Commission’s rules, 47 CFR §§ 1.47(h), 43.62, 63.18, 63.21, 63.22(h), 63.23(e), 64.1195, that the international </w:t>
      </w:r>
      <w:r w:rsidR="001F65F3">
        <w:rPr>
          <w:rFonts w:eastAsia="Calibri"/>
          <w:snapToGrid/>
        </w:rPr>
        <w:t>S</w:t>
      </w:r>
      <w:r>
        <w:rPr>
          <w:rFonts w:eastAsia="Calibri"/>
          <w:snapToGrid/>
        </w:rPr>
        <w:t xml:space="preserve">ection </w:t>
      </w:r>
      <w:r w:rsidRPr="00175796">
        <w:rPr>
          <w:rFonts w:eastAsia="Calibri"/>
          <w:snapToGrid/>
        </w:rPr>
        <w:t xml:space="preserve">214 authorization issued under File No. </w:t>
      </w:r>
      <w:r>
        <w:rPr>
          <w:rFonts w:eastAsia="Calibri"/>
          <w:snapToGrid/>
        </w:rPr>
        <w:t>ITC-214-20061204-00538</w:t>
      </w:r>
      <w:r w:rsidRPr="00175796">
        <w:rPr>
          <w:rFonts w:eastAsia="Calibri"/>
          <w:snapToGrid/>
        </w:rPr>
        <w:t xml:space="preserve"> IS HEREBY TERMINATED AND DECLARED NULL AND VOID.</w:t>
      </w:r>
    </w:p>
    <w:p w:rsidR="00D53E41" w:rsidRPr="00F16EAA" w:rsidP="00D53E41">
      <w:pPr>
        <w:pStyle w:val="ParaNum"/>
        <w:rPr>
          <w:szCs w:val="22"/>
        </w:rPr>
      </w:pPr>
      <w:r w:rsidRPr="00F16EAA">
        <w:rPr>
          <w:szCs w:val="22"/>
        </w:rPr>
        <w:t xml:space="preserve">IT IS </w:t>
      </w:r>
      <w:r w:rsidRPr="00F16EAA">
        <w:t>FURTHER</w:t>
      </w:r>
      <w:r w:rsidRPr="00F16EAA">
        <w:rPr>
          <w:szCs w:val="22"/>
        </w:rPr>
        <w:t xml:space="preserve"> ORDERED that the request of the </w:t>
      </w:r>
      <w:r w:rsidRPr="00BB39DE">
        <w:rPr>
          <w:szCs w:val="22"/>
        </w:rPr>
        <w:t>U.S</w:t>
      </w:r>
      <w:r>
        <w:rPr>
          <w:szCs w:val="22"/>
        </w:rPr>
        <w:t xml:space="preserve">. </w:t>
      </w:r>
      <w:r w:rsidRPr="00BB39DE">
        <w:rPr>
          <w:szCs w:val="22"/>
        </w:rPr>
        <w:t>Department of Homeland Security</w:t>
      </w:r>
      <w:r w:rsidR="00654C4A">
        <w:rPr>
          <w:szCs w:val="22"/>
        </w:rPr>
        <w:t>,</w:t>
      </w:r>
      <w:r>
        <w:rPr>
          <w:szCs w:val="22"/>
        </w:rPr>
        <w:t xml:space="preserve"> </w:t>
      </w:r>
      <w:r w:rsidR="008A7463">
        <w:rPr>
          <w:szCs w:val="22"/>
        </w:rPr>
        <w:t xml:space="preserve">with the concurrence of the </w:t>
      </w:r>
      <w:r w:rsidRPr="00F16EAA">
        <w:rPr>
          <w:szCs w:val="22"/>
        </w:rPr>
        <w:t>U.S</w:t>
      </w:r>
      <w:r>
        <w:rPr>
          <w:szCs w:val="22"/>
        </w:rPr>
        <w:t xml:space="preserve">. </w:t>
      </w:r>
      <w:r w:rsidRPr="00F16EAA">
        <w:t>Department of Justice</w:t>
      </w:r>
      <w:r w:rsidR="002142CF">
        <w:t>,</w:t>
      </w:r>
      <w:r w:rsidR="008A7463">
        <w:rPr>
          <w:szCs w:val="22"/>
        </w:rPr>
        <w:t xml:space="preserve"> to include</w:t>
      </w:r>
      <w:r w:rsidR="00654C4A">
        <w:rPr>
          <w:szCs w:val="22"/>
        </w:rPr>
        <w:t xml:space="preserve"> the </w:t>
      </w:r>
      <w:r w:rsidRPr="00BD2153" w:rsidR="00654C4A">
        <w:t xml:space="preserve">Federal Bureau of </w:t>
      </w:r>
      <w:r w:rsidR="00654C4A">
        <w:t>Investigation</w:t>
      </w:r>
      <w:r w:rsidR="002142CF">
        <w:t>,</w:t>
      </w:r>
      <w:r w:rsidR="00654C4A">
        <w:t xml:space="preserve"> </w:t>
      </w:r>
      <w:r w:rsidRPr="00F16EAA">
        <w:rPr>
          <w:szCs w:val="22"/>
        </w:rPr>
        <w:t>IS HEREBY GRANTED, to the extent set forth in this Order</w:t>
      </w:r>
      <w:r>
        <w:rPr>
          <w:szCs w:val="22"/>
        </w:rPr>
        <w:t xml:space="preserve">.  </w:t>
      </w:r>
    </w:p>
    <w:p w:rsidR="00D53E41" w:rsidRPr="002F1419" w:rsidP="00D53E41">
      <w:pPr>
        <w:pStyle w:val="ParaNum"/>
        <w:rPr>
          <w:kern w:val="22"/>
          <w:szCs w:val="22"/>
        </w:rPr>
      </w:pPr>
      <w:r>
        <w:rPr>
          <w:kern w:val="22"/>
          <w:szCs w:val="22"/>
        </w:rPr>
        <w:t>T</w:t>
      </w:r>
      <w:r w:rsidRPr="002F1419">
        <w:rPr>
          <w:kern w:val="22"/>
          <w:szCs w:val="22"/>
        </w:rPr>
        <w:t>his Order shall be posted in the Commission’s Office of the Secretary.</w:t>
      </w:r>
      <w:r>
        <w:rPr>
          <w:kern w:val="22"/>
          <w:sz w:val="20"/>
          <w:szCs w:val="22"/>
          <w:vertAlign w:val="superscript"/>
        </w:rPr>
        <w:footnoteReference w:id="20"/>
      </w:r>
    </w:p>
    <w:p w:rsidR="00D53E41" w:rsidRPr="00F16EAA" w:rsidP="00D53E41">
      <w:pPr>
        <w:pStyle w:val="ParaNum"/>
        <w:rPr>
          <w:kern w:val="22"/>
          <w:szCs w:val="22"/>
        </w:rPr>
      </w:pPr>
      <w:r w:rsidRPr="00175796">
        <w:t>This Order is issued on delegated authority under 47 CFR</w:t>
      </w:r>
      <w:r>
        <w:t xml:space="preserve"> </w:t>
      </w:r>
      <w:r w:rsidRPr="00175796">
        <w:t>§§ 0.51, 0.261, and is effective upon release</w:t>
      </w:r>
      <w:r>
        <w:t>.</w:t>
      </w:r>
      <w:r w:rsidRPr="00175796">
        <w:t xml:space="preserve">  Petitions for reconsideration </w:t>
      </w:r>
      <w:r w:rsidRPr="00F16EAA">
        <w:rPr>
          <w:szCs w:val="22"/>
        </w:rPr>
        <w:t>under</w:t>
      </w:r>
      <w:r w:rsidRPr="00175796">
        <w:t xml:space="preserve"> </w:t>
      </w:r>
      <w:r w:rsidR="00A16879">
        <w:rPr>
          <w:szCs w:val="22"/>
        </w:rPr>
        <w:t>S</w:t>
      </w:r>
      <w:r w:rsidRPr="00F16EAA">
        <w:rPr>
          <w:szCs w:val="22"/>
        </w:rPr>
        <w:t>ection</w:t>
      </w:r>
      <w:r w:rsidRPr="00175796">
        <w:t xml:space="preserve"> 1.106 of the Commission’s rules, 47 CFR § 1.106, or applications for review under </w:t>
      </w:r>
      <w:r w:rsidR="00A16879">
        <w:t>S</w:t>
      </w:r>
      <w:r w:rsidRPr="00175796">
        <w:t>ection 1.115 of the Commission’s rules, 47 CFR § 1.115, may be filed within 30 days of the date of the release of this Order.</w:t>
      </w:r>
    </w:p>
    <w:p w:rsidR="00D53E41" w:rsidRPr="00F16EAA" w:rsidP="00D53E41">
      <w:pPr>
        <w:pStyle w:val="ParaNum"/>
        <w:numPr>
          <w:ilvl w:val="0"/>
          <w:numId w:val="0"/>
        </w:numPr>
        <w:ind w:left="720"/>
        <w:rPr>
          <w:kern w:val="22"/>
          <w:szCs w:val="22"/>
        </w:rPr>
      </w:pPr>
      <w:r w:rsidRPr="00F16EAA">
        <w:rPr>
          <w:kern w:val="22"/>
          <w:szCs w:val="22"/>
        </w:rPr>
        <w:tab/>
      </w:r>
    </w:p>
    <w:p w:rsidR="00D53E41" w:rsidRPr="00F16EAA" w:rsidP="00D53E41">
      <w:pPr>
        <w:tabs>
          <w:tab w:val="left" w:pos="0"/>
        </w:tabs>
        <w:suppressAutoHyphens/>
        <w:ind w:firstLine="720"/>
        <w:jc w:val="both"/>
        <w:rPr>
          <w:kern w:val="22"/>
          <w:szCs w:val="22"/>
        </w:rPr>
      </w:pPr>
      <w:r w:rsidRPr="00F16EAA">
        <w:rPr>
          <w:kern w:val="22"/>
          <w:szCs w:val="22"/>
        </w:rPr>
        <w:tab/>
      </w:r>
      <w:r w:rsidRPr="00F16EAA">
        <w:rPr>
          <w:kern w:val="22"/>
          <w:szCs w:val="22"/>
        </w:rPr>
        <w:tab/>
      </w:r>
      <w:r w:rsidRPr="00F16EAA">
        <w:rPr>
          <w:kern w:val="22"/>
          <w:szCs w:val="22"/>
        </w:rPr>
        <w:tab/>
      </w:r>
      <w:r w:rsidRPr="00F16EAA">
        <w:rPr>
          <w:kern w:val="22"/>
          <w:szCs w:val="22"/>
        </w:rPr>
        <w:tab/>
        <w:t>FEDERAL COMMUNICATIONS COMMISSION</w:t>
      </w:r>
    </w:p>
    <w:p w:rsidR="00D53E41" w:rsidRPr="00F16EAA" w:rsidP="00D53E41">
      <w:pPr>
        <w:tabs>
          <w:tab w:val="left" w:pos="0"/>
        </w:tabs>
        <w:suppressAutoHyphens/>
        <w:jc w:val="both"/>
        <w:rPr>
          <w:kern w:val="22"/>
          <w:szCs w:val="22"/>
        </w:rPr>
      </w:pPr>
    </w:p>
    <w:p w:rsidR="00D53E41" w:rsidRPr="00F16EAA" w:rsidP="00D53E41">
      <w:pPr>
        <w:tabs>
          <w:tab w:val="left" w:pos="0"/>
        </w:tabs>
        <w:suppressAutoHyphens/>
        <w:jc w:val="both"/>
        <w:rPr>
          <w:kern w:val="22"/>
          <w:szCs w:val="22"/>
        </w:rPr>
      </w:pPr>
    </w:p>
    <w:p w:rsidR="00D53E41" w:rsidRPr="00F16EAA" w:rsidP="00D53E41">
      <w:pPr>
        <w:tabs>
          <w:tab w:val="left" w:pos="0"/>
        </w:tabs>
        <w:suppressAutoHyphens/>
        <w:jc w:val="both"/>
        <w:rPr>
          <w:kern w:val="22"/>
          <w:szCs w:val="22"/>
        </w:rPr>
      </w:pPr>
    </w:p>
    <w:p w:rsidR="00D53E41" w:rsidRPr="00F16EAA" w:rsidP="00D53E41">
      <w:pPr>
        <w:tabs>
          <w:tab w:val="left" w:pos="0"/>
        </w:tabs>
        <w:suppressAutoHyphens/>
        <w:jc w:val="both"/>
        <w:rPr>
          <w:kern w:val="22"/>
          <w:szCs w:val="22"/>
        </w:rPr>
      </w:pPr>
      <w:r w:rsidRPr="00F16EAA">
        <w:rPr>
          <w:kern w:val="22"/>
          <w:szCs w:val="22"/>
        </w:rPr>
        <w:tab/>
      </w:r>
      <w:r w:rsidRPr="00F16EAA">
        <w:rPr>
          <w:kern w:val="22"/>
          <w:szCs w:val="22"/>
        </w:rPr>
        <w:tab/>
      </w:r>
      <w:r w:rsidRPr="00F16EAA">
        <w:rPr>
          <w:kern w:val="22"/>
          <w:szCs w:val="22"/>
        </w:rPr>
        <w:tab/>
      </w:r>
      <w:r w:rsidRPr="00F16EAA">
        <w:rPr>
          <w:kern w:val="22"/>
          <w:szCs w:val="22"/>
        </w:rPr>
        <w:tab/>
      </w:r>
      <w:r w:rsidRPr="00F16EAA">
        <w:rPr>
          <w:kern w:val="22"/>
          <w:szCs w:val="22"/>
        </w:rPr>
        <w:tab/>
      </w:r>
    </w:p>
    <w:p w:rsidR="00D53E41" w:rsidRPr="00F16EAA" w:rsidP="00D53E41">
      <w:pPr>
        <w:pStyle w:val="ParaNum"/>
        <w:widowControl/>
        <w:numPr>
          <w:ilvl w:val="0"/>
          <w:numId w:val="0"/>
        </w:numPr>
        <w:spacing w:after="0"/>
        <w:ind w:left="2880" w:firstLine="720"/>
        <w:rPr>
          <w:kern w:val="22"/>
          <w:szCs w:val="22"/>
        </w:rPr>
      </w:pPr>
      <w:r w:rsidRPr="00F16EAA">
        <w:rPr>
          <w:kern w:val="22"/>
          <w:szCs w:val="22"/>
        </w:rPr>
        <w:t>Denise Coca</w:t>
      </w:r>
    </w:p>
    <w:p w:rsidR="00D53E41" w:rsidRPr="00F16EAA" w:rsidP="00D53E41">
      <w:pPr>
        <w:pStyle w:val="ParaNum"/>
        <w:widowControl/>
        <w:numPr>
          <w:ilvl w:val="0"/>
          <w:numId w:val="0"/>
        </w:numPr>
        <w:spacing w:after="0"/>
        <w:ind w:left="2880" w:firstLine="720"/>
        <w:rPr>
          <w:kern w:val="22"/>
          <w:szCs w:val="22"/>
        </w:rPr>
      </w:pPr>
      <w:r w:rsidRPr="00F16EAA">
        <w:rPr>
          <w:kern w:val="22"/>
          <w:szCs w:val="22"/>
        </w:rPr>
        <w:t xml:space="preserve">Chief, Telecommunications and Analysis Division </w:t>
      </w:r>
    </w:p>
    <w:p w:rsidR="00D53E41" w:rsidRPr="001A1C89" w:rsidP="00D53E41">
      <w:pPr>
        <w:pStyle w:val="ParaNum"/>
        <w:widowControl/>
        <w:numPr>
          <w:ilvl w:val="0"/>
          <w:numId w:val="0"/>
        </w:numPr>
        <w:spacing w:after="0"/>
        <w:ind w:left="2880" w:firstLine="720"/>
        <w:rPr>
          <w:kern w:val="22"/>
          <w:szCs w:val="22"/>
        </w:rPr>
      </w:pPr>
      <w:r w:rsidRPr="00F16EAA">
        <w:rPr>
          <w:kern w:val="22"/>
          <w:szCs w:val="22"/>
        </w:rPr>
        <w:t>International Bureau</w:t>
      </w:r>
    </w:p>
    <w:p w:rsidR="007A2369"/>
    <w:sectPr w:rsidSect="00D53E41">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auto"/>
    <w:pitch w:val="variable"/>
    <w:sig w:usb0="E0002AEF" w:usb1="C0007841" w:usb2="00000009" w:usb3="00000000" w:csb0="000001FF" w:csb1="00000000"/>
  </w:font>
  <w:font w:name="Segoe UI">
    <w:altName w:val="Tahoma Bold"/>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6A16" w:rsidP="00D53E41">
    <w:pPr>
      <w:pStyle w:val="Footer"/>
      <w:framePr w:wrap="around" w:vAnchor="text" w:hAnchor="margin" w:xAlign="center" w:y="1"/>
    </w:pPr>
    <w:r>
      <w:fldChar w:fldCharType="begin"/>
    </w:r>
    <w:r>
      <w:instrText xml:space="preserve">PAGE  </w:instrText>
    </w:r>
    <w:r>
      <w:fldChar w:fldCharType="separate"/>
    </w:r>
    <w:r>
      <w:fldChar w:fldCharType="end"/>
    </w:r>
  </w:p>
  <w:p w:rsidR="00C56A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6A16" w:rsidP="00D53E41">
    <w:pPr>
      <w:pStyle w:val="Footer"/>
      <w:framePr w:wrap="around" w:vAnchor="text" w:hAnchor="margin" w:xAlign="center" w:y="1"/>
    </w:pPr>
    <w:r>
      <w:fldChar w:fldCharType="begin"/>
    </w:r>
    <w:r>
      <w:instrText xml:space="preserve">PAGE  </w:instrText>
    </w:r>
    <w:r>
      <w:fldChar w:fldCharType="separate"/>
    </w:r>
    <w:r w:rsidR="003013A5">
      <w:rPr>
        <w:noProof/>
      </w:rPr>
      <w:t>2</w:t>
    </w:r>
    <w:r>
      <w:fldChar w:fldCharType="end"/>
    </w:r>
  </w:p>
  <w:p w:rsidR="00C56A16">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6A16">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C2E18" w:rsidP="00D53E41">
      <w:r>
        <w:separator/>
      </w:r>
    </w:p>
  </w:footnote>
  <w:footnote w:type="continuationSeparator" w:id="1">
    <w:p w:rsidR="000C2E18" w:rsidP="00D53E41">
      <w:r>
        <w:continuationSeparator/>
      </w:r>
    </w:p>
  </w:footnote>
  <w:footnote w:id="2">
    <w:p w:rsidR="00C56A16" w:rsidRPr="009E684C" w:rsidP="00D53E41">
      <w:pPr>
        <w:pStyle w:val="FootnoteText"/>
      </w:pPr>
      <w:r w:rsidRPr="009E684C">
        <w:rPr>
          <w:rStyle w:val="FootnoteReference"/>
        </w:rPr>
        <w:footnoteRef/>
      </w:r>
      <w:r w:rsidRPr="009E684C">
        <w:t xml:space="preserve"> The International Bureau granted </w:t>
      </w:r>
      <w:r>
        <w:t>Space Net’s</w:t>
      </w:r>
      <w:r w:rsidRPr="009E684C">
        <w:t xml:space="preserve"> authorization under File No.</w:t>
      </w:r>
      <w:r w:rsidR="00C231FC">
        <w:t xml:space="preserve"> </w:t>
      </w:r>
      <w:r w:rsidRPr="009E684C">
        <w:t>ITC-214-20061204-00538.</w:t>
      </w:r>
      <w:r>
        <w:t xml:space="preserve"> </w:t>
      </w:r>
      <w:r w:rsidRPr="009E684C" w:rsidR="00FF3D11">
        <w:rPr>
          <w:i/>
        </w:rPr>
        <w:t>International Authorizations Granted</w:t>
      </w:r>
      <w:r w:rsidRPr="009E684C" w:rsidR="00FF3D11">
        <w:t>, Report No. TEL-0117</w:t>
      </w:r>
      <w:r w:rsidR="00FF3D11">
        <w:t>4</w:t>
      </w:r>
      <w:r w:rsidRPr="009E684C" w:rsidR="00FF3D11">
        <w:t xml:space="preserve">, Public Notice, 22 FCC </w:t>
      </w:r>
      <w:r w:rsidRPr="009E684C" w:rsidR="00FF3D11">
        <w:t>Rcd</w:t>
      </w:r>
      <w:r w:rsidRPr="009E684C" w:rsidR="00FF3D11">
        <w:t xml:space="preserve"> </w:t>
      </w:r>
      <w:r w:rsidRPr="009E684C" w:rsidR="00FF3D11">
        <w:rPr>
          <w:rStyle w:val="item-value"/>
        </w:rPr>
        <w:t>1</w:t>
      </w:r>
      <w:r w:rsidR="00283384">
        <w:rPr>
          <w:rStyle w:val="item-value"/>
        </w:rPr>
        <w:t>4026</w:t>
      </w:r>
      <w:r w:rsidRPr="009E684C" w:rsidR="00FF3D11">
        <w:t xml:space="preserve"> (IB 2007)</w:t>
      </w:r>
      <w:r w:rsidR="00FF3D11">
        <w:t xml:space="preserve"> (granting </w:t>
      </w:r>
      <w:r w:rsidR="00283384">
        <w:t xml:space="preserve">Space Net </w:t>
      </w:r>
      <w:r w:rsidR="004951D3">
        <w:t xml:space="preserve">authority to provide </w:t>
      </w:r>
      <w:r w:rsidR="00FF3D11">
        <w:t>facilities-based service pursuant to Section 63.18(e)(1)</w:t>
      </w:r>
      <w:r w:rsidR="00E7039E">
        <w:t>)</w:t>
      </w:r>
      <w:r w:rsidR="00283384">
        <w:t xml:space="preserve"> (</w:t>
      </w:r>
      <w:bookmarkStart w:id="1" w:name="_Hlk1738865"/>
      <w:r w:rsidRPr="00FF0EF0" w:rsidR="00413022">
        <w:rPr>
          <w:i/>
        </w:rPr>
        <w:t>Aug. 2, 2007</w:t>
      </w:r>
      <w:r w:rsidR="00413022">
        <w:rPr>
          <w:i/>
        </w:rPr>
        <w:t xml:space="preserve"> </w:t>
      </w:r>
      <w:r w:rsidRPr="00FF0EF0" w:rsidR="00283384">
        <w:rPr>
          <w:i/>
        </w:rPr>
        <w:t>Space Net Authorization</w:t>
      </w:r>
      <w:bookmarkEnd w:id="1"/>
      <w:r w:rsidR="00283384">
        <w:t>)</w:t>
      </w:r>
      <w:r w:rsidR="00FF3D11">
        <w:t>;</w:t>
      </w:r>
      <w:r w:rsidRPr="009E684C">
        <w:rPr>
          <w:i/>
        </w:rPr>
        <w:t xml:space="preserve"> International Authorizations Granted</w:t>
      </w:r>
      <w:r w:rsidRPr="009E684C">
        <w:t xml:space="preserve">, Report No. TEL-01176, Public Notice, 22 FCC </w:t>
      </w:r>
      <w:r w:rsidRPr="009E684C">
        <w:t>Rcd</w:t>
      </w:r>
      <w:r w:rsidRPr="009E684C">
        <w:t xml:space="preserve"> </w:t>
      </w:r>
      <w:r w:rsidRPr="009E684C">
        <w:rPr>
          <w:rStyle w:val="item-value"/>
        </w:rPr>
        <w:t>15098</w:t>
      </w:r>
      <w:r w:rsidRPr="009E684C">
        <w:t xml:space="preserve"> (IB 2007)</w:t>
      </w:r>
      <w:r w:rsidR="00FF3D11">
        <w:t xml:space="preserve"> (</w:t>
      </w:r>
      <w:r w:rsidR="0013152E">
        <w:t>correcting public notice</w:t>
      </w:r>
      <w:r w:rsidR="008B4470">
        <w:t xml:space="preserve"> of grant</w:t>
      </w:r>
      <w:r w:rsidR="0013152E">
        <w:t xml:space="preserve"> to </w:t>
      </w:r>
      <w:r w:rsidR="004951D3">
        <w:t xml:space="preserve">also </w:t>
      </w:r>
      <w:r w:rsidR="00FF3D11">
        <w:t xml:space="preserve">grant Space </w:t>
      </w:r>
      <w:r w:rsidR="00283384">
        <w:t>N</w:t>
      </w:r>
      <w:r w:rsidR="00FF3D11">
        <w:t>et resale authority pursuant to Section 63.18</w:t>
      </w:r>
      <w:r w:rsidR="00283384">
        <w:t>(e)</w:t>
      </w:r>
      <w:r w:rsidR="00FF3D11">
        <w:t>(2)</w:t>
      </w:r>
      <w:r w:rsidRPr="009E684C">
        <w:t xml:space="preserve"> </w:t>
      </w:r>
      <w:r w:rsidR="00D15874">
        <w:t xml:space="preserve">and condition </w:t>
      </w:r>
      <w:r w:rsidR="008B4470">
        <w:t xml:space="preserve">Space Net’s </w:t>
      </w:r>
      <w:r w:rsidR="0013152E">
        <w:t>facilities-based and resale authority</w:t>
      </w:r>
      <w:r w:rsidR="00D15874">
        <w:t xml:space="preserve"> on Space Net abiding by the commitments and undertakings </w:t>
      </w:r>
      <w:r w:rsidRPr="00F16EAA" w:rsidR="00D15874">
        <w:t xml:space="preserve">contained in its </w:t>
      </w:r>
      <w:r w:rsidR="00D15874">
        <w:t xml:space="preserve">July 25, 2007 Letter of Assurance (LOA) </w:t>
      </w:r>
      <w:r w:rsidRPr="003C646D" w:rsidR="00D15874">
        <w:t xml:space="preserve">to the </w:t>
      </w:r>
      <w:r w:rsidR="00D15874">
        <w:t xml:space="preserve">U.S. </w:t>
      </w:r>
      <w:r w:rsidRPr="003C646D" w:rsidR="00D15874">
        <w:t>Department of Justice (DOJ)</w:t>
      </w:r>
      <w:r w:rsidR="00D15874">
        <w:t>, including the</w:t>
      </w:r>
      <w:r w:rsidRPr="00BD2153" w:rsidR="00D15874">
        <w:t xml:space="preserve"> Federal Bureau of </w:t>
      </w:r>
      <w:r w:rsidR="00D15874">
        <w:t>Investigation (FBI), and the</w:t>
      </w:r>
      <w:r w:rsidRPr="003C646D" w:rsidR="00D15874">
        <w:t xml:space="preserve"> U.S. Department of Homeland Security (DHS)</w:t>
      </w:r>
      <w:r w:rsidRPr="009E684C" w:rsidR="00D15874">
        <w:t xml:space="preserve"> </w:t>
      </w:r>
      <w:r w:rsidRPr="009E684C">
        <w:t>(</w:t>
      </w:r>
      <w:r w:rsidR="002524EE">
        <w:rPr>
          <w:i/>
        </w:rPr>
        <w:t xml:space="preserve">Aug. 9, 2007 </w:t>
      </w:r>
      <w:r w:rsidRPr="009E684C">
        <w:rPr>
          <w:i/>
        </w:rPr>
        <w:t>Space Net Authorization</w:t>
      </w:r>
      <w:r w:rsidRPr="009E684C">
        <w:t xml:space="preserve">).  </w:t>
      </w:r>
    </w:p>
  </w:footnote>
  <w:footnote w:id="3">
    <w:p w:rsidR="00C56A16" w:rsidRPr="009E684C" w:rsidP="00D53E41">
      <w:pPr>
        <w:pStyle w:val="FootnoteText"/>
      </w:pPr>
      <w:r w:rsidRPr="009E684C">
        <w:rPr>
          <w:rStyle w:val="FootnoteReference"/>
        </w:rPr>
        <w:footnoteRef/>
      </w:r>
      <w:r w:rsidRPr="009E684C">
        <w:t xml:space="preserve"> 47 U.S.C. § 214(a); 47 CFR § 63.18 (stating any carrier seeking </w:t>
      </w:r>
      <w:r w:rsidR="000D25FA">
        <w:t>S</w:t>
      </w:r>
      <w:r w:rsidRPr="009E684C">
        <w:t xml:space="preserve">ection 214 authority “for the provision of common carrier communications services between the United States, its territories or possessions, and a foreign point shall request such authority by formal application”).  The Commission granted “blanket” </w:t>
      </w:r>
      <w:r w:rsidR="0034656C">
        <w:t>S</w:t>
      </w:r>
      <w:r w:rsidRPr="009E684C">
        <w:t xml:space="preserve">ection 214 authority to carriers providing domestic service but did not extend this authority to international services.  </w:t>
      </w:r>
      <w:r w:rsidRPr="009E684C">
        <w:rPr>
          <w:i/>
        </w:rPr>
        <w:t>Implementation of Section 402(b)(2)(A) of the Telecommunications Act of 1996,</w:t>
      </w:r>
      <w:r w:rsidRPr="009E684C">
        <w:t xml:space="preserve"> CC Docket No. 97-11, AAD File No.  98-43, Report and Order, Second Memorandum Opinion and Order, 14 FCC </w:t>
      </w:r>
      <w:r w:rsidRPr="009E684C">
        <w:t>Rcd</w:t>
      </w:r>
      <w:r w:rsidRPr="009E684C">
        <w:t xml:space="preserve"> 11364, 11365-66, para. 2 &amp; n.8 (1999).  </w:t>
      </w:r>
    </w:p>
  </w:footnote>
  <w:footnote w:id="4">
    <w:p w:rsidR="00C56A16" w:rsidRPr="009E684C" w:rsidP="00D53E41">
      <w:pPr>
        <w:pStyle w:val="FootnoteText"/>
      </w:pPr>
      <w:r w:rsidRPr="009E684C">
        <w:rPr>
          <w:rStyle w:val="FootnoteReference"/>
        </w:rPr>
        <w:footnoteRef/>
      </w:r>
      <w:r w:rsidRPr="009E684C">
        <w:t xml:space="preserve"> 47 U.S.C. § 214(c).</w:t>
      </w:r>
    </w:p>
  </w:footnote>
  <w:footnote w:id="5">
    <w:p w:rsidR="00827DB4">
      <w:pPr>
        <w:pStyle w:val="FootnoteText"/>
      </w:pPr>
      <w:r>
        <w:rPr>
          <w:rStyle w:val="FootnoteReference"/>
        </w:rPr>
        <w:footnoteRef/>
      </w:r>
      <w:r>
        <w:t xml:space="preserve"> </w:t>
      </w:r>
      <w:r w:rsidRPr="00ED62DF">
        <w:rPr>
          <w:i/>
        </w:rPr>
        <w:t xml:space="preserve">Aug. 2, </w:t>
      </w:r>
      <w:r w:rsidRPr="007C7722">
        <w:rPr>
          <w:i/>
        </w:rPr>
        <w:t>2007</w:t>
      </w:r>
      <w:r>
        <w:rPr>
          <w:i/>
        </w:rPr>
        <w:t xml:space="preserve"> </w:t>
      </w:r>
      <w:r w:rsidRPr="00ED62DF">
        <w:rPr>
          <w:i/>
        </w:rPr>
        <w:t>Space Net Authorization</w:t>
      </w:r>
      <w:r w:rsidR="00AB73B2">
        <w:t xml:space="preserve">, </w:t>
      </w:r>
      <w:r w:rsidRPr="009E684C" w:rsidR="00AB73B2">
        <w:t xml:space="preserve">22 FCC </w:t>
      </w:r>
      <w:r w:rsidRPr="009E684C" w:rsidR="00AB73B2">
        <w:t>Rcd</w:t>
      </w:r>
      <w:r w:rsidRPr="009E684C" w:rsidR="00AB73B2">
        <w:t xml:space="preserve"> </w:t>
      </w:r>
      <w:r w:rsidRPr="009E684C" w:rsidR="00AB73B2">
        <w:rPr>
          <w:rStyle w:val="item-value"/>
        </w:rPr>
        <w:t>1</w:t>
      </w:r>
      <w:r w:rsidR="00AB73B2">
        <w:rPr>
          <w:rStyle w:val="item-value"/>
        </w:rPr>
        <w:t>4026</w:t>
      </w:r>
      <w:r>
        <w:t>; 47 CFR</w:t>
      </w:r>
      <w:r w:rsidRPr="009E684C">
        <w:rPr>
          <w:snapToGrid w:val="0"/>
        </w:rPr>
        <w:t xml:space="preserve">§ </w:t>
      </w:r>
      <w:r w:rsidRPr="009E684C">
        <w:t>63.18(e)</w:t>
      </w:r>
      <w:r>
        <w:t>(</w:t>
      </w:r>
      <w:r w:rsidR="007C7497">
        <w:t>1</w:t>
      </w:r>
      <w:r>
        <w:t>).</w:t>
      </w:r>
      <w:r w:rsidRPr="00ED62DF">
        <w:rPr>
          <w:i/>
        </w:rPr>
        <w:t xml:space="preserve"> </w:t>
      </w:r>
    </w:p>
  </w:footnote>
  <w:footnote w:id="6">
    <w:p w:rsidR="00C56A16" w:rsidRPr="009E684C" w:rsidP="00D53E41">
      <w:pPr>
        <w:pStyle w:val="FootnoteText"/>
      </w:pPr>
      <w:r w:rsidRPr="009E684C">
        <w:rPr>
          <w:rStyle w:val="FootnoteReference"/>
        </w:rPr>
        <w:footnoteRef/>
      </w:r>
      <w:r w:rsidR="002D3061">
        <w:t xml:space="preserve"> </w:t>
      </w:r>
      <w:r w:rsidR="00827DB4">
        <w:rPr>
          <w:i/>
        </w:rPr>
        <w:t>Aug. 9, 2007</w:t>
      </w:r>
      <w:r w:rsidR="007C7497">
        <w:rPr>
          <w:i/>
        </w:rPr>
        <w:t xml:space="preserve"> </w:t>
      </w:r>
      <w:r w:rsidRPr="007C7722">
        <w:rPr>
          <w:i/>
        </w:rPr>
        <w:t>Space</w:t>
      </w:r>
      <w:r w:rsidRPr="007C7497">
        <w:rPr>
          <w:i/>
        </w:rPr>
        <w:t xml:space="preserve"> Net Au</w:t>
      </w:r>
      <w:r w:rsidRPr="009E684C">
        <w:rPr>
          <w:i/>
        </w:rPr>
        <w:t>thorization</w:t>
      </w:r>
      <w:r w:rsidR="00816C62">
        <w:t xml:space="preserve">, </w:t>
      </w:r>
      <w:r w:rsidRPr="009E684C" w:rsidR="00816C62">
        <w:t xml:space="preserve">22 FCC </w:t>
      </w:r>
      <w:r w:rsidRPr="009E684C" w:rsidR="00816C62">
        <w:t>Rcd</w:t>
      </w:r>
      <w:r w:rsidRPr="009E684C" w:rsidR="00816C62">
        <w:t xml:space="preserve"> </w:t>
      </w:r>
      <w:r w:rsidRPr="009E684C" w:rsidR="00816C62">
        <w:rPr>
          <w:rStyle w:val="item-value"/>
        </w:rPr>
        <w:t>15098</w:t>
      </w:r>
      <w:r w:rsidRPr="009E684C">
        <w:t xml:space="preserve">; </w:t>
      </w:r>
      <w:r w:rsidRPr="009E684C">
        <w:rPr>
          <w:snapToGrid w:val="0"/>
        </w:rPr>
        <w:t xml:space="preserve">47 CFR § </w:t>
      </w:r>
      <w:r w:rsidRPr="009E684C">
        <w:t>63.18(e)</w:t>
      </w:r>
      <w:r w:rsidR="00923E22">
        <w:t>(</w:t>
      </w:r>
      <w:r w:rsidR="007C7497">
        <w:t>2</w:t>
      </w:r>
      <w:r w:rsidR="00923E22">
        <w:t>)</w:t>
      </w:r>
      <w:r w:rsidRPr="009E684C">
        <w:t>.</w:t>
      </w:r>
    </w:p>
  </w:footnote>
  <w:footnote w:id="7">
    <w:p w:rsidR="00C56A16" w:rsidRPr="009E684C" w:rsidP="00D53E41">
      <w:pPr>
        <w:pStyle w:val="FootnoteText"/>
      </w:pPr>
      <w:r w:rsidRPr="009E684C">
        <w:rPr>
          <w:rStyle w:val="FootnoteReference"/>
        </w:rPr>
        <w:footnoteRef/>
      </w:r>
      <w:r w:rsidRPr="009E684C">
        <w:rPr>
          <w:snapToGrid w:val="0"/>
        </w:rPr>
        <w:t xml:space="preserve"> </w:t>
      </w:r>
      <w:r w:rsidR="00EB0074">
        <w:rPr>
          <w:i/>
        </w:rPr>
        <w:t xml:space="preserve">Aug. 9, 2007 </w:t>
      </w:r>
      <w:r w:rsidRPr="00024341" w:rsidR="00EB0074">
        <w:rPr>
          <w:i/>
        </w:rPr>
        <w:t>Space</w:t>
      </w:r>
      <w:r w:rsidRPr="007C7497" w:rsidR="00EB0074">
        <w:rPr>
          <w:i/>
        </w:rPr>
        <w:t xml:space="preserve"> Net Au</w:t>
      </w:r>
      <w:r w:rsidRPr="009E684C" w:rsidR="00EB0074">
        <w:rPr>
          <w:i/>
        </w:rPr>
        <w:t>thorization</w:t>
      </w:r>
      <w:r w:rsidR="00816C62">
        <w:t xml:space="preserve">, </w:t>
      </w:r>
      <w:r w:rsidRPr="009E684C" w:rsidR="00816C62">
        <w:t xml:space="preserve">22 FCC </w:t>
      </w:r>
      <w:r w:rsidRPr="009E684C" w:rsidR="00816C62">
        <w:t>Rcd</w:t>
      </w:r>
      <w:r w:rsidRPr="009E684C" w:rsidR="00816C62">
        <w:t xml:space="preserve"> </w:t>
      </w:r>
      <w:r w:rsidRPr="009E684C" w:rsidR="00816C62">
        <w:rPr>
          <w:rStyle w:val="item-value"/>
        </w:rPr>
        <w:t>15098</w:t>
      </w:r>
      <w:r w:rsidR="00EB0074">
        <w:rPr>
          <w:snapToGrid w:val="0"/>
        </w:rPr>
        <w:t xml:space="preserve">; </w:t>
      </w:r>
      <w:r w:rsidRPr="007C7722">
        <w:rPr>
          <w:snapToGrid w:val="0"/>
        </w:rPr>
        <w:t>Space Net LLC</w:t>
      </w:r>
      <w:r>
        <w:rPr>
          <w:i/>
          <w:snapToGrid w:val="0"/>
        </w:rPr>
        <w:t xml:space="preserve">, </w:t>
      </w:r>
      <w:r w:rsidRPr="00FF0EF0">
        <w:rPr>
          <w:snapToGrid w:val="0"/>
        </w:rPr>
        <w:t>Petition to Adopt Conditions to Authorizations and Licenses</w:t>
      </w:r>
      <w:r w:rsidRPr="00B523A8">
        <w:rPr>
          <w:snapToGrid w:val="0"/>
        </w:rPr>
        <w:t>,</w:t>
      </w:r>
      <w:r w:rsidRPr="00000FAA">
        <w:rPr>
          <w:snapToGrid w:val="0"/>
        </w:rPr>
        <w:t xml:space="preserve"> </w:t>
      </w:r>
      <w:r>
        <w:rPr>
          <w:snapToGrid w:val="0"/>
        </w:rPr>
        <w:t xml:space="preserve">File No. </w:t>
      </w:r>
      <w:r w:rsidRPr="00C56A16">
        <w:t>ITC-214-20061204-00538</w:t>
      </w:r>
      <w:r w:rsidR="001364ED">
        <w:t xml:space="preserve"> (</w:t>
      </w:r>
      <w:r w:rsidRPr="00000FAA">
        <w:rPr>
          <w:snapToGrid w:val="0"/>
        </w:rPr>
        <w:t>Aug</w:t>
      </w:r>
      <w:r w:rsidR="001364ED">
        <w:rPr>
          <w:snapToGrid w:val="0"/>
        </w:rPr>
        <w:t xml:space="preserve">. </w:t>
      </w:r>
      <w:r w:rsidRPr="00000FAA">
        <w:rPr>
          <w:snapToGrid w:val="0"/>
        </w:rPr>
        <w:t xml:space="preserve">2, 2007); </w:t>
      </w:r>
      <w:r w:rsidRPr="009E684C">
        <w:rPr>
          <w:snapToGrid w:val="0"/>
        </w:rPr>
        <w:t xml:space="preserve">Letter from </w:t>
      </w:r>
      <w:r w:rsidRPr="009E684C">
        <w:rPr>
          <w:snapToGrid w:val="0"/>
        </w:rPr>
        <w:t>Faouzi</w:t>
      </w:r>
      <w:r w:rsidRPr="009E684C">
        <w:rPr>
          <w:snapToGrid w:val="0"/>
        </w:rPr>
        <w:t xml:space="preserve"> </w:t>
      </w:r>
      <w:r w:rsidRPr="009E684C">
        <w:rPr>
          <w:snapToGrid w:val="0"/>
        </w:rPr>
        <w:t>Abboud</w:t>
      </w:r>
      <w:r w:rsidRPr="009E684C">
        <w:rPr>
          <w:snapToGrid w:val="0"/>
        </w:rPr>
        <w:t xml:space="preserve">, Space Net LLC, to </w:t>
      </w:r>
      <w:r w:rsidRPr="009E684C">
        <w:rPr>
          <w:snapToGrid w:val="0"/>
        </w:rPr>
        <w:t>Sigal</w:t>
      </w:r>
      <w:r w:rsidRPr="009E684C">
        <w:rPr>
          <w:snapToGrid w:val="0"/>
        </w:rPr>
        <w:t xml:space="preserve"> Mandelker, Deputy Assistant Attorney General, Criminal Division, U.S. Department of Justice; Stewart A. Baker, Assistant Secretary of Policy, U.S. Department of Homeland Security; and Elaine N. Lammert, Deputy General Counsel, Federal Bureau of Investigation (July 25, 2007</w:t>
      </w:r>
      <w:r w:rsidR="00D44258">
        <w:rPr>
          <w:snapToGrid w:val="0"/>
        </w:rPr>
        <w:t>)</w:t>
      </w:r>
      <w:r w:rsidR="0013152E">
        <w:rPr>
          <w:snapToGrid w:val="0"/>
        </w:rPr>
        <w:t xml:space="preserve"> (LOA)</w:t>
      </w:r>
      <w:r w:rsidRPr="009E684C">
        <w:rPr>
          <w:snapToGrid w:val="0"/>
        </w:rPr>
        <w:t>.</w:t>
      </w:r>
    </w:p>
  </w:footnote>
  <w:footnote w:id="8">
    <w:p w:rsidR="00C56A16" w:rsidRPr="009E684C" w:rsidP="00D53E41">
      <w:pPr>
        <w:pStyle w:val="FootnoteText"/>
      </w:pPr>
      <w:r w:rsidRPr="009E684C">
        <w:rPr>
          <w:rStyle w:val="FootnoteReference"/>
        </w:rPr>
        <w:footnoteRef/>
      </w:r>
      <w:r w:rsidRPr="009E684C">
        <w:t xml:space="preserve"> LOA at 1-2.</w:t>
      </w:r>
    </w:p>
  </w:footnote>
  <w:footnote w:id="9">
    <w:p w:rsidR="00C56A16" w:rsidRPr="009E684C" w:rsidP="00D53E41">
      <w:pPr>
        <w:pStyle w:val="FootnoteText"/>
      </w:pPr>
      <w:r w:rsidRPr="009E684C">
        <w:rPr>
          <w:rStyle w:val="FootnoteReference"/>
        </w:rPr>
        <w:footnoteRef/>
      </w:r>
      <w:r w:rsidRPr="009E684C">
        <w:t xml:space="preserve"> Letter from Phil </w:t>
      </w:r>
      <w:r w:rsidRPr="009E684C">
        <w:t>Ludvigson</w:t>
      </w:r>
      <w:r w:rsidRPr="009E684C">
        <w:t>, Director, Foreign Investment Risk Management, Office of Policy, U.S. Department of Homeland Security, to Marlene H. Dortch, Secretary, FCC (filed Mar. 6, 2018) (</w:t>
      </w:r>
      <w:r w:rsidRPr="00FF0EF0">
        <w:t>DHS Letter</w:t>
      </w:r>
      <w:r w:rsidRPr="009E684C">
        <w:t>).</w:t>
      </w:r>
    </w:p>
  </w:footnote>
  <w:footnote w:id="10">
    <w:p w:rsidR="006C1D51" w:rsidRPr="009E684C" w:rsidP="006C1D51">
      <w:pPr>
        <w:pStyle w:val="FootnoteText"/>
      </w:pPr>
      <w:r w:rsidRPr="009E684C">
        <w:rPr>
          <w:rStyle w:val="FootnoteReference"/>
        </w:rPr>
        <w:footnoteRef/>
      </w:r>
      <w:r w:rsidRPr="009E684C">
        <w:t xml:space="preserve"> </w:t>
      </w:r>
      <w:r>
        <w:rPr>
          <w:i/>
        </w:rPr>
        <w:t xml:space="preserve">Id. </w:t>
      </w:r>
      <w:r w:rsidRPr="009E684C">
        <w:t>at 1.</w:t>
      </w:r>
    </w:p>
  </w:footnote>
  <w:footnote w:id="11">
    <w:p w:rsidR="00C56A16" w:rsidRPr="009E684C" w:rsidP="00A67EEA">
      <w:pPr>
        <w:autoSpaceDE w:val="0"/>
        <w:autoSpaceDN w:val="0"/>
        <w:adjustRightInd w:val="0"/>
        <w:spacing w:after="120"/>
        <w:rPr>
          <w:sz w:val="20"/>
        </w:rPr>
      </w:pPr>
      <w:r w:rsidRPr="009E684C">
        <w:rPr>
          <w:rStyle w:val="FootnoteReference"/>
        </w:rPr>
        <w:footnoteRef/>
      </w:r>
      <w:r w:rsidRPr="009E684C">
        <w:rPr>
          <w:sz w:val="20"/>
        </w:rPr>
        <w:t xml:space="preserve"> Letter from Denise Coca, Chief, Telecommunications and Analysis Division, International Bureau, FCC to Mr. </w:t>
      </w:r>
      <w:r w:rsidRPr="009E684C">
        <w:rPr>
          <w:sz w:val="20"/>
        </w:rPr>
        <w:t>Faouzi</w:t>
      </w:r>
      <w:r w:rsidRPr="009E684C">
        <w:rPr>
          <w:sz w:val="20"/>
        </w:rPr>
        <w:t xml:space="preserve"> </w:t>
      </w:r>
      <w:r w:rsidRPr="009E684C">
        <w:rPr>
          <w:sz w:val="20"/>
        </w:rPr>
        <w:t>Abboud</w:t>
      </w:r>
      <w:r w:rsidRPr="009E684C">
        <w:rPr>
          <w:sz w:val="20"/>
        </w:rPr>
        <w:t>, Space Net, LLC (Aug. 13, 2018) (</w:t>
      </w:r>
      <w:r w:rsidRPr="009E684C">
        <w:rPr>
          <w:i/>
          <w:sz w:val="20"/>
        </w:rPr>
        <w:t>Space Net Letter</w:t>
      </w:r>
      <w:r w:rsidRPr="009E684C">
        <w:rPr>
          <w:sz w:val="20"/>
        </w:rPr>
        <w:t xml:space="preserve">).  </w:t>
      </w:r>
    </w:p>
  </w:footnote>
  <w:footnote w:id="12">
    <w:p w:rsidR="00C56A16" w:rsidRPr="009E684C" w:rsidP="00A67EEA">
      <w:pPr>
        <w:pStyle w:val="FootnoteText"/>
      </w:pPr>
      <w:r w:rsidRPr="009E684C">
        <w:rPr>
          <w:rStyle w:val="FootnoteReference"/>
        </w:rPr>
        <w:footnoteRef/>
      </w:r>
      <w:r w:rsidRPr="009E684C">
        <w:t xml:space="preserve"> </w:t>
      </w:r>
      <w:r w:rsidR="003C4E39">
        <w:t>T</w:t>
      </w:r>
      <w:r w:rsidRPr="009E684C">
        <w:t xml:space="preserve">he </w:t>
      </w:r>
      <w:r w:rsidR="00D73A80">
        <w:t xml:space="preserve">Bureau staff mailed the </w:t>
      </w:r>
      <w:r w:rsidRPr="009E684C">
        <w:rPr>
          <w:i/>
        </w:rPr>
        <w:t>Space Net Letter</w:t>
      </w:r>
      <w:r w:rsidRPr="009E684C">
        <w:t xml:space="preserve"> to</w:t>
      </w:r>
      <w:r w:rsidR="00FB5C26">
        <w:t>:</w:t>
      </w:r>
      <w:r w:rsidRPr="009E684C">
        <w:t xml:space="preserve"> (1) Mr. </w:t>
      </w:r>
      <w:r w:rsidRPr="009E684C">
        <w:t>Faouzi</w:t>
      </w:r>
      <w:r w:rsidRPr="009E684C">
        <w:t xml:space="preserve"> </w:t>
      </w:r>
      <w:r w:rsidRPr="009E684C">
        <w:t>Abboud</w:t>
      </w:r>
      <w:r w:rsidR="0013152E">
        <w:t>,</w:t>
      </w:r>
      <w:r w:rsidRPr="009E684C">
        <w:t xml:space="preserve"> </w:t>
      </w:r>
      <w:r w:rsidR="001B0F7E">
        <w:t xml:space="preserve">who is listed </w:t>
      </w:r>
      <w:r w:rsidR="00764F8B">
        <w:t xml:space="preserve">as the applicant </w:t>
      </w:r>
      <w:r w:rsidR="001B0F7E">
        <w:t xml:space="preserve">on the international Section 214 application – </w:t>
      </w:r>
      <w:r w:rsidRPr="009E684C">
        <w:t>777</w:t>
      </w:r>
      <w:r w:rsidR="001B0F7E">
        <w:t xml:space="preserve"> </w:t>
      </w:r>
      <w:r w:rsidRPr="009E684C">
        <w:t xml:space="preserve"> Silver Spur Road, Rolling Hills Estate, California 90274; (2) Matthew Schulman, Regulatory Consultant, Regnum Group, Inc</w:t>
      </w:r>
      <w:r w:rsidR="0013152E">
        <w:t>.,</w:t>
      </w:r>
      <w:r w:rsidR="00764F8B">
        <w:t xml:space="preserve"> who is listed as the contact</w:t>
      </w:r>
      <w:r w:rsidRPr="009E684C">
        <w:t xml:space="preserve"> </w:t>
      </w:r>
      <w:r w:rsidR="001B0F7E">
        <w:t xml:space="preserve">– </w:t>
      </w:r>
      <w:r w:rsidRPr="009E684C">
        <w:t>7999</w:t>
      </w:r>
      <w:r w:rsidR="001B0F7E">
        <w:t xml:space="preserve"> </w:t>
      </w:r>
      <w:r w:rsidRPr="009E684C">
        <w:t xml:space="preserve">N.W. 53 Street, Doral, Florida 33166); (3) Space Net’s Form 499 addresses </w:t>
      </w:r>
      <w:r w:rsidR="001B0F7E">
        <w:t xml:space="preserve">– </w:t>
      </w:r>
      <w:r w:rsidRPr="009E684C">
        <w:t>650 S. Grand Avenue, Suite 600A, Los Angeles, California 90017 and 626 N. Flores Street, Suite 204, Los Angeles, CA  90048</w:t>
      </w:r>
      <w:r w:rsidR="001B0F7E">
        <w:t xml:space="preserve">.  </w:t>
      </w:r>
      <w:r w:rsidR="00D73A80">
        <w:t xml:space="preserve">The mailings were </w:t>
      </w:r>
      <w:r w:rsidRPr="009E684C">
        <w:t>undeliverable</w:t>
      </w:r>
      <w:r w:rsidR="00D73A80">
        <w:t xml:space="preserve"> and returned to sender</w:t>
      </w:r>
      <w:r w:rsidRPr="009E684C">
        <w:t xml:space="preserve">. </w:t>
      </w:r>
      <w:r w:rsidR="00D73A80">
        <w:t xml:space="preserve"> </w:t>
      </w:r>
      <w:r w:rsidR="003C4E39">
        <w:t xml:space="preserve">The </w:t>
      </w:r>
      <w:r w:rsidR="001B0F7E">
        <w:t xml:space="preserve">Bureau staff </w:t>
      </w:r>
      <w:r w:rsidR="003C4E39">
        <w:t xml:space="preserve">also </w:t>
      </w:r>
      <w:r w:rsidRPr="009E684C">
        <w:t xml:space="preserve">emailed the </w:t>
      </w:r>
      <w:r w:rsidRPr="009E684C">
        <w:rPr>
          <w:i/>
        </w:rPr>
        <w:t>Space Net Letter</w:t>
      </w:r>
      <w:r w:rsidRPr="009E684C">
        <w:t xml:space="preserve"> to the last known email</w:t>
      </w:r>
      <w:r w:rsidR="001B0F7E">
        <w:t xml:space="preserve"> addresses</w:t>
      </w:r>
      <w:r w:rsidRPr="009E684C">
        <w:t xml:space="preserve"> </w:t>
      </w:r>
      <w:r w:rsidR="001B0F7E">
        <w:t xml:space="preserve">– </w:t>
      </w:r>
      <w:hyperlink r:id="rId1" w:history="1">
        <w:r w:rsidRPr="001C2F2D" w:rsidR="001B0F7E">
          <w:rPr>
            <w:rStyle w:val="Hyperlink"/>
          </w:rPr>
          <w:t>fabboud@spacenetllc.com</w:t>
        </w:r>
      </w:hyperlink>
      <w:r w:rsidRPr="009E684C" w:rsidR="001B0F7E">
        <w:t xml:space="preserve">, </w:t>
      </w:r>
      <w:hyperlink r:id="rId2" w:history="1">
        <w:r w:rsidRPr="009E684C" w:rsidR="001B0F7E">
          <w:rPr>
            <w:rStyle w:val="Hyperlink"/>
          </w:rPr>
          <w:t>fa@spacenetllc.com</w:t>
        </w:r>
      </w:hyperlink>
      <w:r w:rsidRPr="009E684C" w:rsidR="001B0F7E">
        <w:t xml:space="preserve">, and </w:t>
      </w:r>
      <w:hyperlink r:id="rId3" w:history="1">
        <w:r w:rsidRPr="009E684C" w:rsidR="001B0F7E">
          <w:rPr>
            <w:rStyle w:val="Hyperlink"/>
          </w:rPr>
          <w:t>reg@regnumgroup.com</w:t>
        </w:r>
      </w:hyperlink>
      <w:r w:rsidR="00BE5EC9">
        <w:rPr>
          <w:rStyle w:val="Hyperlink"/>
        </w:rPr>
        <w:t xml:space="preserve"> </w:t>
      </w:r>
      <w:r w:rsidR="00BE5EC9">
        <w:t>–</w:t>
      </w:r>
      <w:r w:rsidR="001B0F7E">
        <w:t xml:space="preserve"> </w:t>
      </w:r>
      <w:r w:rsidRPr="009E684C">
        <w:t>and</w:t>
      </w:r>
      <w:r w:rsidR="00BE5EC9">
        <w:t xml:space="preserve"> </w:t>
      </w:r>
      <w:r w:rsidRPr="009E684C">
        <w:t>those emails were undeliverable.</w:t>
      </w:r>
    </w:p>
  </w:footnote>
  <w:footnote w:id="13">
    <w:p w:rsidR="00C56A16" w:rsidRPr="009E684C">
      <w:pPr>
        <w:pStyle w:val="FootnoteText"/>
      </w:pPr>
      <w:r w:rsidRPr="00363C08">
        <w:rPr>
          <w:rStyle w:val="FootnoteReference"/>
        </w:rPr>
        <w:footnoteRef/>
      </w:r>
      <w:r w:rsidRPr="00363C08">
        <w:t xml:space="preserve"> </w:t>
      </w:r>
      <w:r w:rsidRPr="00363C08">
        <w:rPr>
          <w:i/>
        </w:rPr>
        <w:t>Final Notice of Intent to Declare the International Section 214 Authorization of Space Net LLC Terminated</w:t>
      </w:r>
      <w:r w:rsidRPr="00363C08">
        <w:t>, Public Notice</w:t>
      </w:r>
      <w:r w:rsidRPr="00FF0EF0">
        <w:t xml:space="preserve">, DA 18-1147 </w:t>
      </w:r>
      <w:r w:rsidRPr="00363C08">
        <w:t xml:space="preserve">(IB </w:t>
      </w:r>
      <w:r w:rsidRPr="00363C08" w:rsidR="00BB2BC6">
        <w:t xml:space="preserve">Nov. 8, </w:t>
      </w:r>
      <w:r w:rsidRPr="00363C08">
        <w:t>2018) (</w:t>
      </w:r>
      <w:r w:rsidRPr="00363C08">
        <w:rPr>
          <w:i/>
        </w:rPr>
        <w:t>Space Net Public Notice</w:t>
      </w:r>
      <w:r w:rsidRPr="00363C08">
        <w:t>).</w:t>
      </w:r>
      <w:r w:rsidRPr="009E684C">
        <w:t xml:space="preserve"> </w:t>
      </w:r>
      <w:r w:rsidR="00B37D6C">
        <w:t xml:space="preserve"> </w:t>
      </w:r>
      <w:r w:rsidR="00BF16AB">
        <w:t xml:space="preserve">Because </w:t>
      </w:r>
      <w:r w:rsidR="00BE5EC9">
        <w:t xml:space="preserve">the </w:t>
      </w:r>
      <w:r w:rsidR="00BE5EC9">
        <w:rPr>
          <w:i/>
        </w:rPr>
        <w:t xml:space="preserve">Space Net Letter </w:t>
      </w:r>
      <w:r w:rsidR="00BF16AB">
        <w:t>w</w:t>
      </w:r>
      <w:r w:rsidR="003C4E39">
        <w:t>as</w:t>
      </w:r>
      <w:r w:rsidR="00BF16AB">
        <w:t xml:space="preserve"> </w:t>
      </w:r>
      <w:r w:rsidR="00BE5EC9">
        <w:t>un</w:t>
      </w:r>
      <w:r w:rsidR="00BF16AB">
        <w:t>deliverable, t</w:t>
      </w:r>
      <w:r w:rsidRPr="00B37D6C" w:rsidR="00B37D6C">
        <w:t>h</w:t>
      </w:r>
      <w:r w:rsidR="00B37D6C">
        <w:t xml:space="preserve">e </w:t>
      </w:r>
      <w:r w:rsidRPr="00FF0EF0" w:rsidR="00B37D6C">
        <w:rPr>
          <w:i/>
        </w:rPr>
        <w:t>Space Net Public Notice</w:t>
      </w:r>
      <w:r w:rsidR="00B37D6C">
        <w:t xml:space="preserve"> was posted</w:t>
      </w:r>
      <w:r w:rsidRPr="00B37D6C" w:rsidR="00B37D6C">
        <w:t xml:space="preserve"> in the Commission’s Office of the Secretary</w:t>
      </w:r>
      <w:r w:rsidR="00BF16AB">
        <w:t xml:space="preserve">.  </w:t>
      </w:r>
      <w:r w:rsidRPr="001824A7" w:rsidR="00BF16AB">
        <w:t>47 CFR § 1.47(h).</w:t>
      </w:r>
    </w:p>
  </w:footnote>
  <w:footnote w:id="14">
    <w:p w:rsidR="00C56A16">
      <w:pPr>
        <w:pStyle w:val="FootnoteText"/>
      </w:pPr>
      <w:r>
        <w:rPr>
          <w:rStyle w:val="FootnoteReference"/>
        </w:rPr>
        <w:footnoteRef/>
      </w:r>
      <w:r>
        <w:t xml:space="preserve"> </w:t>
      </w:r>
      <w:r w:rsidR="0086374A">
        <w:rPr>
          <w:i/>
        </w:rPr>
        <w:t xml:space="preserve">Aug. 9, 2007 </w:t>
      </w:r>
      <w:r w:rsidRPr="007C7722" w:rsidR="00BF16AB">
        <w:rPr>
          <w:i/>
        </w:rPr>
        <w:t>Space</w:t>
      </w:r>
      <w:r w:rsidRPr="0086374A" w:rsidR="00BF16AB">
        <w:rPr>
          <w:i/>
        </w:rPr>
        <w:t xml:space="preserve"> Net A</w:t>
      </w:r>
      <w:r w:rsidRPr="009E684C" w:rsidR="00BF16AB">
        <w:rPr>
          <w:i/>
        </w:rPr>
        <w:t>uthorization</w:t>
      </w:r>
      <w:r w:rsidRPr="007C7722" w:rsidR="00CF1650">
        <w:t>,</w:t>
      </w:r>
      <w:r w:rsidR="00CF1650">
        <w:rPr>
          <w:i/>
        </w:rPr>
        <w:t xml:space="preserve"> </w:t>
      </w:r>
      <w:r w:rsidRPr="009E684C" w:rsidR="00CF1650">
        <w:t xml:space="preserve">22 FCC </w:t>
      </w:r>
      <w:r w:rsidRPr="009E684C" w:rsidR="00CF1650">
        <w:t>Rcd</w:t>
      </w:r>
      <w:r w:rsidRPr="009E684C" w:rsidR="00CF1650">
        <w:t xml:space="preserve"> </w:t>
      </w:r>
      <w:r w:rsidRPr="009E684C" w:rsidR="00CF1650">
        <w:rPr>
          <w:rStyle w:val="item-value"/>
        </w:rPr>
        <w:t>15098</w:t>
      </w:r>
      <w:r w:rsidRPr="009E684C">
        <w:t>.</w:t>
      </w:r>
      <w:r w:rsidRPr="00AC6A84">
        <w:rPr>
          <w:highlight w:val="yellow"/>
        </w:rPr>
        <w:t xml:space="preserve"> </w:t>
      </w:r>
    </w:p>
  </w:footnote>
  <w:footnote w:id="15">
    <w:p w:rsidR="00C56A16" w:rsidRPr="009E684C" w:rsidP="00D53E41">
      <w:pPr>
        <w:pStyle w:val="FootnoteText"/>
      </w:pPr>
      <w:r w:rsidRPr="009E684C">
        <w:rPr>
          <w:rStyle w:val="FootnoteReference"/>
        </w:rPr>
        <w:footnoteRef/>
      </w:r>
      <w:r w:rsidRPr="009E684C">
        <w:t xml:space="preserve"> </w:t>
      </w:r>
      <w:r w:rsidRPr="009E684C">
        <w:rPr>
          <w:rFonts w:eastAsia="Calibri"/>
        </w:rPr>
        <w:t xml:space="preserve">47 CFR </w:t>
      </w:r>
      <w:r w:rsidRPr="009E684C">
        <w:t xml:space="preserve">§ </w:t>
      </w:r>
      <w:r w:rsidRPr="009E684C">
        <w:rPr>
          <w:rFonts w:eastAsia="Calibri"/>
        </w:rPr>
        <w:t xml:space="preserve">63.21(a).   </w:t>
      </w:r>
    </w:p>
  </w:footnote>
  <w:footnote w:id="16">
    <w:p w:rsidR="00C56A16" w:rsidRPr="00E755FC" w:rsidP="00D53E41">
      <w:pPr>
        <w:pStyle w:val="FootnoteText"/>
        <w:rPr>
          <w:b/>
          <w:color w:val="C00000"/>
        </w:rPr>
      </w:pPr>
      <w:r w:rsidRPr="009E684C">
        <w:rPr>
          <w:rStyle w:val="FootnoteReference"/>
        </w:rPr>
        <w:footnoteRef/>
      </w:r>
      <w:r w:rsidRPr="009E684C">
        <w:t xml:space="preserve"> </w:t>
      </w:r>
      <w:r w:rsidRPr="009E684C">
        <w:rPr>
          <w:i/>
        </w:rPr>
        <w:t>Id</w:t>
      </w:r>
      <w:r w:rsidRPr="009E684C">
        <w:t xml:space="preserve">.  </w:t>
      </w:r>
    </w:p>
  </w:footnote>
  <w:footnote w:id="17">
    <w:p w:rsidR="00C56A16" w:rsidRPr="009E684C" w:rsidP="00D53E41">
      <w:pPr>
        <w:pStyle w:val="FootnoteText"/>
      </w:pPr>
      <w:r w:rsidRPr="009E684C">
        <w:rPr>
          <w:rStyle w:val="FootnoteReference"/>
        </w:rPr>
        <w:footnoteRef/>
      </w:r>
      <w:r>
        <w:rPr>
          <w:snapToGrid w:val="0"/>
          <w:kern w:val="28"/>
          <w:sz w:val="22"/>
        </w:rPr>
        <w:t xml:space="preserve"> </w:t>
      </w:r>
      <w:r w:rsidRPr="007D7653">
        <w:rPr>
          <w:rFonts w:eastAsia="Calibri"/>
        </w:rPr>
        <w:t xml:space="preserve">47 CFR § 43.62(b).  In 2013, the Commission adopted </w:t>
      </w:r>
      <w:r w:rsidR="007713B0">
        <w:rPr>
          <w:rFonts w:eastAsia="Calibri"/>
        </w:rPr>
        <w:t>S</w:t>
      </w:r>
      <w:r w:rsidRPr="007D7653">
        <w:rPr>
          <w:rFonts w:eastAsia="Calibri"/>
        </w:rPr>
        <w:t xml:space="preserve">ection 43.62(b) of its rules, which went into effect on February 11, 2015.  </w:t>
      </w:r>
      <w:r w:rsidRPr="007D7653">
        <w:rPr>
          <w:rFonts w:eastAsia="Calibri"/>
          <w:i/>
        </w:rPr>
        <w:t>Reporting Requirements for U.S. Providers of International Telecommunications Services; Amendment of Part 43 of the Commission</w:t>
      </w:r>
      <w:r w:rsidR="00CF2C23">
        <w:rPr>
          <w:rFonts w:eastAsia="Calibri"/>
          <w:i/>
        </w:rPr>
        <w:t>’s</w:t>
      </w:r>
      <w:r w:rsidRPr="007D7653">
        <w:rPr>
          <w:rFonts w:eastAsia="Calibri"/>
          <w:i/>
        </w:rPr>
        <w:t xml:space="preserve"> Rules</w:t>
      </w:r>
      <w:r w:rsidRPr="007D7653">
        <w:rPr>
          <w:rFonts w:eastAsia="Calibri"/>
        </w:rPr>
        <w:t xml:space="preserve">, IB Docket No. 04-112, Second Report and Order, 28 FCC </w:t>
      </w:r>
      <w:r w:rsidRPr="007D7653">
        <w:rPr>
          <w:rFonts w:eastAsia="Calibri"/>
        </w:rPr>
        <w:t>Rcd</w:t>
      </w:r>
      <w:r w:rsidRPr="007D7653">
        <w:rPr>
          <w:rFonts w:eastAsia="Calibri"/>
        </w:rPr>
        <w:t xml:space="preserve"> 575 (2013); </w:t>
      </w:r>
      <w:r w:rsidRPr="00FF0EF0">
        <w:rPr>
          <w:rFonts w:eastAsia="Calibri"/>
        </w:rPr>
        <w:t>Reporting Requirements for U.S. Providers of International Telecommunications Services</w:t>
      </w:r>
      <w:r w:rsidRPr="007D7653">
        <w:rPr>
          <w:rFonts w:eastAsia="Calibri"/>
        </w:rPr>
        <w:t xml:space="preserve">, 80 Fed. Reg. 7547 (Feb. 11, 2015).  On October 24, 2017, the Commission eliminated the annual traffic and revenue reporting requirement.  </w:t>
      </w:r>
      <w:bookmarkStart w:id="2" w:name="_Hlk521425094"/>
      <w:r w:rsidRPr="007D7653">
        <w:rPr>
          <w:rFonts w:eastAsia="Calibri"/>
          <w:i/>
        </w:rPr>
        <w:t>Section 43.62 Reporting Requirements for U.S. Providers of International Services; 2016 Biennial Review of Telecommunications Regulations</w:t>
      </w:r>
      <w:bookmarkEnd w:id="2"/>
      <w:r w:rsidRPr="007D7653">
        <w:rPr>
          <w:rFonts w:eastAsia="Calibri"/>
        </w:rPr>
        <w:t xml:space="preserve">, IB Docket Nos. 17-55 and 16-131, Report and Order, 32 FCC </w:t>
      </w:r>
      <w:r w:rsidRPr="007D7653">
        <w:rPr>
          <w:rFonts w:eastAsia="Calibri"/>
        </w:rPr>
        <w:t>Rcd</w:t>
      </w:r>
      <w:r w:rsidRPr="007D7653">
        <w:rPr>
          <w:rFonts w:eastAsia="Calibri"/>
        </w:rPr>
        <w:t xml:space="preserve"> 8115 (2017); </w:t>
      </w:r>
      <w:r w:rsidRPr="00FF0EF0">
        <w:rPr>
          <w:rFonts w:eastAsia="Calibri"/>
        </w:rPr>
        <w:t>Section 43.62 Reporting Requirements for U.S. Providers of International Services; 2016 Biennial Review of Telecommunications Regulations</w:t>
      </w:r>
      <w:r w:rsidR="00CB1267">
        <w:rPr>
          <w:rFonts w:eastAsia="Calibri"/>
        </w:rPr>
        <w:t>,</w:t>
      </w:r>
      <w:r w:rsidRPr="002142CF">
        <w:rPr>
          <w:rFonts w:eastAsia="Calibri"/>
        </w:rPr>
        <w:t xml:space="preserve"> </w:t>
      </w:r>
      <w:r w:rsidRPr="007D7653">
        <w:rPr>
          <w:rFonts w:eastAsia="Calibri"/>
        </w:rPr>
        <w:t>83 Fed. Reg. 17931 (April 25, 2018).</w:t>
      </w:r>
      <w:r>
        <w:rPr>
          <w:rFonts w:eastAsia="Calibri"/>
        </w:rPr>
        <w:t xml:space="preserve"> </w:t>
      </w:r>
      <w:r w:rsidRPr="009E684C">
        <w:rPr>
          <w:rFonts w:eastAsia="Calibri"/>
        </w:rPr>
        <w:t xml:space="preserve"> </w:t>
      </w:r>
    </w:p>
  </w:footnote>
  <w:footnote w:id="18">
    <w:p w:rsidR="00C56A16" w:rsidRPr="001824A7" w:rsidP="00D53E41">
      <w:pPr>
        <w:pStyle w:val="FootnoteText"/>
      </w:pPr>
      <w:r w:rsidRPr="009E684C">
        <w:rPr>
          <w:rStyle w:val="FootnoteReference"/>
        </w:rPr>
        <w:footnoteRef/>
      </w:r>
      <w:r w:rsidRPr="009E684C">
        <w:t xml:space="preserve"> 47 CFR § 43.62(b) (emphasis added).  </w:t>
      </w:r>
    </w:p>
  </w:footnote>
  <w:footnote w:id="19">
    <w:p w:rsidR="00C56A16" w:rsidRPr="001824A7" w:rsidP="00D53E41">
      <w:pPr>
        <w:pStyle w:val="FootnoteText"/>
      </w:pPr>
      <w:r w:rsidRPr="001824A7">
        <w:rPr>
          <w:rStyle w:val="FootnoteReference"/>
        </w:rPr>
        <w:footnoteRef/>
      </w:r>
      <w:r w:rsidRPr="001824A7">
        <w:t xml:space="preserve"> 47 CFR § 43.62(b).  </w:t>
      </w:r>
    </w:p>
  </w:footnote>
  <w:footnote w:id="20">
    <w:p w:rsidR="00C56A16" w:rsidRPr="001824A7" w:rsidP="00D53E41">
      <w:pPr>
        <w:pStyle w:val="FootnoteText"/>
      </w:pPr>
      <w:r w:rsidRPr="001824A7">
        <w:rPr>
          <w:rStyle w:val="FootnoteReference"/>
        </w:rPr>
        <w:footnoteRef/>
      </w:r>
      <w:r w:rsidRPr="001824A7">
        <w:t xml:space="preserve"> </w:t>
      </w:r>
      <w:bookmarkStart w:id="3" w:name="_Hlk1740503"/>
      <w:r w:rsidRPr="001824A7">
        <w:t>47 CFR § 1.47(h).</w:t>
      </w:r>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6A16" w:rsidP="00D53E41">
    <w:pPr>
      <w:pStyle w:val="Header"/>
      <w:rPr>
        <w:b w:val="0"/>
      </w:rPr>
    </w:pPr>
    <w:r>
      <w:tab/>
      <w:t>Federal Communications Commission</w:t>
    </w:r>
    <w:r>
      <w:tab/>
      <w:t>DA 1</w:t>
    </w:r>
    <w:r w:rsidR="00375B7E">
      <w:t>9</w:t>
    </w:r>
    <w:r>
      <w:t>-</w:t>
    </w:r>
    <w:r w:rsidR="00785564">
      <w:t>143</w:t>
    </w:r>
  </w:p>
  <w:p w:rsidR="00C56A16">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p>
  <w:p w:rsidR="00C56A1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6A16" w:rsidP="00D53E41">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r>
      <w:tab/>
      <w:t>Federal Communications Commission</w:t>
    </w:r>
    <w:r>
      <w:tab/>
    </w:r>
    <w:r>
      <w:rPr>
        <w:spacing w:val="-2"/>
      </w:rPr>
      <w:t xml:space="preserve">DA </w:t>
    </w:r>
    <w:r w:rsidR="00644BE8">
      <w:rPr>
        <w:spacing w:val="-2"/>
      </w:rPr>
      <w:t>19</w:t>
    </w:r>
    <w:r>
      <w:rPr>
        <w:spacing w:val="-2"/>
      </w:rPr>
      <w:t>-</w:t>
    </w:r>
    <w:r w:rsidR="00785564">
      <w:rPr>
        <w:spacing w:val="-2"/>
      </w:rPr>
      <w:t>143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defaultTabStop w:val="720"/>
  <w:characterSpacingControl w:val="doNotCompress"/>
  <w:footnotePr>
    <w:footnote w:id="0"/>
    <w:footnote w:id="1"/>
  </w:footnotePr>
  <w:endnotePr>
    <w:numFmt w:val="decimal"/>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E41"/>
    <w:rsid w:val="00000FAA"/>
    <w:rsid w:val="00024341"/>
    <w:rsid w:val="00080235"/>
    <w:rsid w:val="000C0795"/>
    <w:rsid w:val="000C2E18"/>
    <w:rsid w:val="000D0BD9"/>
    <w:rsid w:val="000D25FA"/>
    <w:rsid w:val="000E0534"/>
    <w:rsid w:val="000E71D3"/>
    <w:rsid w:val="001169DF"/>
    <w:rsid w:val="001274A6"/>
    <w:rsid w:val="00130002"/>
    <w:rsid w:val="0013152E"/>
    <w:rsid w:val="001364ED"/>
    <w:rsid w:val="00175796"/>
    <w:rsid w:val="001824A7"/>
    <w:rsid w:val="001869B4"/>
    <w:rsid w:val="001928AB"/>
    <w:rsid w:val="001A1C89"/>
    <w:rsid w:val="001A48C9"/>
    <w:rsid w:val="001B0F7E"/>
    <w:rsid w:val="001B3539"/>
    <w:rsid w:val="001C2F2D"/>
    <w:rsid w:val="001D5ED2"/>
    <w:rsid w:val="001F65F3"/>
    <w:rsid w:val="00202648"/>
    <w:rsid w:val="002029B9"/>
    <w:rsid w:val="002142CF"/>
    <w:rsid w:val="002171E8"/>
    <w:rsid w:val="00217806"/>
    <w:rsid w:val="002403A3"/>
    <w:rsid w:val="002424CB"/>
    <w:rsid w:val="002524EE"/>
    <w:rsid w:val="00283384"/>
    <w:rsid w:val="002C2374"/>
    <w:rsid w:val="002D3061"/>
    <w:rsid w:val="002D7535"/>
    <w:rsid w:val="002E21F3"/>
    <w:rsid w:val="002F1419"/>
    <w:rsid w:val="002F2D53"/>
    <w:rsid w:val="003013A5"/>
    <w:rsid w:val="003372EE"/>
    <w:rsid w:val="0034285E"/>
    <w:rsid w:val="0034656C"/>
    <w:rsid w:val="00363C08"/>
    <w:rsid w:val="00375B7E"/>
    <w:rsid w:val="00375B9F"/>
    <w:rsid w:val="003C24EC"/>
    <w:rsid w:val="003C4E39"/>
    <w:rsid w:val="003C646D"/>
    <w:rsid w:val="003F19A3"/>
    <w:rsid w:val="00401EC9"/>
    <w:rsid w:val="00413022"/>
    <w:rsid w:val="004410CF"/>
    <w:rsid w:val="00462D3C"/>
    <w:rsid w:val="0046451E"/>
    <w:rsid w:val="00466CF1"/>
    <w:rsid w:val="0047519B"/>
    <w:rsid w:val="004951D3"/>
    <w:rsid w:val="004C4CAA"/>
    <w:rsid w:val="004C66BE"/>
    <w:rsid w:val="00500358"/>
    <w:rsid w:val="00506F1B"/>
    <w:rsid w:val="005416CE"/>
    <w:rsid w:val="00545CDE"/>
    <w:rsid w:val="005B4B2C"/>
    <w:rsid w:val="005E7E42"/>
    <w:rsid w:val="005F76E6"/>
    <w:rsid w:val="006444D3"/>
    <w:rsid w:val="00644BE8"/>
    <w:rsid w:val="00654C4A"/>
    <w:rsid w:val="00661760"/>
    <w:rsid w:val="006A03B0"/>
    <w:rsid w:val="006B5F11"/>
    <w:rsid w:val="006C1D51"/>
    <w:rsid w:val="006C68AB"/>
    <w:rsid w:val="0070224F"/>
    <w:rsid w:val="00703686"/>
    <w:rsid w:val="00707119"/>
    <w:rsid w:val="007115F7"/>
    <w:rsid w:val="0072189A"/>
    <w:rsid w:val="00742FE0"/>
    <w:rsid w:val="00764F8B"/>
    <w:rsid w:val="007713B0"/>
    <w:rsid w:val="00785564"/>
    <w:rsid w:val="00786A5E"/>
    <w:rsid w:val="007941BE"/>
    <w:rsid w:val="007A2369"/>
    <w:rsid w:val="007C7497"/>
    <w:rsid w:val="007C7722"/>
    <w:rsid w:val="007D7653"/>
    <w:rsid w:val="00816C62"/>
    <w:rsid w:val="00827DB4"/>
    <w:rsid w:val="0083381B"/>
    <w:rsid w:val="0086374A"/>
    <w:rsid w:val="0086614F"/>
    <w:rsid w:val="008A3405"/>
    <w:rsid w:val="008A7463"/>
    <w:rsid w:val="008B4470"/>
    <w:rsid w:val="008E76F4"/>
    <w:rsid w:val="008E7D32"/>
    <w:rsid w:val="00923E22"/>
    <w:rsid w:val="00934ED4"/>
    <w:rsid w:val="00960DC8"/>
    <w:rsid w:val="009909F4"/>
    <w:rsid w:val="009A1040"/>
    <w:rsid w:val="009E52A8"/>
    <w:rsid w:val="009E684C"/>
    <w:rsid w:val="009F205B"/>
    <w:rsid w:val="00A16879"/>
    <w:rsid w:val="00A67EEA"/>
    <w:rsid w:val="00A70710"/>
    <w:rsid w:val="00A76B48"/>
    <w:rsid w:val="00AB73B2"/>
    <w:rsid w:val="00AC6A84"/>
    <w:rsid w:val="00AD2023"/>
    <w:rsid w:val="00AF4FDD"/>
    <w:rsid w:val="00B0649C"/>
    <w:rsid w:val="00B117DD"/>
    <w:rsid w:val="00B259EC"/>
    <w:rsid w:val="00B37D6C"/>
    <w:rsid w:val="00B523A8"/>
    <w:rsid w:val="00B64A59"/>
    <w:rsid w:val="00B82944"/>
    <w:rsid w:val="00B87AD1"/>
    <w:rsid w:val="00B91ED4"/>
    <w:rsid w:val="00BB2BC6"/>
    <w:rsid w:val="00BB39DE"/>
    <w:rsid w:val="00BD2153"/>
    <w:rsid w:val="00BE5A8F"/>
    <w:rsid w:val="00BE5EC9"/>
    <w:rsid w:val="00BF16AB"/>
    <w:rsid w:val="00C077F1"/>
    <w:rsid w:val="00C231FC"/>
    <w:rsid w:val="00C438C3"/>
    <w:rsid w:val="00C56A16"/>
    <w:rsid w:val="00C603BF"/>
    <w:rsid w:val="00C777F5"/>
    <w:rsid w:val="00C82B5A"/>
    <w:rsid w:val="00CB1267"/>
    <w:rsid w:val="00CF1650"/>
    <w:rsid w:val="00CF2C23"/>
    <w:rsid w:val="00D0140D"/>
    <w:rsid w:val="00D14685"/>
    <w:rsid w:val="00D15874"/>
    <w:rsid w:val="00D44258"/>
    <w:rsid w:val="00D53E41"/>
    <w:rsid w:val="00D57DEE"/>
    <w:rsid w:val="00D73A80"/>
    <w:rsid w:val="00DF011A"/>
    <w:rsid w:val="00E11388"/>
    <w:rsid w:val="00E149D4"/>
    <w:rsid w:val="00E328AB"/>
    <w:rsid w:val="00E33767"/>
    <w:rsid w:val="00E5605A"/>
    <w:rsid w:val="00E7039E"/>
    <w:rsid w:val="00E755FC"/>
    <w:rsid w:val="00E91C19"/>
    <w:rsid w:val="00EB0074"/>
    <w:rsid w:val="00EB4024"/>
    <w:rsid w:val="00ED62DF"/>
    <w:rsid w:val="00F000D5"/>
    <w:rsid w:val="00F03C85"/>
    <w:rsid w:val="00F16EAA"/>
    <w:rsid w:val="00F31D6E"/>
    <w:rsid w:val="00F44EC7"/>
    <w:rsid w:val="00F77BDC"/>
    <w:rsid w:val="00FB5C26"/>
    <w:rsid w:val="00FD42EA"/>
    <w:rsid w:val="00FF0EF0"/>
    <w:rsid w:val="00FF2D05"/>
    <w:rsid w:val="00FF3D11"/>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14:defaultImageDpi w14:val="330"/>
  <w15:docId w15:val="{91C10FEC-ACC9-4832-8CDE-940C7247D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795"/>
    <w:pPr>
      <w:widowControl w:val="0"/>
    </w:pPr>
    <w:rPr>
      <w:rFonts w:ascii="Times New Roman" w:eastAsia="Times New Roman" w:hAnsi="Times New Roman" w:cs="Times New Roman"/>
      <w:snapToGrid w:val="0"/>
      <w:kern w:val="28"/>
      <w:sz w:val="22"/>
      <w:szCs w:val="20"/>
    </w:rPr>
  </w:style>
  <w:style w:type="paragraph" w:styleId="Heading1">
    <w:name w:val="heading 1"/>
    <w:basedOn w:val="Normal"/>
    <w:next w:val="ParaNum"/>
    <w:link w:val="Heading1Char"/>
    <w:qFormat/>
    <w:rsid w:val="000C0795"/>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0C0795"/>
    <w:pPr>
      <w:keepNext/>
      <w:numPr>
        <w:ilvl w:val="1"/>
        <w:numId w:val="2"/>
      </w:numPr>
      <w:spacing w:after="120"/>
      <w:outlineLvl w:val="1"/>
    </w:pPr>
    <w:rPr>
      <w:b/>
    </w:rPr>
  </w:style>
  <w:style w:type="paragraph" w:styleId="Heading3">
    <w:name w:val="heading 3"/>
    <w:basedOn w:val="Normal"/>
    <w:next w:val="ParaNum"/>
    <w:link w:val="Heading3Char"/>
    <w:qFormat/>
    <w:rsid w:val="000C0795"/>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0C0795"/>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0C0795"/>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0C0795"/>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0C0795"/>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0C0795"/>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0C0795"/>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C079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C0795"/>
  </w:style>
  <w:style w:type="character" w:customStyle="1" w:styleId="Heading1Char">
    <w:name w:val="Heading 1 Char"/>
    <w:basedOn w:val="DefaultParagraphFont"/>
    <w:link w:val="Heading1"/>
    <w:rsid w:val="00D53E41"/>
    <w:rPr>
      <w:rFonts w:ascii="Times New Roman Bold" w:eastAsia="Times New Roman" w:hAnsi="Times New Roman Bold" w:cs="Times New Roman"/>
      <w:b/>
      <w:caps/>
      <w:snapToGrid w:val="0"/>
      <w:kern w:val="28"/>
      <w:sz w:val="22"/>
      <w:szCs w:val="20"/>
    </w:rPr>
  </w:style>
  <w:style w:type="character" w:customStyle="1" w:styleId="Heading2Char">
    <w:name w:val="Heading 2 Char"/>
    <w:basedOn w:val="DefaultParagraphFont"/>
    <w:link w:val="Heading2"/>
    <w:rsid w:val="00D53E41"/>
    <w:rPr>
      <w:rFonts w:ascii="Times New Roman" w:eastAsia="Times New Roman" w:hAnsi="Times New Roman" w:cs="Times New Roman"/>
      <w:b/>
      <w:snapToGrid w:val="0"/>
      <w:kern w:val="28"/>
      <w:sz w:val="22"/>
      <w:szCs w:val="20"/>
    </w:rPr>
  </w:style>
  <w:style w:type="character" w:customStyle="1" w:styleId="Heading3Char">
    <w:name w:val="Heading 3 Char"/>
    <w:basedOn w:val="DefaultParagraphFont"/>
    <w:link w:val="Heading3"/>
    <w:rsid w:val="00D53E41"/>
    <w:rPr>
      <w:rFonts w:ascii="Times New Roman" w:eastAsia="Times New Roman" w:hAnsi="Times New Roman" w:cs="Times New Roman"/>
      <w:b/>
      <w:snapToGrid w:val="0"/>
      <w:kern w:val="28"/>
      <w:sz w:val="22"/>
      <w:szCs w:val="20"/>
    </w:rPr>
  </w:style>
  <w:style w:type="character" w:customStyle="1" w:styleId="Heading4Char">
    <w:name w:val="Heading 4 Char"/>
    <w:basedOn w:val="DefaultParagraphFont"/>
    <w:link w:val="Heading4"/>
    <w:rsid w:val="00D53E41"/>
    <w:rPr>
      <w:rFonts w:ascii="Times New Roman" w:eastAsia="Times New Roman" w:hAnsi="Times New Roman" w:cs="Times New Roman"/>
      <w:b/>
      <w:snapToGrid w:val="0"/>
      <w:kern w:val="28"/>
      <w:sz w:val="22"/>
      <w:szCs w:val="20"/>
    </w:rPr>
  </w:style>
  <w:style w:type="character" w:customStyle="1" w:styleId="Heading5Char">
    <w:name w:val="Heading 5 Char"/>
    <w:basedOn w:val="DefaultParagraphFont"/>
    <w:link w:val="Heading5"/>
    <w:rsid w:val="00D53E41"/>
    <w:rPr>
      <w:rFonts w:ascii="Times New Roman" w:eastAsia="Times New Roman" w:hAnsi="Times New Roman" w:cs="Times New Roman"/>
      <w:b/>
      <w:snapToGrid w:val="0"/>
      <w:kern w:val="28"/>
      <w:sz w:val="22"/>
      <w:szCs w:val="20"/>
    </w:rPr>
  </w:style>
  <w:style w:type="character" w:customStyle="1" w:styleId="Heading6Char">
    <w:name w:val="Heading 6 Char"/>
    <w:basedOn w:val="DefaultParagraphFont"/>
    <w:link w:val="Heading6"/>
    <w:rsid w:val="00D53E41"/>
    <w:rPr>
      <w:rFonts w:ascii="Times New Roman" w:eastAsia="Times New Roman" w:hAnsi="Times New Roman" w:cs="Times New Roman"/>
      <w:b/>
      <w:snapToGrid w:val="0"/>
      <w:kern w:val="28"/>
      <w:sz w:val="22"/>
      <w:szCs w:val="20"/>
    </w:rPr>
  </w:style>
  <w:style w:type="character" w:customStyle="1" w:styleId="Heading7Char">
    <w:name w:val="Heading 7 Char"/>
    <w:basedOn w:val="DefaultParagraphFont"/>
    <w:link w:val="Heading7"/>
    <w:rsid w:val="00D53E41"/>
    <w:rPr>
      <w:rFonts w:ascii="Times New Roman" w:eastAsia="Times New Roman" w:hAnsi="Times New Roman" w:cs="Times New Roman"/>
      <w:b/>
      <w:snapToGrid w:val="0"/>
      <w:kern w:val="28"/>
      <w:sz w:val="22"/>
      <w:szCs w:val="20"/>
    </w:rPr>
  </w:style>
  <w:style w:type="character" w:customStyle="1" w:styleId="Heading8Char">
    <w:name w:val="Heading 8 Char"/>
    <w:basedOn w:val="DefaultParagraphFont"/>
    <w:link w:val="Heading8"/>
    <w:rsid w:val="00D53E41"/>
    <w:rPr>
      <w:rFonts w:ascii="Times New Roman" w:eastAsia="Times New Roman" w:hAnsi="Times New Roman" w:cs="Times New Roman"/>
      <w:b/>
      <w:snapToGrid w:val="0"/>
      <w:kern w:val="28"/>
      <w:sz w:val="22"/>
      <w:szCs w:val="20"/>
    </w:rPr>
  </w:style>
  <w:style w:type="character" w:customStyle="1" w:styleId="Heading9Char">
    <w:name w:val="Heading 9 Char"/>
    <w:basedOn w:val="DefaultParagraphFont"/>
    <w:link w:val="Heading9"/>
    <w:rsid w:val="00D53E41"/>
    <w:rPr>
      <w:rFonts w:ascii="Times New Roman" w:eastAsia="Times New Roman" w:hAnsi="Times New Roman" w:cs="Times New Roman"/>
      <w:b/>
      <w:snapToGrid w:val="0"/>
      <w:kern w:val="28"/>
      <w:sz w:val="22"/>
      <w:szCs w:val="20"/>
    </w:rPr>
  </w:style>
  <w:style w:type="paragraph" w:customStyle="1" w:styleId="ParaNum">
    <w:name w:val="ParaNum"/>
    <w:basedOn w:val="Normal"/>
    <w:link w:val="ParaNumChar"/>
    <w:rsid w:val="000C0795"/>
    <w:pPr>
      <w:numPr>
        <w:numId w:val="1"/>
      </w:numPr>
      <w:tabs>
        <w:tab w:val="clear" w:pos="1080"/>
        <w:tab w:val="num" w:pos="1440"/>
      </w:tabs>
      <w:spacing w:after="120"/>
    </w:pPr>
  </w:style>
  <w:style w:type="paragraph" w:styleId="FootnoteText">
    <w:name w:val="footnote text"/>
    <w:aliases w:val="Footnote Text Char Char Char,Footnote Text Char Char Char Char Char,Footnote Text Char1,Footnote Text Char1 Char,Footnote Text Char1 Char Char Char,Footnote Text Char1 Char Char Char Char Char,f,rrfootnote Char Char Char"/>
    <w:link w:val="FootnoteTextChar"/>
    <w:rsid w:val="000C0795"/>
    <w:pPr>
      <w:spacing w:after="120"/>
    </w:pPr>
    <w:rPr>
      <w:rFonts w:ascii="Times New Roman" w:eastAsia="Times New Roman" w:hAnsi="Times New Roman" w:cs="Times New Roman"/>
      <w:sz w:val="20"/>
      <w:szCs w:val="20"/>
    </w:rPr>
  </w:style>
  <w:style w:type="character" w:customStyle="1" w:styleId="FootnoteTextChar">
    <w:name w:val="Footnote Text Char"/>
    <w:aliases w:val="Footnote Text Char Char Char Char,Footnote Text Char Char Char Char Char Char,Footnote Text Char1 Char Char,Footnote Text Char1 Char Char Char Char,Footnote Text Char1 Char Char Char Char Char Char,rrfootnote Char Char Char Char"/>
    <w:basedOn w:val="DefaultParagraphFont"/>
    <w:link w:val="FootnoteText"/>
    <w:rsid w:val="00D53E41"/>
    <w:rPr>
      <w:rFonts w:ascii="Times New Roman" w:eastAsia="Times New Roman" w:hAnsi="Times New Roman" w:cs="Times New Roman"/>
      <w:sz w:val="20"/>
      <w:szCs w:val="20"/>
    </w:rPr>
  </w:style>
  <w:style w:type="character" w:styleId="FootnoteReference">
    <w:name w:val="footnote reference"/>
    <w:aliases w:val="(NECG) Footnote Reference,Appel note de bas de p,Style 12,Style 124,Style 4"/>
    <w:rsid w:val="000C0795"/>
    <w:rPr>
      <w:rFonts w:ascii="Times New Roman" w:hAnsi="Times New Roman"/>
      <w:dstrike w:val="0"/>
      <w:color w:val="auto"/>
      <w:sz w:val="20"/>
      <w:vertAlign w:val="superscript"/>
    </w:rPr>
  </w:style>
  <w:style w:type="paragraph" w:styleId="TOAHeading">
    <w:name w:val="toa heading"/>
    <w:basedOn w:val="Normal"/>
    <w:next w:val="Normal"/>
    <w:semiHidden/>
    <w:rsid w:val="000C0795"/>
    <w:pPr>
      <w:tabs>
        <w:tab w:val="right" w:pos="9360"/>
      </w:tabs>
      <w:suppressAutoHyphens/>
    </w:pPr>
  </w:style>
  <w:style w:type="paragraph" w:styleId="Header">
    <w:name w:val="header"/>
    <w:basedOn w:val="Normal"/>
    <w:link w:val="HeaderChar"/>
    <w:autoRedefine/>
    <w:rsid w:val="000C0795"/>
    <w:pPr>
      <w:tabs>
        <w:tab w:val="center" w:pos="4680"/>
        <w:tab w:val="right" w:pos="9360"/>
      </w:tabs>
    </w:pPr>
    <w:rPr>
      <w:b/>
    </w:rPr>
  </w:style>
  <w:style w:type="character" w:customStyle="1" w:styleId="HeaderChar">
    <w:name w:val="Header Char"/>
    <w:basedOn w:val="DefaultParagraphFont"/>
    <w:link w:val="Header"/>
    <w:rsid w:val="00D53E41"/>
    <w:rPr>
      <w:rFonts w:ascii="Times New Roman" w:eastAsia="Times New Roman" w:hAnsi="Times New Roman" w:cs="Times New Roman"/>
      <w:b/>
      <w:snapToGrid w:val="0"/>
      <w:kern w:val="28"/>
      <w:sz w:val="22"/>
      <w:szCs w:val="20"/>
    </w:rPr>
  </w:style>
  <w:style w:type="paragraph" w:styleId="Footer">
    <w:name w:val="footer"/>
    <w:basedOn w:val="Normal"/>
    <w:link w:val="FooterChar"/>
    <w:uiPriority w:val="99"/>
    <w:rsid w:val="000C0795"/>
    <w:pPr>
      <w:tabs>
        <w:tab w:val="center" w:pos="4320"/>
        <w:tab w:val="right" w:pos="8640"/>
      </w:tabs>
    </w:pPr>
  </w:style>
  <w:style w:type="character" w:customStyle="1" w:styleId="FooterChar">
    <w:name w:val="Footer Char"/>
    <w:link w:val="Footer"/>
    <w:uiPriority w:val="99"/>
    <w:rsid w:val="000C0795"/>
    <w:rPr>
      <w:rFonts w:ascii="Times New Roman" w:eastAsia="Times New Roman" w:hAnsi="Times New Roman" w:cs="Times New Roman"/>
      <w:snapToGrid w:val="0"/>
      <w:kern w:val="28"/>
      <w:sz w:val="22"/>
      <w:szCs w:val="20"/>
    </w:rPr>
  </w:style>
  <w:style w:type="paragraph" w:customStyle="1" w:styleId="StyleBoldCentered">
    <w:name w:val="Style Bold Centered"/>
    <w:basedOn w:val="Normal"/>
    <w:rsid w:val="000C0795"/>
    <w:pPr>
      <w:jc w:val="center"/>
    </w:pPr>
    <w:rPr>
      <w:rFonts w:ascii="Times New Roman Bold" w:hAnsi="Times New Roman Bold"/>
      <w:b/>
      <w:bCs/>
      <w:caps/>
      <w:szCs w:val="22"/>
    </w:rPr>
  </w:style>
  <w:style w:type="character" w:styleId="Hyperlink">
    <w:name w:val="Hyperlink"/>
    <w:rsid w:val="000C0795"/>
    <w:rPr>
      <w:color w:val="0000FF"/>
      <w:u w:val="single"/>
    </w:rPr>
  </w:style>
  <w:style w:type="character" w:customStyle="1" w:styleId="ParaNumChar">
    <w:name w:val="ParaNum Char"/>
    <w:link w:val="ParaNum"/>
    <w:rsid w:val="00D53E41"/>
    <w:rPr>
      <w:rFonts w:ascii="Times New Roman" w:eastAsia="Times New Roman" w:hAnsi="Times New Roman" w:cs="Times New Roman"/>
      <w:snapToGrid w:val="0"/>
      <w:kern w:val="28"/>
      <w:sz w:val="22"/>
      <w:szCs w:val="20"/>
    </w:rPr>
  </w:style>
  <w:style w:type="character" w:customStyle="1" w:styleId="item-value">
    <w:name w:val="item-value"/>
    <w:rsid w:val="001D5ED2"/>
  </w:style>
  <w:style w:type="character" w:styleId="FollowedHyperlink">
    <w:name w:val="FollowedHyperlink"/>
    <w:basedOn w:val="DefaultParagraphFont"/>
    <w:uiPriority w:val="99"/>
    <w:semiHidden/>
    <w:unhideWhenUsed/>
    <w:rsid w:val="00C077F1"/>
    <w:rPr>
      <w:color w:val="800080" w:themeColor="followedHyperlink"/>
      <w:u w:val="single"/>
    </w:rPr>
  </w:style>
  <w:style w:type="character" w:styleId="CommentReference">
    <w:name w:val="annotation reference"/>
    <w:basedOn w:val="DefaultParagraphFont"/>
    <w:uiPriority w:val="99"/>
    <w:semiHidden/>
    <w:unhideWhenUsed/>
    <w:rsid w:val="00B87AD1"/>
    <w:rPr>
      <w:sz w:val="16"/>
      <w:szCs w:val="16"/>
    </w:rPr>
  </w:style>
  <w:style w:type="paragraph" w:styleId="CommentText">
    <w:name w:val="annotation text"/>
    <w:basedOn w:val="Normal"/>
    <w:link w:val="CommentTextChar"/>
    <w:uiPriority w:val="99"/>
    <w:semiHidden/>
    <w:unhideWhenUsed/>
    <w:rsid w:val="00B87AD1"/>
    <w:rPr>
      <w:sz w:val="20"/>
    </w:rPr>
  </w:style>
  <w:style w:type="character" w:customStyle="1" w:styleId="CommentTextChar">
    <w:name w:val="Comment Text Char"/>
    <w:basedOn w:val="DefaultParagraphFont"/>
    <w:link w:val="CommentText"/>
    <w:uiPriority w:val="99"/>
    <w:semiHidden/>
    <w:rsid w:val="00B87AD1"/>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B87AD1"/>
    <w:rPr>
      <w:b/>
      <w:bCs/>
    </w:rPr>
  </w:style>
  <w:style w:type="character" w:customStyle="1" w:styleId="CommentSubjectChar">
    <w:name w:val="Comment Subject Char"/>
    <w:basedOn w:val="CommentTextChar"/>
    <w:link w:val="CommentSubject"/>
    <w:uiPriority w:val="99"/>
    <w:semiHidden/>
    <w:rsid w:val="00B87AD1"/>
    <w:rPr>
      <w:rFonts w:ascii="Times New Roman" w:eastAsia="Times New Roman" w:hAnsi="Times New Roman" w:cs="Times New Roman"/>
      <w:b/>
      <w:bCs/>
      <w:snapToGrid w:val="0"/>
      <w:kern w:val="28"/>
      <w:sz w:val="20"/>
      <w:szCs w:val="20"/>
    </w:rPr>
  </w:style>
  <w:style w:type="paragraph" w:styleId="Revision">
    <w:name w:val="Revision"/>
    <w:hidden/>
    <w:uiPriority w:val="99"/>
    <w:semiHidden/>
    <w:rsid w:val="00B87AD1"/>
    <w:rPr>
      <w:rFonts w:ascii="Times New Roman" w:eastAsia="Times New Roman" w:hAnsi="Times New Roman" w:cs="Times New Roman"/>
      <w:snapToGrid w:val="0"/>
      <w:kern w:val="28"/>
      <w:sz w:val="22"/>
      <w:szCs w:val="20"/>
    </w:rPr>
  </w:style>
  <w:style w:type="paragraph" w:styleId="BalloonText">
    <w:name w:val="Balloon Text"/>
    <w:basedOn w:val="Normal"/>
    <w:link w:val="BalloonTextChar"/>
    <w:uiPriority w:val="99"/>
    <w:semiHidden/>
    <w:unhideWhenUsed/>
    <w:rsid w:val="00B87A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AD1"/>
    <w:rPr>
      <w:rFonts w:ascii="Segoe UI" w:eastAsia="Times New Roman" w:hAnsi="Segoe UI" w:cs="Segoe UI"/>
      <w:snapToGrid w:val="0"/>
      <w:kern w:val="28"/>
      <w:sz w:val="18"/>
      <w:szCs w:val="18"/>
    </w:rPr>
  </w:style>
  <w:style w:type="paragraph" w:styleId="EndnoteText">
    <w:name w:val="endnote text"/>
    <w:basedOn w:val="Normal"/>
    <w:link w:val="EndnoteTextChar"/>
    <w:semiHidden/>
    <w:rsid w:val="000C0795"/>
    <w:rPr>
      <w:sz w:val="20"/>
    </w:rPr>
  </w:style>
  <w:style w:type="character" w:customStyle="1" w:styleId="EndnoteTextChar">
    <w:name w:val="Endnote Text Char"/>
    <w:basedOn w:val="DefaultParagraphFont"/>
    <w:link w:val="EndnoteText"/>
    <w:semiHidden/>
    <w:rsid w:val="00545CDE"/>
    <w:rPr>
      <w:rFonts w:ascii="Times New Roman" w:eastAsia="Times New Roman" w:hAnsi="Times New Roman" w:cs="Times New Roman"/>
      <w:snapToGrid w:val="0"/>
      <w:kern w:val="28"/>
      <w:sz w:val="20"/>
      <w:szCs w:val="20"/>
    </w:rPr>
  </w:style>
  <w:style w:type="character" w:styleId="EndnoteReference">
    <w:name w:val="endnote reference"/>
    <w:semiHidden/>
    <w:rsid w:val="000C0795"/>
    <w:rPr>
      <w:vertAlign w:val="superscript"/>
    </w:rPr>
  </w:style>
  <w:style w:type="paragraph" w:styleId="TOC1">
    <w:name w:val="toc 1"/>
    <w:basedOn w:val="Normal"/>
    <w:next w:val="Normal"/>
    <w:semiHidden/>
    <w:rsid w:val="000C079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C0795"/>
    <w:pPr>
      <w:tabs>
        <w:tab w:val="left" w:pos="720"/>
        <w:tab w:val="right" w:leader="dot" w:pos="9360"/>
      </w:tabs>
      <w:suppressAutoHyphens/>
      <w:ind w:left="720" w:right="720" w:hanging="360"/>
    </w:pPr>
    <w:rPr>
      <w:noProof/>
    </w:rPr>
  </w:style>
  <w:style w:type="paragraph" w:styleId="TOC3">
    <w:name w:val="toc 3"/>
    <w:basedOn w:val="Normal"/>
    <w:next w:val="Normal"/>
    <w:semiHidden/>
    <w:rsid w:val="000C079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C079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C079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C079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C079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C079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C0795"/>
    <w:pPr>
      <w:tabs>
        <w:tab w:val="left" w:pos="3240"/>
        <w:tab w:val="right" w:leader="dot" w:pos="9360"/>
      </w:tabs>
      <w:suppressAutoHyphens/>
      <w:ind w:left="3240" w:hanging="360"/>
    </w:pPr>
    <w:rPr>
      <w:noProof/>
    </w:rPr>
  </w:style>
  <w:style w:type="character" w:customStyle="1" w:styleId="EquationCaption">
    <w:name w:val="_Equation Caption"/>
    <w:rsid w:val="000C0795"/>
  </w:style>
  <w:style w:type="character" w:styleId="PageNumber">
    <w:name w:val="page number"/>
    <w:basedOn w:val="DefaultParagraphFont"/>
    <w:rsid w:val="000C0795"/>
  </w:style>
  <w:style w:type="paragraph" w:styleId="BlockText">
    <w:name w:val="Block Text"/>
    <w:basedOn w:val="Normal"/>
    <w:rsid w:val="000C0795"/>
    <w:pPr>
      <w:spacing w:after="240"/>
      <w:ind w:left="1440" w:right="1440"/>
    </w:pPr>
  </w:style>
  <w:style w:type="paragraph" w:customStyle="1" w:styleId="Paratitle">
    <w:name w:val="Para title"/>
    <w:basedOn w:val="Normal"/>
    <w:rsid w:val="000C0795"/>
    <w:pPr>
      <w:tabs>
        <w:tab w:val="center" w:pos="9270"/>
      </w:tabs>
      <w:spacing w:after="240"/>
    </w:pPr>
    <w:rPr>
      <w:spacing w:val="-2"/>
    </w:rPr>
  </w:style>
  <w:style w:type="paragraph" w:customStyle="1" w:styleId="Bullet">
    <w:name w:val="Bullet"/>
    <w:basedOn w:val="Normal"/>
    <w:rsid w:val="000C0795"/>
    <w:pPr>
      <w:tabs>
        <w:tab w:val="left" w:pos="2160"/>
      </w:tabs>
      <w:spacing w:after="220"/>
      <w:ind w:left="2160" w:hanging="720"/>
    </w:pPr>
  </w:style>
  <w:style w:type="paragraph" w:customStyle="1" w:styleId="TableFormat">
    <w:name w:val="TableFormat"/>
    <w:basedOn w:val="Bullet"/>
    <w:rsid w:val="000C0795"/>
    <w:pPr>
      <w:tabs>
        <w:tab w:val="clear" w:pos="2160"/>
        <w:tab w:val="left" w:pos="5040"/>
      </w:tabs>
      <w:ind w:left="5040" w:hanging="3600"/>
    </w:pPr>
  </w:style>
  <w:style w:type="paragraph" w:customStyle="1" w:styleId="TOCTitle">
    <w:name w:val="TOC Title"/>
    <w:basedOn w:val="Normal"/>
    <w:rsid w:val="000C0795"/>
    <w:pPr>
      <w:spacing w:before="240" w:after="240"/>
      <w:jc w:val="center"/>
    </w:pPr>
    <w:rPr>
      <w:rFonts w:ascii="Times New Roman Bold" w:hAnsi="Times New Roman Bold"/>
      <w:b/>
      <w:caps/>
      <w:spacing w:val="-2"/>
    </w:rPr>
  </w:style>
  <w:style w:type="character" w:customStyle="1" w:styleId="UnresolvedMention1">
    <w:name w:val="Unresolved Mention1"/>
    <w:basedOn w:val="DefaultParagraphFont"/>
    <w:uiPriority w:val="99"/>
    <w:semiHidden/>
    <w:unhideWhenUsed/>
    <w:rsid w:val="001B0F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mailto:fabboud@spacenetllc.com" TargetMode="External" /><Relationship Id="rId2" Type="http://schemas.openxmlformats.org/officeDocument/2006/relationships/hyperlink" Target="mailto:fa@spacenetllc.com" TargetMode="External" /><Relationship Id="rId3" Type="http://schemas.openxmlformats.org/officeDocument/2006/relationships/hyperlink" Target="mailto:reg@regnumgroup.com"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