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7467D" w14:paraId="129E132C" w14:textId="77777777">
      <w:pPr>
        <w:jc w:val="center"/>
        <w:rPr>
          <w:b/>
        </w:rPr>
      </w:pPr>
      <w:r>
        <w:rPr>
          <w:rFonts w:ascii="Times New Roman Bold" w:hAnsi="Times New Roman Bold"/>
          <w:b/>
          <w:kern w:val="0"/>
          <w:szCs w:val="22"/>
        </w:rPr>
        <w:t>Before</w:t>
      </w:r>
      <w:r>
        <w:rPr>
          <w:b/>
        </w:rPr>
        <w:t xml:space="preserve"> the</w:t>
      </w:r>
    </w:p>
    <w:p w:rsidR="00C7467D" w14:paraId="55523D19" w14:textId="77777777">
      <w:pPr>
        <w:pStyle w:val="StyleBoldCentered"/>
      </w:pPr>
      <w:r>
        <w:t>F</w:t>
      </w:r>
      <w:r>
        <w:rPr>
          <w:caps w:val="0"/>
        </w:rPr>
        <w:t>ederal Communications Commission</w:t>
      </w:r>
    </w:p>
    <w:p w:rsidR="00C7467D" w14:paraId="4EFED82D" w14:textId="77777777">
      <w:pPr>
        <w:pStyle w:val="StyleBoldCentered"/>
      </w:pPr>
      <w:r>
        <w:rPr>
          <w:caps w:val="0"/>
        </w:rPr>
        <w:t>Washington</w:t>
      </w:r>
      <w:r>
        <w:t>, D.C. 20554</w:t>
      </w:r>
    </w:p>
    <w:p w:rsidR="00C7467D" w14:paraId="21B80600" w14:textId="77777777"/>
    <w:p w:rsidR="00C7467D" w14:paraId="2BCAE4B3" w14:textId="77777777"/>
    <w:tbl>
      <w:tblPr>
        <w:tblW w:w="0" w:type="auto"/>
        <w:tblLayout w:type="fixed"/>
        <w:tblLook w:val="0000"/>
      </w:tblPr>
      <w:tblGrid>
        <w:gridCol w:w="4698"/>
        <w:gridCol w:w="630"/>
        <w:gridCol w:w="4248"/>
      </w:tblGrid>
      <w:tr w14:paraId="250F4A47" w14:textId="77777777">
        <w:tblPrEx>
          <w:tblW w:w="0" w:type="auto"/>
          <w:tblLayout w:type="fixed"/>
          <w:tblLook w:val="0000"/>
        </w:tblPrEx>
        <w:tc>
          <w:tcPr>
            <w:tcW w:w="4698" w:type="dxa"/>
          </w:tcPr>
          <w:p w:rsidR="00C7467D" w14:paraId="21B4716F" w14:textId="77777777">
            <w:pPr>
              <w:tabs>
                <w:tab w:val="center" w:pos="4680"/>
              </w:tabs>
              <w:suppressAutoHyphens/>
              <w:rPr>
                <w:spacing w:val="-2"/>
              </w:rPr>
            </w:pPr>
            <w:r>
              <w:rPr>
                <w:spacing w:val="-2"/>
              </w:rPr>
              <w:t>In the Matter of</w:t>
            </w:r>
          </w:p>
          <w:p w:rsidR="00C7467D" w14:paraId="227070F7" w14:textId="77777777">
            <w:pPr>
              <w:tabs>
                <w:tab w:val="center" w:pos="4680"/>
              </w:tabs>
              <w:suppressAutoHyphens/>
              <w:rPr>
                <w:spacing w:val="-2"/>
              </w:rPr>
            </w:pPr>
          </w:p>
          <w:p w:rsidR="00BB614D" w14:paraId="4EAA6BB4" w14:textId="77777777">
            <w:pPr>
              <w:tabs>
                <w:tab w:val="center" w:pos="4680"/>
              </w:tabs>
              <w:suppressAutoHyphens/>
              <w:rPr>
                <w:szCs w:val="22"/>
              </w:rPr>
            </w:pPr>
            <w:r w:rsidRPr="00BB614D">
              <w:rPr>
                <w:szCs w:val="22"/>
              </w:rPr>
              <w:t xml:space="preserve">Procedures for Commission Review of State Opt-Out Requests from the FirstNet Radio Access Network </w:t>
            </w:r>
          </w:p>
          <w:p w:rsidR="00BB614D" w14:paraId="7AF2A62A" w14:textId="77777777">
            <w:pPr>
              <w:tabs>
                <w:tab w:val="center" w:pos="4680"/>
              </w:tabs>
              <w:suppressAutoHyphens/>
              <w:rPr>
                <w:szCs w:val="22"/>
              </w:rPr>
            </w:pPr>
          </w:p>
          <w:p w:rsidR="00C7467D" w:rsidP="000B1482" w14:paraId="49DD87ED" w14:textId="77777777">
            <w:pPr>
              <w:tabs>
                <w:tab w:val="center" w:pos="4680"/>
              </w:tabs>
              <w:suppressAutoHyphens/>
              <w:rPr>
                <w:spacing w:val="-2"/>
              </w:rPr>
            </w:pPr>
          </w:p>
        </w:tc>
        <w:tc>
          <w:tcPr>
            <w:tcW w:w="630" w:type="dxa"/>
          </w:tcPr>
          <w:p w:rsidR="00C7467D" w14:paraId="52B473E0" w14:textId="77777777">
            <w:pPr>
              <w:tabs>
                <w:tab w:val="center" w:pos="4680"/>
              </w:tabs>
              <w:suppressAutoHyphens/>
              <w:rPr>
                <w:spacing w:val="-2"/>
              </w:rPr>
            </w:pPr>
            <w:r>
              <w:rPr>
                <w:spacing w:val="-2"/>
              </w:rPr>
              <w:t>)</w:t>
            </w:r>
          </w:p>
          <w:p w:rsidR="00C7467D" w14:paraId="6FCE3DFA" w14:textId="77777777">
            <w:pPr>
              <w:tabs>
                <w:tab w:val="center" w:pos="4680"/>
              </w:tabs>
              <w:suppressAutoHyphens/>
              <w:rPr>
                <w:spacing w:val="-2"/>
              </w:rPr>
            </w:pPr>
            <w:r>
              <w:rPr>
                <w:spacing w:val="-2"/>
              </w:rPr>
              <w:t>)</w:t>
            </w:r>
          </w:p>
          <w:p w:rsidR="00C7467D" w14:paraId="562C8559" w14:textId="77777777">
            <w:pPr>
              <w:tabs>
                <w:tab w:val="center" w:pos="4680"/>
              </w:tabs>
              <w:suppressAutoHyphens/>
              <w:rPr>
                <w:spacing w:val="-2"/>
              </w:rPr>
            </w:pPr>
            <w:r>
              <w:rPr>
                <w:spacing w:val="-2"/>
              </w:rPr>
              <w:t>)</w:t>
            </w:r>
          </w:p>
          <w:p w:rsidR="00C7467D" w14:paraId="050485F8" w14:textId="77777777">
            <w:pPr>
              <w:tabs>
                <w:tab w:val="center" w:pos="4680"/>
              </w:tabs>
              <w:suppressAutoHyphens/>
              <w:rPr>
                <w:spacing w:val="-2"/>
              </w:rPr>
            </w:pPr>
            <w:r>
              <w:rPr>
                <w:spacing w:val="-2"/>
              </w:rPr>
              <w:t>)</w:t>
            </w:r>
          </w:p>
          <w:p w:rsidR="00BB614D" w:rsidP="00BB614D" w14:paraId="19943E62" w14:textId="77777777">
            <w:pPr>
              <w:tabs>
                <w:tab w:val="center" w:pos="4680"/>
              </w:tabs>
              <w:suppressAutoHyphens/>
              <w:rPr>
                <w:spacing w:val="-2"/>
              </w:rPr>
            </w:pPr>
            <w:r>
              <w:rPr>
                <w:spacing w:val="-2"/>
              </w:rPr>
              <w:t>)</w:t>
            </w:r>
          </w:p>
        </w:tc>
        <w:tc>
          <w:tcPr>
            <w:tcW w:w="4248" w:type="dxa"/>
          </w:tcPr>
          <w:p w:rsidR="00C7467D" w14:paraId="6729ED6C" w14:textId="77777777">
            <w:pPr>
              <w:tabs>
                <w:tab w:val="center" w:pos="4680"/>
              </w:tabs>
              <w:suppressAutoHyphens/>
              <w:rPr>
                <w:spacing w:val="-2"/>
                <w:lang w:val="sv-SE"/>
              </w:rPr>
            </w:pPr>
          </w:p>
          <w:p w:rsidR="00C7467D" w14:paraId="4E862E70" w14:textId="77777777">
            <w:pPr>
              <w:pStyle w:val="TOAHeading"/>
              <w:tabs>
                <w:tab w:val="center" w:pos="4680"/>
                <w:tab w:val="clear" w:pos="9360"/>
              </w:tabs>
              <w:rPr>
                <w:spacing w:val="-2"/>
                <w:lang w:val="sv-SE"/>
              </w:rPr>
            </w:pPr>
          </w:p>
          <w:p w:rsidR="00BB614D" w14:paraId="0CB04F3D" w14:textId="77777777">
            <w:pPr>
              <w:tabs>
                <w:tab w:val="center" w:pos="4680"/>
              </w:tabs>
              <w:suppressAutoHyphens/>
              <w:rPr>
                <w:spacing w:val="-2"/>
                <w:lang w:val="sv-SE"/>
              </w:rPr>
            </w:pPr>
            <w:r w:rsidRPr="00BB614D">
              <w:rPr>
                <w:spacing w:val="-2"/>
                <w:lang w:val="sv-SE"/>
              </w:rPr>
              <w:t xml:space="preserve">PS Docket </w:t>
            </w:r>
            <w:r>
              <w:rPr>
                <w:spacing w:val="-2"/>
                <w:lang w:val="sv-SE"/>
              </w:rPr>
              <w:t xml:space="preserve">No. </w:t>
            </w:r>
            <w:r w:rsidRPr="00BB614D">
              <w:rPr>
                <w:spacing w:val="-2"/>
                <w:lang w:val="sv-SE"/>
              </w:rPr>
              <w:t>16-269</w:t>
            </w:r>
          </w:p>
          <w:p w:rsidR="00BB614D" w14:paraId="62DC94C0" w14:textId="77777777">
            <w:pPr>
              <w:tabs>
                <w:tab w:val="center" w:pos="4680"/>
              </w:tabs>
              <w:suppressAutoHyphens/>
              <w:rPr>
                <w:spacing w:val="-2"/>
                <w:lang w:val="sv-SE"/>
              </w:rPr>
            </w:pPr>
          </w:p>
          <w:p w:rsidR="00BB614D" w14:paraId="43436F6E" w14:textId="77777777">
            <w:pPr>
              <w:tabs>
                <w:tab w:val="center" w:pos="4680"/>
              </w:tabs>
              <w:suppressAutoHyphens/>
              <w:rPr>
                <w:spacing w:val="-2"/>
                <w:lang w:val="sv-SE"/>
              </w:rPr>
            </w:pPr>
          </w:p>
          <w:p w:rsidR="00C7467D" w14:paraId="36629428" w14:textId="77777777">
            <w:pPr>
              <w:tabs>
                <w:tab w:val="center" w:pos="4680"/>
              </w:tabs>
              <w:suppressAutoHyphens/>
              <w:rPr>
                <w:spacing w:val="-2"/>
                <w:lang w:val="sv-SE"/>
              </w:rPr>
            </w:pPr>
          </w:p>
          <w:p w:rsidR="00C7467D" w14:paraId="7EDAA595" w14:textId="77777777">
            <w:pPr>
              <w:tabs>
                <w:tab w:val="center" w:pos="4680"/>
              </w:tabs>
              <w:suppressAutoHyphens/>
              <w:rPr>
                <w:spacing w:val="-2"/>
                <w:lang w:val="sv-SE"/>
              </w:rPr>
            </w:pPr>
          </w:p>
        </w:tc>
      </w:tr>
    </w:tbl>
    <w:p w:rsidR="00C7467D" w14:paraId="56A15717" w14:textId="77777777"/>
    <w:p w:rsidR="00C7467D" w14:paraId="0696EA45" w14:textId="77777777">
      <w:pPr>
        <w:pStyle w:val="StyleBoldCentered"/>
      </w:pPr>
      <w:r>
        <w:t xml:space="preserve">ORDER </w:t>
      </w:r>
    </w:p>
    <w:p w:rsidR="00C7467D" w14:paraId="66A61588" w14:textId="77777777">
      <w:pPr>
        <w:pStyle w:val="StyleBoldCentered"/>
      </w:pPr>
    </w:p>
    <w:p w:rsidR="00C7467D" w14:paraId="0C94F2A7" w14:textId="5C5B0E08">
      <w:pPr>
        <w:pStyle w:val="StyleBoldCentered"/>
        <w:jc w:val="left"/>
        <w:rPr>
          <w:caps w:val="0"/>
        </w:rPr>
      </w:pPr>
      <w:r>
        <w:rPr>
          <w:caps w:val="0"/>
        </w:rPr>
        <w:t xml:space="preserve">Adopted:  </w:t>
      </w:r>
      <w:r w:rsidR="00E8159E">
        <w:rPr>
          <w:caps w:val="0"/>
        </w:rPr>
        <w:t>March</w:t>
      </w:r>
      <w:r w:rsidR="004D7EA5">
        <w:rPr>
          <w:caps w:val="0"/>
        </w:rPr>
        <w:t xml:space="preserve"> </w:t>
      </w:r>
      <w:r w:rsidR="007B1FE9">
        <w:rPr>
          <w:caps w:val="0"/>
        </w:rPr>
        <w:t>6</w:t>
      </w:r>
      <w:r w:rsidR="004D7EA5">
        <w:rPr>
          <w:caps w:val="0"/>
        </w:rPr>
        <w:t>, 201</w:t>
      </w:r>
      <w:r w:rsidR="00F91A4C">
        <w:rPr>
          <w:caps w:val="0"/>
        </w:rPr>
        <w:t>9</w:t>
      </w:r>
      <w:r>
        <w:rPr>
          <w:caps w:val="0"/>
        </w:rPr>
        <w:tab/>
      </w:r>
      <w:r>
        <w:rPr>
          <w:caps w:val="0"/>
        </w:rPr>
        <w:tab/>
      </w:r>
      <w:r>
        <w:rPr>
          <w:caps w:val="0"/>
        </w:rPr>
        <w:tab/>
      </w:r>
      <w:r>
        <w:rPr>
          <w:caps w:val="0"/>
        </w:rPr>
        <w:tab/>
        <w:t xml:space="preserve">                            Released:  </w:t>
      </w:r>
      <w:r w:rsidR="00E8159E">
        <w:rPr>
          <w:caps w:val="0"/>
        </w:rPr>
        <w:t>March</w:t>
      </w:r>
      <w:r w:rsidRPr="004D7EA5" w:rsidR="004D7EA5">
        <w:rPr>
          <w:caps w:val="0"/>
        </w:rPr>
        <w:t xml:space="preserve"> </w:t>
      </w:r>
      <w:r w:rsidR="007B1FE9">
        <w:rPr>
          <w:caps w:val="0"/>
        </w:rPr>
        <w:t>6</w:t>
      </w:r>
      <w:r w:rsidRPr="004D7EA5" w:rsidR="004D7EA5">
        <w:rPr>
          <w:caps w:val="0"/>
        </w:rPr>
        <w:t xml:space="preserve"> 201</w:t>
      </w:r>
      <w:r w:rsidR="00F91A4C">
        <w:rPr>
          <w:caps w:val="0"/>
        </w:rPr>
        <w:t>9</w:t>
      </w:r>
    </w:p>
    <w:p w:rsidR="00C7467D" w14:paraId="492DA7E4" w14:textId="77777777">
      <w:pPr>
        <w:pStyle w:val="StyleBoldCentered"/>
        <w:jc w:val="left"/>
        <w:rPr>
          <w:caps w:val="0"/>
        </w:rPr>
      </w:pPr>
    </w:p>
    <w:p w:rsidR="00C7467D" w14:paraId="778EAAA5" w14:textId="1CD16831">
      <w:r>
        <w:t>By the Chief, Public Safety and Homeland Security Bureau</w:t>
      </w:r>
      <w:r w:rsidR="005642D5">
        <w:t>:</w:t>
      </w:r>
    </w:p>
    <w:p w:rsidR="00C7467D" w14:paraId="37356D75" w14:textId="77777777">
      <w:pPr>
        <w:pStyle w:val="TOCTitle"/>
        <w:spacing w:before="0" w:after="0"/>
        <w:jc w:val="left"/>
        <w:rPr>
          <w:caps w:val="0"/>
        </w:rPr>
      </w:pPr>
    </w:p>
    <w:p w:rsidR="00C7467D" w14:paraId="17B5028A" w14:textId="77777777">
      <w:bookmarkStart w:id="0" w:name="TOChere"/>
      <w:bookmarkStart w:id="1" w:name="_Toc202589907"/>
      <w:bookmarkStart w:id="2" w:name="_Toc202781493"/>
      <w:bookmarkStart w:id="3" w:name="_Toc202782110"/>
      <w:bookmarkStart w:id="4" w:name="_Toc202783829"/>
      <w:bookmarkStart w:id="5" w:name="_Toc202784152"/>
      <w:bookmarkStart w:id="6" w:name="_Toc202858172"/>
      <w:bookmarkStart w:id="7" w:name="_Toc202858289"/>
      <w:bookmarkStart w:id="8" w:name="_Toc202858511"/>
      <w:bookmarkStart w:id="9" w:name="_Toc203270817"/>
      <w:bookmarkStart w:id="10" w:name="_Toc204662402"/>
      <w:bookmarkStart w:id="11" w:name="_Toc204779955"/>
      <w:bookmarkStart w:id="12" w:name="_Toc276546232"/>
      <w:bookmarkStart w:id="13" w:name="_Toc276547650"/>
      <w:bookmarkStart w:id="14" w:name="_Toc276730795"/>
      <w:bookmarkStart w:id="15" w:name="_Toc280785074"/>
    </w:p>
    <w:p w:rsidR="00C7467D" w14:paraId="162F243A" w14:textId="77777777">
      <w:pPr>
        <w:pStyle w:val="Heading1"/>
        <w:rPr>
          <w:szCs w:val="22"/>
        </w:rPr>
      </w:pPr>
      <w:bookmarkStart w:id="16" w:name="_Toc280785174"/>
      <w:bookmarkStart w:id="17" w:name="_Toc307223159"/>
      <w:bookmarkStart w:id="18" w:name="_Toc310321182"/>
      <w:bookmarkStart w:id="19" w:name="_Toc311123442"/>
      <w:bookmarkEnd w:id="0"/>
      <w:r>
        <w:rPr>
          <w:szCs w:val="22"/>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C7467D" w:rsidRPr="000A3737" w:rsidP="00617D94" w14:paraId="3738F7C9" w14:textId="6D2AE4A7">
      <w:pPr>
        <w:pStyle w:val="ParaNum"/>
        <w:widowControl/>
        <w:rPr>
          <w:szCs w:val="22"/>
        </w:rPr>
      </w:pPr>
      <w:r>
        <w:rPr>
          <w:szCs w:val="22"/>
        </w:rPr>
        <w:t xml:space="preserve">In this </w:t>
      </w:r>
      <w:r w:rsidR="004D482D">
        <w:rPr>
          <w:szCs w:val="22"/>
        </w:rPr>
        <w:t>O</w:t>
      </w:r>
      <w:r w:rsidRPr="00254497">
        <w:rPr>
          <w:szCs w:val="22"/>
        </w:rPr>
        <w:t>rder</w:t>
      </w:r>
      <w:r w:rsidRPr="00254497" w:rsidR="005642D5">
        <w:rPr>
          <w:szCs w:val="22"/>
        </w:rPr>
        <w:t>,</w:t>
      </w:r>
      <w:r>
        <w:rPr>
          <w:szCs w:val="22"/>
        </w:rPr>
        <w:t xml:space="preserve"> we </w:t>
      </w:r>
      <w:r w:rsidR="00BB614D">
        <w:rPr>
          <w:szCs w:val="22"/>
        </w:rPr>
        <w:t xml:space="preserve">delete certain of the Commission’s rules related to the opt-out provisions of </w:t>
      </w:r>
      <w:r w:rsidRPr="00BB614D">
        <w:rPr>
          <w:szCs w:val="22"/>
        </w:rPr>
        <w:t>the Middle Class Tax Relief</w:t>
      </w:r>
      <w:r w:rsidR="00254497">
        <w:rPr>
          <w:szCs w:val="22"/>
        </w:rPr>
        <w:t xml:space="preserve"> and Job Creation Act of 2012 (Public Safety Spectrum Act or Act</w:t>
      </w:r>
      <w:r w:rsidRPr="00BB614D">
        <w:rPr>
          <w:szCs w:val="22"/>
        </w:rPr>
        <w:t>)</w:t>
      </w:r>
      <w:r>
        <w:rPr>
          <w:rStyle w:val="FootnoteReference"/>
          <w:szCs w:val="22"/>
        </w:rPr>
        <w:footnoteReference w:id="3"/>
      </w:r>
      <w:r w:rsidRPr="00BB614D">
        <w:rPr>
          <w:szCs w:val="22"/>
        </w:rPr>
        <w:t xml:space="preserve"> </w:t>
      </w:r>
      <w:r w:rsidR="00BB614D">
        <w:rPr>
          <w:szCs w:val="22"/>
        </w:rPr>
        <w:t>that have been rendered moot by the passage of time</w:t>
      </w:r>
      <w:r w:rsidRPr="00BB614D">
        <w:rPr>
          <w:szCs w:val="22"/>
        </w:rPr>
        <w:t xml:space="preserve">. </w:t>
      </w:r>
      <w:r w:rsidR="00BB614D">
        <w:rPr>
          <w:szCs w:val="22"/>
        </w:rPr>
        <w:t xml:space="preserve"> Specifically, we delete those rules adopted to implement the “opt-out” provisions of the Act, in light of the fact that no state or territory chose to exercise this option within the statutory timeframe.  </w:t>
      </w:r>
      <w:r w:rsidRPr="00BB614D">
        <w:t xml:space="preserve">   </w:t>
      </w:r>
    </w:p>
    <w:p w:rsidR="00C7467D" w14:paraId="1F86ACF8" w14:textId="77777777">
      <w:pPr>
        <w:pStyle w:val="Heading1"/>
        <w:rPr>
          <w:szCs w:val="22"/>
        </w:rPr>
      </w:pPr>
      <w:bookmarkStart w:id="20" w:name="_Toc307223160"/>
      <w:bookmarkStart w:id="21" w:name="_Toc310321183"/>
      <w:bookmarkStart w:id="22" w:name="_Toc311123443"/>
      <w:r>
        <w:rPr>
          <w:kern w:val="0"/>
          <w:szCs w:val="22"/>
        </w:rPr>
        <w:t>Background</w:t>
      </w:r>
      <w:bookmarkEnd w:id="20"/>
      <w:bookmarkEnd w:id="21"/>
      <w:bookmarkEnd w:id="22"/>
    </w:p>
    <w:p w:rsidR="00C01774" w:rsidRPr="00C01774" w:rsidP="00444D2A" w14:paraId="0CA65C7F" w14:textId="1325B315">
      <w:pPr>
        <w:pStyle w:val="ParaNum"/>
        <w:rPr>
          <w:snapToGrid w:val="0"/>
        </w:rPr>
      </w:pPr>
      <w:r w:rsidRPr="00BB614D">
        <w:t>The Public</w:t>
      </w:r>
      <w:r w:rsidR="00F923DF">
        <w:t xml:space="preserve"> Safety Spectrum Act establishe</w:t>
      </w:r>
      <w:r w:rsidR="005642D5">
        <w:t>d</w:t>
      </w:r>
      <w:r w:rsidRPr="00BB614D">
        <w:t xml:space="preserve"> the First Responder Network Authority (FirstNet) to oversee the construction and operation of </w:t>
      </w:r>
      <w:r w:rsidRPr="00C01774">
        <w:rPr>
          <w:snapToGrid w:val="0"/>
        </w:rPr>
        <w:t>a nationwide public safety broadband network (NPSBN) in the 700 MHz band.</w:t>
      </w:r>
      <w:r>
        <w:rPr>
          <w:snapToGrid w:val="0"/>
          <w:sz w:val="20"/>
          <w:vertAlign w:val="superscript"/>
        </w:rPr>
        <w:footnoteReference w:id="4"/>
      </w:r>
      <w:r w:rsidR="00F923DF">
        <w:rPr>
          <w:snapToGrid w:val="0"/>
        </w:rPr>
        <w:t xml:space="preserve">  The Act establishe</w:t>
      </w:r>
      <w:r w:rsidR="005642D5">
        <w:rPr>
          <w:snapToGrid w:val="0"/>
        </w:rPr>
        <w:t>d</w:t>
      </w:r>
      <w:r w:rsidRPr="00C01774">
        <w:rPr>
          <w:snapToGrid w:val="0"/>
        </w:rPr>
        <w:t xml:space="preserve"> FirstNet as an independent authority within the National Telecommunications and Information Administration (NTIA)</w:t>
      </w:r>
      <w:r>
        <w:rPr>
          <w:snapToGrid w:val="0"/>
          <w:sz w:val="20"/>
          <w:vertAlign w:val="superscript"/>
        </w:rPr>
        <w:footnoteReference w:id="5"/>
      </w:r>
      <w:r w:rsidRPr="00C01774">
        <w:rPr>
          <w:snapToGrid w:val="0"/>
        </w:rPr>
        <w:t xml:space="preserve"> and required the Commission to grant a license to FirstNet for the 758-769/788-799 MHz band.</w:t>
      </w:r>
      <w:r>
        <w:rPr>
          <w:snapToGrid w:val="0"/>
          <w:sz w:val="20"/>
          <w:vertAlign w:val="superscript"/>
        </w:rPr>
        <w:footnoteReference w:id="6"/>
      </w:r>
      <w:r w:rsidRPr="00C01774">
        <w:rPr>
          <w:snapToGrid w:val="0"/>
        </w:rPr>
        <w:t xml:space="preserve">  Pursuant to </w:t>
      </w:r>
      <w:r w:rsidRPr="00C01774">
        <w:rPr>
          <w:snapToGrid w:val="0"/>
          <w:shd w:val="clear" w:color="auto" w:fill="FFFFFF"/>
        </w:rPr>
        <w:t>Section 6202</w:t>
      </w:r>
      <w:r w:rsidRPr="00C01774">
        <w:rPr>
          <w:snapToGrid w:val="0"/>
        </w:rPr>
        <w:t>(b) of the Act, the NPSBN must be based on a “single national network architecture that evolves with technological advancements” that consists of a core network and a radio access network (RAN).</w:t>
      </w:r>
      <w:r>
        <w:rPr>
          <w:snapToGrid w:val="0"/>
          <w:sz w:val="20"/>
          <w:vertAlign w:val="superscript"/>
        </w:rPr>
        <w:footnoteReference w:id="7"/>
      </w:r>
      <w:r w:rsidR="00F923DF">
        <w:rPr>
          <w:snapToGrid w:val="0"/>
        </w:rPr>
        <w:t xml:space="preserve">  FirstNet is</w:t>
      </w:r>
      <w:r w:rsidRPr="00C01774">
        <w:rPr>
          <w:snapToGrid w:val="0"/>
        </w:rPr>
        <w:t xml:space="preserve"> tasked with developing a plan to deploy the RAN within each state.</w:t>
      </w:r>
      <w:r>
        <w:rPr>
          <w:snapToGrid w:val="0"/>
          <w:sz w:val="20"/>
          <w:vertAlign w:val="superscript"/>
        </w:rPr>
        <w:footnoteReference w:id="8"/>
      </w:r>
      <w:r w:rsidRPr="00C01774">
        <w:rPr>
          <w:snapToGrid w:val="0"/>
        </w:rPr>
        <w:t xml:space="preserve">  The Act </w:t>
      </w:r>
      <w:r w:rsidR="00F923DF">
        <w:rPr>
          <w:snapToGrid w:val="0"/>
        </w:rPr>
        <w:t xml:space="preserve">also </w:t>
      </w:r>
      <w:r w:rsidR="005354FD">
        <w:rPr>
          <w:snapToGrid w:val="0"/>
        </w:rPr>
        <w:t>gives</w:t>
      </w:r>
      <w:r w:rsidRPr="00C01774" w:rsidR="005354FD">
        <w:rPr>
          <w:snapToGrid w:val="0"/>
        </w:rPr>
        <w:t xml:space="preserve"> </w:t>
      </w:r>
      <w:r w:rsidRPr="00C01774">
        <w:rPr>
          <w:snapToGrid w:val="0"/>
        </w:rPr>
        <w:t>each state the option to “opt out” of FirstNet’s RAN deployment within that state and conduct its own RAN deployment.</w:t>
      </w:r>
      <w:r>
        <w:rPr>
          <w:snapToGrid w:val="0"/>
          <w:sz w:val="20"/>
          <w:vertAlign w:val="superscript"/>
        </w:rPr>
        <w:footnoteReference w:id="9"/>
      </w:r>
      <w:r w:rsidRPr="00C01774">
        <w:rPr>
          <w:snapToGrid w:val="0"/>
        </w:rPr>
        <w:t xml:space="preserve"> </w:t>
      </w:r>
      <w:r w:rsidRPr="00C01774">
        <w:rPr>
          <w:i/>
          <w:iCs/>
          <w:snapToGrid w:val="0"/>
        </w:rPr>
        <w:t xml:space="preserve"> </w:t>
      </w:r>
    </w:p>
    <w:p w:rsidR="00BB614D" w:rsidRPr="00BB614D" w:rsidP="00C01774" w14:paraId="653722AA" w14:textId="0AF2379A">
      <w:pPr>
        <w:pStyle w:val="ParaNum"/>
      </w:pPr>
      <w:r w:rsidRPr="00C01774">
        <w:rPr>
          <w:snapToGrid w:val="0"/>
        </w:rPr>
        <w:t xml:space="preserve">Specifically, the Act provides that “the Governor shall choose whether to </w:t>
      </w:r>
      <w:r w:rsidR="005354FD">
        <w:rPr>
          <w:snapToGrid w:val="0"/>
        </w:rPr>
        <w:t xml:space="preserve">. . . </w:t>
      </w:r>
      <w:r w:rsidRPr="00C01774">
        <w:rPr>
          <w:snapToGrid w:val="0"/>
        </w:rPr>
        <w:t xml:space="preserve">participate in the deployment of the nationwide, interoperable broadband network as proposed by [FirstNet,] or </w:t>
      </w:r>
      <w:r w:rsidR="005354FD">
        <w:rPr>
          <w:snapToGrid w:val="0"/>
        </w:rPr>
        <w:t xml:space="preserve">. . . </w:t>
      </w:r>
      <w:r w:rsidRPr="00C01774">
        <w:rPr>
          <w:snapToGrid w:val="0"/>
        </w:rPr>
        <w:t>conduct its own deployment of a radio access network in such State.”</w:t>
      </w:r>
      <w:r>
        <w:rPr>
          <w:snapToGrid w:val="0"/>
          <w:sz w:val="20"/>
          <w:vertAlign w:val="superscript"/>
        </w:rPr>
        <w:footnoteReference w:id="10"/>
      </w:r>
      <w:r w:rsidRPr="00C01774">
        <w:rPr>
          <w:i/>
          <w:snapToGrid w:val="0"/>
        </w:rPr>
        <w:t xml:space="preserve"> </w:t>
      </w:r>
      <w:r w:rsidRPr="00C01774">
        <w:rPr>
          <w:i/>
          <w:iCs/>
          <w:snapToGrid w:val="0"/>
        </w:rPr>
        <w:t xml:space="preserve"> </w:t>
      </w:r>
      <w:r w:rsidRPr="00985C87" w:rsidR="00985C87">
        <w:t>Under Section 6302(e</w:t>
      </w:r>
      <w:r w:rsidRPr="00985C87" w:rsidR="00985C87">
        <w:t>)(</w:t>
      </w:r>
      <w:r w:rsidRPr="00985C87" w:rsidR="00985C87">
        <w:t>2) of the Act, each Governor has 90 days from the receipt of notice by FirstNet under Section 6302(e)(1) to choose whether to participate in the NPSBN or elect for the state to conduct its own RAN deployment.</w:t>
      </w:r>
      <w:r>
        <w:rPr>
          <w:vertAlign w:val="superscript"/>
        </w:rPr>
        <w:footnoteReference w:id="11"/>
      </w:r>
      <w:r w:rsidRPr="00985C87" w:rsidR="00985C87">
        <w:t xml:space="preserve">  </w:t>
      </w:r>
      <w:r w:rsidRPr="00C01774">
        <w:rPr>
          <w:snapToGrid w:val="0"/>
        </w:rPr>
        <w:t>If a Governor chooses not to participate in the NPSBN, Section 6302(e</w:t>
      </w:r>
      <w:r w:rsidRPr="00C01774">
        <w:rPr>
          <w:snapToGrid w:val="0"/>
        </w:rPr>
        <w:t>)(</w:t>
      </w:r>
      <w:r w:rsidRPr="00C01774">
        <w:rPr>
          <w:snapToGrid w:val="0"/>
        </w:rPr>
        <w:t>3)(A) of the Act requires the Governor to “notify [FirstNet], the NTIA, and the Commission of such decision.”</w:t>
      </w:r>
      <w:r>
        <w:rPr>
          <w:snapToGrid w:val="0"/>
          <w:sz w:val="20"/>
          <w:vertAlign w:val="superscript"/>
        </w:rPr>
        <w:footnoteReference w:id="12"/>
      </w:r>
      <w:r w:rsidRPr="00C01774">
        <w:rPr>
          <w:snapToGrid w:val="0"/>
        </w:rPr>
        <w:t xml:space="preserve">  The Act also states that an opt-out state “shall submit” to the Commission an “alternative plan” for “the construction, maintenance, operation, and improvements</w:t>
      </w:r>
      <w:r w:rsidR="00B9288C">
        <w:rPr>
          <w:snapToGrid w:val="0"/>
        </w:rPr>
        <w:t>” of the RAN within the state.</w:t>
      </w:r>
      <w:r>
        <w:rPr>
          <w:snapToGrid w:val="0"/>
          <w:sz w:val="20"/>
          <w:vertAlign w:val="superscript"/>
        </w:rPr>
        <w:footnoteReference w:id="13"/>
      </w:r>
      <w:r w:rsidRPr="00C01774">
        <w:rPr>
          <w:snapToGrid w:val="0"/>
        </w:rPr>
        <w:t xml:space="preserve">  </w:t>
      </w:r>
    </w:p>
    <w:p w:rsidR="00C7467D" w:rsidRPr="00B9288C" w14:paraId="0F39CC3F" w14:textId="29F972A7">
      <w:pPr>
        <w:pStyle w:val="ParaNum"/>
        <w:tabs>
          <w:tab w:val="clear" w:pos="1260"/>
          <w:tab w:val="num" w:pos="1440"/>
        </w:tabs>
        <w:rPr>
          <w:szCs w:val="22"/>
        </w:rPr>
      </w:pPr>
      <w:r>
        <w:t xml:space="preserve">On June 22, 2017, the Commission adopted a </w:t>
      </w:r>
      <w:r w:rsidRPr="00254497">
        <w:rPr>
          <w:i/>
        </w:rPr>
        <w:t>Report and Order</w:t>
      </w:r>
      <w:r>
        <w:t xml:space="preserve"> establishing </w:t>
      </w:r>
      <w:r w:rsidRPr="00624251">
        <w:t>procedures for administering the state opt-out process as provided under the Public Safety Spectrum Act.</w:t>
      </w:r>
      <w:r>
        <w:rPr>
          <w:rStyle w:val="FootnoteReference"/>
        </w:rPr>
        <w:footnoteReference w:id="14"/>
      </w:r>
      <w:r>
        <w:t xml:space="preserve">  In the </w:t>
      </w:r>
      <w:r w:rsidRPr="006C29DE">
        <w:rPr>
          <w:i/>
        </w:rPr>
        <w:t>Report and Order</w:t>
      </w:r>
      <w:r>
        <w:t xml:space="preserve"> the Commission directed </w:t>
      </w:r>
      <w:r w:rsidRPr="00564B0F">
        <w:t>FirstNet</w:t>
      </w:r>
      <w:r>
        <w:t xml:space="preserve"> to notify the Bureau when it had provided states the requisite “notice” under the Act.</w:t>
      </w:r>
      <w:r>
        <w:rPr>
          <w:rStyle w:val="FootnoteReference"/>
        </w:rPr>
        <w:footnoteReference w:id="15"/>
      </w:r>
      <w:r>
        <w:t xml:space="preserve">  The Commission also directed the Bureau to issue a Public Notice announcing the commencement of the 90-day period and specifying the deadline for states to file opt-out notifications with the Commission, FirstNet, </w:t>
      </w:r>
      <w:r w:rsidR="001C15AB">
        <w:t>and NTIA</w:t>
      </w:r>
      <w:r>
        <w:t>.</w:t>
      </w:r>
      <w:r>
        <w:rPr>
          <w:rStyle w:val="FootnoteReference"/>
        </w:rPr>
        <w:footnoteReference w:id="16"/>
      </w:r>
      <w:r>
        <w:t xml:space="preserve">  </w:t>
      </w:r>
      <w:r w:rsidR="00985C87">
        <w:t xml:space="preserve"> In the event a state elected to opt out, the Commission adopted procedures for interested parties to intervene in a particular state’s proceeding, procedures for filing alternative state plans and for the content of such plans, and for</w:t>
      </w:r>
      <w:r w:rsidR="00B45FDE">
        <w:t xml:space="preserve"> filing</w:t>
      </w:r>
      <w:r w:rsidR="00985C87">
        <w:t xml:space="preserve"> comments addressing the plans.</w:t>
      </w:r>
      <w:r>
        <w:rPr>
          <w:rStyle w:val="FootnoteReference"/>
        </w:rPr>
        <w:footnoteReference w:id="17"/>
      </w:r>
    </w:p>
    <w:p w:rsidR="00B9288C" w:rsidP="00617D94" w14:paraId="375D435C" w14:textId="47922FC6">
      <w:pPr>
        <w:pStyle w:val="ParaNum"/>
        <w:widowControl/>
        <w:tabs>
          <w:tab w:val="clear" w:pos="1260"/>
          <w:tab w:val="num" w:pos="1440"/>
        </w:tabs>
        <w:rPr>
          <w:szCs w:val="22"/>
        </w:rPr>
      </w:pPr>
      <w:r>
        <w:t>The Bureau issued three</w:t>
      </w:r>
      <w:r>
        <w:t xml:space="preserve"> such Public Notices. </w:t>
      </w:r>
      <w:r w:rsidR="001D30D6">
        <w:t xml:space="preserve"> </w:t>
      </w:r>
      <w:r>
        <w:t xml:space="preserve">On October 2, 2017, the Bureau notified the Governors of 52 states and territories </w:t>
      </w:r>
      <w:r w:rsidR="003774E6">
        <w:t>that their deadline would be December 28, 2017</w:t>
      </w:r>
      <w:r w:rsidR="001D30D6">
        <w:t>,</w:t>
      </w:r>
      <w:r w:rsidR="003774E6">
        <w:t xml:space="preserve"> </w:t>
      </w:r>
      <w:r>
        <w:t xml:space="preserve">to </w:t>
      </w:r>
      <w:r w:rsidR="00D6782E">
        <w:t xml:space="preserve">submit an </w:t>
      </w:r>
      <w:r>
        <w:t xml:space="preserve">opt-out </w:t>
      </w:r>
      <w:r w:rsidR="00D6782E">
        <w:t>notification</w:t>
      </w:r>
      <w:r>
        <w:t>.</w:t>
      </w:r>
      <w:r>
        <w:rPr>
          <w:rStyle w:val="FootnoteReference"/>
        </w:rPr>
        <w:footnoteReference w:id="18"/>
      </w:r>
      <w:r>
        <w:t xml:space="preserve">  On November 1, 2017, the Bureau issued a Public Notice </w:t>
      </w:r>
      <w:r w:rsidR="005642D5">
        <w:t xml:space="preserve">setting </w:t>
      </w:r>
      <w:r>
        <w:t xml:space="preserve">the </w:t>
      </w:r>
      <w:r w:rsidR="003774E6">
        <w:t xml:space="preserve">same </w:t>
      </w:r>
      <w:r>
        <w:t>deadline for Puerto Rico’s Governor to make his election</w:t>
      </w:r>
      <w:r w:rsidR="003774E6">
        <w:t>.</w:t>
      </w:r>
      <w:r>
        <w:rPr>
          <w:rStyle w:val="FootnoteReference"/>
        </w:rPr>
        <w:footnoteReference w:id="19"/>
      </w:r>
      <w:r w:rsidR="003774E6">
        <w:t xml:space="preserve">  O</w:t>
      </w:r>
      <w:r w:rsidR="005642D5">
        <w:t xml:space="preserve">n December 15, 2017, the Bureau </w:t>
      </w:r>
      <w:r>
        <w:t xml:space="preserve">issued </w:t>
      </w:r>
      <w:r w:rsidR="005642D5">
        <w:t>a</w:t>
      </w:r>
      <w:r>
        <w:t xml:space="preserve"> final Public Notice </w:t>
      </w:r>
      <w:r w:rsidR="003774E6">
        <w:t xml:space="preserve">setting a March 12, 2018 deadline </w:t>
      </w:r>
      <w:r>
        <w:t>for the remaining three territories</w:t>
      </w:r>
      <w:r w:rsidR="003774E6">
        <w:t xml:space="preserve"> (American Samoa, </w:t>
      </w:r>
      <w:r w:rsidR="003774E6">
        <w:t>Guam, and the Northern Mariana Islands)</w:t>
      </w:r>
      <w:r>
        <w:t>.</w:t>
      </w:r>
      <w:r>
        <w:rPr>
          <w:rStyle w:val="FootnoteReference"/>
        </w:rPr>
        <w:footnoteReference w:id="20"/>
      </w:r>
      <w:r w:rsidR="005E24E8">
        <w:t xml:space="preserve">  </w:t>
      </w:r>
      <w:r w:rsidR="00D6782E">
        <w:t>Subsequent to the issuance of these Public Notices, n</w:t>
      </w:r>
      <w:r w:rsidR="00FB3A98">
        <w:t>o state or territory filed an opt-out notification with the Commission within the statutory timeframe</w:t>
      </w:r>
      <w:r w:rsidR="005D3C79">
        <w:t xml:space="preserve"> or otherwise</w:t>
      </w:r>
      <w:r w:rsidR="00FB3A98">
        <w:t xml:space="preserve">.  </w:t>
      </w:r>
    </w:p>
    <w:p w:rsidR="00C7467D" w14:paraId="0FEDFC4A" w14:textId="525306B7">
      <w:pPr>
        <w:pStyle w:val="Heading1"/>
        <w:rPr>
          <w:szCs w:val="22"/>
        </w:rPr>
      </w:pPr>
      <w:bookmarkStart w:id="23" w:name="_Toc202589910"/>
      <w:bookmarkStart w:id="24" w:name="_Toc202781496"/>
      <w:bookmarkStart w:id="25" w:name="_Toc202782113"/>
      <w:bookmarkStart w:id="26" w:name="_Toc202783849"/>
      <w:bookmarkStart w:id="27" w:name="_Toc202784172"/>
      <w:r>
        <w:rPr>
          <w:szCs w:val="22"/>
        </w:rPr>
        <w:t>ORDER</w:t>
      </w:r>
      <w:bookmarkStart w:id="28" w:name="_GoBack"/>
      <w:bookmarkEnd w:id="28"/>
    </w:p>
    <w:p w:rsidR="00C7467D" w:rsidP="000A3737" w14:paraId="31DBAD87" w14:textId="61CC97B8">
      <w:pPr>
        <w:pStyle w:val="ParaNum"/>
      </w:pPr>
      <w:r w:rsidRPr="00A73C6C">
        <w:tab/>
      </w:r>
      <w:r w:rsidR="00D6782E">
        <w:t>In light of the fact that no state or territory elected to opt out within the statutory timeframe, the</w:t>
      </w:r>
      <w:r w:rsidR="00D10531">
        <w:t>re is no continued need for the rules that the Commission adopted to ad</w:t>
      </w:r>
      <w:r w:rsidRPr="00624251" w:rsidR="00D6782E">
        <w:t>minister the opt-out process</w:t>
      </w:r>
      <w:r w:rsidR="00D10531">
        <w:t xml:space="preserve"> </w:t>
      </w:r>
      <w:r w:rsidRPr="00A73C6C" w:rsidR="00D10531">
        <w:t>(</w:t>
      </w:r>
      <w:r w:rsidRPr="00A73C6C" w:rsidR="00D10531">
        <w:rPr>
          <w:i/>
        </w:rPr>
        <w:t>i.e</w:t>
      </w:r>
      <w:r w:rsidRPr="00A73C6C" w:rsidR="00D10531">
        <w:t>., 47 C</w:t>
      </w:r>
      <w:r w:rsidR="00D10531">
        <w:t>.</w:t>
      </w:r>
      <w:r w:rsidRPr="00A73C6C" w:rsidR="00D10531">
        <w:t>F</w:t>
      </w:r>
      <w:r w:rsidR="00D10531">
        <w:t>.</w:t>
      </w:r>
      <w:r w:rsidRPr="00A73C6C" w:rsidR="00D10531">
        <w:t>R</w:t>
      </w:r>
      <w:r w:rsidR="00D10531">
        <w:t>.</w:t>
      </w:r>
      <w:r w:rsidRPr="00A73C6C" w:rsidR="00D10531">
        <w:t xml:space="preserve"> § 90.532(b)-(f))</w:t>
      </w:r>
      <w:r w:rsidR="00D10531">
        <w:t>, and we therefore delete those rules.</w:t>
      </w:r>
      <w:r w:rsidRPr="00A73C6C" w:rsidR="00D6782E">
        <w:t xml:space="preserve"> </w:t>
      </w:r>
      <w:r w:rsidR="00D10531">
        <w:t xml:space="preserve"> </w:t>
      </w:r>
      <w:r w:rsidRPr="00A73C6C" w:rsidR="00A73C6C">
        <w:t>An</w:t>
      </w:r>
      <w:r w:rsidRPr="00A73C6C" w:rsidR="00EF37E4">
        <w:t xml:space="preserve"> agency may forego notice and comment rulemaking </w:t>
      </w:r>
      <w:r w:rsidRPr="00A73C6C" w:rsidR="00A73C6C">
        <w:t>“when the agency for good cause finds . . . that notice and public procedure thereon are impracticable, unnecessary, or contrary to the public interest.”</w:t>
      </w:r>
      <w:r>
        <w:rPr>
          <w:rStyle w:val="FootnoteReference"/>
          <w:szCs w:val="22"/>
        </w:rPr>
        <w:footnoteReference w:id="21"/>
      </w:r>
      <w:r w:rsidRPr="00A73C6C" w:rsidR="00A73C6C">
        <w:t xml:space="preserve">   We find here that notice and comment rulemaking is unnecessary and contrary to the public interest </w:t>
      </w:r>
      <w:r w:rsidR="00A73C6C">
        <w:t xml:space="preserve">because </w:t>
      </w:r>
      <w:r w:rsidR="00D10531">
        <w:t xml:space="preserve">the lack of any opt-out </w:t>
      </w:r>
      <w:r w:rsidR="00553DDA">
        <w:t xml:space="preserve">election </w:t>
      </w:r>
      <w:r w:rsidR="00D10531">
        <w:t>by a</w:t>
      </w:r>
      <w:r w:rsidR="00553DDA">
        <w:t>ny</w:t>
      </w:r>
      <w:r w:rsidR="00D10531">
        <w:t xml:space="preserve"> state or territory has </w:t>
      </w:r>
      <w:r w:rsidR="00553DDA">
        <w:t xml:space="preserve">rendered </w:t>
      </w:r>
      <w:r w:rsidR="00254497">
        <w:t>the</w:t>
      </w:r>
      <w:r w:rsidR="00553DDA">
        <w:t xml:space="preserve"> </w:t>
      </w:r>
      <w:r w:rsidRPr="00A73C6C" w:rsidR="00A73C6C">
        <w:t xml:space="preserve">opt-out </w:t>
      </w:r>
      <w:r w:rsidR="00553DDA">
        <w:t xml:space="preserve">rules </w:t>
      </w:r>
      <w:r w:rsidRPr="00A73C6C" w:rsidR="00A73C6C">
        <w:t>moot</w:t>
      </w:r>
      <w:r w:rsidR="00FD5DE5">
        <w:t>.</w:t>
      </w:r>
      <w:r w:rsidR="00553DDA">
        <w:t xml:space="preserve">  </w:t>
      </w:r>
      <w:r w:rsidRPr="00A73C6C" w:rsidR="00A73C6C">
        <w:t xml:space="preserve"> As the </w:t>
      </w:r>
      <w:r w:rsidR="00553DDA">
        <w:t xml:space="preserve">opt-out </w:t>
      </w:r>
      <w:r w:rsidRPr="00A73C6C" w:rsidR="00A73C6C">
        <w:t xml:space="preserve">rules no longer have any practical or legal effect, expunging them from the Code of Federal Regulations </w:t>
      </w:r>
      <w:r w:rsidR="00F47C76">
        <w:t xml:space="preserve">will avoid any potential confusion about their continuing applicability.  Such expungement </w:t>
      </w:r>
      <w:r w:rsidRPr="00A73C6C" w:rsidR="00A73C6C">
        <w:t xml:space="preserve">is </w:t>
      </w:r>
      <w:r w:rsidR="00F47C76">
        <w:t xml:space="preserve">also </w:t>
      </w:r>
      <w:r w:rsidRPr="00A73C6C" w:rsidR="00A73C6C">
        <w:t>inconsequential</w:t>
      </w:r>
      <w:r w:rsidR="00F923DF">
        <w:t xml:space="preserve"> to the industry and the public, </w:t>
      </w:r>
      <w:r w:rsidR="00A73C6C">
        <w:t>and conducting additional processes would</w:t>
      </w:r>
      <w:r w:rsidR="00F923DF">
        <w:t xml:space="preserve"> be a waste of public resources and otherwise contrary to the public interest</w:t>
      </w:r>
      <w:r w:rsidRPr="00A73C6C" w:rsidR="00A73C6C">
        <w:t>.</w:t>
      </w:r>
    </w:p>
    <w:p w:rsidR="00D5540F" w:rsidRPr="00D5540F" w:rsidP="00D5540F" w14:paraId="501355DF" w14:textId="4D326320">
      <w:pPr>
        <w:pStyle w:val="Heading1"/>
        <w:rPr>
          <w:rFonts w:ascii="Times New Roman" w:hAnsi="Times New Roman"/>
          <w:szCs w:val="22"/>
        </w:rPr>
      </w:pPr>
      <w:bookmarkStart w:id="29" w:name="_Toc276546279"/>
      <w:bookmarkStart w:id="30" w:name="_Toc276547697"/>
      <w:bookmarkStart w:id="31" w:name="_Toc276730849"/>
      <w:bookmarkStart w:id="32" w:name="_Toc280785134"/>
      <w:bookmarkStart w:id="33" w:name="_Toc280785234"/>
      <w:bookmarkStart w:id="34" w:name="_Toc307223182"/>
      <w:bookmarkStart w:id="35" w:name="_Toc310321208"/>
      <w:bookmarkStart w:id="36" w:name="_Toc311123469"/>
      <w:r>
        <w:rPr>
          <w:rFonts w:ascii="Times New Roman" w:hAnsi="Times New Roman"/>
          <w:szCs w:val="22"/>
        </w:rPr>
        <w:t>procedural matters</w:t>
      </w:r>
      <w:bookmarkEnd w:id="29"/>
      <w:bookmarkEnd w:id="30"/>
      <w:bookmarkEnd w:id="31"/>
      <w:bookmarkEnd w:id="32"/>
      <w:bookmarkEnd w:id="33"/>
      <w:bookmarkEnd w:id="34"/>
      <w:bookmarkEnd w:id="35"/>
      <w:bookmarkEnd w:id="36"/>
    </w:p>
    <w:p w:rsidR="00C7467D" w:rsidRPr="00D5540F" w:rsidP="00D5540F" w14:paraId="79662CF5" w14:textId="12514F5C">
      <w:pPr>
        <w:pStyle w:val="ParaNum"/>
        <w:rPr>
          <w:szCs w:val="22"/>
        </w:rPr>
      </w:pPr>
      <w:r>
        <w:rPr>
          <w:i/>
          <w:szCs w:val="22"/>
        </w:rPr>
        <w:t xml:space="preserve">Regulatory Flexibility Act.  </w:t>
      </w:r>
      <w:r>
        <w:rPr>
          <w:szCs w:val="22"/>
        </w:rPr>
        <w:t xml:space="preserve">Under Section </w:t>
      </w:r>
      <w:r w:rsidR="00FF54AA">
        <w:rPr>
          <w:szCs w:val="22"/>
        </w:rPr>
        <w:t>604</w:t>
      </w:r>
      <w:r>
        <w:rPr>
          <w:szCs w:val="22"/>
        </w:rPr>
        <w:t xml:space="preserve">(a) of the Regulatory Flexibility Act, the </w:t>
      </w:r>
      <w:r w:rsidR="005204FB">
        <w:rPr>
          <w:szCs w:val="22"/>
        </w:rPr>
        <w:t xml:space="preserve">Bureau </w:t>
      </w:r>
      <w:r>
        <w:rPr>
          <w:szCs w:val="22"/>
        </w:rPr>
        <w:t xml:space="preserve">is not required to prepare a final regulatory flexibility analysis </w:t>
      </w:r>
      <w:r w:rsidR="005204FB">
        <w:rPr>
          <w:szCs w:val="22"/>
        </w:rPr>
        <w:t>because</w:t>
      </w:r>
      <w:r>
        <w:rPr>
          <w:szCs w:val="22"/>
        </w:rPr>
        <w:t xml:space="preserve"> the </w:t>
      </w:r>
      <w:r w:rsidRPr="00254497">
        <w:rPr>
          <w:szCs w:val="22"/>
        </w:rPr>
        <w:t>Order</w:t>
      </w:r>
      <w:r w:rsidRPr="00D6782E">
        <w:rPr>
          <w:szCs w:val="22"/>
        </w:rPr>
        <w:t xml:space="preserve"> </w:t>
      </w:r>
      <w:r w:rsidR="00F47C76">
        <w:rPr>
          <w:szCs w:val="22"/>
        </w:rPr>
        <w:t>does not require</w:t>
      </w:r>
      <w:r w:rsidR="00456000">
        <w:rPr>
          <w:szCs w:val="22"/>
        </w:rPr>
        <w:t xml:space="preserve"> </w:t>
      </w:r>
      <w:r w:rsidR="005204FB">
        <w:rPr>
          <w:szCs w:val="22"/>
        </w:rPr>
        <w:t>notice</w:t>
      </w:r>
      <w:r w:rsidR="00456000">
        <w:rPr>
          <w:szCs w:val="22"/>
        </w:rPr>
        <w:t>-</w:t>
      </w:r>
      <w:r w:rsidR="005204FB">
        <w:rPr>
          <w:szCs w:val="22"/>
        </w:rPr>
        <w:t>and</w:t>
      </w:r>
      <w:r w:rsidR="00456000">
        <w:rPr>
          <w:szCs w:val="22"/>
        </w:rPr>
        <w:t>-</w:t>
      </w:r>
      <w:r w:rsidR="005204FB">
        <w:rPr>
          <w:szCs w:val="22"/>
        </w:rPr>
        <w:t>comment</w:t>
      </w:r>
      <w:r w:rsidR="00F47C76">
        <w:rPr>
          <w:szCs w:val="22"/>
        </w:rPr>
        <w:t xml:space="preserve"> rulemaking</w:t>
      </w:r>
      <w:r>
        <w:rPr>
          <w:szCs w:val="22"/>
        </w:rPr>
        <w:t>.</w:t>
      </w:r>
      <w:r>
        <w:rPr>
          <w:rStyle w:val="FootnoteReference"/>
          <w:szCs w:val="22"/>
        </w:rPr>
        <w:footnoteReference w:id="22"/>
      </w:r>
    </w:p>
    <w:p w:rsidR="00C7467D" w:rsidRPr="00D5540F" w:rsidP="00D5540F" w14:paraId="6DF4ED2D" w14:textId="38AA25E6">
      <w:pPr>
        <w:pStyle w:val="ParaNum"/>
        <w:rPr>
          <w:szCs w:val="22"/>
        </w:rPr>
      </w:pPr>
      <w:bookmarkStart w:id="37" w:name="_Toc165385730"/>
      <w:bookmarkStart w:id="38" w:name="_Toc174369856"/>
      <w:bookmarkStart w:id="39" w:name="_Toc214946858"/>
      <w:bookmarkStart w:id="40" w:name="_Toc215057657"/>
      <w:bookmarkStart w:id="41" w:name="_Toc276546282"/>
      <w:bookmarkStart w:id="42" w:name="_Toc276547700"/>
      <w:bookmarkStart w:id="43" w:name="_Toc276730852"/>
      <w:bookmarkStart w:id="44" w:name="_Toc280785137"/>
      <w:bookmarkStart w:id="45" w:name="_Toc280785237"/>
      <w:r>
        <w:rPr>
          <w:i/>
          <w:szCs w:val="22"/>
        </w:rPr>
        <w:t>Paperwork Reduction Act of 1995</w:t>
      </w:r>
      <w:r>
        <w:rPr>
          <w:bCs/>
          <w:szCs w:val="22"/>
        </w:rPr>
        <w:t xml:space="preserve">.  This document </w:t>
      </w:r>
      <w:r w:rsidR="009A4EFF">
        <w:rPr>
          <w:bCs/>
          <w:szCs w:val="22"/>
        </w:rPr>
        <w:t xml:space="preserve">does not </w:t>
      </w:r>
      <w:r>
        <w:rPr>
          <w:bCs/>
          <w:szCs w:val="22"/>
        </w:rPr>
        <w:t>contain new or modified information collection requirements subject to the Paperwork Reduction Act of 1995 (PRA), Public Law 104-13.</w:t>
      </w:r>
      <w:r w:rsidR="00D645DF">
        <w:rPr>
          <w:bCs/>
          <w:szCs w:val="22"/>
        </w:rPr>
        <w:t xml:space="preserve">  In addition, therefore, it </w:t>
      </w:r>
      <w:r w:rsidR="009A4EFF">
        <w:rPr>
          <w:bCs/>
          <w:szCs w:val="22"/>
        </w:rPr>
        <w:t xml:space="preserve">does not </w:t>
      </w:r>
      <w:r w:rsidR="00D645DF">
        <w:rPr>
          <w:bCs/>
          <w:szCs w:val="22"/>
        </w:rPr>
        <w:t xml:space="preserve">contain </w:t>
      </w:r>
      <w:r w:rsidR="009A4EFF">
        <w:rPr>
          <w:bCs/>
          <w:szCs w:val="22"/>
        </w:rPr>
        <w:t xml:space="preserve">any </w:t>
      </w:r>
      <w:r w:rsidR="00D645DF">
        <w:rPr>
          <w:bCs/>
          <w:szCs w:val="22"/>
        </w:rPr>
        <w:t>new or modified information collection burden for small business concerns with fewer than 25 employees, pursuant to the Small Business Paperwork Relief Act of 2002</w:t>
      </w:r>
      <w:r w:rsidR="009A4EFF">
        <w:rPr>
          <w:bCs/>
          <w:szCs w:val="22"/>
        </w:rPr>
        <w:t xml:space="preserve">, Public Law 107-198, </w:t>
      </w:r>
      <w:r w:rsidRPr="009A4EFF" w:rsidR="009A4EFF">
        <w:rPr>
          <w:bCs/>
          <w:i/>
          <w:szCs w:val="22"/>
        </w:rPr>
        <w:t>see</w:t>
      </w:r>
      <w:r w:rsidR="009A4EFF">
        <w:rPr>
          <w:bCs/>
          <w:szCs w:val="22"/>
        </w:rPr>
        <w:t xml:space="preserve"> 44 U.S.C. 3506(c)(4)</w:t>
      </w:r>
      <w:r w:rsidR="00D645DF">
        <w:rPr>
          <w:bCs/>
          <w:szCs w:val="22"/>
        </w:rPr>
        <w:t>.</w:t>
      </w:r>
    </w:p>
    <w:p w:rsidR="00C7467D" w:rsidRPr="00D5540F" w:rsidP="00D5540F" w14:paraId="57455686" w14:textId="727CBF9E">
      <w:pPr>
        <w:pStyle w:val="ParaNum"/>
        <w:rPr>
          <w:szCs w:val="22"/>
        </w:rPr>
      </w:pPr>
      <w:r w:rsidRPr="00D5540F">
        <w:rPr>
          <w:i/>
          <w:szCs w:val="22"/>
        </w:rPr>
        <w:t>Congressional Review Act.</w:t>
      </w:r>
      <w:r>
        <w:rPr>
          <w:szCs w:val="22"/>
        </w:rPr>
        <w:t xml:space="preserve">  </w:t>
      </w:r>
      <w:r>
        <w:rPr>
          <w:szCs w:val="22"/>
        </w:rPr>
        <w:t xml:space="preserve">The Bureau will send a copy of </w:t>
      </w:r>
      <w:r w:rsidRPr="00D6782E">
        <w:rPr>
          <w:szCs w:val="22"/>
        </w:rPr>
        <w:t xml:space="preserve">this </w:t>
      </w:r>
      <w:r w:rsidRPr="00254497">
        <w:rPr>
          <w:szCs w:val="22"/>
        </w:rPr>
        <w:t>Order</w:t>
      </w:r>
      <w:r w:rsidR="00923E74">
        <w:rPr>
          <w:szCs w:val="22"/>
        </w:rPr>
        <w:t xml:space="preserve"> to Congress and the Government </w:t>
      </w:r>
      <w:r>
        <w:rPr>
          <w:szCs w:val="22"/>
        </w:rPr>
        <w:t xml:space="preserve">Accountability Office pursuant to the Congressional Review Act, </w:t>
      </w:r>
      <w:r>
        <w:rPr>
          <w:i/>
          <w:szCs w:val="22"/>
        </w:rPr>
        <w:t>see</w:t>
      </w:r>
      <w:r>
        <w:rPr>
          <w:szCs w:val="22"/>
        </w:rPr>
        <w:t xml:space="preserve"> 5 U.S.C. 801(a)(1)(A). </w:t>
      </w:r>
      <w:bookmarkEnd w:id="37"/>
      <w:bookmarkEnd w:id="38"/>
      <w:bookmarkEnd w:id="39"/>
      <w:bookmarkEnd w:id="40"/>
      <w:bookmarkEnd w:id="41"/>
      <w:bookmarkEnd w:id="42"/>
      <w:bookmarkEnd w:id="43"/>
      <w:bookmarkEnd w:id="44"/>
      <w:bookmarkEnd w:id="45"/>
    </w:p>
    <w:p w:rsidR="00C7467D" w14:paraId="1A152B8C" w14:textId="36D01326">
      <w:pPr>
        <w:pStyle w:val="ParaNum"/>
        <w:rPr>
          <w:szCs w:val="22"/>
        </w:rPr>
      </w:pPr>
      <w:r>
        <w:rPr>
          <w:i/>
          <w:szCs w:val="22"/>
        </w:rPr>
        <w:t xml:space="preserve">Accessible Formats.  </w:t>
      </w:r>
      <w:r>
        <w:rPr>
          <w:szCs w:val="22"/>
        </w:rPr>
        <w:t xml:space="preserve">To request materials in accessible formats for people with disabilities (Braille, large print, electronic files, audio format), send an e-mail to </w:t>
      </w:r>
      <w:hyperlink r:id="rId5" w:history="1">
        <w:r>
          <w:rPr>
            <w:rStyle w:val="Hyperlink"/>
            <w:szCs w:val="22"/>
          </w:rPr>
          <w:t>FCC504@fcc.gov</w:t>
        </w:r>
      </w:hyperlink>
      <w:r>
        <w:rPr>
          <w:szCs w:val="22"/>
        </w:rPr>
        <w:t xml:space="preserve"> or call the Consumer &amp; Governmental Affairs Bureau at 202-418-0530 (voice), 202-418-0432 (TTY).</w:t>
      </w:r>
    </w:p>
    <w:p w:rsidR="00C7467D" w14:paraId="39345DAC" w14:textId="77777777">
      <w:pPr>
        <w:pStyle w:val="Heading1"/>
        <w:rPr>
          <w:rFonts w:ascii="Times New Roman" w:hAnsi="Times New Roman"/>
          <w:szCs w:val="22"/>
        </w:rPr>
      </w:pPr>
      <w:bookmarkStart w:id="46" w:name="_Toc213233360"/>
      <w:bookmarkStart w:id="47" w:name="_Toc214443959"/>
      <w:bookmarkStart w:id="48" w:name="_Toc214796416"/>
      <w:bookmarkStart w:id="49" w:name="_Toc214946859"/>
      <w:bookmarkStart w:id="50" w:name="_Toc215057658"/>
      <w:bookmarkStart w:id="51" w:name="_Toc276546283"/>
      <w:bookmarkStart w:id="52" w:name="_Toc276547701"/>
      <w:bookmarkStart w:id="53" w:name="_Toc276730853"/>
      <w:bookmarkStart w:id="54" w:name="_Toc280785138"/>
      <w:bookmarkStart w:id="55" w:name="_Toc280785238"/>
      <w:bookmarkStart w:id="56" w:name="_Toc307223191"/>
      <w:bookmarkStart w:id="57" w:name="_Toc310321217"/>
      <w:bookmarkStart w:id="58" w:name="_Toc311123478"/>
      <w:r>
        <w:rPr>
          <w:rFonts w:ascii="Times New Roman" w:hAnsi="Times New Roman"/>
          <w:szCs w:val="22"/>
        </w:rPr>
        <w:t>ordering clauses</w:t>
      </w:r>
      <w:bookmarkEnd w:id="46"/>
      <w:bookmarkEnd w:id="47"/>
      <w:bookmarkEnd w:id="48"/>
      <w:bookmarkEnd w:id="49"/>
      <w:bookmarkEnd w:id="50"/>
      <w:bookmarkEnd w:id="51"/>
      <w:bookmarkEnd w:id="52"/>
      <w:bookmarkEnd w:id="53"/>
      <w:bookmarkEnd w:id="54"/>
      <w:bookmarkEnd w:id="55"/>
      <w:bookmarkEnd w:id="56"/>
      <w:bookmarkEnd w:id="57"/>
      <w:bookmarkEnd w:id="58"/>
    </w:p>
    <w:p w:rsidR="00C7467D" w:rsidRPr="009A5230" w:rsidP="00BA795D" w14:paraId="28FA51B9" w14:textId="59D64C64">
      <w:pPr>
        <w:pStyle w:val="ParaNum"/>
        <w:rPr>
          <w:szCs w:val="22"/>
        </w:rPr>
      </w:pPr>
      <w:r>
        <w:rPr>
          <w:rStyle w:val="StyleParaNum11pt1CharCharCharCharCharCharCharCharCharCharCharCharCharCharCharCharChar"/>
          <w:snapToGrid/>
        </w:rPr>
        <w:t xml:space="preserve">Accordingly, </w:t>
      </w:r>
      <w:r>
        <w:rPr>
          <w:szCs w:val="22"/>
        </w:rPr>
        <w:t xml:space="preserve">IT </w:t>
      </w:r>
      <w:r w:rsidR="00BA795D">
        <w:rPr>
          <w:szCs w:val="22"/>
        </w:rPr>
        <w:t xml:space="preserve">IS ORDERED </w:t>
      </w:r>
      <w:r w:rsidR="003A19F6">
        <w:rPr>
          <w:szCs w:val="22"/>
        </w:rPr>
        <w:t xml:space="preserve">that part 90 of the Commission’s rules IS AMENDED, as set forth in the attached Appendix, </w:t>
      </w:r>
      <w:r w:rsidR="00BA795D">
        <w:rPr>
          <w:szCs w:val="22"/>
        </w:rPr>
        <w:t xml:space="preserve">pursuant to </w:t>
      </w:r>
      <w:r w:rsidR="003A19F6">
        <w:rPr>
          <w:szCs w:val="22"/>
        </w:rPr>
        <w:t xml:space="preserve">the authority contained in </w:t>
      </w:r>
      <w:r w:rsidRPr="00BA795D" w:rsidR="00BA795D">
        <w:rPr>
          <w:szCs w:val="22"/>
        </w:rPr>
        <w:t>Sections 4(</w:t>
      </w:r>
      <w:r w:rsidRPr="00BA795D" w:rsidR="00BA795D">
        <w:rPr>
          <w:szCs w:val="22"/>
        </w:rPr>
        <w:t>i</w:t>
      </w:r>
      <w:r w:rsidRPr="00BA795D" w:rsidR="00BA795D">
        <w:rPr>
          <w:szCs w:val="22"/>
        </w:rPr>
        <w:t>), 4(j), 301, and 303 of the</w:t>
      </w:r>
      <w:r w:rsidR="00BA795D">
        <w:rPr>
          <w:szCs w:val="22"/>
        </w:rPr>
        <w:t xml:space="preserve"> </w:t>
      </w:r>
      <w:r w:rsidRPr="00BA795D" w:rsidR="00BA795D">
        <w:rPr>
          <w:szCs w:val="22"/>
        </w:rPr>
        <w:t>Communications Act of 1934, as amended, 47 U.S.C. §§ 154(</w:t>
      </w:r>
      <w:r w:rsidRPr="00BA795D" w:rsidR="00BA795D">
        <w:rPr>
          <w:szCs w:val="22"/>
        </w:rPr>
        <w:t>i</w:t>
      </w:r>
      <w:r w:rsidRPr="00BA795D" w:rsidR="00BA795D">
        <w:rPr>
          <w:szCs w:val="22"/>
        </w:rPr>
        <w:t>), 154(j),</w:t>
      </w:r>
      <w:r w:rsidR="00BA795D">
        <w:rPr>
          <w:szCs w:val="22"/>
        </w:rPr>
        <w:t xml:space="preserve"> 301, 303, Title VI, </w:t>
      </w:r>
      <w:r w:rsidRPr="00BA795D" w:rsidR="00BA795D">
        <w:rPr>
          <w:szCs w:val="22"/>
        </w:rPr>
        <w:t>Sections 6003, 6203, and 6302(e), of the Middle Class Tax Relief and Jo</w:t>
      </w:r>
      <w:r w:rsidR="00BA795D">
        <w:rPr>
          <w:szCs w:val="22"/>
        </w:rPr>
        <w:t xml:space="preserve">b Creation Act of 2012, Pub. L. </w:t>
      </w:r>
      <w:r w:rsidRPr="00BA795D" w:rsidR="00BA795D">
        <w:rPr>
          <w:szCs w:val="22"/>
        </w:rPr>
        <w:t>No. 112-96, §§ 6003, 6302(e)</w:t>
      </w:r>
      <w:r w:rsidR="001F7DD6">
        <w:rPr>
          <w:szCs w:val="22"/>
        </w:rPr>
        <w:t xml:space="preserve">, </w:t>
      </w:r>
      <w:r w:rsidRPr="00BA795D" w:rsidR="001F7DD6">
        <w:rPr>
          <w:szCs w:val="22"/>
        </w:rPr>
        <w:t>126 Stat. 156</w:t>
      </w:r>
      <w:r w:rsidR="001F7DD6">
        <w:rPr>
          <w:szCs w:val="22"/>
        </w:rPr>
        <w:t>, 204-05, 219-21</w:t>
      </w:r>
      <w:r w:rsidRPr="00BA795D">
        <w:rPr>
          <w:szCs w:val="22"/>
        </w:rPr>
        <w:t xml:space="preserve">, </w:t>
      </w:r>
      <w:r w:rsidR="009A7893">
        <w:rPr>
          <w:szCs w:val="22"/>
        </w:rPr>
        <w:t xml:space="preserve">and Sections 0.191 and 0.392 of the Commission’s rules, </w:t>
      </w:r>
      <w:r w:rsidRPr="00BA795D" w:rsidR="00BA795D">
        <w:rPr>
          <w:szCs w:val="22"/>
        </w:rPr>
        <w:t xml:space="preserve">47 C.F.R. </w:t>
      </w:r>
      <w:r w:rsidR="009A7893">
        <w:rPr>
          <w:szCs w:val="22"/>
        </w:rPr>
        <w:t>§§</w:t>
      </w:r>
      <w:r w:rsidRPr="00BA795D" w:rsidR="00BA795D">
        <w:rPr>
          <w:szCs w:val="22"/>
        </w:rPr>
        <w:t xml:space="preserve"> 0.191</w:t>
      </w:r>
      <w:r w:rsidR="009A7893">
        <w:rPr>
          <w:szCs w:val="22"/>
        </w:rPr>
        <w:t>, 0.392</w:t>
      </w:r>
      <w:r w:rsidRPr="00BA795D" w:rsidR="00BA795D">
        <w:rPr>
          <w:szCs w:val="22"/>
        </w:rPr>
        <w:t xml:space="preserve">, </w:t>
      </w:r>
      <w:r w:rsidR="009A5230">
        <w:rPr>
          <w:szCs w:val="22"/>
        </w:rPr>
        <w:t xml:space="preserve">and </w:t>
      </w:r>
      <w:r w:rsidRPr="00BA795D">
        <w:rPr>
          <w:szCs w:val="22"/>
        </w:rPr>
        <w:t xml:space="preserve">that this </w:t>
      </w:r>
      <w:r w:rsidRPr="00444D2A">
        <w:rPr>
          <w:szCs w:val="22"/>
        </w:rPr>
        <w:t>Order</w:t>
      </w:r>
      <w:r w:rsidRPr="00BA795D">
        <w:rPr>
          <w:rStyle w:val="StyleParaNum11pt1CharCharCharCharCharCharCharCharCharCharCharCharCharCharCharCharChar"/>
          <w:snapToGrid/>
        </w:rPr>
        <w:t xml:space="preserve"> in </w:t>
      </w:r>
      <w:r w:rsidR="000B1482">
        <w:rPr>
          <w:szCs w:val="22"/>
        </w:rPr>
        <w:t xml:space="preserve">PS </w:t>
      </w:r>
      <w:r w:rsidRPr="00444D2A" w:rsidR="000B1482">
        <w:rPr>
          <w:szCs w:val="22"/>
        </w:rPr>
        <w:t xml:space="preserve">Docket </w:t>
      </w:r>
      <w:r w:rsidR="000B1482">
        <w:rPr>
          <w:szCs w:val="22"/>
        </w:rPr>
        <w:t>No.</w:t>
      </w:r>
      <w:r w:rsidRPr="00BA795D" w:rsidR="0061160D">
        <w:rPr>
          <w:szCs w:val="22"/>
        </w:rPr>
        <w:t xml:space="preserve"> 16-269 </w:t>
      </w:r>
      <w:r w:rsidRPr="00BA795D">
        <w:rPr>
          <w:rStyle w:val="StyleParaNum11pt1CharCharCharCharCharCharCharCharCharCharCharCharCharCharCharCharChar"/>
          <w:snapToGrid/>
        </w:rPr>
        <w:t xml:space="preserve">IS ADOPTED.  </w:t>
      </w:r>
      <w:r w:rsidRPr="00BA795D">
        <w:rPr>
          <w:szCs w:val="22"/>
        </w:rPr>
        <w:t xml:space="preserve">This </w:t>
      </w:r>
      <w:r w:rsidRPr="00254497">
        <w:rPr>
          <w:szCs w:val="22"/>
        </w:rPr>
        <w:t>Order</w:t>
      </w:r>
      <w:r w:rsidRPr="00D6782E">
        <w:rPr>
          <w:szCs w:val="22"/>
        </w:rPr>
        <w:t xml:space="preserve"> </w:t>
      </w:r>
      <w:r w:rsidR="00D65779">
        <w:rPr>
          <w:szCs w:val="22"/>
        </w:rPr>
        <w:t xml:space="preserve">and the amended rules </w:t>
      </w:r>
      <w:r w:rsidRPr="00BA795D">
        <w:rPr>
          <w:szCs w:val="22"/>
        </w:rPr>
        <w:t xml:space="preserve">will become effective </w:t>
      </w:r>
      <w:r w:rsidRPr="00BA795D">
        <w:rPr>
          <w:szCs w:val="24"/>
        </w:rPr>
        <w:t>thirty days after publication in the Federal Register.</w:t>
      </w:r>
    </w:p>
    <w:p w:rsidR="009A5230" w:rsidRPr="00BA795D" w:rsidP="00BA795D" w14:paraId="772C43C3" w14:textId="0AAF18C1">
      <w:pPr>
        <w:pStyle w:val="ParaNum"/>
        <w:rPr>
          <w:szCs w:val="22"/>
        </w:rPr>
      </w:pPr>
      <w:r>
        <w:rPr>
          <w:szCs w:val="24"/>
        </w:rPr>
        <w:t>IT IS FURTHER ORDERED that the Secretary shall cause this Order to be published in the Federal Register.</w:t>
      </w:r>
    </w:p>
    <w:p w:rsidR="00C7467D" w:rsidP="006B67FF" w14:paraId="261DEF90" w14:textId="0B7D8938">
      <w:pPr>
        <w:pStyle w:val="ParaNum"/>
        <w:numPr>
          <w:ilvl w:val="0"/>
          <w:numId w:val="0"/>
        </w:numPr>
        <w:rPr>
          <w:szCs w:val="22"/>
        </w:rPr>
      </w:pPr>
    </w:p>
    <w:p w:rsidR="00C7467D" w14:paraId="657C3A7B" w14:textId="77777777">
      <w:pPr>
        <w:tabs>
          <w:tab w:val="left" w:pos="1080"/>
        </w:tabs>
        <w:spacing w:after="240"/>
        <w:ind w:firstLine="720"/>
        <w:rPr>
          <w:szCs w:val="22"/>
        </w:rPr>
      </w:pPr>
    </w:p>
    <w:p w:rsidR="00C7467D" w14:paraId="69DC7259" w14:textId="77777777">
      <w:pPr>
        <w:keepNext/>
        <w:ind w:left="4320"/>
        <w:outlineLvl w:val="0"/>
        <w:rPr>
          <w:szCs w:val="22"/>
        </w:rPr>
      </w:pPr>
      <w:bookmarkStart w:id="59" w:name="_Toc307223192"/>
      <w:bookmarkStart w:id="60" w:name="_Toc310321218"/>
      <w:bookmarkStart w:id="61" w:name="_Toc311123479"/>
      <w:bookmarkEnd w:id="23"/>
      <w:bookmarkEnd w:id="24"/>
      <w:bookmarkEnd w:id="25"/>
      <w:bookmarkEnd w:id="26"/>
      <w:bookmarkEnd w:id="27"/>
      <w:r>
        <w:rPr>
          <w:szCs w:val="22"/>
        </w:rPr>
        <w:t>FEDERAL COMMUNICATIONS COMMISSION</w:t>
      </w:r>
      <w:bookmarkEnd w:id="59"/>
      <w:bookmarkEnd w:id="60"/>
      <w:bookmarkEnd w:id="61"/>
    </w:p>
    <w:p w:rsidR="00C7467D" w14:paraId="491BAF3A" w14:textId="77777777">
      <w:pPr>
        <w:ind w:left="4320"/>
        <w:rPr>
          <w:szCs w:val="22"/>
        </w:rPr>
      </w:pPr>
    </w:p>
    <w:p w:rsidR="00C7467D" w14:paraId="461E1751" w14:textId="77777777">
      <w:pPr>
        <w:ind w:left="4320"/>
        <w:rPr>
          <w:szCs w:val="22"/>
        </w:rPr>
      </w:pPr>
    </w:p>
    <w:p w:rsidR="00C7467D" w14:paraId="0B7150B3" w14:textId="77777777">
      <w:pPr>
        <w:ind w:left="4320"/>
        <w:rPr>
          <w:szCs w:val="22"/>
        </w:rPr>
      </w:pPr>
    </w:p>
    <w:p w:rsidR="00C7467D" w14:paraId="1531A771" w14:textId="77777777">
      <w:pPr>
        <w:ind w:left="4320"/>
        <w:rPr>
          <w:szCs w:val="22"/>
        </w:rPr>
      </w:pPr>
      <w:r>
        <w:rPr>
          <w:szCs w:val="22"/>
        </w:rPr>
        <w:t>Lisa M. Fowlkes</w:t>
      </w:r>
    </w:p>
    <w:p w:rsidR="00C7467D" w14:paraId="2CF1474F" w14:textId="77777777">
      <w:pPr>
        <w:ind w:left="4320"/>
        <w:rPr>
          <w:szCs w:val="22"/>
        </w:rPr>
      </w:pPr>
      <w:r>
        <w:rPr>
          <w:szCs w:val="22"/>
        </w:rPr>
        <w:t>Chief, Public Safety and Homeland Security Bureau</w:t>
      </w:r>
    </w:p>
    <w:p w:rsidR="00CB6BED" w:rsidRPr="00CB6BED" w:rsidP="00CB6BED" w14:paraId="3F497073" w14:textId="77777777">
      <w:pPr>
        <w:pStyle w:val="ParaNum"/>
        <w:numPr>
          <w:ilvl w:val="0"/>
          <w:numId w:val="0"/>
        </w:numPr>
        <w:jc w:val="center"/>
        <w:rPr>
          <w:b/>
          <w:snapToGrid w:val="0"/>
        </w:rPr>
      </w:pPr>
      <w:bookmarkStart w:id="62" w:name="_Toc280785139"/>
      <w:r>
        <w:rPr>
          <w:szCs w:val="22"/>
        </w:rPr>
        <w:br w:type="page"/>
      </w:r>
      <w:bookmarkStart w:id="63" w:name="_Toc307223193"/>
      <w:bookmarkStart w:id="64" w:name="_Toc310321219"/>
      <w:bookmarkStart w:id="65" w:name="_Toc311123480"/>
      <w:bookmarkEnd w:id="62"/>
      <w:r>
        <w:rPr>
          <w:b/>
          <w:szCs w:val="22"/>
        </w:rPr>
        <w:t xml:space="preserve"> </w:t>
      </w:r>
      <w:bookmarkEnd w:id="63"/>
      <w:bookmarkEnd w:id="64"/>
      <w:bookmarkEnd w:id="65"/>
      <w:r w:rsidRPr="00CB6BED">
        <w:rPr>
          <w:b/>
          <w:snapToGrid w:val="0"/>
        </w:rPr>
        <w:t>APPENDIX A</w:t>
      </w:r>
    </w:p>
    <w:p w:rsidR="00CB6BED" w:rsidRPr="00CB6BED" w:rsidP="00CB6BED" w14:paraId="7F6BC1F1" w14:textId="77777777">
      <w:pPr>
        <w:jc w:val="center"/>
        <w:rPr>
          <w:b/>
          <w:snapToGrid w:val="0"/>
        </w:rPr>
      </w:pPr>
      <w:r w:rsidRPr="00CB6BED">
        <w:rPr>
          <w:b/>
          <w:snapToGrid w:val="0"/>
        </w:rPr>
        <w:t>Final Rules</w:t>
      </w:r>
    </w:p>
    <w:p w:rsidR="00CB6BED" w:rsidRPr="00CB6BED" w:rsidP="00CB6BED" w14:paraId="63FC3668" w14:textId="77777777">
      <w:pPr>
        <w:spacing w:after="120"/>
        <w:jc w:val="center"/>
        <w:rPr>
          <w:b/>
          <w:snapToGrid w:val="0"/>
        </w:rPr>
      </w:pPr>
    </w:p>
    <w:p w:rsidR="00CB6BED" w:rsidRPr="00CB6BED" w:rsidP="00CB6BED" w14:paraId="5DC0175C" w14:textId="374A08FB">
      <w:pPr>
        <w:widowControl/>
        <w:spacing w:after="120"/>
        <w:rPr>
          <w:snapToGrid w:val="0"/>
        </w:rPr>
      </w:pPr>
      <w:r w:rsidRPr="00CB6BED">
        <w:rPr>
          <w:snapToGrid w:val="0"/>
        </w:rPr>
        <w:t xml:space="preserve">For the reasons discussed above, the Federal Communications Commission amends 47 CFR </w:t>
      </w:r>
      <w:r w:rsidR="0027744F">
        <w:rPr>
          <w:snapToGrid w:val="0"/>
        </w:rPr>
        <w:t>p</w:t>
      </w:r>
      <w:r w:rsidRPr="00CB6BED" w:rsidR="0027744F">
        <w:rPr>
          <w:snapToGrid w:val="0"/>
        </w:rPr>
        <w:t xml:space="preserve">art </w:t>
      </w:r>
      <w:r w:rsidRPr="00CB6BED">
        <w:rPr>
          <w:snapToGrid w:val="0"/>
        </w:rPr>
        <w:t>90 as follows:</w:t>
      </w:r>
    </w:p>
    <w:p w:rsidR="00CB6BED" w:rsidRPr="00CB6BED" w:rsidP="00CB6BED" w14:paraId="2D4D0D9F" w14:textId="77777777">
      <w:pPr>
        <w:widowControl/>
        <w:spacing w:after="120"/>
        <w:rPr>
          <w:b/>
          <w:snapToGrid w:val="0"/>
        </w:rPr>
      </w:pPr>
      <w:r w:rsidRPr="00CB6BED">
        <w:rPr>
          <w:b/>
          <w:snapToGrid w:val="0"/>
        </w:rPr>
        <w:t>PART 90 – PRIVATE LAND MOBILE RADIO SERVICES</w:t>
      </w:r>
    </w:p>
    <w:p w:rsidR="0083493C" w:rsidP="00444D2A" w14:paraId="46D27762" w14:textId="3A0AB82A">
      <w:pPr>
        <w:pStyle w:val="ListParagraph"/>
        <w:widowControl/>
        <w:numPr>
          <w:ilvl w:val="0"/>
          <w:numId w:val="28"/>
        </w:numPr>
        <w:spacing w:after="120"/>
        <w:ind w:left="360"/>
        <w:contextualSpacing w:val="0"/>
        <w:rPr>
          <w:snapToGrid w:val="0"/>
        </w:rPr>
      </w:pPr>
      <w:r>
        <w:rPr>
          <w:snapToGrid w:val="0"/>
        </w:rPr>
        <w:t>The authority citation for part 90 continues to read as follows:</w:t>
      </w:r>
    </w:p>
    <w:p w:rsidR="0083493C" w:rsidRPr="0083493C" w:rsidP="00444D2A" w14:paraId="4847F202" w14:textId="0A1AD7C9">
      <w:pPr>
        <w:pStyle w:val="ListParagraph"/>
        <w:widowControl/>
        <w:spacing w:after="120"/>
        <w:ind w:left="360"/>
        <w:contextualSpacing w:val="0"/>
        <w:rPr>
          <w:snapToGrid w:val="0"/>
        </w:rPr>
      </w:pPr>
      <w:r>
        <w:t>Authority: Sections 4(</w:t>
      </w:r>
      <w:r>
        <w:t>i</w:t>
      </w:r>
      <w:r>
        <w:t>), 11, 303(g), 303(r), and 332(c)(7) of the Communications Act of 1934, as amended, 47 U.S.C. 154(</w:t>
      </w:r>
      <w:r>
        <w:t>i</w:t>
      </w:r>
      <w:r>
        <w:t>), 161, 303(g), 303(r), and 332(c)(7), and Title VI of the Middle Class Tax Relief and Job Creation Act of 2012, Pub. L. 112-96, 126 Stat. 156.</w:t>
      </w:r>
    </w:p>
    <w:p w:rsidR="00CB6BED" w:rsidRPr="0083493C" w:rsidP="00444D2A" w14:paraId="00106781" w14:textId="7AB2F111">
      <w:pPr>
        <w:pStyle w:val="ListParagraph"/>
        <w:widowControl/>
        <w:numPr>
          <w:ilvl w:val="0"/>
          <w:numId w:val="28"/>
        </w:numPr>
        <w:spacing w:after="120"/>
        <w:ind w:left="360"/>
        <w:rPr>
          <w:snapToGrid w:val="0"/>
        </w:rPr>
      </w:pPr>
      <w:r>
        <w:rPr>
          <w:snapToGrid w:val="0"/>
        </w:rPr>
        <w:t xml:space="preserve">Amend </w:t>
      </w:r>
      <w:r w:rsidRPr="0083493C">
        <w:rPr>
          <w:snapToGrid w:val="0"/>
        </w:rPr>
        <w:t xml:space="preserve">Section 90.532 by revising </w:t>
      </w:r>
      <w:r w:rsidR="00612EAD">
        <w:rPr>
          <w:snapToGrid w:val="0"/>
        </w:rPr>
        <w:t>the section heading</w:t>
      </w:r>
      <w:r w:rsidRPr="0083493C">
        <w:rPr>
          <w:snapToGrid w:val="0"/>
        </w:rPr>
        <w:t xml:space="preserve">, </w:t>
      </w:r>
      <w:r>
        <w:rPr>
          <w:snapToGrid w:val="0"/>
        </w:rPr>
        <w:t>removing</w:t>
      </w:r>
      <w:r w:rsidRPr="0083493C">
        <w:rPr>
          <w:snapToGrid w:val="0"/>
        </w:rPr>
        <w:t xml:space="preserve"> </w:t>
      </w:r>
      <w:r w:rsidR="002B32E0">
        <w:rPr>
          <w:snapToGrid w:val="0"/>
        </w:rPr>
        <w:t>paragraphs</w:t>
      </w:r>
      <w:r w:rsidRPr="0083493C">
        <w:rPr>
          <w:snapToGrid w:val="0"/>
        </w:rPr>
        <w:t xml:space="preserve"> (b)-(f), and </w:t>
      </w:r>
      <w:r w:rsidRPr="0083493C">
        <w:rPr>
          <w:snapToGrid w:val="0"/>
        </w:rPr>
        <w:t>redesignating</w:t>
      </w:r>
      <w:r w:rsidRPr="0083493C">
        <w:rPr>
          <w:snapToGrid w:val="0"/>
        </w:rPr>
        <w:t xml:space="preserve"> paragraph (a) as follows:</w:t>
      </w:r>
    </w:p>
    <w:p w:rsidR="00CB6BED" w:rsidRPr="00CB6BED" w:rsidP="00CB6BED" w14:paraId="105F7212" w14:textId="77777777">
      <w:pPr>
        <w:widowControl/>
        <w:spacing w:after="120"/>
        <w:rPr>
          <w:b/>
          <w:snapToGrid w:val="0"/>
        </w:rPr>
      </w:pPr>
      <w:r w:rsidRPr="00CB6BED">
        <w:rPr>
          <w:b/>
          <w:snapToGrid w:val="0"/>
        </w:rPr>
        <w:t>§ 90.532 Licensing of the 758-769 MHz and 788-799 MHz Bands; First Responder Network Authority License and Renewal</w:t>
      </w:r>
      <w:r>
        <w:rPr>
          <w:b/>
          <w:snapToGrid w:val="0"/>
        </w:rPr>
        <w:t xml:space="preserve">.  </w:t>
      </w:r>
      <w:r w:rsidRPr="00CB6BED">
        <w:rPr>
          <w:snapToGrid w:val="0"/>
        </w:rPr>
        <w:t>Pursuant to Section 6201 of the Middle Class Tax Relief and Job Creation Act of 2012, Public Law 112–96, 126 Stat. 156 (2012), a nationwide license for use of the 758–769 MHz and 788–799 MHz bands shall be issued to the First Responder Network Authority for an initial license term of ten years from the date of the initial issuance of the license. Prior to expiration of the term of such initial license, the First Responder Network Authority shall submit to the Commission an application for the renewal of such license. Such renewal application shall demonstrate that, during the preceding license term, the First Responder Network Authority has met the duties and obligations set forth under the foregoing Act. A renewal license shall be for a term not to exceed ten years.</w:t>
      </w: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7D" w14:paraId="7E3254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C7467D" w14:paraId="6BEFE128" w14:textId="77777777">
    <w:pPr>
      <w:pStyle w:val="Footer"/>
    </w:pPr>
  </w:p>
  <w:p w:rsidR="00C7467D" w14:paraId="6C9DA10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7D" w14:paraId="74A25E5A" w14:textId="79039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C67">
      <w:rPr>
        <w:rStyle w:val="PageNumber"/>
        <w:noProof/>
      </w:rPr>
      <w:t>5</w:t>
    </w:r>
    <w:r>
      <w:rPr>
        <w:rStyle w:val="PageNumber"/>
      </w:rPr>
      <w:fldChar w:fldCharType="end"/>
    </w:r>
  </w:p>
  <w:p w:rsidR="00C7467D" w14:paraId="140A87ED"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7D" w14:paraId="55710993"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5B08" w14:paraId="147588AC" w14:textId="77777777">
      <w:r>
        <w:separator/>
      </w:r>
    </w:p>
  </w:footnote>
  <w:footnote w:type="continuationSeparator" w:id="1">
    <w:p w:rsidR="00FE5B08" w14:paraId="7B86AF66" w14:textId="77777777">
      <w:pPr>
        <w:rPr>
          <w:sz w:val="20"/>
        </w:rPr>
      </w:pPr>
      <w:r>
        <w:rPr>
          <w:sz w:val="20"/>
        </w:rPr>
        <w:t xml:space="preserve">(Continued from previous page)  </w:t>
      </w:r>
      <w:r>
        <w:rPr>
          <w:sz w:val="20"/>
        </w:rPr>
        <w:separator/>
      </w:r>
    </w:p>
  </w:footnote>
  <w:footnote w:type="continuationNotice" w:id="2">
    <w:p w:rsidR="00FE5B08" w14:paraId="22E3B036" w14:textId="77777777">
      <w:pPr>
        <w:rPr>
          <w:sz w:val="20"/>
        </w:rPr>
      </w:pPr>
      <w:r>
        <w:rPr>
          <w:sz w:val="20"/>
        </w:rPr>
        <w:t>(</w:t>
      </w:r>
      <w:r>
        <w:rPr>
          <w:sz w:val="20"/>
        </w:rPr>
        <w:t>continued</w:t>
      </w:r>
      <w:r>
        <w:rPr>
          <w:sz w:val="20"/>
        </w:rPr>
        <w:t>….)</w:t>
      </w:r>
    </w:p>
  </w:footnote>
  <w:footnote w:id="3">
    <w:p w:rsidR="00C7467D" w:rsidRPr="00444D2A" w14:paraId="0A5FC6DA" w14:textId="5E9B34F4">
      <w:pPr>
        <w:pStyle w:val="FootnoteText"/>
        <w:rPr>
          <w:szCs w:val="18"/>
        </w:rPr>
      </w:pPr>
      <w:r w:rsidRPr="00444D2A">
        <w:rPr>
          <w:rStyle w:val="FootnoteReference"/>
          <w:sz w:val="20"/>
          <w:szCs w:val="18"/>
        </w:rPr>
        <w:footnoteRef/>
      </w:r>
      <w:r w:rsidRPr="00444D2A">
        <w:rPr>
          <w:szCs w:val="18"/>
        </w:rPr>
        <w:t xml:space="preserve"> </w:t>
      </w:r>
      <w:r w:rsidRPr="00444D2A">
        <w:rPr>
          <w:bCs/>
          <w:i/>
          <w:szCs w:val="18"/>
        </w:rPr>
        <w:t>See</w:t>
      </w:r>
      <w:r w:rsidRPr="00444D2A">
        <w:rPr>
          <w:bCs/>
          <w:szCs w:val="18"/>
        </w:rPr>
        <w:t xml:space="preserve"> </w:t>
      </w:r>
      <w:r w:rsidRPr="00444D2A">
        <w:rPr>
          <w:szCs w:val="18"/>
        </w:rPr>
        <w:t xml:space="preserve">Middle Class Tax Relief and Job Creation Act of 2012, Pub. L. No. 112-96, 126 Stat. 156. </w:t>
      </w:r>
    </w:p>
  </w:footnote>
  <w:footnote w:id="4">
    <w:p w:rsidR="00C01774" w:rsidP="00C01774" w14:paraId="4BD949F0" w14:textId="034B63EA">
      <w:pPr>
        <w:pStyle w:val="FootnoteText"/>
      </w:pPr>
      <w:r>
        <w:rPr>
          <w:rStyle w:val="FootnoteReference"/>
        </w:rPr>
        <w:footnoteRef/>
      </w:r>
      <w:r>
        <w:t xml:space="preserve"> </w:t>
      </w:r>
      <w:r>
        <w:rPr>
          <w:i/>
          <w:iCs/>
        </w:rPr>
        <w:t>See generally</w:t>
      </w:r>
      <w:r>
        <w:t xml:space="preserve"> Public Safety Spectrum Act § 6001 </w:t>
      </w:r>
      <w:r>
        <w:rPr>
          <w:i/>
        </w:rPr>
        <w:t>et seq</w:t>
      </w:r>
      <w:r>
        <w:t>.</w:t>
      </w:r>
    </w:p>
  </w:footnote>
  <w:footnote w:id="5">
    <w:p w:rsidR="00C01774" w:rsidP="00C01774" w14:paraId="69F66948" w14:textId="77777777">
      <w:pPr>
        <w:pStyle w:val="FootnoteText"/>
      </w:pPr>
      <w:r>
        <w:rPr>
          <w:rStyle w:val="FootnoteReference"/>
        </w:rPr>
        <w:footnoteRef/>
      </w:r>
      <w:r>
        <w:t xml:space="preserve"> </w:t>
      </w:r>
      <w:r>
        <w:rPr>
          <w:i/>
        </w:rPr>
        <w:t>Id.</w:t>
      </w:r>
      <w:r>
        <w:t xml:space="preserve"> § 6204(a). </w:t>
      </w:r>
    </w:p>
  </w:footnote>
  <w:footnote w:id="6">
    <w:p w:rsidR="00C01774" w:rsidP="00C01774" w14:paraId="2D31DAFB" w14:textId="77777777">
      <w:pPr>
        <w:pStyle w:val="FootnoteText"/>
      </w:pPr>
      <w:r>
        <w:rPr>
          <w:rStyle w:val="FootnoteReference"/>
        </w:rPr>
        <w:footnoteRef/>
      </w:r>
      <w:r>
        <w:t xml:space="preserve"> </w:t>
      </w:r>
      <w:r>
        <w:rPr>
          <w:i/>
        </w:rPr>
        <w:t>Id</w:t>
      </w:r>
      <w:r>
        <w:t xml:space="preserve">. §§ 6101(a), 6201(a), 6204(a).  </w:t>
      </w:r>
    </w:p>
  </w:footnote>
  <w:footnote w:id="7">
    <w:p w:rsidR="00C01774" w:rsidP="00C01774" w14:paraId="6CAA9145" w14:textId="77777777">
      <w:pPr>
        <w:pStyle w:val="FootnoteText"/>
      </w:pPr>
      <w:r>
        <w:rPr>
          <w:rStyle w:val="FootnoteReference"/>
        </w:rPr>
        <w:footnoteRef/>
      </w:r>
      <w:r>
        <w:t xml:space="preserve"> </w:t>
      </w:r>
      <w:r>
        <w:rPr>
          <w:i/>
        </w:rPr>
        <w:t>Id.</w:t>
      </w:r>
      <w:r>
        <w:t xml:space="preserve"> </w:t>
      </w:r>
      <w:r>
        <w:rPr>
          <w:shd w:val="clear" w:color="auto" w:fill="FFFFFF"/>
        </w:rPr>
        <w:t>§ 6202(b).</w:t>
      </w:r>
    </w:p>
  </w:footnote>
  <w:footnote w:id="8">
    <w:p w:rsidR="00C01774" w:rsidP="00C01774" w14:paraId="6693E5D9" w14:textId="77777777">
      <w:pPr>
        <w:pStyle w:val="FootnoteText"/>
        <w:rPr>
          <w:lang w:val="es-AR"/>
        </w:rPr>
      </w:pPr>
      <w:r>
        <w:rPr>
          <w:rStyle w:val="FootnoteReference"/>
        </w:rPr>
        <w:footnoteRef/>
      </w:r>
      <w:r>
        <w:rPr>
          <w:lang w:val="es-AR"/>
        </w:rPr>
        <w:t xml:space="preserve"> </w:t>
      </w:r>
      <w:r>
        <w:rPr>
          <w:i/>
          <w:iCs/>
          <w:lang w:val="es-AR"/>
        </w:rPr>
        <w:t>See</w:t>
      </w:r>
      <w:r>
        <w:rPr>
          <w:i/>
          <w:iCs/>
          <w:lang w:val="es-AR"/>
        </w:rPr>
        <w:t xml:space="preserve"> id.</w:t>
      </w:r>
      <w:r>
        <w:rPr>
          <w:lang w:val="es-AR"/>
        </w:rPr>
        <w:t xml:space="preserve"> </w:t>
      </w:r>
      <w:r w:rsidR="00690E69">
        <w:rPr>
          <w:shd w:val="clear" w:color="auto" w:fill="FFFFFF"/>
          <w:lang w:val="es-AR"/>
        </w:rPr>
        <w:t>§ 6302(e</w:t>
      </w:r>
      <w:r w:rsidR="00690E69">
        <w:rPr>
          <w:shd w:val="clear" w:color="auto" w:fill="FFFFFF"/>
          <w:lang w:val="es-AR"/>
        </w:rPr>
        <w:t>)(</w:t>
      </w:r>
      <w:r w:rsidR="00690E69">
        <w:rPr>
          <w:shd w:val="clear" w:color="auto" w:fill="FFFFFF"/>
          <w:lang w:val="es-AR"/>
        </w:rPr>
        <w:t>1)</w:t>
      </w:r>
      <w:r>
        <w:rPr>
          <w:shd w:val="clear" w:color="auto" w:fill="FFFFFF"/>
          <w:lang w:val="es-AR"/>
        </w:rPr>
        <w:t>.</w:t>
      </w:r>
    </w:p>
  </w:footnote>
  <w:footnote w:id="9">
    <w:p w:rsidR="00C01774" w:rsidP="00C01774" w14:paraId="52E59152" w14:textId="77777777">
      <w:pPr>
        <w:pStyle w:val="FootnoteText"/>
        <w:rPr>
          <w:lang w:val="es-AR"/>
        </w:rPr>
      </w:pPr>
      <w:r>
        <w:rPr>
          <w:rStyle w:val="FootnoteReference"/>
        </w:rPr>
        <w:footnoteRef/>
      </w:r>
      <w:r>
        <w:rPr>
          <w:lang w:val="es-AR"/>
        </w:rPr>
        <w:t xml:space="preserve"> </w:t>
      </w:r>
      <w:r>
        <w:rPr>
          <w:i/>
          <w:lang w:val="es-AR"/>
        </w:rPr>
        <w:t>Id.</w:t>
      </w:r>
      <w:r>
        <w:rPr>
          <w:lang w:val="es-AR"/>
        </w:rPr>
        <w:t xml:space="preserve"> </w:t>
      </w:r>
      <w:r>
        <w:rPr>
          <w:shd w:val="clear" w:color="auto" w:fill="FFFFFF"/>
          <w:lang w:val="es-AR"/>
        </w:rPr>
        <w:t>§ 6302(e</w:t>
      </w:r>
      <w:r>
        <w:rPr>
          <w:shd w:val="clear" w:color="auto" w:fill="FFFFFF"/>
          <w:lang w:val="es-AR"/>
        </w:rPr>
        <w:t>)(</w:t>
      </w:r>
      <w:r>
        <w:rPr>
          <w:shd w:val="clear" w:color="auto" w:fill="FFFFFF"/>
          <w:lang w:val="es-AR"/>
        </w:rPr>
        <w:t>2).</w:t>
      </w:r>
    </w:p>
  </w:footnote>
  <w:footnote w:id="10">
    <w:p w:rsidR="00C01774" w:rsidP="00C01774" w14:paraId="4C04C850" w14:textId="5E988CFF">
      <w:pPr>
        <w:pStyle w:val="FootnoteText"/>
        <w:rPr>
          <w:lang w:val="es-AR"/>
        </w:rPr>
      </w:pPr>
      <w:r>
        <w:rPr>
          <w:rStyle w:val="FootnoteReference"/>
        </w:rPr>
        <w:footnoteRef/>
      </w:r>
      <w:r>
        <w:rPr>
          <w:lang w:val="es-AR"/>
        </w:rPr>
        <w:t xml:space="preserve"> </w:t>
      </w:r>
      <w:r>
        <w:rPr>
          <w:i/>
          <w:lang w:val="es-AR"/>
        </w:rPr>
        <w:t>Id.</w:t>
      </w:r>
    </w:p>
  </w:footnote>
  <w:footnote w:id="11">
    <w:p w:rsidR="00985C87" w:rsidP="00985C87" w14:paraId="3AF87D61" w14:textId="135AF57E">
      <w:pPr>
        <w:pStyle w:val="FootnoteText"/>
      </w:pPr>
      <w:r>
        <w:rPr>
          <w:rStyle w:val="FootnoteReference"/>
        </w:rPr>
        <w:footnoteRef/>
      </w:r>
      <w:r w:rsidR="006B17FA">
        <w:rPr>
          <w:i/>
        </w:rPr>
        <w:t xml:space="preserve"> Id.</w:t>
      </w:r>
      <w:r>
        <w:t xml:space="preserve"> § 6203(e</w:t>
      </w:r>
      <w:r>
        <w:t>)(</w:t>
      </w:r>
      <w:r>
        <w:t xml:space="preserve">2).  </w:t>
      </w:r>
    </w:p>
  </w:footnote>
  <w:footnote w:id="12">
    <w:p w:rsidR="00C01774" w:rsidP="00C01774" w14:paraId="6E857083" w14:textId="77777777">
      <w:pPr>
        <w:pStyle w:val="FootnoteText"/>
        <w:rPr>
          <w:lang w:val="es-AR"/>
        </w:rPr>
      </w:pPr>
      <w:r>
        <w:rPr>
          <w:rStyle w:val="FootnoteReference"/>
        </w:rPr>
        <w:footnoteRef/>
      </w:r>
      <w:r>
        <w:rPr>
          <w:lang w:val="es-AR"/>
        </w:rPr>
        <w:t xml:space="preserve"> </w:t>
      </w:r>
      <w:r w:rsidRPr="00B46573">
        <w:rPr>
          <w:i/>
          <w:lang w:val="es-AR"/>
        </w:rPr>
        <w:t>Id.</w:t>
      </w:r>
      <w:r>
        <w:rPr>
          <w:lang w:val="es-AR"/>
        </w:rPr>
        <w:t xml:space="preserve"> </w:t>
      </w:r>
      <w:r>
        <w:rPr>
          <w:shd w:val="clear" w:color="auto" w:fill="FFFFFF"/>
          <w:lang w:val="es-AR"/>
        </w:rPr>
        <w:t>§ 6302(e</w:t>
      </w:r>
      <w:r>
        <w:rPr>
          <w:shd w:val="clear" w:color="auto" w:fill="FFFFFF"/>
          <w:lang w:val="es-AR"/>
        </w:rPr>
        <w:t>)(</w:t>
      </w:r>
      <w:r>
        <w:rPr>
          <w:shd w:val="clear" w:color="auto" w:fill="FFFFFF"/>
          <w:lang w:val="es-AR"/>
        </w:rPr>
        <w:t>3)(A).</w:t>
      </w:r>
      <w:r>
        <w:rPr>
          <w:lang w:val="es-AR"/>
        </w:rPr>
        <w:t xml:space="preserve"> </w:t>
      </w:r>
    </w:p>
  </w:footnote>
  <w:footnote w:id="13">
    <w:p w:rsidR="00C01774" w:rsidP="00C01774" w14:paraId="103A4E6C" w14:textId="1D65F1F3">
      <w:pPr>
        <w:pStyle w:val="FootnoteText"/>
      </w:pPr>
      <w:r>
        <w:rPr>
          <w:rStyle w:val="FootnoteReference"/>
        </w:rPr>
        <w:footnoteRef/>
      </w:r>
      <w:r>
        <w:t xml:space="preserve"> </w:t>
      </w:r>
      <w:r>
        <w:rPr>
          <w:i/>
        </w:rPr>
        <w:t xml:space="preserve">Id. </w:t>
      </w:r>
      <w:r>
        <w:rPr>
          <w:shd w:val="clear" w:color="auto" w:fill="FFFFFF"/>
        </w:rPr>
        <w:t>§ 6</w:t>
      </w:r>
      <w:r w:rsidR="00690E69">
        <w:rPr>
          <w:shd w:val="clear" w:color="auto" w:fill="FFFFFF"/>
        </w:rPr>
        <w:t>302(e</w:t>
      </w:r>
      <w:r w:rsidR="00690E69">
        <w:rPr>
          <w:shd w:val="clear" w:color="auto" w:fill="FFFFFF"/>
        </w:rPr>
        <w:t>)(</w:t>
      </w:r>
      <w:r w:rsidR="00690E69">
        <w:rPr>
          <w:shd w:val="clear" w:color="auto" w:fill="FFFFFF"/>
        </w:rPr>
        <w:t>3)(C)(</w:t>
      </w:r>
      <w:r w:rsidR="00690E69">
        <w:rPr>
          <w:shd w:val="clear" w:color="auto" w:fill="FFFFFF"/>
        </w:rPr>
        <w:t>i</w:t>
      </w:r>
      <w:r w:rsidR="00690E69">
        <w:rPr>
          <w:shd w:val="clear" w:color="auto" w:fill="FFFFFF"/>
        </w:rPr>
        <w:t>)</w:t>
      </w:r>
      <w:r>
        <w:rPr>
          <w:shd w:val="clear" w:color="auto" w:fill="FFFFFF"/>
        </w:rPr>
        <w:t xml:space="preserve">. </w:t>
      </w:r>
    </w:p>
  </w:footnote>
  <w:footnote w:id="14">
    <w:p w:rsidR="00B9288C" w:rsidRPr="000C20C2" w:rsidP="00B9288C" w14:paraId="27DF5064" w14:textId="6AFFAC8D">
      <w:pPr>
        <w:pStyle w:val="FootnoteText"/>
        <w:rPr>
          <w:i/>
        </w:rPr>
      </w:pPr>
      <w:r w:rsidRPr="00345870">
        <w:rPr>
          <w:rStyle w:val="FootnoteReference"/>
        </w:rPr>
        <w:footnoteRef/>
      </w:r>
      <w:r w:rsidRPr="00345870">
        <w:t xml:space="preserve"> </w:t>
      </w:r>
      <w:r w:rsidRPr="0026005A">
        <w:rPr>
          <w:i/>
          <w:iCs/>
        </w:rPr>
        <w:t>See</w:t>
      </w:r>
      <w:r w:rsidRPr="0026005A">
        <w:t xml:space="preserve"> </w:t>
      </w:r>
      <w:r w:rsidRPr="0095093F">
        <w:rPr>
          <w:i/>
          <w:iCs/>
        </w:rPr>
        <w:t>Procedures for Commission Review of State Opt-Out Requests from the FirstNet Radio Access Network</w:t>
      </w:r>
      <w:r w:rsidRPr="0095093F">
        <w:t xml:space="preserve">, PS Docket No. 16-269, Report and Order, 32 FCC </w:t>
      </w:r>
      <w:r w:rsidRPr="0095093F">
        <w:t>Rcd</w:t>
      </w:r>
      <w:r w:rsidRPr="0095093F">
        <w:t xml:space="preserve"> 5311 (2017) (</w:t>
      </w:r>
      <w:r w:rsidRPr="0095093F">
        <w:rPr>
          <w:i/>
        </w:rPr>
        <w:t>Report and Order</w:t>
      </w:r>
      <w:r w:rsidR="000C20C2">
        <w:t xml:space="preserve">); </w:t>
      </w:r>
      <w:r w:rsidR="000C20C2">
        <w:rPr>
          <w:i/>
        </w:rPr>
        <w:t xml:space="preserve">see also </w:t>
      </w:r>
      <w:r w:rsidRPr="0095093F" w:rsidR="000C20C2">
        <w:rPr>
          <w:i/>
          <w:iCs/>
        </w:rPr>
        <w:t>Procedures for Commission Review of State Opt-Out Requests from the FirstNet Radio Access Network</w:t>
      </w:r>
      <w:r w:rsidRPr="0095093F" w:rsidR="000C20C2">
        <w:t>, PS Docket No. 16-269, Order</w:t>
      </w:r>
      <w:r w:rsidR="000C20C2">
        <w:t xml:space="preserve">, 32 FCC </w:t>
      </w:r>
      <w:r w:rsidR="000C20C2">
        <w:t>Rcd</w:t>
      </w:r>
      <w:r w:rsidR="000C20C2">
        <w:t xml:space="preserve"> 7189 (2017).  </w:t>
      </w:r>
    </w:p>
  </w:footnote>
  <w:footnote w:id="15">
    <w:p w:rsidR="00B9288C" w:rsidRPr="00320900" w:rsidP="00B9288C" w14:paraId="6DAB2738" w14:textId="6D8B7CAE">
      <w:pPr>
        <w:pStyle w:val="FootnoteText"/>
      </w:pPr>
      <w:r>
        <w:rPr>
          <w:rStyle w:val="FootnoteReference"/>
        </w:rPr>
        <w:footnoteRef/>
      </w:r>
      <w:r>
        <w:t xml:space="preserve"> </w:t>
      </w:r>
      <w:r>
        <w:rPr>
          <w:i/>
        </w:rPr>
        <w:t xml:space="preserve">Report and Order, </w:t>
      </w:r>
      <w:r w:rsidRPr="00285321">
        <w:t xml:space="preserve">32 FCC </w:t>
      </w:r>
      <w:r w:rsidRPr="00285321">
        <w:t>Rcd</w:t>
      </w:r>
      <w:r w:rsidRPr="00285321">
        <w:t xml:space="preserve"> </w:t>
      </w:r>
      <w:r w:rsidR="001D30D6">
        <w:t xml:space="preserve">at </w:t>
      </w:r>
      <w:r w:rsidRPr="00285321">
        <w:t>5315</w:t>
      </w:r>
      <w:r w:rsidR="001D30D6">
        <w:t>,</w:t>
      </w:r>
      <w:r w:rsidRPr="00285321">
        <w:t xml:space="preserve"> para.</w:t>
      </w:r>
      <w:r w:rsidR="001D30D6">
        <w:t xml:space="preserve"> </w:t>
      </w:r>
      <w:r w:rsidRPr="00285321">
        <w:t>11.</w:t>
      </w:r>
    </w:p>
  </w:footnote>
  <w:footnote w:id="16">
    <w:p w:rsidR="00B9288C" w:rsidRPr="00345870" w:rsidP="00B9288C" w14:paraId="5A0C873A" w14:textId="77777777">
      <w:pPr>
        <w:pStyle w:val="FootnoteText"/>
      </w:pPr>
      <w:r w:rsidRPr="00345870">
        <w:rPr>
          <w:rStyle w:val="FootnoteReference"/>
        </w:rPr>
        <w:footnoteRef/>
      </w:r>
      <w:r w:rsidRPr="00345870">
        <w:t xml:space="preserve"> </w:t>
      </w:r>
      <w:r w:rsidRPr="00345870">
        <w:rPr>
          <w:i/>
        </w:rPr>
        <w:t>Id</w:t>
      </w:r>
      <w:r w:rsidRPr="00345870">
        <w:t>.</w:t>
      </w:r>
    </w:p>
  </w:footnote>
  <w:footnote w:id="17">
    <w:p w:rsidR="00985C87" w:rsidRPr="00985C87" w14:paraId="529A0F3C" w14:textId="1B3B08F0">
      <w:pPr>
        <w:pStyle w:val="FootnoteText"/>
      </w:pPr>
      <w:r>
        <w:rPr>
          <w:rStyle w:val="FootnoteReference"/>
        </w:rPr>
        <w:footnoteRef/>
      </w:r>
      <w:r>
        <w:t xml:space="preserve"> </w:t>
      </w:r>
      <w:r>
        <w:rPr>
          <w:i/>
        </w:rPr>
        <w:t>Report and Order</w:t>
      </w:r>
      <w:r>
        <w:t xml:space="preserve">, 32 FCC </w:t>
      </w:r>
      <w:r>
        <w:t>Rcd</w:t>
      </w:r>
      <w:r>
        <w:t xml:space="preserve"> at </w:t>
      </w:r>
      <w:r w:rsidR="008F3956">
        <w:t>5316-5319, paras. 13-28</w:t>
      </w:r>
      <w:r>
        <w:t>; 47 C.F.R.</w:t>
      </w:r>
      <w:r w:rsidR="00B45FDE">
        <w:t xml:space="preserve"> §§ 90.532(c)-(f).</w:t>
      </w:r>
      <w:r>
        <w:t xml:space="preserve"> </w:t>
      </w:r>
    </w:p>
  </w:footnote>
  <w:footnote w:id="18">
    <w:p w:rsidR="00B9288C" w:rsidP="00B9288C" w14:paraId="2DACADE3" w14:textId="42D29E0D">
      <w:pPr>
        <w:pStyle w:val="FootnoteText"/>
      </w:pPr>
      <w:r>
        <w:rPr>
          <w:rStyle w:val="FootnoteReference"/>
        </w:rPr>
        <w:footnoteRef/>
      </w:r>
      <w:r>
        <w:t xml:space="preserve"> </w:t>
      </w:r>
      <w:r w:rsidRPr="00690E69">
        <w:rPr>
          <w:i/>
        </w:rPr>
        <w:t xml:space="preserve">Public Safety and Homeland Security </w:t>
      </w:r>
      <w:r w:rsidRPr="00690E69" w:rsidR="001C15AB">
        <w:rPr>
          <w:i/>
        </w:rPr>
        <w:t>Bureau</w:t>
      </w:r>
      <w:r w:rsidRPr="00690E69">
        <w:rPr>
          <w:i/>
        </w:rPr>
        <w:t xml:space="preserve"> Announces 90-Day Deadline for Governors to Elect Whether to Opt Out of the FirstNet Radio Access Network</w:t>
      </w:r>
      <w:r>
        <w:t xml:space="preserve">, </w:t>
      </w:r>
      <w:r w:rsidR="000C20C2">
        <w:t xml:space="preserve">PS Docket No. 16-269, </w:t>
      </w:r>
      <w:r w:rsidRPr="00690E69">
        <w:t>Public Notice</w:t>
      </w:r>
      <w:r>
        <w:t xml:space="preserve">, </w:t>
      </w:r>
      <w:r w:rsidR="000C20C2">
        <w:t xml:space="preserve">32 FCC </w:t>
      </w:r>
      <w:r w:rsidR="000C20C2">
        <w:t>Rcd</w:t>
      </w:r>
      <w:r w:rsidR="000C20C2">
        <w:t xml:space="preserve"> 7348</w:t>
      </w:r>
      <w:r w:rsidR="001D30D6">
        <w:t>, 7349</w:t>
      </w:r>
      <w:r w:rsidR="000C20C2">
        <w:t xml:space="preserve"> </w:t>
      </w:r>
      <w:r w:rsidR="001C15AB">
        <w:t>(</w:t>
      </w:r>
      <w:r w:rsidR="005E24E8">
        <w:t xml:space="preserve">PSHSB </w:t>
      </w:r>
      <w:r w:rsidR="001C15AB">
        <w:t xml:space="preserve">2017).  </w:t>
      </w:r>
      <w:r w:rsidR="003774E6">
        <w:t xml:space="preserve">This Public Notice covered </w:t>
      </w:r>
      <w:r w:rsidR="005642D5">
        <w:t>the 50 states</w:t>
      </w:r>
      <w:r w:rsidR="003774E6">
        <w:t>,</w:t>
      </w:r>
      <w:r w:rsidR="005642D5">
        <w:t xml:space="preserve"> the District of Columbia, </w:t>
      </w:r>
      <w:r w:rsidR="003774E6">
        <w:t>and the U.S. Virgin Islands.</w:t>
      </w:r>
      <w:r w:rsidR="005642D5">
        <w:t xml:space="preserve"> </w:t>
      </w:r>
    </w:p>
  </w:footnote>
  <w:footnote w:id="19">
    <w:p w:rsidR="003774E6" w14:paraId="5497B3EE" w14:textId="66A93CF2">
      <w:pPr>
        <w:pStyle w:val="FootnoteText"/>
      </w:pPr>
      <w:r>
        <w:rPr>
          <w:rStyle w:val="FootnoteReference"/>
        </w:rPr>
        <w:footnoteRef/>
      </w:r>
      <w:r>
        <w:t xml:space="preserve"> </w:t>
      </w:r>
      <w:r w:rsidRPr="00690E69">
        <w:rPr>
          <w:i/>
        </w:rPr>
        <w:t>Public Safety and Homeland Security Bureau Announces 90-Day Deadline for Governor of Puerto Rico to Elect Whether to Opt Out of the FirstNet Radio Access Network</w:t>
      </w:r>
      <w:r>
        <w:t>,</w:t>
      </w:r>
      <w:r w:rsidRPr="000C20C2">
        <w:t xml:space="preserve"> PS Docket No. 16-269</w:t>
      </w:r>
      <w:r>
        <w:t xml:space="preserve">, </w:t>
      </w:r>
      <w:r w:rsidRPr="00690E69">
        <w:t>Public Notice</w:t>
      </w:r>
      <w:r>
        <w:t xml:space="preserve">, 32 FCC </w:t>
      </w:r>
      <w:r>
        <w:t>Rcd</w:t>
      </w:r>
      <w:r w:rsidR="00254497">
        <w:t xml:space="preserve"> 9288</w:t>
      </w:r>
      <w:r w:rsidR="001D30D6">
        <w:t>, 9289</w:t>
      </w:r>
      <w:r w:rsidR="00254497">
        <w:t xml:space="preserve"> (PSHSB 2017).  Due to </w:t>
      </w:r>
      <w:r w:rsidRPr="000B5AC4" w:rsidR="00254497">
        <w:t>Hurricane Maria</w:t>
      </w:r>
      <w:r w:rsidR="00254497">
        <w:t>,</w:t>
      </w:r>
      <w:r w:rsidRPr="000B5AC4" w:rsidR="00254497">
        <w:t xml:space="preserve"> </w:t>
      </w:r>
      <w:r w:rsidR="00E8159E">
        <w:t xml:space="preserve">FirstNet </w:t>
      </w:r>
      <w:r w:rsidR="00254497">
        <w:t xml:space="preserve">was delayed in confirming Puerto Rico’s receipt of the notice, but subsequently confirmed that the Puerto Rico governor’s office received FirstNet’s notice on September 29, 2017, the same day as the other initial 52 states and </w:t>
      </w:r>
      <w:r w:rsidR="001D30D6">
        <w:t xml:space="preserve">territories </w:t>
      </w:r>
      <w:r w:rsidR="00254497">
        <w:t>receiving notice.</w:t>
      </w:r>
      <w:r w:rsidR="001D30D6">
        <w:t xml:space="preserve">  </w:t>
      </w:r>
      <w:r w:rsidRPr="001D30D6" w:rsidR="001D30D6">
        <w:rPr>
          <w:i/>
        </w:rPr>
        <w:t>Id.</w:t>
      </w:r>
      <w:r w:rsidR="001D30D6">
        <w:t xml:space="preserve"> at 9288-89.</w:t>
      </w:r>
    </w:p>
  </w:footnote>
  <w:footnote w:id="20">
    <w:p w:rsidR="001C15AB" w14:paraId="5ADEA2D3" w14:textId="51417184">
      <w:pPr>
        <w:pStyle w:val="FootnoteText"/>
      </w:pPr>
      <w:r>
        <w:rPr>
          <w:rStyle w:val="FootnoteReference"/>
        </w:rPr>
        <w:footnoteRef/>
      </w:r>
      <w:r>
        <w:t xml:space="preserve"> </w:t>
      </w:r>
      <w:r w:rsidRPr="00690E69">
        <w:rPr>
          <w:i/>
        </w:rPr>
        <w:t>Public Safety and Homeland Security Bureau Announces 90-Day Deadline for Governors of American Samoa, Guam</w:t>
      </w:r>
      <w:r w:rsidR="009A4EFF">
        <w:rPr>
          <w:i/>
        </w:rPr>
        <w:t>,</w:t>
      </w:r>
      <w:r w:rsidRPr="00690E69">
        <w:rPr>
          <w:i/>
        </w:rPr>
        <w:t xml:space="preserve"> and the Northern Mariana Islands to Elect Whether to Opt Out of the FirstNet Radio Access Network</w:t>
      </w:r>
      <w:r>
        <w:t>,</w:t>
      </w:r>
      <w:r w:rsidRPr="000C20C2" w:rsidR="000C20C2">
        <w:t xml:space="preserve"> PS Docket No. 16-269</w:t>
      </w:r>
      <w:r w:rsidR="000C20C2">
        <w:t xml:space="preserve">, </w:t>
      </w:r>
      <w:r>
        <w:t xml:space="preserve">Public Notice, </w:t>
      </w:r>
      <w:r w:rsidR="009A4EFF">
        <w:t xml:space="preserve">32 </w:t>
      </w:r>
      <w:r>
        <w:t xml:space="preserve">FCC </w:t>
      </w:r>
      <w:r>
        <w:t>Rcd</w:t>
      </w:r>
      <w:r>
        <w:t xml:space="preserve"> 10337</w:t>
      </w:r>
      <w:r w:rsidR="009A4EFF">
        <w:t>, 10338</w:t>
      </w:r>
      <w:r>
        <w:t xml:space="preserve"> (</w:t>
      </w:r>
      <w:r w:rsidR="005E24E8">
        <w:t xml:space="preserve">PSHSB </w:t>
      </w:r>
      <w:r w:rsidRPr="001C15AB">
        <w:t xml:space="preserve">2017).  </w:t>
      </w:r>
      <w:r>
        <w:t xml:space="preserve">  </w:t>
      </w:r>
    </w:p>
  </w:footnote>
  <w:footnote w:id="21">
    <w:p w:rsidR="00A73C6C" w:rsidRPr="00A73C6C" w14:paraId="2A19720A" w14:textId="1C5F5706">
      <w:pPr>
        <w:pStyle w:val="FootnoteText"/>
      </w:pPr>
      <w:r>
        <w:rPr>
          <w:rStyle w:val="FootnoteReference"/>
        </w:rPr>
        <w:footnoteRef/>
      </w:r>
      <w:r>
        <w:t xml:space="preserve"> </w:t>
      </w:r>
      <w:r w:rsidRPr="00A73C6C">
        <w:t>5 U.S.C. § 553(b)(B); </w:t>
      </w:r>
      <w:r w:rsidRPr="00A73C6C">
        <w:rPr>
          <w:i/>
        </w:rPr>
        <w:t>see Util. Solid Waste Activities Grp. v. EPA</w:t>
      </w:r>
      <w:r w:rsidRPr="00A73C6C">
        <w:t>, 236 F.3d 749, 755 (D.C. Cir. 2001) (stating that notice and comment is “unnecessary” when it involves a “routine determination, insignificant in nature and impact, and inconsequential to the industry and to the public” (internal quotation marks omitted)); S. Doc. No. 79-248, at 200, 258 (indicating that notice and comment is “contrary to the public interest” when the public lacks interest in a rulemaking).</w:t>
      </w:r>
      <w:r>
        <w:rPr>
          <w:i/>
        </w:rPr>
        <w:t xml:space="preserve"> </w:t>
      </w:r>
    </w:p>
  </w:footnote>
  <w:footnote w:id="22">
    <w:p w:rsidR="005204FB" w14:paraId="7567BE8A" w14:textId="035127C7">
      <w:pPr>
        <w:pStyle w:val="FootnoteText"/>
      </w:pPr>
      <w:r>
        <w:rPr>
          <w:rStyle w:val="FootnoteReference"/>
        </w:rPr>
        <w:footnoteRef/>
      </w:r>
      <w:r>
        <w:t xml:space="preserve"> </w:t>
      </w:r>
      <w:r w:rsidRPr="005204FB">
        <w:rPr>
          <w:i/>
        </w:rPr>
        <w:t>See</w:t>
      </w:r>
      <w:r>
        <w:t xml:space="preserve"> 5 U.S.C. § 604(a).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7D" w14:paraId="24CD3D75" w14:textId="20980F5F">
    <w:pPr>
      <w:pStyle w:val="Header"/>
      <w:pBdr>
        <w:bottom w:val="single" w:sz="12" w:space="1" w:color="auto"/>
      </w:pBdr>
      <w:rPr>
        <w:b w:val="0"/>
      </w:rPr>
    </w:pPr>
    <w:r>
      <w:tab/>
      <w:t>Federal</w:t>
    </w:r>
    <w:r w:rsidR="00690E69">
      <w:t xml:space="preserve"> Communications Commission</w:t>
    </w:r>
    <w:r w:rsidR="00690E69">
      <w:tab/>
      <w:t>DA 1</w:t>
    </w:r>
    <w:r w:rsidR="00F91A4C">
      <w:t>9</w:t>
    </w:r>
    <w:r w:rsidR="00F4604F">
      <w:t>-</w:t>
    </w:r>
    <w:r w:rsidR="007B1FE9">
      <w:t>155</w:t>
    </w:r>
  </w:p>
  <w:p w:rsidR="00C7467D" w14:paraId="70BB89FE" w14:textId="77777777">
    <w:pPr>
      <w:tabs>
        <w:tab w:val="left" w:pos="-720"/>
      </w:tabs>
      <w:suppressAutoHyphens/>
      <w:spacing w:line="19" w:lineRule="exact"/>
      <w:rPr>
        <w:spacing w:val="-2"/>
      </w:rPr>
    </w:pPr>
  </w:p>
  <w:p w:rsidR="00C7467D" w14:paraId="65A9C2F7" w14:textId="77777777">
    <w:pPr>
      <w:spacing w:after="389" w:line="100" w:lineRule="exact"/>
      <w:rPr>
        <w:sz w:val="10"/>
      </w:rPr>
    </w:pPr>
  </w:p>
  <w:p w:rsidR="00C7467D" w14:paraId="3CA97AF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467D" w14:paraId="610A38B1" w14:textId="16F916A3">
    <w:pPr>
      <w:pStyle w:val="Header"/>
      <w:pBdr>
        <w:bottom w:val="single" w:sz="12" w:space="1" w:color="auto"/>
      </w:pBdr>
      <w:rPr>
        <w:b w:val="0"/>
      </w:rPr>
    </w:pPr>
    <w:r>
      <w:tab/>
      <w:t>Federal Communications Commission</w:t>
    </w:r>
    <w:r>
      <w:tab/>
    </w:r>
    <w:r>
      <w:rPr>
        <w:spacing w:val="-2"/>
      </w:rPr>
      <w:t xml:space="preserve">DA </w:t>
    </w:r>
    <w:r w:rsidR="00F91A4C">
      <w:rPr>
        <w:spacing w:val="-2"/>
      </w:rPr>
      <w:t>19</w:t>
    </w:r>
    <w:r>
      <w:rPr>
        <w:spacing w:val="-2"/>
      </w:rPr>
      <w:t>-</w:t>
    </w:r>
    <w:r w:rsidR="007B1FE9">
      <w:rPr>
        <w:spacing w:val="-2"/>
      </w:rPr>
      <w:t>155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singleLevel"/>
    <w:tmpl w:val="00000003"/>
    <w:name w:val="WW8Num6"/>
    <w:lvl w:ilvl="0">
      <w:start w:val="1"/>
      <w:numFmt w:val="decimal"/>
      <w:lvlText w:val="%1."/>
      <w:lvlJc w:val="left"/>
      <w:pPr>
        <w:tabs>
          <w:tab w:val="num" w:pos="3510"/>
        </w:tabs>
        <w:ind w:left="3510" w:firstLine="720"/>
      </w:pPr>
      <w:rPr>
        <w:rFonts w:cs="Times New Roman"/>
        <w:b w:val="0"/>
        <w:i w:val="0"/>
      </w:rPr>
    </w:lvl>
  </w:abstractNum>
  <w:abstractNum w:abstractNumId="1">
    <w:nsid w:val="00515D98"/>
    <w:multiLevelType w:val="hybridMultilevel"/>
    <w:tmpl w:val="E6886CB4"/>
    <w:lvl w:ilvl="0">
      <w:start w:val="1"/>
      <w:numFmt w:val="decimal"/>
      <w:lvlText w:val="%1."/>
      <w:lvlJc w:val="left"/>
      <w:pPr>
        <w:tabs>
          <w:tab w:val="num" w:pos="360"/>
        </w:tabs>
        <w:ind w:left="3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F1114C"/>
    <w:multiLevelType w:val="multilevel"/>
    <w:tmpl w:val="A9BCFB0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7B11916"/>
    <w:multiLevelType w:val="hybridMultilevel"/>
    <w:tmpl w:val="1CFAF8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CFC3354"/>
    <w:multiLevelType w:val="hybridMultilevel"/>
    <w:tmpl w:val="C4021A3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1E264CC4"/>
    <w:multiLevelType w:val="hybridMultilevel"/>
    <w:tmpl w:val="DC64A0A4"/>
    <w:lvl w:ilvl="0">
      <w:start w:val="1"/>
      <w:numFmt w:val="upperLetter"/>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7">
    <w:nsid w:val="1F2B7B1F"/>
    <w:multiLevelType w:val="hybridMultilevel"/>
    <w:tmpl w:val="52ECAA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8">
    <w:nsid w:val="20AF1045"/>
    <w:multiLevelType w:val="hybridMultilevel"/>
    <w:tmpl w:val="CBCCCD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7E06CBB"/>
    <w:multiLevelType w:val="multilevel"/>
    <w:tmpl w:val="E3700236"/>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i w:val="0"/>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1">
    <w:nsid w:val="2C2262E7"/>
    <w:multiLevelType w:val="hybridMultilevel"/>
    <w:tmpl w:val="27927C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B9331B"/>
    <w:multiLevelType w:val="hybridMultilevel"/>
    <w:tmpl w:val="F11C6A24"/>
    <w:lvl w:ilvl="0">
      <w:start w:val="1"/>
      <w:numFmt w:val="decimal"/>
      <w:lvlText w:val="%1."/>
      <w:lvlJc w:val="left"/>
      <w:pPr>
        <w:tabs>
          <w:tab w:val="num" w:pos="360"/>
        </w:tabs>
        <w:ind w:left="360" w:hanging="72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BAE47F9"/>
    <w:multiLevelType w:val="hybridMultilevel"/>
    <w:tmpl w:val="2918C26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3E7005A5"/>
    <w:multiLevelType w:val="hybridMultilevel"/>
    <w:tmpl w:val="96001A3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8C85A3B"/>
    <w:multiLevelType w:val="hybridMultilevel"/>
    <w:tmpl w:val="4FC6EA48"/>
    <w:lvl w:ilvl="0">
      <w:start w:val="3"/>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8">
    <w:nsid w:val="5B33788E"/>
    <w:multiLevelType w:val="hybridMultilevel"/>
    <w:tmpl w:val="762845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1182925"/>
    <w:multiLevelType w:val="singleLevel"/>
    <w:tmpl w:val="9894E0EC"/>
    <w:lvl w:ilvl="0">
      <w:start w:val="1"/>
      <w:numFmt w:val="decimal"/>
      <w:pStyle w:val="ParaNum"/>
      <w:lvlText w:val="%1."/>
      <w:lvlJc w:val="left"/>
      <w:pPr>
        <w:tabs>
          <w:tab w:val="num" w:pos="1260"/>
        </w:tabs>
        <w:ind w:firstLine="720"/>
      </w:pPr>
      <w:rPr>
        <w:rFonts w:cs="Times New Roman"/>
        <w:b w:val="0"/>
      </w:rPr>
    </w:lvl>
  </w:abstractNum>
  <w:abstractNum w:abstractNumId="20">
    <w:nsid w:val="6BC37334"/>
    <w:multiLevelType w:val="hybridMultilevel"/>
    <w:tmpl w:val="AED22AA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C914D93"/>
    <w:multiLevelType w:val="hybridMultilevel"/>
    <w:tmpl w:val="5618422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1812F91"/>
    <w:multiLevelType w:val="singleLevel"/>
    <w:tmpl w:val="2C32E72E"/>
    <w:lvl w:ilvl="0">
      <w:start w:val="5"/>
      <w:numFmt w:val="upperLetter"/>
      <w:lvlText w:val="%1."/>
      <w:lvlJc w:val="left"/>
      <w:pPr>
        <w:tabs>
          <w:tab w:val="num" w:pos="720"/>
        </w:tabs>
        <w:ind w:left="720" w:hanging="720"/>
      </w:pPr>
      <w:rPr>
        <w:rFonts w:hint="default"/>
      </w:rPr>
    </w:lvl>
  </w:abstractNum>
  <w:abstractNum w:abstractNumId="23">
    <w:nsid w:val="7F0406EE"/>
    <w:multiLevelType w:val="hybridMultilevel"/>
    <w:tmpl w:val="B85C498C"/>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19"/>
  </w:num>
  <w:num w:numId="3">
    <w:abstractNumId w:val="10"/>
  </w:num>
  <w:num w:numId="4">
    <w:abstractNumId w:val="17"/>
  </w:num>
  <w:num w:numId="5">
    <w:abstractNumId w:val="23"/>
  </w:num>
  <w:num w:numId="6">
    <w:abstractNumId w:val="18"/>
  </w:num>
  <w:num w:numId="7">
    <w:abstractNumId w:val="3"/>
  </w:num>
  <w:num w:numId="8">
    <w:abstractNumId w:val="13"/>
  </w:num>
  <w:num w:numId="9">
    <w:abstractNumId w:val="7"/>
  </w:num>
  <w:num w:numId="10">
    <w:abstractNumId w:val="19"/>
    <w:lvlOverride w:ilvl="0">
      <w:startOverride w:val="1"/>
    </w:lvlOverride>
  </w:num>
  <w:num w:numId="11">
    <w:abstractNumId w:val="15"/>
  </w:num>
  <w:num w:numId="12">
    <w:abstractNumId w:val="4"/>
  </w:num>
  <w:num w:numId="13">
    <w:abstractNumId w:val="8"/>
  </w:num>
  <w:num w:numId="14">
    <w:abstractNumId w:val="1"/>
  </w:num>
  <w:num w:numId="15">
    <w:abstractNumId w:val="21"/>
  </w:num>
  <w:num w:numId="16">
    <w:abstractNumId w:val="22"/>
  </w:num>
  <w:num w:numId="17">
    <w:abstractNumId w:val="20"/>
  </w:num>
  <w:num w:numId="18">
    <w:abstractNumId w:val="5"/>
  </w:num>
  <w:num w:numId="19">
    <w:abstractNumId w:val="2"/>
  </w:num>
  <w:num w:numId="20">
    <w:abstractNumId w:val="19"/>
    <w:lvlOverride w:ilvl="0">
      <w:startOverride w:val="4"/>
    </w:lvlOverride>
  </w:num>
  <w:num w:numId="21">
    <w:abstractNumId w:val="16"/>
  </w:num>
  <w:num w:numId="22">
    <w:abstractNumId w:val="12"/>
  </w:num>
  <w:num w:numId="23">
    <w:abstractNumId w:val="19"/>
    <w:lvlOverride w:ilvl="0">
      <w:startOverride w:val="1"/>
    </w:lvlOverride>
  </w:num>
  <w:num w:numId="24">
    <w:abstractNumId w:val="19"/>
    <w:lvlOverride w:ilvl="0">
      <w:startOverride w:val="1"/>
    </w:lvlOverride>
  </w:num>
  <w:num w:numId="25">
    <w:abstractNumId w:val="14"/>
  </w:num>
  <w:num w:numId="26">
    <w:abstractNumId w:val="6"/>
  </w:num>
  <w:num w:numId="27">
    <w:abstractNumId w:val="19"/>
    <w:lvlOverride w:ilvl="0">
      <w:startOverride w:val="1"/>
    </w:lvlOverride>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1F"/>
    <w:rsid w:val="00024231"/>
    <w:rsid w:val="00064546"/>
    <w:rsid w:val="000A1706"/>
    <w:rsid w:val="000A3737"/>
    <w:rsid w:val="000B1482"/>
    <w:rsid w:val="000B52D3"/>
    <w:rsid w:val="000B5AC4"/>
    <w:rsid w:val="000C20C2"/>
    <w:rsid w:val="001105D3"/>
    <w:rsid w:val="00164028"/>
    <w:rsid w:val="0018344D"/>
    <w:rsid w:val="00191AA0"/>
    <w:rsid w:val="001C15AB"/>
    <w:rsid w:val="001C68C3"/>
    <w:rsid w:val="001D30D6"/>
    <w:rsid w:val="001F7DD6"/>
    <w:rsid w:val="00254497"/>
    <w:rsid w:val="0026005A"/>
    <w:rsid w:val="0027744F"/>
    <w:rsid w:val="00285321"/>
    <w:rsid w:val="002926DA"/>
    <w:rsid w:val="002B25BE"/>
    <w:rsid w:val="002B32E0"/>
    <w:rsid w:val="002E3ED3"/>
    <w:rsid w:val="00312945"/>
    <w:rsid w:val="00314687"/>
    <w:rsid w:val="00315F68"/>
    <w:rsid w:val="00320900"/>
    <w:rsid w:val="00345870"/>
    <w:rsid w:val="003774E6"/>
    <w:rsid w:val="003A19F6"/>
    <w:rsid w:val="003A2BA5"/>
    <w:rsid w:val="003B2C67"/>
    <w:rsid w:val="003F7BAE"/>
    <w:rsid w:val="00444D2A"/>
    <w:rsid w:val="00456000"/>
    <w:rsid w:val="004923A9"/>
    <w:rsid w:val="004D482D"/>
    <w:rsid w:val="004D7EA5"/>
    <w:rsid w:val="004F451F"/>
    <w:rsid w:val="005204FB"/>
    <w:rsid w:val="005354FD"/>
    <w:rsid w:val="00553DDA"/>
    <w:rsid w:val="005642D5"/>
    <w:rsid w:val="00564B0F"/>
    <w:rsid w:val="005650D7"/>
    <w:rsid w:val="005C1F58"/>
    <w:rsid w:val="005C34FF"/>
    <w:rsid w:val="005D3C79"/>
    <w:rsid w:val="005E24E8"/>
    <w:rsid w:val="0061077D"/>
    <w:rsid w:val="0061160D"/>
    <w:rsid w:val="00612EAD"/>
    <w:rsid w:val="00617D94"/>
    <w:rsid w:val="0062102F"/>
    <w:rsid w:val="00624251"/>
    <w:rsid w:val="006367B4"/>
    <w:rsid w:val="00652F12"/>
    <w:rsid w:val="006766C2"/>
    <w:rsid w:val="00690E69"/>
    <w:rsid w:val="006B17FA"/>
    <w:rsid w:val="006B67FF"/>
    <w:rsid w:val="006C29DE"/>
    <w:rsid w:val="00740CDE"/>
    <w:rsid w:val="007540E8"/>
    <w:rsid w:val="007A358B"/>
    <w:rsid w:val="007B1FE9"/>
    <w:rsid w:val="007C5CAD"/>
    <w:rsid w:val="00826F2A"/>
    <w:rsid w:val="0083493C"/>
    <w:rsid w:val="00853C2D"/>
    <w:rsid w:val="00892040"/>
    <w:rsid w:val="008B15D1"/>
    <w:rsid w:val="008D1E62"/>
    <w:rsid w:val="008E6D98"/>
    <w:rsid w:val="008F3956"/>
    <w:rsid w:val="0092217B"/>
    <w:rsid w:val="009230AE"/>
    <w:rsid w:val="009236AB"/>
    <w:rsid w:val="00923E74"/>
    <w:rsid w:val="00932505"/>
    <w:rsid w:val="0095093F"/>
    <w:rsid w:val="00985C87"/>
    <w:rsid w:val="0099642F"/>
    <w:rsid w:val="009A4C2E"/>
    <w:rsid w:val="009A4EFF"/>
    <w:rsid w:val="009A5230"/>
    <w:rsid w:val="009A7893"/>
    <w:rsid w:val="009C1253"/>
    <w:rsid w:val="009F1A2D"/>
    <w:rsid w:val="00A10669"/>
    <w:rsid w:val="00A14AFF"/>
    <w:rsid w:val="00A240D6"/>
    <w:rsid w:val="00A36100"/>
    <w:rsid w:val="00A73C6C"/>
    <w:rsid w:val="00B163D8"/>
    <w:rsid w:val="00B45FDE"/>
    <w:rsid w:val="00B46573"/>
    <w:rsid w:val="00B9288C"/>
    <w:rsid w:val="00BA795D"/>
    <w:rsid w:val="00BB614D"/>
    <w:rsid w:val="00BE1335"/>
    <w:rsid w:val="00C01774"/>
    <w:rsid w:val="00C36D81"/>
    <w:rsid w:val="00C7467D"/>
    <w:rsid w:val="00C838F9"/>
    <w:rsid w:val="00CB1F12"/>
    <w:rsid w:val="00CB6BED"/>
    <w:rsid w:val="00CC51AA"/>
    <w:rsid w:val="00CE6322"/>
    <w:rsid w:val="00D009BB"/>
    <w:rsid w:val="00D10531"/>
    <w:rsid w:val="00D128BD"/>
    <w:rsid w:val="00D5540F"/>
    <w:rsid w:val="00D645DF"/>
    <w:rsid w:val="00D65779"/>
    <w:rsid w:val="00D6782E"/>
    <w:rsid w:val="00D819A8"/>
    <w:rsid w:val="00DD17D3"/>
    <w:rsid w:val="00DD5B85"/>
    <w:rsid w:val="00E42F7E"/>
    <w:rsid w:val="00E4751D"/>
    <w:rsid w:val="00E8159E"/>
    <w:rsid w:val="00EF26B0"/>
    <w:rsid w:val="00EF37E4"/>
    <w:rsid w:val="00F4604F"/>
    <w:rsid w:val="00F47C76"/>
    <w:rsid w:val="00F91A4C"/>
    <w:rsid w:val="00F923DF"/>
    <w:rsid w:val="00FA20B7"/>
    <w:rsid w:val="00FB2614"/>
    <w:rsid w:val="00FB3A98"/>
    <w:rsid w:val="00FD5DE5"/>
    <w:rsid w:val="00FE5B08"/>
    <w:rsid w:val="00FF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annotation text" w:uiPriority="99"/>
    <w:lsdException w:name="header" w:uiPriority="99"/>
    <w:lsdException w:name="footer" w:uiPriority="99"/>
    <w:lsdException w:name="caption" w:locked="1" w:qFormat="1"/>
    <w:lsdException w:name="annotation reference" w:uiPriority="99"/>
    <w:lsdException w:name="endnote reference" w:uiPriority="99"/>
    <w:lsdException w:name="endnote text" w:uiPriority="99"/>
    <w:lsdException w:name="toa heading" w:uiPriority="99"/>
    <w:lsdException w:name="Title" w:locked="1" w:qFormat="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8"/>
      <w:sz w:val="22"/>
    </w:rPr>
  </w:style>
  <w:style w:type="paragraph" w:styleId="Heading1">
    <w:name w:val="heading 1"/>
    <w:basedOn w:val="Normal"/>
    <w:next w:val="ParaNum"/>
    <w:link w:val="Heading1Char"/>
    <w:uiPriority w:val="99"/>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 Char,h2 Char"/>
    <w:basedOn w:val="Normal"/>
    <w:next w:val="ParaNum"/>
    <w:link w:val="Heading2Char1"/>
    <w:autoRedefine/>
    <w:uiPriority w:val="99"/>
    <w:qFormat/>
    <w:pPr>
      <w:keepNext/>
      <w:numPr>
        <w:ilvl w:val="1"/>
        <w:numId w:val="3"/>
      </w:numPr>
      <w:spacing w:after="120"/>
      <w:outlineLvl w:val="1"/>
    </w:pPr>
    <w:rPr>
      <w:b/>
    </w:rPr>
  </w:style>
  <w:style w:type="paragraph" w:styleId="Heading3">
    <w:name w:val="heading 3"/>
    <w:aliases w:val="1,1 Char,3,3 Char,31,31 Char,?? 3,?? 3 Char,Heading 3 Char,Heading 3 Char Char,Heading 3 Char1,Titre 3,Titre 3 Char,Titre 31,Titre 31 Char"/>
    <w:basedOn w:val="Normal"/>
    <w:next w:val="ParaNum"/>
    <w:link w:val="Heading3Char2"/>
    <w:uiPriority w:val="99"/>
    <w:qFormat/>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1,Heading 4 Char1 Char,Heading 4 Char2"/>
    <w:basedOn w:val="Normal"/>
    <w:next w:val="ParaNum"/>
    <w:uiPriority w:val="99"/>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uiPriority w:val="99"/>
    <w:qFormat/>
    <w:pPr>
      <w:numPr>
        <w:ilvl w:val="5"/>
        <w:numId w:val="3"/>
      </w:numPr>
      <w:tabs>
        <w:tab w:val="left" w:pos="4320"/>
      </w:tabs>
      <w:spacing w:after="120"/>
      <w:outlineLvl w:val="5"/>
    </w:pPr>
    <w:rPr>
      <w:b/>
    </w:rPr>
  </w:style>
  <w:style w:type="paragraph" w:styleId="Heading7">
    <w:name w:val="heading 7"/>
    <w:aliases w:val="Heading 7 Char"/>
    <w:basedOn w:val="Normal"/>
    <w:next w:val="ParaNum"/>
    <w:uiPriority w:val="99"/>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pPr>
      <w:numPr>
        <w:ilvl w:val="7"/>
        <w:numId w:val="3"/>
      </w:numPr>
      <w:tabs>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uiPriority w:val="99"/>
    <w:qFormat/>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character" w:customStyle="1" w:styleId="ParaNumChar">
    <w:name w:val="ParaNum Char"/>
    <w:link w:val="ParaNum"/>
    <w:locked/>
    <w:rPr>
      <w:kern w:val="28"/>
      <w:sz w:val="22"/>
      <w:lang w:val="en-US" w:eastAsia="en-US" w:bidi="ar-SA"/>
    </w:rPr>
  </w:style>
  <w:style w:type="character" w:customStyle="1" w:styleId="Heading1Char">
    <w:name w:val="Heading 1 Char"/>
    <w:link w:val="Heading1"/>
    <w:uiPriority w:val="99"/>
    <w:locked/>
    <w:rPr>
      <w:rFonts w:ascii="Times New Roman Bold" w:hAnsi="Times New Roman Bold"/>
      <w:b/>
      <w:caps/>
      <w:kern w:val="28"/>
      <w:sz w:val="22"/>
    </w:rPr>
  </w:style>
  <w:style w:type="character" w:customStyle="1" w:styleId="Heading2Char1">
    <w:name w:val="Heading 2 Char1"/>
    <w:aliases w:val="Heading 2 Char Char,UNDERRUBRIK 1-2 Char Char,h2 Char Char"/>
    <w:link w:val="Heading2"/>
    <w:uiPriority w:val="99"/>
    <w:locked/>
    <w:rPr>
      <w:b/>
      <w:kern w:val="28"/>
      <w:sz w:val="22"/>
    </w:rPr>
  </w:style>
  <w:style w:type="character" w:customStyle="1" w:styleId="Heading3Char2">
    <w:name w:val="Heading 3 Char2"/>
    <w:aliases w:val="1 Char Char,1 Char1,3 Char Char,3 Char1,31 Char Char,31 Char1,?? 3 Char Char,?? 3 Char1,Heading 3 Char Char Char,Heading 3 Char Char1,Heading 3 Char1 Char,Titre 3 Char Char,Titre 3 Char1,Titre 31 Char Char,Titre 31 Char1"/>
    <w:link w:val="Heading3"/>
    <w:uiPriority w:val="99"/>
    <w:locked/>
    <w:rPr>
      <w:b/>
      <w:kern w:val="28"/>
      <w:sz w:val="22"/>
    </w:rPr>
  </w:style>
  <w:style w:type="character" w:customStyle="1" w:styleId="Heading5Char">
    <w:name w:val="Heading 5 Char"/>
    <w:link w:val="Heading5"/>
    <w:uiPriority w:val="99"/>
    <w:locked/>
    <w:rPr>
      <w:b/>
      <w:kern w:val="28"/>
      <w:sz w:val="22"/>
    </w:rPr>
  </w:style>
  <w:style w:type="character" w:customStyle="1" w:styleId="Heading6Char">
    <w:name w:val="Heading 6 Char"/>
    <w:aliases w:val="h6 Char"/>
    <w:link w:val="Heading6"/>
    <w:uiPriority w:val="99"/>
    <w:locked/>
    <w:rPr>
      <w:b/>
      <w:kern w:val="28"/>
      <w:sz w:val="22"/>
    </w:rPr>
  </w:style>
  <w:style w:type="character" w:customStyle="1" w:styleId="Heading8Char">
    <w:name w:val="Heading 8 Char"/>
    <w:link w:val="Heading8"/>
    <w:uiPriority w:val="99"/>
    <w:locked/>
    <w:rPr>
      <w:b/>
      <w:kern w:val="28"/>
      <w:sz w:val="22"/>
    </w:rPr>
  </w:style>
  <w:style w:type="character" w:customStyle="1" w:styleId="Heading9Char">
    <w:name w:val="Heading 9 Char"/>
    <w:aliases w:val="9 Char,Heading 9.table Char,Titre 9 Char,Topic Char,t Char,table Char"/>
    <w:link w:val="Heading9"/>
    <w:uiPriority w:val="99"/>
    <w:locked/>
    <w:rPr>
      <w:b/>
      <w:kern w:val="28"/>
      <w:sz w:val="22"/>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rPr>
      <w:kern w:val="28"/>
    </w:rPr>
  </w:style>
  <w:style w:type="character" w:styleId="EndnoteReference">
    <w:name w:val="endnote reference"/>
    <w:uiPriority w:val="99"/>
    <w:semiHidden/>
    <w:rPr>
      <w:rFonts w:cs="Times New Roman"/>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Footnote Text Char5 Char Char"/>
    <w:basedOn w:val="Normal"/>
    <w:link w:val="FootnoteTextChar2"/>
    <w:pPr>
      <w:widowControl/>
      <w:spacing w:after="120"/>
    </w:pPr>
    <w:rPr>
      <w:kern w:val="0"/>
      <w:sz w:val="20"/>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link w:val="FootnoteText"/>
    <w:locked/>
    <w:rPr>
      <w:rFonts w:cs="Times New Roman"/>
      <w:lang w:val="en-US" w:eastAsia="en-US" w:bidi="ar-SA"/>
    </w:rPr>
  </w:style>
  <w:style w:type="character" w:styleId="FootnoteReference">
    <w:name w:val="footnote reference"/>
    <w:aliases w:val="(NECG) Footnote Reference,Appel note de bas de p,FR,Footnote Reference/,Footnote Reference1,Style 12,Style 124,Style 13,Style 17,Style 3,Style 6,Style 7,fr,o"/>
    <w:rPr>
      <w:rFonts w:ascii="Times New Roman" w:hAnsi="Times New Roman" w:cs="Times New Roman"/>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paragraph" w:styleId="Header">
    <w:name w:val="header"/>
    <w:basedOn w:val="Normal"/>
    <w:link w:val="HeaderChar"/>
    <w:autoRedefine/>
    <w:uiPriority w:val="99"/>
    <w:pPr>
      <w:tabs>
        <w:tab w:val="center" w:pos="4680"/>
        <w:tab w:val="right" w:pos="9360"/>
      </w:tabs>
    </w:pPr>
    <w:rPr>
      <w:b/>
    </w:rPr>
  </w:style>
  <w:style w:type="character" w:customStyle="1" w:styleId="HeaderChar">
    <w:name w:val="Header Char"/>
    <w:link w:val="Header"/>
    <w:uiPriority w:val="99"/>
    <w:rPr>
      <w:b/>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kern w:val="28"/>
      <w:sz w:val="22"/>
    </w:rPr>
  </w:style>
  <w:style w:type="character" w:styleId="PageNumber">
    <w:name w:val="page number"/>
    <w:rPr>
      <w:rFonts w:cs="Times New Roman"/>
    </w:rPr>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rFonts w:cs="Times New Roman"/>
      <w:color w:val="0000FF"/>
      <w:u w:val="single"/>
    </w:rPr>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1">
    <w:name w:val="Balloon Text Char1"/>
    <w:link w:val="BalloonText"/>
    <w:semiHidden/>
    <w:locked/>
    <w:rPr>
      <w:rFonts w:ascii="Tahoma" w:hAnsi="Tahoma" w:cs="Tahoma"/>
      <w:snapToGrid w:val="0"/>
      <w:kern w:val="28"/>
      <w:sz w:val="16"/>
      <w:szCs w:val="16"/>
      <w:lang w:val="en-US" w:eastAsia="en-US" w:bidi="ar-SA"/>
    </w:rPr>
  </w:style>
  <w:style w:type="character" w:styleId="FollowedHyperlink">
    <w:name w:val="FollowedHyperlink"/>
    <w:rPr>
      <w:rFonts w:cs="Times New Roman"/>
      <w:color w:val="800080"/>
      <w:u w:val="single"/>
    </w:rPr>
  </w:style>
  <w:style w:type="character" w:styleId="CommentReference">
    <w:name w:val="annotation reference"/>
    <w:uiPriority w:val="99"/>
    <w:semiHidden/>
    <w:rPr>
      <w:rFonts w:cs="Times New Roman"/>
      <w:sz w:val="16"/>
      <w:szCs w:val="16"/>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qFormat/>
    <w:rPr>
      <w:rFonts w:cs="Times New Roman"/>
      <w:i/>
      <w:iCs/>
    </w:rPr>
  </w:style>
  <w:style w:type="character" w:customStyle="1" w:styleId="searchterm1">
    <w:name w:val="searchterm1"/>
    <w:rPr>
      <w:rFonts w:cs="Times New Roman"/>
      <w:b/>
      <w:bCs/>
      <w:shd w:val="clear" w:color="auto" w:fill="FFFF00"/>
    </w:rPr>
  </w:style>
  <w:style w:type="character" w:styleId="Strong">
    <w:name w:val="Strong"/>
    <w:qFormat/>
    <w:rPr>
      <w:rFonts w:cs="Times New Roman"/>
      <w:b/>
      <w:bCs/>
    </w:rPr>
  </w:style>
  <w:style w:type="paragraph" w:styleId="CommentText">
    <w:name w:val="annotation text"/>
    <w:basedOn w:val="Normal"/>
    <w:link w:val="CommentTextChar1"/>
    <w:uiPriority w:val="99"/>
    <w:semiHidden/>
    <w:rPr>
      <w:sz w:val="20"/>
    </w:rPr>
  </w:style>
  <w:style w:type="character" w:customStyle="1" w:styleId="CommentTextChar1">
    <w:name w:val="Comment Text Char1"/>
    <w:link w:val="CommentText"/>
    <w:uiPriority w:val="99"/>
    <w:semiHidden/>
    <w:locked/>
    <w:rPr>
      <w:rFonts w:cs="Times New Roman"/>
      <w:snapToGrid w:val="0"/>
      <w:kern w:val="28"/>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rPr>
      <w:rFonts w:cs="Times New Roman"/>
      <w:snapToGrid w:val="0"/>
      <w:kern w:val="28"/>
      <w:sz w:val="22"/>
      <w:szCs w:val="22"/>
      <w:lang w:val="en-US" w:eastAsia="en-US" w:bidi="ar-SA"/>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pPr>
      <w:widowControl/>
      <w:tabs>
        <w:tab w:val="num" w:pos="720"/>
        <w:tab w:val="left" w:pos="1080"/>
      </w:tabs>
      <w:spacing w:after="240"/>
      <w:ind w:firstLine="360"/>
    </w:pPr>
    <w:rPr>
      <w:snapToGrid w:val="0"/>
      <w:szCs w:val="22"/>
    </w:rPr>
  </w:style>
  <w:style w:type="paragraph" w:styleId="Caption">
    <w:name w:val="caption"/>
    <w:basedOn w:val="Normal"/>
    <w:next w:val="Normal"/>
    <w:qFormat/>
    <w:pPr>
      <w:spacing w:before="120" w:after="120"/>
    </w:pPr>
    <w:rPr>
      <w:b/>
    </w:rPr>
  </w:style>
  <w:style w:type="paragraph" w:styleId="ListContinue2">
    <w:name w:val="List Continue 2"/>
    <w:basedOn w:val="Normal"/>
    <w:pPr>
      <w:widowControl/>
      <w:spacing w:after="120"/>
      <w:ind w:left="720"/>
    </w:pPr>
    <w:rPr>
      <w:rFonts w:eastAsia="Batang"/>
      <w:kern w:val="0"/>
      <w:sz w:val="24"/>
      <w:lang w:eastAsia="ko-KR"/>
    </w:rPr>
  </w:style>
  <w:style w:type="character" w:customStyle="1" w:styleId="ParaNumChar1">
    <w:name w:val="ParaNum Char1"/>
    <w:locked/>
    <w:rPr>
      <w:rFonts w:cs="Times New Roman"/>
      <w:snapToGrid w:val="0"/>
      <w:kern w:val="28"/>
      <w:sz w:val="22"/>
      <w:lang w:val="en-US" w:eastAsia="en-US" w:bidi="ar-SA"/>
    </w:rPr>
  </w:style>
  <w:style w:type="character" w:customStyle="1" w:styleId="documentbody">
    <w:name w:val="documentbody"/>
    <w:uiPriority w:val="99"/>
    <w:rPr>
      <w:rFonts w:cs="Times New Roman"/>
    </w:rPr>
  </w:style>
  <w:style w:type="paragraph" w:customStyle="1" w:styleId="NumberedList">
    <w:name w:val="Numbered List"/>
    <w:basedOn w:val="Normal"/>
    <w:pPr>
      <w:numPr>
        <w:numId w:val="4"/>
      </w:numPr>
      <w:spacing w:after="220"/>
    </w:pPr>
  </w:style>
  <w:style w:type="paragraph" w:styleId="Title">
    <w:name w:val="Title"/>
    <w:basedOn w:val="Normal"/>
    <w:qFormat/>
    <w:pPr>
      <w:jc w:val="center"/>
    </w:pPr>
    <w:rPr>
      <w:b/>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sz w:val="20"/>
    </w:rPr>
  </w:style>
  <w:style w:type="paragraph" w:customStyle="1" w:styleId="Style1">
    <w:name w:val="Style1"/>
    <w:basedOn w:val="Heading4"/>
  </w:style>
  <w:style w:type="paragraph" w:customStyle="1" w:styleId="Style2">
    <w:name w:val="Style 2"/>
    <w:basedOn w:val="Heading4"/>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cs="Times New Roman"/>
      <w:b/>
      <w:bCs/>
      <w:snapToGrid w:val="0"/>
      <w:kern w:val="28"/>
      <w:lang w:val="en-US" w:eastAsia="en-US" w:bidi="ar-SA"/>
    </w:rPr>
  </w:style>
  <w:style w:type="character" w:customStyle="1" w:styleId="CommentTextChar">
    <w:name w:val="Comment Text Char"/>
    <w:uiPriority w:val="99"/>
    <w:semiHidden/>
    <w:locked/>
    <w:rPr>
      <w:rFonts w:cs="Times New Roman"/>
      <w:snapToGrid w:val="0"/>
      <w:kern w:val="28"/>
      <w:lang w:val="en-US" w:eastAsia="en-US" w:bidi="ar-SA"/>
    </w:rPr>
  </w:style>
  <w:style w:type="character" w:customStyle="1" w:styleId="FootnoteTextChar1Char1">
    <w:name w:val="Footnote Text Char1 Char1"/>
    <w:aliases w:val="Footnote Text Char Char Char Char Char1,Footnote Text Char Char Char1,Footnote Text Char2 Char Char2 Char2 Char Char Char1,Footnote Text Char4,Footnote Text Char4 Char Char1 Char Char Char1,Footnote Text Char5 Char Char Char1"/>
    <w:semiHidden/>
    <w:locked/>
    <w:rPr>
      <w:rFonts w:eastAsia="Times New Roman" w:cs="Times New Roman"/>
      <w:lang w:val="en-US" w:eastAsia="en-US" w:bidi="ar-SA"/>
    </w:rPr>
  </w:style>
  <w:style w:type="paragraph" w:styleId="NormalWeb">
    <w:name w:val="Normal (Web)"/>
    <w:basedOn w:val="Normal"/>
    <w:rPr>
      <w:sz w:val="24"/>
      <w:szCs w:val="24"/>
    </w:rPr>
  </w:style>
  <w:style w:type="character" w:customStyle="1" w:styleId="FootnoteCharacters">
    <w:name w:val="Footnote Characters"/>
    <w:rPr>
      <w:rFonts w:cs="Times New Roman"/>
      <w:vertAlign w:val="superscript"/>
    </w:rPr>
  </w:style>
  <w:style w:type="character" w:customStyle="1" w:styleId="FootnoteTextChar2CharChar1">
    <w:name w:val="Footnote Text Char2 Char Char1"/>
    <w:aliases w:val="Footnote Text Char Char1 Char Char1,Footnote Text Char2 Char1 Char Char Char Char1,Footnote Text Char3 Char Char1 Char Char Char Char1,Footnote Text Char3 Char Char1 Char Char1,f Char,f Char1,fn Char1"/>
    <w:semiHidden/>
    <w:locked/>
    <w:rPr>
      <w:rFonts w:cs="Times New Roman"/>
      <w:lang w:val="en-US" w:eastAsia="ar-SA" w:bidi="ar-SA"/>
    </w:rPr>
  </w:style>
  <w:style w:type="character" w:customStyle="1" w:styleId="CharChar2">
    <w:name w:val="Char Char2"/>
    <w:rPr>
      <w:rFonts w:cs="Times New Roman"/>
    </w:rPr>
  </w:style>
  <w:style w:type="character" w:customStyle="1" w:styleId="CharChar">
    <w:name w:val="Char Char"/>
    <w:semiHidden/>
    <w:rPr>
      <w:sz w:val="20"/>
      <w:szCs w:val="20"/>
    </w:rPr>
  </w:style>
  <w:style w:type="character" w:customStyle="1" w:styleId="EmailStyle841">
    <w:name w:val="EmailStyle841"/>
    <w:semiHidden/>
    <w:rPr>
      <w:rFonts w:ascii="Arial" w:hAnsi="Arial" w:cs="Arial"/>
      <w:color w:val="000080"/>
      <w:sz w:val="20"/>
      <w:szCs w:val="20"/>
    </w:rPr>
  </w:style>
  <w:style w:type="character" w:customStyle="1" w:styleId="BalloonTextChar">
    <w:name w:val="Balloon Text Char"/>
    <w:uiPriority w:val="99"/>
    <w:semiHidden/>
    <w:locked/>
    <w:rPr>
      <w:rFonts w:ascii="Tahoma" w:hAnsi="Tahoma" w:cs="Tahoma"/>
      <w:snapToGrid w:val="0"/>
      <w:kern w:val="28"/>
      <w:sz w:val="16"/>
      <w:szCs w:val="16"/>
      <w:lang w:val="en-US" w:eastAsia="en-US" w:bidi="ar-SA"/>
    </w:rPr>
  </w:style>
  <w:style w:type="paragraph" w:customStyle="1" w:styleId="ColorfulList-Accent11">
    <w:name w:val="Colorful List - Accent 11"/>
    <w:basedOn w:val="Normal"/>
    <w:uiPriority w:val="99"/>
    <w:qFormat/>
    <w:pPr>
      <w:widowControl/>
      <w:ind w:left="720"/>
      <w:contextualSpacing/>
    </w:pPr>
    <w:rPr>
      <w:kern w:val="0"/>
    </w:rPr>
  </w:style>
  <w:style w:type="character" w:customStyle="1" w:styleId="normaltextfont">
    <w:name w:val="normaltextfont"/>
    <w:uiPriority w:val="99"/>
    <w:rPr>
      <w:rFonts w:ascii="Verdana" w:hAnsi="Verdana" w:cs="Times New Roman"/>
      <w:sz w:val="19"/>
      <w:szCs w:val="19"/>
    </w:rPr>
  </w:style>
  <w:style w:type="table" w:styleId="ColorfulShadingAccent5">
    <w:name w:val="Colorful Shading Accent 5"/>
    <w:basedOn w:val="TableNormal"/>
    <w:uiPriority w:val="62"/>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Times New Roman"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Times New Roman"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pPr>
      <w:widowControl/>
      <w:spacing w:before="100" w:beforeAutospacing="1" w:after="100" w:afterAutospacing="1"/>
    </w:pPr>
    <w:rPr>
      <w:rFonts w:eastAsia="MS Mincho"/>
      <w:kern w:val="0"/>
      <w:sz w:val="24"/>
      <w:szCs w:val="24"/>
      <w:lang w:eastAsia="ja-JP"/>
    </w:rPr>
  </w:style>
  <w:style w:type="paragraph" w:customStyle="1" w:styleId="ColorfulList-Accent12">
    <w:name w:val="Colorful List - Accent 12"/>
    <w:basedOn w:val="Normal"/>
    <w:qFormat/>
    <w:pPr>
      <w:widowControl/>
      <w:ind w:left="720"/>
      <w:contextualSpacing/>
    </w:pPr>
    <w:rPr>
      <w:kern w:val="0"/>
    </w:rPr>
  </w:style>
  <w:style w:type="paragraph" w:customStyle="1" w:styleId="ColorfulList-Accent13">
    <w:name w:val="Colorful List - Accent 13"/>
    <w:basedOn w:val="Normal"/>
    <w:qFormat/>
    <w:pPr>
      <w:widowControl/>
      <w:ind w:left="720"/>
      <w:contextualSpacing/>
    </w:pPr>
    <w:rPr>
      <w:kern w:val="0"/>
    </w:rPr>
  </w:style>
  <w:style w:type="character" w:customStyle="1" w:styleId="EmailStyle92">
    <w:name w:val="EmailStyle92"/>
    <w:semiHidden/>
    <w:rPr>
      <w:rFonts w:ascii="Arial" w:hAnsi="Arial" w:cs="Arial"/>
      <w:color w:val="000080"/>
      <w:sz w:val="20"/>
      <w:szCs w:val="20"/>
    </w:rPr>
  </w:style>
  <w:style w:type="character" w:customStyle="1" w:styleId="EmailStyle931">
    <w:name w:val="EmailStyle931"/>
    <w:semiHidden/>
    <w:rPr>
      <w:rFonts w:ascii="Arial" w:hAnsi="Arial" w:cs="Arial"/>
      <w:color w:val="000080"/>
      <w:sz w:val="20"/>
      <w:szCs w:val="20"/>
    </w:rPr>
  </w:style>
  <w:style w:type="paragraph" w:customStyle="1" w:styleId="Style20">
    <w:name w:val="Style2"/>
    <w:basedOn w:val="Heading4"/>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FootnoteTextChar1Char2">
    <w:name w:val="Footnote Text Char1 Char2"/>
    <w:aliases w:val="Footnote Text Char Char Char Char Char2,Footnote Text Char Char Char2,Footnote Text Char2 Char Char2 Char2 Char Char Char2,Footnote Text Char3,Footnote Text Char4 Char Char1 Char Char Char2,Footnote Text Char5 Char Char Char2"/>
    <w:semiHidden/>
    <w:locked/>
    <w:rPr>
      <w:rFonts w:cs="Times New Roman"/>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