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2117">
      <w:pPr>
        <w:spacing w:before="120" w:after="240"/>
        <w:rPr>
          <w:b/>
          <w:sz w:val="24"/>
        </w:rPr>
      </w:pPr>
    </w:p>
    <w:p w:rsidR="005F2117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     DA 1</w:t>
      </w:r>
      <w:r w:rsidR="00200296">
        <w:rPr>
          <w:b/>
          <w:snapToGrid/>
          <w:color w:val="000000"/>
          <w:kern w:val="0"/>
          <w:sz w:val="24"/>
          <w:szCs w:val="24"/>
        </w:rPr>
        <w:t>9</w:t>
      </w:r>
      <w:r>
        <w:rPr>
          <w:b/>
          <w:snapToGrid/>
          <w:color w:val="000000"/>
          <w:kern w:val="0"/>
          <w:sz w:val="24"/>
          <w:szCs w:val="24"/>
        </w:rPr>
        <w:t>-</w:t>
      </w:r>
      <w:r w:rsidR="001C247C">
        <w:rPr>
          <w:b/>
          <w:snapToGrid/>
          <w:color w:val="000000"/>
          <w:kern w:val="0"/>
          <w:sz w:val="24"/>
          <w:szCs w:val="24"/>
        </w:rPr>
        <w:t>171</w:t>
      </w:r>
      <w:bookmarkStart w:id="0" w:name="_GoBack"/>
      <w:bookmarkEnd w:id="0"/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March</w:t>
      </w:r>
      <w:r w:rsidR="00DA47A2">
        <w:rPr>
          <w:b/>
          <w:snapToGrid/>
          <w:color w:val="000000"/>
          <w:kern w:val="0"/>
          <w:sz w:val="24"/>
          <w:szCs w:val="24"/>
        </w:rPr>
        <w:t xml:space="preserve"> </w:t>
      </w:r>
      <w:r>
        <w:rPr>
          <w:b/>
          <w:snapToGrid/>
          <w:color w:val="000000"/>
          <w:kern w:val="0"/>
          <w:sz w:val="24"/>
          <w:szCs w:val="24"/>
        </w:rPr>
        <w:t>11</w:t>
      </w:r>
      <w:r w:rsidR="00DA47A2">
        <w:rPr>
          <w:b/>
          <w:snapToGrid/>
          <w:color w:val="000000"/>
          <w:kern w:val="0"/>
          <w:sz w:val="24"/>
          <w:szCs w:val="24"/>
        </w:rPr>
        <w:t>, 201</w:t>
      </w:r>
      <w:r w:rsidR="000B13E2">
        <w:rPr>
          <w:b/>
          <w:snapToGrid/>
          <w:color w:val="000000"/>
          <w:kern w:val="0"/>
          <w:sz w:val="24"/>
          <w:szCs w:val="24"/>
        </w:rPr>
        <w:t>9</w:t>
      </w:r>
    </w:p>
    <w:p w:rsidR="005F2117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5F2117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5F2117" w:rsidRPr="00D70D90" w:rsidP="005F2117">
      <w:pPr>
        <w:jc w:val="center"/>
        <w:rPr>
          <w:b/>
          <w:snapToGrid/>
          <w:kern w:val="0"/>
          <w:szCs w:val="22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C84A61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 xml:space="preserve">. </w:t>
      </w:r>
      <w:r>
        <w:rPr>
          <w:b/>
          <w:snapToGrid/>
          <w:kern w:val="0"/>
          <w:szCs w:val="22"/>
        </w:rPr>
        <w:t>18-3</w:t>
      </w:r>
      <w:r w:rsidR="00C84A61">
        <w:rPr>
          <w:b/>
          <w:snapToGrid/>
          <w:kern w:val="0"/>
          <w:szCs w:val="22"/>
        </w:rPr>
        <w:t>99 and 19-4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snapToGrid/>
          <w:color w:val="000000"/>
          <w:kern w:val="0"/>
          <w:szCs w:val="22"/>
        </w:rPr>
      </w:pPr>
    </w:p>
    <w:p w:rsidR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>
        <w:rPr>
          <w:snapToGrid/>
          <w:color w:val="000000"/>
          <w:kern w:val="0"/>
          <w:szCs w:val="22"/>
        </w:rPr>
        <w:tab/>
        <w:t>The Wireline Competition Bureau (Bureau) grants the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</w:t>
      </w:r>
      <w:r w:rsidR="000A3BA3">
        <w:rPr>
          <w:snapToGrid/>
          <w:color w:val="000000"/>
          <w:kern w:val="0"/>
          <w:szCs w:val="22"/>
        </w:rPr>
        <w:t xml:space="preserve"> has</w:t>
      </w:r>
      <w:r>
        <w:rPr>
          <w:snapToGrid/>
          <w:color w:val="000000"/>
          <w:kern w:val="0"/>
          <w:szCs w:val="22"/>
        </w:rPr>
        <w:t xml:space="preserve"> determine</w:t>
      </w:r>
      <w:r w:rsidR="000A3BA3">
        <w:rPr>
          <w:snapToGrid/>
          <w:color w:val="000000"/>
          <w:kern w:val="0"/>
          <w:szCs w:val="22"/>
        </w:rPr>
        <w:t>d</w:t>
      </w:r>
      <w:r>
        <w:rPr>
          <w:snapToGrid/>
          <w:color w:val="000000"/>
          <w:kern w:val="0"/>
          <w:szCs w:val="22"/>
        </w:rPr>
        <w:t xml:space="preserve"> that a grant of th</w:t>
      </w:r>
      <w:r w:rsidR="00C84A61">
        <w:rPr>
          <w:snapToGrid/>
          <w:color w:val="000000"/>
          <w:kern w:val="0"/>
          <w:szCs w:val="22"/>
        </w:rPr>
        <w:t>ese</w:t>
      </w:r>
      <w:r>
        <w:rPr>
          <w:snapToGrid/>
          <w:color w:val="000000"/>
          <w:kern w:val="0"/>
          <w:szCs w:val="22"/>
        </w:rPr>
        <w:t xml:space="preserve"> application</w:t>
      </w:r>
      <w:r w:rsidR="00C84A61">
        <w:rPr>
          <w:snapToGrid/>
          <w:color w:val="000000"/>
          <w:kern w:val="0"/>
          <w:szCs w:val="22"/>
        </w:rPr>
        <w:t>s</w:t>
      </w:r>
      <w:r>
        <w:rPr>
          <w:snapToGrid/>
          <w:color w:val="000000"/>
          <w:kern w:val="0"/>
          <w:szCs w:val="22"/>
        </w:rPr>
        <w:t xml:space="preserve"> serves the public interest.</w:t>
      </w:r>
      <w:r>
        <w:rPr>
          <w:snapToGrid/>
          <w:color w:val="000000"/>
          <w:kern w:val="0"/>
          <w:szCs w:val="22"/>
          <w:vertAlign w:val="superscript"/>
        </w:rPr>
        <w:footnoteReference w:id="3"/>
      </w:r>
      <w:r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>
        <w:rPr>
          <w:snapToGrid/>
          <w:color w:val="000000"/>
          <w:kern w:val="0"/>
          <w:szCs w:val="22"/>
          <w:vertAlign w:val="superscript"/>
        </w:rPr>
        <w:footnoteReference w:id="4"/>
      </w:r>
      <w:r>
        <w:rPr>
          <w:rFonts w:eastAsia="MS Mincho"/>
          <w:snapToGrid/>
          <w:color w:val="4F81BD"/>
          <w:kern w:val="0"/>
        </w:rPr>
        <w:t xml:space="preserve">  </w:t>
      </w:r>
      <w:r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B66C27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listed in this Public Notice shall be terminated, and the docket</w:t>
      </w:r>
      <w:r w:rsidR="00C84A61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will be closed.</w:t>
      </w:r>
    </w:p>
    <w:p w:rsidR="005F2117" w:rsidP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</w:p>
    <w:p w:rsidR="000A1835" w:rsidRPr="000A1835" w:rsidP="000A1835">
      <w:pPr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A6163F">
        <w:rPr>
          <w:szCs w:val="22"/>
        </w:rPr>
        <w:t xml:space="preserve">Domestic Section 214 Application Filed for the </w:t>
      </w:r>
      <w:r w:rsidRPr="000A1835">
        <w:rPr>
          <w:snapToGrid/>
          <w:kern w:val="0"/>
          <w:szCs w:val="22"/>
        </w:rPr>
        <w:t xml:space="preserve">Transfer of Control </w:t>
      </w:r>
      <w:r w:rsidRPr="000A1835">
        <w:rPr>
          <w:bCs/>
          <w:snapToGrid/>
          <w:kern w:val="0"/>
          <w:szCs w:val="22"/>
        </w:rPr>
        <w:t xml:space="preserve">of </w:t>
      </w:r>
    </w:p>
    <w:p w:rsidR="000A1835" w:rsidRPr="000A1835" w:rsidP="000A1835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 xml:space="preserve">HCI Telcom Inc. to </w:t>
      </w:r>
      <w:r>
        <w:rPr>
          <w:bCs/>
          <w:snapToGrid/>
          <w:kern w:val="0"/>
          <w:szCs w:val="22"/>
        </w:rPr>
        <w:t>IdeaTek</w:t>
      </w:r>
      <w:r>
        <w:rPr>
          <w:bCs/>
          <w:snapToGrid/>
          <w:kern w:val="0"/>
          <w:szCs w:val="22"/>
        </w:rPr>
        <w:t xml:space="preserve"> Equity Group, LLC, </w:t>
      </w:r>
      <w:r w:rsidRPr="000A1835" w:rsidR="000B13E2">
        <w:rPr>
          <w:bCs/>
          <w:snapToGrid/>
          <w:kern w:val="0"/>
          <w:szCs w:val="22"/>
        </w:rPr>
        <w:t xml:space="preserve"> </w:t>
      </w:r>
    </w:p>
    <w:p w:rsidR="00C84A61" w:rsidRPr="00C84A61" w:rsidP="00C84A61">
      <w:pPr>
        <w:widowControl/>
        <w:autoSpaceDE w:val="0"/>
        <w:autoSpaceDN w:val="0"/>
        <w:adjustRightInd w:val="0"/>
        <w:ind w:right="420" w:firstLine="720"/>
        <w:rPr>
          <w:snapToGrid/>
          <w:kern w:val="0"/>
          <w:szCs w:val="22"/>
        </w:rPr>
      </w:pPr>
      <w:r w:rsidRPr="000A1835">
        <w:rPr>
          <w:snapToGrid/>
          <w:kern w:val="0"/>
          <w:szCs w:val="22"/>
        </w:rPr>
        <w:t>WC Docket No. 18-3</w:t>
      </w:r>
      <w:r>
        <w:rPr>
          <w:snapToGrid/>
          <w:kern w:val="0"/>
          <w:szCs w:val="22"/>
        </w:rPr>
        <w:t>99</w:t>
      </w:r>
      <w:r w:rsidR="002D022F">
        <w:rPr>
          <w:snapToGrid/>
          <w:kern w:val="0"/>
          <w:szCs w:val="22"/>
        </w:rPr>
        <w:t xml:space="preserve">, Public Notice, DA </w:t>
      </w:r>
      <w:r w:rsidR="00DA47A2">
        <w:rPr>
          <w:bCs/>
          <w:snapToGrid/>
          <w:kern w:val="0"/>
          <w:szCs w:val="22"/>
        </w:rPr>
        <w:t>1</w:t>
      </w:r>
      <w:r>
        <w:rPr>
          <w:bCs/>
          <w:snapToGrid/>
          <w:kern w:val="0"/>
          <w:szCs w:val="22"/>
        </w:rPr>
        <w:t>9</w:t>
      </w:r>
      <w:r w:rsidR="00DA47A2">
        <w:rPr>
          <w:bCs/>
          <w:snapToGrid/>
          <w:kern w:val="0"/>
          <w:szCs w:val="22"/>
        </w:rPr>
        <w:t>-</w:t>
      </w:r>
      <w:r>
        <w:rPr>
          <w:bCs/>
          <w:snapToGrid/>
          <w:kern w:val="0"/>
          <w:szCs w:val="22"/>
        </w:rPr>
        <w:t>59</w:t>
      </w:r>
      <w:r w:rsidR="00DA47A2">
        <w:rPr>
          <w:snapToGrid/>
          <w:kern w:val="0"/>
          <w:szCs w:val="22"/>
        </w:rPr>
        <w:t xml:space="preserve"> (WCB 201</w:t>
      </w:r>
      <w:r w:rsidR="001712FD">
        <w:rPr>
          <w:snapToGrid/>
          <w:kern w:val="0"/>
          <w:szCs w:val="22"/>
        </w:rPr>
        <w:t>9</w:t>
      </w:r>
      <w:r w:rsidRPr="00532F9E" w:rsidR="00DA47A2">
        <w:rPr>
          <w:snapToGrid/>
          <w:kern w:val="0"/>
          <w:szCs w:val="22"/>
        </w:rPr>
        <w:t>).</w:t>
      </w:r>
    </w:p>
    <w:p w:rsidR="005F2117">
      <w:pPr>
        <w:widowControl/>
      </w:pPr>
    </w:p>
    <w:p w:rsidR="005F2117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C84A61">
        <w:rPr>
          <w:b/>
          <w:bCs/>
          <w:snapToGrid/>
          <w:color w:val="000000"/>
          <w:kern w:val="0"/>
          <w:szCs w:val="22"/>
          <w:lang w:eastAsia="ja-JP"/>
        </w:rPr>
        <w:t>March</w:t>
      </w: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 </w:t>
      </w:r>
      <w:r w:rsidR="002D022F">
        <w:rPr>
          <w:b/>
          <w:bCs/>
          <w:snapToGrid/>
          <w:color w:val="000000"/>
          <w:kern w:val="0"/>
          <w:szCs w:val="22"/>
          <w:lang w:eastAsia="ja-JP"/>
        </w:rPr>
        <w:t>1</w:t>
      </w:r>
      <w:r w:rsidR="00C84A61">
        <w:rPr>
          <w:b/>
          <w:bCs/>
          <w:snapToGrid/>
          <w:color w:val="000000"/>
          <w:kern w:val="0"/>
          <w:szCs w:val="22"/>
          <w:lang w:eastAsia="ja-JP"/>
        </w:rPr>
        <w:t>0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201</w:t>
      </w:r>
      <w:r w:rsidR="002D022F">
        <w:rPr>
          <w:b/>
          <w:bCs/>
          <w:snapToGrid/>
          <w:color w:val="000000"/>
          <w:kern w:val="0"/>
          <w:szCs w:val="22"/>
          <w:lang w:eastAsia="ja-JP"/>
        </w:rPr>
        <w:t>9</w:t>
      </w:r>
    </w:p>
    <w:p w:rsidR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C84A61" w:rsidRPr="000A1835" w:rsidP="00C84A61">
      <w:pPr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A6163F">
        <w:rPr>
          <w:szCs w:val="22"/>
        </w:rPr>
        <w:t xml:space="preserve">Domestic Section 214 Application Filed for the </w:t>
      </w:r>
      <w:r w:rsidRPr="000A1835">
        <w:rPr>
          <w:snapToGrid/>
          <w:kern w:val="0"/>
          <w:szCs w:val="22"/>
        </w:rPr>
        <w:t xml:space="preserve">Transfer of Control </w:t>
      </w:r>
      <w:r w:rsidRPr="000A1835">
        <w:rPr>
          <w:bCs/>
          <w:snapToGrid/>
          <w:kern w:val="0"/>
          <w:szCs w:val="22"/>
        </w:rPr>
        <w:t xml:space="preserve">of </w:t>
      </w:r>
    </w:p>
    <w:p w:rsidR="00C84A61" w:rsidRPr="000A1835" w:rsidP="00C84A61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 xml:space="preserve">Locus Telecommunications, LLC to </w:t>
      </w:r>
      <w:r>
        <w:rPr>
          <w:bCs/>
          <w:snapToGrid/>
          <w:kern w:val="0"/>
          <w:szCs w:val="22"/>
        </w:rPr>
        <w:t>Telrite</w:t>
      </w:r>
      <w:r>
        <w:rPr>
          <w:bCs/>
          <w:snapToGrid/>
          <w:kern w:val="0"/>
          <w:szCs w:val="22"/>
        </w:rPr>
        <w:t xml:space="preserve"> Holdings, Inc., </w:t>
      </w:r>
      <w:r w:rsidRPr="000A1835">
        <w:rPr>
          <w:bCs/>
          <w:snapToGrid/>
          <w:kern w:val="0"/>
          <w:szCs w:val="22"/>
        </w:rPr>
        <w:t xml:space="preserve"> </w:t>
      </w:r>
    </w:p>
    <w:p w:rsidR="00C84A61" w:rsidP="00C84A61">
      <w:pPr>
        <w:widowControl/>
        <w:autoSpaceDE w:val="0"/>
        <w:autoSpaceDN w:val="0"/>
        <w:adjustRightInd w:val="0"/>
        <w:ind w:right="420" w:firstLine="720"/>
        <w:rPr>
          <w:snapToGrid/>
          <w:kern w:val="0"/>
          <w:szCs w:val="22"/>
        </w:rPr>
      </w:pPr>
      <w:r w:rsidRPr="000A1835">
        <w:rPr>
          <w:snapToGrid/>
          <w:kern w:val="0"/>
          <w:szCs w:val="22"/>
        </w:rPr>
        <w:t>WC Docket No. 1</w:t>
      </w:r>
      <w:r w:rsidR="00C207EE">
        <w:rPr>
          <w:snapToGrid/>
          <w:kern w:val="0"/>
          <w:szCs w:val="22"/>
        </w:rPr>
        <w:t>9</w:t>
      </w:r>
      <w:r w:rsidRPr="000A1835">
        <w:rPr>
          <w:snapToGrid/>
          <w:kern w:val="0"/>
          <w:szCs w:val="22"/>
        </w:rPr>
        <w:t>-</w:t>
      </w:r>
      <w:r w:rsidR="00C207EE">
        <w:rPr>
          <w:snapToGrid/>
          <w:kern w:val="0"/>
          <w:szCs w:val="22"/>
        </w:rPr>
        <w:t>4</w:t>
      </w:r>
      <w:r>
        <w:rPr>
          <w:snapToGrid/>
          <w:kern w:val="0"/>
          <w:szCs w:val="22"/>
        </w:rPr>
        <w:t xml:space="preserve">, Public Notice, DA </w:t>
      </w:r>
      <w:r>
        <w:rPr>
          <w:bCs/>
          <w:snapToGrid/>
          <w:kern w:val="0"/>
          <w:szCs w:val="22"/>
        </w:rPr>
        <w:t>1</w:t>
      </w:r>
      <w:r w:rsidR="00C207EE">
        <w:rPr>
          <w:bCs/>
          <w:snapToGrid/>
          <w:kern w:val="0"/>
          <w:szCs w:val="22"/>
        </w:rPr>
        <w:t>9</w:t>
      </w:r>
      <w:r>
        <w:rPr>
          <w:bCs/>
          <w:snapToGrid/>
          <w:kern w:val="0"/>
          <w:szCs w:val="22"/>
        </w:rPr>
        <w:t>-</w:t>
      </w:r>
      <w:r w:rsidR="00C207EE">
        <w:rPr>
          <w:bCs/>
          <w:snapToGrid/>
          <w:kern w:val="0"/>
          <w:szCs w:val="22"/>
        </w:rPr>
        <w:t>58</w:t>
      </w:r>
      <w:r>
        <w:rPr>
          <w:snapToGrid/>
          <w:kern w:val="0"/>
          <w:szCs w:val="22"/>
        </w:rPr>
        <w:t xml:space="preserve"> (WCB 201</w:t>
      </w:r>
      <w:r w:rsidR="001712FD">
        <w:rPr>
          <w:snapToGrid/>
          <w:kern w:val="0"/>
          <w:szCs w:val="22"/>
        </w:rPr>
        <w:t>9</w:t>
      </w:r>
      <w:r w:rsidRPr="00532F9E">
        <w:rPr>
          <w:snapToGrid/>
          <w:kern w:val="0"/>
          <w:szCs w:val="22"/>
        </w:rPr>
        <w:t>).</w:t>
      </w:r>
    </w:p>
    <w:p w:rsidR="00C84A61" w:rsidP="00C207EE">
      <w:pPr>
        <w:widowControl/>
        <w:autoSpaceDE w:val="0"/>
        <w:autoSpaceDN w:val="0"/>
        <w:adjustRightInd w:val="0"/>
        <w:ind w:right="420"/>
        <w:rPr>
          <w:snapToGrid/>
          <w:kern w:val="0"/>
          <w:szCs w:val="22"/>
        </w:rPr>
      </w:pPr>
    </w:p>
    <w:p w:rsidR="00C84A61" w:rsidP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March 10, 2019</w:t>
      </w:r>
    </w:p>
    <w:p w:rsidR="00C84A61" w:rsidRPr="00802FCC" w:rsidP="00C84A61">
      <w:pPr>
        <w:widowControl/>
        <w:autoSpaceDE w:val="0"/>
        <w:autoSpaceDN w:val="0"/>
        <w:adjustRightInd w:val="0"/>
        <w:ind w:right="420"/>
        <w:rPr>
          <w:bCs/>
          <w:snapToGrid/>
          <w:kern w:val="0"/>
          <w:szCs w:val="22"/>
        </w:rPr>
      </w:pPr>
    </w:p>
    <w:p w:rsidR="00C84A61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F2117">
      <w:pPr>
        <w:widowControl/>
        <w:ind w:firstLine="720"/>
        <w:rPr>
          <w:snapToGrid/>
          <w:kern w:val="0"/>
        </w:rPr>
      </w:pPr>
      <w:r>
        <w:rPr>
          <w:snapToGrid/>
          <w:kern w:val="0"/>
        </w:rPr>
        <w:t>For further information, please contact Tracey Wilson at (202) 418-1394 or Greg</w:t>
      </w:r>
      <w:r w:rsidR="009E7DF4">
        <w:rPr>
          <w:snapToGrid/>
          <w:kern w:val="0"/>
        </w:rPr>
        <w:t>ory</w:t>
      </w:r>
      <w:r>
        <w:rPr>
          <w:snapToGrid/>
          <w:kern w:val="0"/>
        </w:rPr>
        <w:t xml:space="preserve"> Kwan at (202) 418-1191, Competition Policy Division, Wireline Competition Bureau.</w:t>
      </w:r>
    </w:p>
    <w:p w:rsidR="005F2117">
      <w:pPr>
        <w:widowControl/>
        <w:ind w:firstLine="720"/>
        <w:rPr>
          <w:snapToGrid/>
          <w:kern w:val="0"/>
        </w:rPr>
      </w:pPr>
    </w:p>
    <w:p w:rsidR="005F211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F2117">
      <w:pPr>
        <w:widowControl/>
        <w:jc w:val="center"/>
        <w:rPr>
          <w:b/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-FCC-</w:t>
      </w:r>
    </w:p>
    <w:p w:rsidR="005F2117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5F2117">
      <w:pPr>
        <w:jc w:val="right"/>
        <w:rPr>
          <w:sz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F2117">
    <w:pPr>
      <w:pStyle w:val="Footer"/>
    </w:pPr>
  </w:p>
  <w:p w:rsidR="005F2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F2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07E1">
      <w:r>
        <w:separator/>
      </w:r>
    </w:p>
  </w:footnote>
  <w:footnote w:type="continuationSeparator" w:id="1">
    <w:p w:rsidR="003907E1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907E1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F2117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4">
    <w:p w:rsidR="005F2117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5F211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5F211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5F211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40727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7A2">
      <w:t>PUBLIC NOTICE</w:t>
    </w:r>
  </w:p>
  <w:p w:rsidR="005F21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9525" t="5715" r="9525" b="13335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1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F211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5F211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5F211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F211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5F211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F"/>
    <w:rsid w:val="00060A2F"/>
    <w:rsid w:val="000A1835"/>
    <w:rsid w:val="000A3BA3"/>
    <w:rsid w:val="000A7DFB"/>
    <w:rsid w:val="000B13E2"/>
    <w:rsid w:val="001712FD"/>
    <w:rsid w:val="001C247C"/>
    <w:rsid w:val="00200296"/>
    <w:rsid w:val="002D022F"/>
    <w:rsid w:val="00395243"/>
    <w:rsid w:val="003A3E1F"/>
    <w:rsid w:val="003F530B"/>
    <w:rsid w:val="00532F9E"/>
    <w:rsid w:val="005F2117"/>
    <w:rsid w:val="00802FCC"/>
    <w:rsid w:val="008A4BAF"/>
    <w:rsid w:val="009249C8"/>
    <w:rsid w:val="009E7DF4"/>
    <w:rsid w:val="00A6163F"/>
    <w:rsid w:val="00B66C27"/>
    <w:rsid w:val="00BF567E"/>
    <w:rsid w:val="00C207EE"/>
    <w:rsid w:val="00C84A61"/>
    <w:rsid w:val="00CC6CFA"/>
    <w:rsid w:val="00D70D90"/>
    <w:rsid w:val="00DA47A2"/>
    <w:rsid w:val="00DD4507"/>
    <w:rsid w:val="00EC5D0A"/>
    <w:rsid w:val="00EF1914"/>
    <w:rsid w:val="00F448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