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3A1D" w:rsidRPr="00C54A3B" w:rsidP="00833A1D">
      <w:pPr>
        <w:spacing w:before="60"/>
        <w:jc w:val="center"/>
        <w:rPr>
          <w:b/>
          <w:sz w:val="28"/>
          <w:szCs w:val="28"/>
        </w:rPr>
      </w:pPr>
      <w:r w:rsidRPr="00C54A3B">
        <w:rPr>
          <w:b/>
          <w:sz w:val="28"/>
          <w:szCs w:val="28"/>
        </w:rPr>
        <w:t>ATTACHMENT B</w:t>
      </w:r>
    </w:p>
    <w:p w:rsidR="00833A1D" w:rsidRPr="00C54A3B" w:rsidP="00833A1D">
      <w:pPr>
        <w:spacing w:before="60"/>
        <w:jc w:val="center"/>
        <w:rPr>
          <w:b/>
          <w:sz w:val="28"/>
          <w:szCs w:val="28"/>
        </w:rPr>
      </w:pPr>
      <w:r w:rsidRPr="00C54A3B">
        <w:rPr>
          <w:b/>
          <w:sz w:val="28"/>
          <w:szCs w:val="28"/>
        </w:rPr>
        <w:t xml:space="preserve">to FCC Public </w:t>
      </w:r>
      <w:r w:rsidRPr="00554500">
        <w:rPr>
          <w:b/>
          <w:sz w:val="28"/>
          <w:szCs w:val="28"/>
        </w:rPr>
        <w:t>Notice DA 19</w:t>
      </w:r>
      <w:r w:rsidRPr="00554500" w:rsidR="003D6AB7">
        <w:rPr>
          <w:b/>
          <w:sz w:val="28"/>
          <w:szCs w:val="28"/>
        </w:rPr>
        <w:t>-</w:t>
      </w:r>
      <w:r w:rsidRPr="00554500" w:rsidR="00554500">
        <w:rPr>
          <w:b/>
          <w:sz w:val="28"/>
          <w:szCs w:val="28"/>
        </w:rPr>
        <w:t>172</w:t>
      </w:r>
      <w:bookmarkStart w:id="0" w:name="_GoBack"/>
      <w:bookmarkEnd w:id="0"/>
    </w:p>
    <w:p w:rsidR="00833A1D" w:rsidRPr="001C2AD7" w:rsidP="00833A1D">
      <w:pPr>
        <w:spacing w:before="60"/>
        <w:rPr>
          <w:b/>
          <w:sz w:val="24"/>
          <w:szCs w:val="24"/>
        </w:rPr>
      </w:pPr>
    </w:p>
    <w:p w:rsidR="00C54A3B" w:rsidRPr="00C54A3B" w:rsidP="00C54A3B">
      <w:pPr>
        <w:jc w:val="center"/>
        <w:rPr>
          <w:b/>
          <w:sz w:val="28"/>
          <w:szCs w:val="28"/>
        </w:rPr>
      </w:pPr>
      <w:r w:rsidRPr="00C54A3B">
        <w:rPr>
          <w:b/>
          <w:sz w:val="28"/>
          <w:szCs w:val="28"/>
        </w:rPr>
        <w:t>Draft Proposals presented for information and not formally agreed by the World Radiocommunication Conference Advisory Committee</w:t>
      </w:r>
    </w:p>
    <w:p w:rsidR="00833A1D" w:rsidP="00833A1D">
      <w:pPr>
        <w:jc w:val="center"/>
        <w:rPr>
          <w:b/>
          <w:sz w:val="24"/>
          <w:szCs w:val="24"/>
        </w:rPr>
      </w:pPr>
    </w:p>
    <w:p w:rsidR="004731A7"/>
    <w:p w:rsidR="00833A1D"/>
    <w:p w:rsidR="00833A1D">
      <w:pPr>
        <w:spacing w:after="200" w:line="276" w:lineRule="auto"/>
      </w:pPr>
      <w:r>
        <w:br w:type="page"/>
      </w:r>
    </w:p>
    <w:p w:rsidR="00526C67">
      <w:pPr>
        <w:spacing w:after="200" w:line="276" w:lineRule="auto"/>
        <w:rPr>
          <w:b/>
          <w:sz w:val="24"/>
          <w:szCs w:val="24"/>
        </w:rPr>
      </w:pPr>
      <w:r>
        <w:rPr>
          <w:b/>
          <w:sz w:val="24"/>
          <w:szCs w:val="24"/>
        </w:rPr>
        <w:t>DOCUMENT WAC/0</w:t>
      </w:r>
      <w:r w:rsidR="00046568">
        <w:rPr>
          <w:b/>
          <w:sz w:val="24"/>
          <w:szCs w:val="24"/>
        </w:rPr>
        <w:t>81</w:t>
      </w:r>
      <w:r w:rsidR="00C0281D">
        <w:rPr>
          <w:b/>
          <w:sz w:val="24"/>
          <w:szCs w:val="24"/>
        </w:rPr>
        <w:t xml:space="preserve"> </w:t>
      </w:r>
      <w:r>
        <w:rPr>
          <w:b/>
          <w:sz w:val="24"/>
          <w:szCs w:val="24"/>
        </w:rPr>
        <w:t>(</w:t>
      </w:r>
      <w:r w:rsidR="00046568">
        <w:rPr>
          <w:b/>
          <w:sz w:val="24"/>
          <w:szCs w:val="24"/>
        </w:rPr>
        <w:t>11.03.19)</w:t>
      </w:r>
    </w:p>
    <w:tbl>
      <w:tblPr>
        <w:tblW w:w="10031" w:type="dxa"/>
        <w:tblLayout w:type="fixed"/>
        <w:tblLook w:val="0000"/>
      </w:tblPr>
      <w:tblGrid>
        <w:gridCol w:w="10031"/>
      </w:tblGrid>
      <w:tr w:rsidTr="003B7CB6">
        <w:tblPrEx>
          <w:tblW w:w="10031" w:type="dxa"/>
          <w:tblLayout w:type="fixed"/>
          <w:tblLook w:val="0000"/>
        </w:tblPrEx>
        <w:trPr>
          <w:trHeight w:val="20"/>
        </w:trPr>
        <w:tc>
          <w:tcPr>
            <w:tcW w:w="10031" w:type="dxa"/>
          </w:tcPr>
          <w:p w:rsidR="00046568" w:rsidRPr="00046568" w:rsidP="00046568">
            <w:pPr>
              <w:pBdr>
                <w:top w:val="nil"/>
                <w:left w:val="nil"/>
                <w:bottom w:val="nil"/>
                <w:right w:val="nil"/>
                <w:between w:val="nil"/>
              </w:pBdr>
              <w:tabs>
                <w:tab w:val="left" w:pos="1134"/>
                <w:tab w:val="left" w:pos="1871"/>
                <w:tab w:val="left" w:pos="2268"/>
              </w:tabs>
              <w:spacing w:before="840"/>
              <w:jc w:val="center"/>
              <w:rPr>
                <w:b/>
                <w:color w:val="000000"/>
                <w:sz w:val="24"/>
                <w:szCs w:val="24"/>
                <w:lang w:val="en-GB"/>
              </w:rPr>
            </w:pPr>
            <w:r w:rsidRPr="00046568">
              <w:rPr>
                <w:b/>
                <w:color w:val="000000"/>
                <w:sz w:val="24"/>
                <w:szCs w:val="24"/>
                <w:lang w:val="en-GB"/>
              </w:rPr>
              <w:t>UNITED STATES OF AMERICA</w:t>
            </w:r>
          </w:p>
        </w:tc>
      </w:tr>
      <w:tr w:rsidTr="003B7CB6">
        <w:tblPrEx>
          <w:tblW w:w="10031" w:type="dxa"/>
          <w:tblLayout w:type="fixed"/>
          <w:tblLook w:val="0000"/>
        </w:tblPrEx>
        <w:trPr>
          <w:trHeight w:val="20"/>
        </w:trPr>
        <w:tc>
          <w:tcPr>
            <w:tcW w:w="10031" w:type="dxa"/>
          </w:tcPr>
          <w:p w:rsidR="00046568" w:rsidRPr="00046568" w:rsidP="00046568">
            <w:pPr>
              <w:pBdr>
                <w:top w:val="nil"/>
                <w:left w:val="nil"/>
                <w:bottom w:val="nil"/>
                <w:right w:val="nil"/>
                <w:between w:val="nil"/>
              </w:pBdr>
              <w:tabs>
                <w:tab w:val="left" w:pos="1134"/>
                <w:tab w:val="left" w:pos="1871"/>
                <w:tab w:val="left" w:pos="2268"/>
              </w:tabs>
              <w:spacing w:before="240"/>
              <w:jc w:val="center"/>
              <w:rPr>
                <w:smallCaps/>
                <w:color w:val="000000"/>
                <w:sz w:val="24"/>
                <w:szCs w:val="24"/>
                <w:lang w:val="en-GB"/>
              </w:rPr>
            </w:pPr>
            <w:r w:rsidRPr="00046568">
              <w:rPr>
                <w:smallCaps/>
                <w:color w:val="000000"/>
                <w:sz w:val="24"/>
                <w:szCs w:val="24"/>
                <w:lang w:val="en-GB"/>
              </w:rPr>
              <w:t>PROPOSALS FOR THE WORK OF THE CONFERENCE</w:t>
            </w:r>
          </w:p>
        </w:tc>
      </w:tr>
      <w:tr w:rsidTr="003B7CB6">
        <w:tblPrEx>
          <w:tblW w:w="10031" w:type="dxa"/>
          <w:tblLayout w:type="fixed"/>
          <w:tblLook w:val="0000"/>
        </w:tblPrEx>
        <w:trPr>
          <w:trHeight w:val="20"/>
        </w:trPr>
        <w:tc>
          <w:tcPr>
            <w:tcW w:w="10031" w:type="dxa"/>
          </w:tcPr>
          <w:p w:rsidR="00046568" w:rsidRPr="00046568" w:rsidP="00046568">
            <w:pPr>
              <w:pBdr>
                <w:top w:val="nil"/>
                <w:left w:val="nil"/>
                <w:bottom w:val="nil"/>
                <w:right w:val="nil"/>
                <w:between w:val="nil"/>
              </w:pBdr>
              <w:tabs>
                <w:tab w:val="left" w:pos="1134"/>
                <w:tab w:val="left" w:pos="1871"/>
                <w:tab w:val="left" w:pos="2268"/>
              </w:tabs>
              <w:spacing w:before="480"/>
              <w:jc w:val="center"/>
              <w:rPr>
                <w:smallCaps/>
                <w:color w:val="000000"/>
                <w:sz w:val="24"/>
                <w:szCs w:val="24"/>
                <w:lang w:val="en-GB"/>
              </w:rPr>
            </w:pPr>
          </w:p>
        </w:tc>
      </w:tr>
      <w:tr w:rsidTr="003B7CB6">
        <w:tblPrEx>
          <w:tblW w:w="10031" w:type="dxa"/>
          <w:tblLayout w:type="fixed"/>
          <w:tblLook w:val="0000"/>
        </w:tblPrEx>
        <w:trPr>
          <w:trHeight w:val="20"/>
        </w:trPr>
        <w:tc>
          <w:tcPr>
            <w:tcW w:w="10031" w:type="dxa"/>
          </w:tcPr>
          <w:p w:rsidR="00046568" w:rsidRPr="00046568" w:rsidP="00046568">
            <w:pPr>
              <w:pBdr>
                <w:top w:val="nil"/>
                <w:left w:val="nil"/>
                <w:bottom w:val="nil"/>
                <w:right w:val="nil"/>
                <w:between w:val="nil"/>
              </w:pBdr>
              <w:tabs>
                <w:tab w:val="left" w:pos="1134"/>
                <w:tab w:val="left" w:pos="1871"/>
                <w:tab w:val="left" w:pos="2268"/>
              </w:tabs>
              <w:spacing w:before="240"/>
              <w:jc w:val="center"/>
              <w:rPr>
                <w:color w:val="000000"/>
                <w:sz w:val="24"/>
                <w:szCs w:val="24"/>
                <w:lang w:val="en-GB"/>
              </w:rPr>
            </w:pPr>
            <w:r w:rsidRPr="00046568">
              <w:rPr>
                <w:color w:val="000000"/>
                <w:sz w:val="24"/>
                <w:szCs w:val="24"/>
                <w:lang w:val="en-GB"/>
              </w:rPr>
              <w:t>Agenda item 10</w:t>
            </w:r>
          </w:p>
        </w:tc>
      </w:tr>
    </w:tbl>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10</w:t>
      </w:r>
      <w:r w:rsidRPr="00046568">
        <w:rPr>
          <w:b/>
          <w:sz w:val="24"/>
          <w:szCs w:val="24"/>
          <w:lang w:val="en-GB"/>
        </w:rPr>
        <w:tab/>
      </w:r>
      <w:r w:rsidRPr="00046568">
        <w:rPr>
          <w:sz w:val="24"/>
          <w:szCs w:val="24"/>
          <w:lang w:val="en-GB"/>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rPr>
          <w:sz w:val="24"/>
          <w:szCs w:val="24"/>
          <w:lang w:val="en-GB"/>
        </w:rPr>
      </w:pPr>
    </w:p>
    <w:p w:rsidR="00046568" w:rsidRPr="00046568" w:rsidP="00046568">
      <w:pPr>
        <w:tabs>
          <w:tab w:val="left" w:pos="1134"/>
          <w:tab w:val="left" w:pos="1871"/>
          <w:tab w:val="left" w:pos="2268"/>
        </w:tabs>
        <w:rPr>
          <w:sz w:val="24"/>
          <w:szCs w:val="24"/>
          <w:lang w:val="en-GB"/>
        </w:rPr>
      </w:pPr>
      <w:r w:rsidRPr="00046568">
        <w:rPr>
          <w:sz w:val="24"/>
          <w:szCs w:val="24"/>
          <w:lang w:val="en-GB"/>
        </w:rPr>
        <w:br w:type="page"/>
      </w:r>
    </w:p>
    <w:p w:rsidR="00046568" w:rsidRPr="00046568" w:rsidP="00046568">
      <w:pPr>
        <w:tabs>
          <w:tab w:val="left" w:pos="1134"/>
          <w:tab w:val="left" w:pos="1871"/>
          <w:tab w:val="left" w:pos="2268"/>
        </w:tabs>
        <w:spacing w:before="120"/>
        <w:rPr>
          <w:color w:val="000000"/>
          <w:sz w:val="24"/>
          <w:szCs w:val="24"/>
          <w:lang w:val="en-GB"/>
        </w:rPr>
      </w:pPr>
      <w:r w:rsidRPr="00046568">
        <w:rPr>
          <w:b/>
          <w:color w:val="000000"/>
          <w:sz w:val="24"/>
          <w:szCs w:val="24"/>
          <w:lang w:val="en-GB"/>
        </w:rPr>
        <w:t xml:space="preserve">Background Information: </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 xml:space="preserve">Historically, aeronautical HF (High Frequency) Radio communications has been recognized as the primary long-range communication system for safe, efficient air travel in remote or oceanic areas beyond the range of ground-based VHF radios.  Current HF analog single sideband systems are susceptible to static crashes from lightning and man-made noise, as well as selective fading as the atmosphere continually changes.  Future HF voice systems can move to more advanced digital voice as many CODECS (Coder/Decoders) are now available commercially.  Modem technology has evolved significantly over the last 27 years and techniques such as Automatic Link Establishment allow HF radios to find and link on the best available frequency at a given time. The use of spectrally efficient modulation techniques and bonding consecutive HF channels (for Wide-Band HF (WBHF)) will enable technology improvements that will support high rate data transmissions. </w:t>
      </w:r>
    </w:p>
    <w:p w:rsidR="00046568" w:rsidRPr="00046568" w:rsidP="00046568">
      <w:pPr>
        <w:pBdr>
          <w:top w:val="nil"/>
          <w:left w:val="nil"/>
          <w:bottom w:val="nil"/>
          <w:right w:val="nil"/>
          <w:between w:val="nil"/>
        </w:pBdr>
        <w:tabs>
          <w:tab w:val="left" w:pos="1134"/>
          <w:tab w:val="left" w:pos="1871"/>
          <w:tab w:val="left" w:pos="2268"/>
        </w:tabs>
        <w:spacing w:before="120"/>
        <w:rPr>
          <w:color w:val="000000"/>
          <w:sz w:val="24"/>
          <w:szCs w:val="24"/>
          <w:lang w:val="en-GB"/>
        </w:rPr>
      </w:pPr>
    </w:p>
    <w:p w:rsidR="00046568" w:rsidRPr="00046568" w:rsidP="00046568">
      <w:pPr>
        <w:pBdr>
          <w:top w:val="nil"/>
          <w:left w:val="nil"/>
          <w:bottom w:val="nil"/>
          <w:right w:val="nil"/>
          <w:between w:val="nil"/>
        </w:pBdr>
        <w:tabs>
          <w:tab w:val="left" w:pos="1134"/>
          <w:tab w:val="left" w:pos="1871"/>
          <w:tab w:val="left" w:pos="2268"/>
        </w:tabs>
        <w:spacing w:before="120"/>
        <w:rPr>
          <w:color w:val="000000"/>
          <w:sz w:val="24"/>
          <w:szCs w:val="24"/>
          <w:lang w:val="en-GB"/>
        </w:rPr>
      </w:pPr>
      <w:r w:rsidRPr="00046568">
        <w:rPr>
          <w:color w:val="000000"/>
          <w:sz w:val="24"/>
          <w:szCs w:val="24"/>
          <w:lang w:val="en-GB"/>
        </w:rPr>
        <w:t>Development of the next generation of HF data communications will enable achieving Required Communications Performance (RCP)-240</w:t>
      </w:r>
      <w:r>
        <w:rPr>
          <w:color w:val="000000"/>
          <w:sz w:val="24"/>
          <w:szCs w:val="24"/>
          <w:vertAlign w:val="superscript"/>
          <w:lang w:val="en-GB"/>
        </w:rPr>
        <w:footnoteReference w:id="2"/>
      </w:r>
      <w:r w:rsidRPr="00046568">
        <w:rPr>
          <w:color w:val="000000"/>
          <w:sz w:val="24"/>
          <w:szCs w:val="24"/>
          <w:lang w:val="en-GB"/>
        </w:rPr>
        <w:t xml:space="preserve"> compliance for the delivery of ATC traffic, provide for a digital voice capability that will address the frequent complaints about the noisy nature of analog HF voice communications and enable reduction in flight crew workload by automatically assigning frequencies to aircraft radios by leveraging modern protocols. This effort will allow Terrestrial HF and space-based systems (Satcom) to work well together in a complementary and synergistic fashion to offer better performance, reliability and availability than either system alone.  Having both space-based and modernized terrestrial HF long range communication mitigates single point of failure concerns associated with vulnerabilities which differ for each system (e.g., solar events, rain fade, jamming, hardware failures, etc.). It is in the interest of administrations and industry to review and revise the ITU Radio Regulation Appendices 26 and 27 to provide the relevant regulatory framework to realize the above stated capabilities for aviation use (including aviation safety of life) and enable the coexistence of current HF systems alongside modernized HF systems that deliver the above mentioned capabilities. </w:t>
      </w:r>
      <w:r w:rsidRPr="00046568">
        <w:rPr>
          <w:sz w:val="24"/>
          <w:szCs w:val="24"/>
          <w:lang w:val="en-GB"/>
        </w:rPr>
        <w:t>ICAO has considered modernization of the way HF spectrum is utilized and endorses</w:t>
      </w:r>
      <w:r>
        <w:rPr>
          <w:sz w:val="24"/>
          <w:szCs w:val="24"/>
          <w:vertAlign w:val="superscript"/>
          <w:lang w:val="en-GB"/>
        </w:rPr>
        <w:footnoteReference w:id="3"/>
      </w:r>
      <w:r w:rsidRPr="00046568">
        <w:rPr>
          <w:sz w:val="24"/>
          <w:szCs w:val="24"/>
          <w:lang w:val="en-GB"/>
        </w:rPr>
        <w:t xml:space="preserve"> a revision of Appendix 27 for a WRC-23 Agenda Item.</w:t>
      </w: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sz w:val="24"/>
          <w:szCs w:val="24"/>
          <w:lang w:val="en-GB"/>
        </w:rPr>
        <w:t>Proposals</w:t>
      </w:r>
    </w:p>
    <w:p w:rsidR="00046568" w:rsidRPr="00046568" w:rsidP="00046568">
      <w:pPr>
        <w:keepNext/>
        <w:pBdr>
          <w:top w:val="nil"/>
          <w:left w:val="nil"/>
          <w:bottom w:val="nil"/>
          <w:right w:val="nil"/>
          <w:between w:val="nil"/>
        </w:pBdr>
        <w:tabs>
          <w:tab w:val="left" w:pos="1134"/>
          <w:tab w:val="left" w:pos="1871"/>
          <w:tab w:val="left" w:pos="2268"/>
        </w:tabs>
        <w:spacing w:before="240"/>
        <w:rPr>
          <w:b/>
          <w:color w:val="000000"/>
          <w:sz w:val="24"/>
          <w:szCs w:val="24"/>
          <w:lang w:val="en-GB"/>
        </w:rPr>
      </w:pPr>
      <w:bookmarkStart w:id="1" w:name="_30j0zll" w:colFirst="0" w:colLast="0"/>
      <w:bookmarkEnd w:id="1"/>
      <w:r w:rsidRPr="00046568">
        <w:rPr>
          <w:b/>
          <w:color w:val="000000"/>
          <w:sz w:val="24"/>
          <w:szCs w:val="24"/>
          <w:lang w:val="en-GB"/>
        </w:rPr>
        <w:t>SUP</w:t>
      </w:r>
      <w:r w:rsidRPr="00046568">
        <w:rPr>
          <w:b/>
          <w:color w:val="000000"/>
          <w:sz w:val="24"/>
          <w:szCs w:val="24"/>
          <w:lang w:val="en-GB"/>
        </w:rPr>
        <w:tab/>
        <w:t>USA/10(XXX)/1</w:t>
      </w:r>
    </w:p>
    <w:p w:rsidR="00046568" w:rsidRPr="00046568" w:rsidP="00046568">
      <w:pPr>
        <w:keepNext/>
        <w:keepLines/>
        <w:pBdr>
          <w:top w:val="nil"/>
          <w:left w:val="nil"/>
          <w:bottom w:val="nil"/>
          <w:right w:val="nil"/>
          <w:between w:val="nil"/>
        </w:pBdr>
        <w:tabs>
          <w:tab w:val="left" w:pos="1134"/>
          <w:tab w:val="left" w:pos="1871"/>
          <w:tab w:val="left" w:pos="2268"/>
        </w:tabs>
        <w:spacing w:before="480"/>
        <w:jc w:val="center"/>
        <w:rPr>
          <w:smallCaps/>
          <w:color w:val="000000"/>
          <w:sz w:val="24"/>
          <w:szCs w:val="24"/>
          <w:lang w:val="en-GB"/>
        </w:rPr>
      </w:pPr>
      <w:bookmarkStart w:id="2" w:name="_1fob9te" w:colFirst="0" w:colLast="0"/>
      <w:bookmarkEnd w:id="2"/>
      <w:r w:rsidRPr="00046568">
        <w:rPr>
          <w:smallCaps/>
          <w:color w:val="000000"/>
          <w:sz w:val="24"/>
          <w:szCs w:val="24"/>
          <w:lang w:val="en-GB"/>
        </w:rPr>
        <w:t>RESOLUTION 810 (WRC15)</w:t>
      </w:r>
    </w:p>
    <w:p w:rsidR="00046568" w:rsidRPr="00046568" w:rsidP="00046568">
      <w:pPr>
        <w:keepNext/>
        <w:keepLines/>
        <w:pBdr>
          <w:top w:val="nil"/>
          <w:left w:val="nil"/>
          <w:bottom w:val="nil"/>
          <w:right w:val="nil"/>
          <w:between w:val="nil"/>
        </w:pBdr>
        <w:tabs>
          <w:tab w:val="left" w:pos="1134"/>
          <w:tab w:val="left" w:pos="1871"/>
          <w:tab w:val="left" w:pos="2268"/>
        </w:tabs>
        <w:spacing w:before="240"/>
        <w:jc w:val="center"/>
        <w:rPr>
          <w:rFonts w:eastAsia="Times"/>
          <w:b/>
          <w:color w:val="000000"/>
          <w:sz w:val="24"/>
          <w:szCs w:val="24"/>
          <w:lang w:val="en-GB"/>
        </w:rPr>
      </w:pPr>
      <w:r w:rsidRPr="00046568">
        <w:rPr>
          <w:rFonts w:eastAsia="Times"/>
          <w:b/>
          <w:color w:val="000000"/>
          <w:sz w:val="24"/>
          <w:szCs w:val="24"/>
          <w:lang w:val="en-GB"/>
        </w:rPr>
        <w:t>Preliminary agenda for the 2023 World Radiocommunication Conference</w:t>
      </w:r>
    </w:p>
    <w:p w:rsidR="00046568" w:rsidRPr="00046568" w:rsidP="00046568">
      <w:pPr>
        <w:pBdr>
          <w:top w:val="nil"/>
          <w:left w:val="nil"/>
          <w:bottom w:val="nil"/>
          <w:right w:val="nil"/>
          <w:between w:val="nil"/>
        </w:pBdr>
        <w:tabs>
          <w:tab w:val="left" w:pos="1134"/>
          <w:tab w:val="left" w:pos="1871"/>
          <w:tab w:val="left" w:pos="2268"/>
        </w:tabs>
        <w:spacing w:before="280"/>
        <w:rPr>
          <w:color w:val="000000"/>
          <w:sz w:val="24"/>
          <w:szCs w:val="24"/>
          <w:lang w:val="en-GB"/>
        </w:rPr>
      </w:pPr>
      <w:r w:rsidRPr="00046568">
        <w:rPr>
          <w:color w:val="000000"/>
          <w:sz w:val="24"/>
          <w:szCs w:val="24"/>
          <w:lang w:val="en-GB"/>
        </w:rPr>
        <w:t>The World Radiocommunication Conference (Geneva, 2015),</w:t>
      </w:r>
    </w:p>
    <w:p w:rsidR="00046568" w:rsidRPr="00046568" w:rsidP="00046568">
      <w:pPr>
        <w:pBdr>
          <w:top w:val="nil"/>
          <w:left w:val="nil"/>
          <w:bottom w:val="nil"/>
          <w:right w:val="nil"/>
          <w:between w:val="nil"/>
        </w:pBdr>
        <w:tabs>
          <w:tab w:val="left" w:pos="1134"/>
          <w:tab w:val="left" w:pos="1871"/>
          <w:tab w:val="left" w:pos="2268"/>
        </w:tabs>
        <w:spacing w:before="120"/>
        <w:rPr>
          <w:color w:val="000000"/>
          <w:sz w:val="24"/>
          <w:szCs w:val="24"/>
          <w:lang w:val="en-GB"/>
        </w:rPr>
      </w:pPr>
      <w:r w:rsidRPr="00046568">
        <w:rPr>
          <w:b/>
          <w:color w:val="000000"/>
          <w:sz w:val="24"/>
          <w:szCs w:val="24"/>
          <w:lang w:val="en-GB"/>
        </w:rPr>
        <w:t>Reasons:</w:t>
      </w:r>
      <w:r w:rsidRPr="00046568">
        <w:rPr>
          <w:color w:val="000000"/>
          <w:sz w:val="24"/>
          <w:szCs w:val="24"/>
          <w:lang w:val="en-GB"/>
        </w:rPr>
        <w:tab/>
        <w:t>This Resolution must be suppressed, as WRC-19 will create a new Resolution that will include the agenda for WRC-23.</w:t>
      </w:r>
    </w:p>
    <w:p w:rsidR="00046568" w:rsidRPr="00046568" w:rsidP="00046568">
      <w:pPr>
        <w:keepNext/>
        <w:pBdr>
          <w:top w:val="nil"/>
          <w:left w:val="nil"/>
          <w:bottom w:val="nil"/>
          <w:right w:val="nil"/>
          <w:between w:val="nil"/>
        </w:pBdr>
        <w:tabs>
          <w:tab w:val="left" w:pos="1134"/>
          <w:tab w:val="left" w:pos="1871"/>
          <w:tab w:val="left" w:pos="2268"/>
        </w:tabs>
        <w:spacing w:before="240"/>
        <w:rPr>
          <w:b/>
          <w:color w:val="000000"/>
          <w:sz w:val="24"/>
          <w:szCs w:val="24"/>
          <w:lang w:val="en-GB"/>
        </w:rPr>
      </w:pPr>
      <w:r w:rsidRPr="00046568">
        <w:rPr>
          <w:b/>
          <w:color w:val="000000"/>
          <w:sz w:val="24"/>
          <w:szCs w:val="24"/>
          <w:lang w:val="en-GB"/>
        </w:rPr>
        <w:t>ADD</w:t>
      </w:r>
      <w:r w:rsidRPr="00046568">
        <w:rPr>
          <w:b/>
          <w:color w:val="000000"/>
          <w:sz w:val="24"/>
          <w:szCs w:val="24"/>
          <w:lang w:val="en-GB"/>
        </w:rPr>
        <w:tab/>
        <w:t>USA/10(XXX)/2</w:t>
      </w:r>
    </w:p>
    <w:p w:rsidR="00046568" w:rsidRPr="00046568" w:rsidP="00046568">
      <w:pPr>
        <w:keepNext/>
        <w:keepLines/>
        <w:pBdr>
          <w:top w:val="nil"/>
          <w:left w:val="nil"/>
          <w:bottom w:val="nil"/>
          <w:right w:val="nil"/>
          <w:between w:val="nil"/>
        </w:pBdr>
        <w:tabs>
          <w:tab w:val="left" w:pos="1134"/>
          <w:tab w:val="left" w:pos="1871"/>
          <w:tab w:val="left" w:pos="2268"/>
        </w:tabs>
        <w:spacing w:before="480"/>
        <w:jc w:val="center"/>
        <w:rPr>
          <w:smallCaps/>
          <w:color w:val="000000"/>
          <w:sz w:val="24"/>
          <w:szCs w:val="24"/>
          <w:lang w:val="en-GB"/>
        </w:rPr>
      </w:pPr>
      <w:bookmarkStart w:id="3" w:name="_3znysh7" w:colFirst="0" w:colLast="0"/>
      <w:bookmarkEnd w:id="3"/>
      <w:r w:rsidRPr="00046568">
        <w:rPr>
          <w:smallCaps/>
          <w:color w:val="000000"/>
          <w:sz w:val="24"/>
          <w:szCs w:val="24"/>
          <w:lang w:val="en-GB"/>
        </w:rPr>
        <w:t>DRAFT NEW RESOLUTION [USA-2023]</w:t>
      </w:r>
    </w:p>
    <w:p w:rsidR="00046568" w:rsidRPr="00046568" w:rsidP="00046568">
      <w:pPr>
        <w:keepNext/>
        <w:keepLines/>
        <w:pBdr>
          <w:top w:val="nil"/>
          <w:left w:val="nil"/>
          <w:bottom w:val="nil"/>
          <w:right w:val="nil"/>
          <w:between w:val="nil"/>
        </w:pBdr>
        <w:tabs>
          <w:tab w:val="left" w:pos="1134"/>
          <w:tab w:val="left" w:pos="1871"/>
          <w:tab w:val="left" w:pos="2268"/>
        </w:tabs>
        <w:spacing w:before="240"/>
        <w:jc w:val="center"/>
        <w:rPr>
          <w:rFonts w:eastAsia="Times"/>
          <w:b/>
          <w:color w:val="000000"/>
          <w:sz w:val="24"/>
          <w:szCs w:val="24"/>
          <w:lang w:val="en-GB"/>
        </w:rPr>
      </w:pPr>
      <w:r w:rsidRPr="00046568">
        <w:rPr>
          <w:rFonts w:eastAsia="Times"/>
          <w:b/>
          <w:color w:val="000000"/>
          <w:sz w:val="24"/>
          <w:szCs w:val="24"/>
          <w:lang w:val="en-GB"/>
        </w:rPr>
        <w:t>Agenda for the 2023 World Radiocommunication Conference</w:t>
      </w:r>
    </w:p>
    <w:p w:rsidR="00046568" w:rsidRPr="00046568" w:rsidP="00046568">
      <w:pPr>
        <w:pBdr>
          <w:top w:val="nil"/>
          <w:left w:val="nil"/>
          <w:bottom w:val="nil"/>
          <w:right w:val="nil"/>
          <w:between w:val="nil"/>
        </w:pBdr>
        <w:tabs>
          <w:tab w:val="left" w:pos="1134"/>
          <w:tab w:val="left" w:pos="1871"/>
          <w:tab w:val="left" w:pos="2268"/>
        </w:tabs>
        <w:spacing w:before="280"/>
        <w:rPr>
          <w:color w:val="000000"/>
          <w:sz w:val="24"/>
          <w:szCs w:val="24"/>
          <w:lang w:val="en-GB"/>
        </w:rPr>
      </w:pPr>
      <w:r w:rsidRPr="00046568">
        <w:rPr>
          <w:color w:val="000000"/>
          <w:sz w:val="24"/>
          <w:szCs w:val="24"/>
          <w:lang w:val="en-GB"/>
        </w:rPr>
        <w:t>The World Radiocommunication Conference (Geneva, 2015),</w:t>
      </w:r>
    </w:p>
    <w:p w:rsidR="00046568" w:rsidRPr="00046568" w:rsidP="00046568">
      <w:pPr>
        <w:keepNext/>
        <w:keepLines/>
        <w:pBdr>
          <w:top w:val="nil"/>
          <w:left w:val="nil"/>
          <w:bottom w:val="nil"/>
          <w:right w:val="nil"/>
          <w:between w:val="nil"/>
        </w:pBdr>
        <w:tabs>
          <w:tab w:val="left" w:pos="1134"/>
          <w:tab w:val="left" w:pos="1871"/>
          <w:tab w:val="left" w:pos="2268"/>
        </w:tabs>
        <w:spacing w:before="160"/>
        <w:ind w:left="1134" w:hanging="1134"/>
        <w:rPr>
          <w:i/>
          <w:color w:val="000000"/>
          <w:sz w:val="24"/>
          <w:szCs w:val="24"/>
          <w:lang w:val="en-GB"/>
        </w:rPr>
      </w:pPr>
      <w:r w:rsidRPr="00046568">
        <w:rPr>
          <w:i/>
          <w:color w:val="000000"/>
          <w:sz w:val="24"/>
          <w:szCs w:val="24"/>
          <w:lang w:val="en-GB"/>
        </w:rPr>
        <w:t>considering</w:t>
      </w:r>
    </w:p>
    <w:p w:rsidR="00046568" w:rsidRPr="00046568" w:rsidP="00046568">
      <w:pPr>
        <w:tabs>
          <w:tab w:val="left" w:pos="1134"/>
          <w:tab w:val="left" w:pos="1871"/>
          <w:tab w:val="left" w:pos="2268"/>
        </w:tabs>
        <w:spacing w:before="120"/>
        <w:rPr>
          <w:sz w:val="24"/>
          <w:szCs w:val="24"/>
          <w:lang w:val="en-GB"/>
        </w:rPr>
      </w:pPr>
      <w:r w:rsidRPr="00046568">
        <w:rPr>
          <w:i/>
          <w:sz w:val="24"/>
          <w:szCs w:val="24"/>
          <w:lang w:val="en-GB"/>
        </w:rPr>
        <w:t>a)</w:t>
      </w:r>
      <w:r w:rsidRPr="00046568">
        <w:rPr>
          <w:sz w:val="24"/>
          <w:szCs w:val="24"/>
          <w:lang w:val="en-GB"/>
        </w:rPr>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rsidR="00046568" w:rsidRPr="00046568" w:rsidP="00046568">
      <w:pPr>
        <w:tabs>
          <w:tab w:val="left" w:pos="1134"/>
          <w:tab w:val="left" w:pos="1871"/>
          <w:tab w:val="left" w:pos="2268"/>
        </w:tabs>
        <w:spacing w:before="120"/>
        <w:rPr>
          <w:sz w:val="24"/>
          <w:szCs w:val="24"/>
          <w:lang w:val="en-GB"/>
        </w:rPr>
      </w:pPr>
      <w:r w:rsidRPr="00046568">
        <w:rPr>
          <w:i/>
          <w:sz w:val="24"/>
          <w:szCs w:val="24"/>
          <w:lang w:val="en-GB"/>
        </w:rPr>
        <w:t>b)</w:t>
      </w:r>
      <w:r w:rsidRPr="00046568">
        <w:rPr>
          <w:sz w:val="24"/>
          <w:szCs w:val="24"/>
          <w:lang w:val="en-GB"/>
        </w:rPr>
        <w:tab/>
        <w:t>Article 13 of the ITU Constitution relating to the competence and scheduling of world radiocommunication conferences and Article 7 of the Convention relating to their agendas;</w:t>
      </w:r>
    </w:p>
    <w:p w:rsidR="00046568" w:rsidRPr="00046568" w:rsidP="00046568">
      <w:pPr>
        <w:tabs>
          <w:tab w:val="left" w:pos="1134"/>
          <w:tab w:val="left" w:pos="1871"/>
          <w:tab w:val="left" w:pos="2268"/>
        </w:tabs>
        <w:spacing w:before="120"/>
        <w:rPr>
          <w:sz w:val="24"/>
          <w:szCs w:val="24"/>
          <w:lang w:val="en-GB"/>
        </w:rPr>
      </w:pPr>
      <w:r w:rsidRPr="00046568">
        <w:rPr>
          <w:i/>
          <w:sz w:val="24"/>
          <w:szCs w:val="24"/>
          <w:lang w:val="en-GB"/>
        </w:rPr>
        <w:t>c)</w:t>
      </w:r>
      <w:r w:rsidRPr="00046568">
        <w:rPr>
          <w:sz w:val="24"/>
          <w:szCs w:val="24"/>
          <w:lang w:val="en-GB"/>
        </w:rPr>
        <w:tab/>
        <w:t>the relevant resolutions and recommendations of previous world administrative radio conferences (WARCs) and world radiocommunication conferences (WRCs),</w:t>
      </w:r>
    </w:p>
    <w:p w:rsidR="00046568" w:rsidRPr="00046568" w:rsidP="00046568">
      <w:pPr>
        <w:keepNext/>
        <w:keepLines/>
        <w:pBdr>
          <w:top w:val="nil"/>
          <w:left w:val="nil"/>
          <w:bottom w:val="nil"/>
          <w:right w:val="nil"/>
          <w:between w:val="nil"/>
        </w:pBdr>
        <w:tabs>
          <w:tab w:val="left" w:pos="1134"/>
          <w:tab w:val="left" w:pos="1871"/>
          <w:tab w:val="left" w:pos="2268"/>
        </w:tabs>
        <w:spacing w:before="160"/>
        <w:ind w:left="1134" w:hanging="1134"/>
        <w:rPr>
          <w:i/>
          <w:color w:val="000000"/>
          <w:sz w:val="24"/>
          <w:szCs w:val="24"/>
          <w:lang w:val="en-GB"/>
        </w:rPr>
      </w:pPr>
      <w:r w:rsidRPr="00046568">
        <w:rPr>
          <w:i/>
          <w:color w:val="000000"/>
          <w:sz w:val="24"/>
          <w:szCs w:val="24"/>
          <w:lang w:val="en-GB"/>
        </w:rPr>
        <w:t>resolves</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to recommend to the Council that a world radiocommunication conference be held in 2023 for a maximum period of four weeks, with the following agenda:</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1</w:t>
      </w:r>
      <w:r w:rsidRPr="00046568">
        <w:rPr>
          <w:sz w:val="24"/>
          <w:szCs w:val="24"/>
          <w:lang w:val="en-GB"/>
        </w:rPr>
        <w:tab/>
        <w:t>on the basis of proposals from administrations, taking account of the results of WRC15 and the Report of the Conference Preparatory Meeting, and with due regard to the requirements of existing and future services in the bands under consideration, to consider and take appropriate action in respect of the following items:</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1.[XXX]</w:t>
      </w:r>
      <w:r w:rsidRPr="00046568">
        <w:rPr>
          <w:sz w:val="24"/>
          <w:szCs w:val="24"/>
          <w:lang w:val="en-GB"/>
        </w:rPr>
        <w:tab/>
        <w:t xml:space="preserve">to consider, on the basis of ITU-R studies in accordance with Resolution </w:t>
      </w:r>
      <w:r w:rsidRPr="00046568">
        <w:rPr>
          <w:b/>
          <w:sz w:val="24"/>
          <w:szCs w:val="24"/>
          <w:lang w:val="en-GB"/>
        </w:rPr>
        <w:t>[USA/10/WIDEBAND HF] (WRC-19)</w:t>
      </w:r>
      <w:r w:rsidRPr="00046568">
        <w:rPr>
          <w:sz w:val="24"/>
          <w:szCs w:val="24"/>
          <w:lang w:val="en-GB"/>
        </w:rPr>
        <w:t>, appropriate regulatory actions, updates to revise ITU - R Appendices 26 and 27 in support of Wideband HF;</w:t>
      </w:r>
    </w:p>
    <w:p w:rsidR="00046568" w:rsidRPr="00046568" w:rsidP="00046568">
      <w:pPr>
        <w:keepNext/>
        <w:keepLines/>
        <w:pBdr>
          <w:top w:val="nil"/>
          <w:left w:val="nil"/>
          <w:bottom w:val="nil"/>
          <w:right w:val="nil"/>
          <w:between w:val="nil"/>
        </w:pBdr>
        <w:tabs>
          <w:tab w:val="left" w:pos="1134"/>
          <w:tab w:val="left" w:pos="1871"/>
          <w:tab w:val="left" w:pos="2268"/>
        </w:tabs>
        <w:spacing w:before="160"/>
        <w:ind w:left="1134" w:hanging="1134"/>
        <w:rPr>
          <w:i/>
          <w:color w:val="000000"/>
          <w:sz w:val="24"/>
          <w:szCs w:val="24"/>
          <w:lang w:val="en-GB"/>
        </w:rPr>
      </w:pPr>
      <w:r w:rsidRPr="00046568">
        <w:rPr>
          <w:i/>
          <w:color w:val="000000"/>
          <w:sz w:val="24"/>
          <w:szCs w:val="24"/>
          <w:lang w:val="en-GB"/>
        </w:rPr>
        <w:t>resolves further</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to activate the Conference Preparatory Meeting,</w:t>
      </w:r>
    </w:p>
    <w:p w:rsidR="00046568" w:rsidRPr="00046568" w:rsidP="00046568">
      <w:pPr>
        <w:keepNext/>
        <w:keepLines/>
        <w:pBdr>
          <w:top w:val="nil"/>
          <w:left w:val="nil"/>
          <w:bottom w:val="nil"/>
          <w:right w:val="nil"/>
          <w:between w:val="nil"/>
        </w:pBdr>
        <w:tabs>
          <w:tab w:val="left" w:pos="1134"/>
          <w:tab w:val="left" w:pos="1871"/>
          <w:tab w:val="left" w:pos="2268"/>
        </w:tabs>
        <w:spacing w:before="160"/>
        <w:ind w:left="1134" w:hanging="1134"/>
        <w:rPr>
          <w:i/>
          <w:color w:val="000000"/>
          <w:sz w:val="24"/>
          <w:szCs w:val="24"/>
          <w:lang w:val="en-GB"/>
        </w:rPr>
      </w:pPr>
      <w:r w:rsidRPr="00046568">
        <w:rPr>
          <w:i/>
          <w:color w:val="000000"/>
          <w:sz w:val="24"/>
          <w:szCs w:val="24"/>
          <w:lang w:val="en-GB"/>
        </w:rPr>
        <w:t>invites the Council</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to finalize the agenda and arrange for the convening of WRC23, and to initiate as soon as possible the necessary consultations with Member States,</w:t>
      </w:r>
    </w:p>
    <w:p w:rsidR="00046568" w:rsidRPr="00046568" w:rsidP="00046568">
      <w:pPr>
        <w:keepNext/>
        <w:keepLines/>
        <w:pBdr>
          <w:top w:val="nil"/>
          <w:left w:val="nil"/>
          <w:bottom w:val="nil"/>
          <w:right w:val="nil"/>
          <w:between w:val="nil"/>
        </w:pBdr>
        <w:tabs>
          <w:tab w:val="left" w:pos="1134"/>
          <w:tab w:val="left" w:pos="1871"/>
          <w:tab w:val="left" w:pos="2268"/>
        </w:tabs>
        <w:spacing w:before="160"/>
        <w:ind w:left="1134" w:hanging="1134"/>
        <w:rPr>
          <w:i/>
          <w:color w:val="000000"/>
          <w:sz w:val="24"/>
          <w:szCs w:val="24"/>
          <w:lang w:val="en-GB"/>
        </w:rPr>
      </w:pPr>
      <w:r w:rsidRPr="00046568">
        <w:rPr>
          <w:i/>
          <w:color w:val="000000"/>
          <w:sz w:val="24"/>
          <w:szCs w:val="24"/>
          <w:lang w:val="en-GB"/>
        </w:rPr>
        <w:t>instructs the Director of the Radiocommunication Bureau</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to make the necessary arrangements to convene meetings of the Conference Preparatory Meeting and to prepare a report to WRC23,</w:t>
      </w:r>
    </w:p>
    <w:p w:rsidR="00046568" w:rsidRPr="00046568" w:rsidP="00046568">
      <w:pPr>
        <w:keepNext/>
        <w:keepLines/>
        <w:pBdr>
          <w:top w:val="nil"/>
          <w:left w:val="nil"/>
          <w:bottom w:val="nil"/>
          <w:right w:val="nil"/>
          <w:between w:val="nil"/>
        </w:pBdr>
        <w:tabs>
          <w:tab w:val="left" w:pos="1134"/>
          <w:tab w:val="left" w:pos="1871"/>
          <w:tab w:val="left" w:pos="2268"/>
        </w:tabs>
        <w:spacing w:before="160"/>
        <w:ind w:left="1134" w:hanging="1134"/>
        <w:rPr>
          <w:i/>
          <w:color w:val="000000"/>
          <w:sz w:val="24"/>
          <w:szCs w:val="24"/>
          <w:lang w:val="en-GB"/>
        </w:rPr>
      </w:pPr>
      <w:r w:rsidRPr="00046568">
        <w:rPr>
          <w:i/>
          <w:color w:val="000000"/>
          <w:sz w:val="24"/>
          <w:szCs w:val="24"/>
          <w:lang w:val="en-GB"/>
        </w:rPr>
        <w:t>instructs the Secretary-General</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to communicate this Resolution to international and regional organizations concerned.</w:t>
      </w: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sz w:val="24"/>
          <w:szCs w:val="24"/>
          <w:lang w:val="en-GB"/>
        </w:rPr>
        <w:t>Reasons:</w:t>
      </w:r>
      <w:r w:rsidRPr="00046568">
        <w:rPr>
          <w:sz w:val="24"/>
          <w:szCs w:val="24"/>
          <w:lang w:val="en-GB"/>
        </w:rPr>
        <w:tab/>
        <w:t xml:space="preserve">The aeronautical use of the various HF frequency bands in the range 2 850 – 22 000 kHz is essential to long distance aeronautical communications in remote and oceanic areas.  Since the last substantive review of Appendices 26 and 27 of the ITU Radio Regulations, use of HF by aviation has continued to change and grow, especially for HF Datalink (HFDL) services used by many aircraft.  Aviation is evaluating future developments within the HF band, using new </w:t>
      </w:r>
      <w:r w:rsidRPr="00046568">
        <w:rPr>
          <w:sz w:val="24"/>
          <w:szCs w:val="24"/>
          <w:lang w:val="en-GB"/>
        </w:rPr>
        <w:t xml:space="preserve">technology to significantly improve capacity, connectivity, and quality of service for aviation data and voice, including increased channel bandwidths for greater data throughput.  Such developments within existing aviation HF allocations would provide aviation with additional capabilities, improving safety, global coverage and link diversity to L-band SATCOM systems thus allowing updated HF systems to work well together in a complementary and synergistic fashion with Satcom systems to better maintain communications at all times. In light of the evolving HF technologies, Appendices 26 and 27 need to be reviewed to ensure they meet the current and future aeronautical requirements by allowing for bonding contiguous HF channels and allow digital modulations that support higher data rates while ensuring that interference outside of the assigned multi-channel bands is no greater than the interference of individually utilized channels. </w:t>
      </w:r>
    </w:p>
    <w:p w:rsidR="00046568" w:rsidRPr="00046568" w:rsidP="00046568">
      <w:pPr>
        <w:pBdr>
          <w:top w:val="nil"/>
          <w:left w:val="nil"/>
          <w:bottom w:val="nil"/>
          <w:right w:val="nil"/>
          <w:between w:val="nil"/>
        </w:pBdr>
        <w:tabs>
          <w:tab w:val="left" w:pos="1134"/>
          <w:tab w:val="left" w:pos="1871"/>
          <w:tab w:val="left" w:pos="2268"/>
        </w:tabs>
        <w:spacing w:before="120"/>
        <w:rPr>
          <w:color w:val="000000"/>
          <w:sz w:val="24"/>
          <w:szCs w:val="24"/>
          <w:lang w:val="en-GB"/>
        </w:rPr>
      </w:pPr>
      <w:r w:rsidRPr="00046568">
        <w:rPr>
          <w:color w:val="000000"/>
          <w:sz w:val="24"/>
          <w:szCs w:val="24"/>
          <w:lang w:val="en-GB"/>
        </w:rPr>
        <w:t xml:space="preserve"> </w:t>
      </w:r>
    </w:p>
    <w:p w:rsidR="00046568" w:rsidRPr="00046568" w:rsidP="00046568">
      <w:pPr>
        <w:pBdr>
          <w:top w:val="nil"/>
          <w:left w:val="nil"/>
          <w:bottom w:val="nil"/>
          <w:right w:val="nil"/>
          <w:between w:val="nil"/>
        </w:pBdr>
        <w:tabs>
          <w:tab w:val="left" w:pos="1134"/>
          <w:tab w:val="left" w:pos="1871"/>
          <w:tab w:val="left" w:pos="2268"/>
        </w:tabs>
        <w:spacing w:before="120"/>
        <w:rPr>
          <w:color w:val="000000"/>
          <w:sz w:val="24"/>
          <w:szCs w:val="24"/>
          <w:lang w:val="en-GB"/>
        </w:rPr>
      </w:pPr>
    </w:p>
    <w:p w:rsidR="00046568" w:rsidRPr="00046568" w:rsidP="00046568">
      <w:pPr>
        <w:keepNext/>
        <w:pBdr>
          <w:top w:val="nil"/>
          <w:left w:val="nil"/>
          <w:bottom w:val="nil"/>
          <w:right w:val="nil"/>
          <w:between w:val="nil"/>
        </w:pBdr>
        <w:tabs>
          <w:tab w:val="left" w:pos="1134"/>
          <w:tab w:val="left" w:pos="1871"/>
          <w:tab w:val="left" w:pos="2268"/>
        </w:tabs>
        <w:spacing w:before="240"/>
        <w:rPr>
          <w:b/>
          <w:color w:val="000000"/>
          <w:sz w:val="24"/>
          <w:szCs w:val="24"/>
          <w:lang w:val="en-GB"/>
        </w:rPr>
      </w:pPr>
      <w:r w:rsidRPr="00046568">
        <w:rPr>
          <w:b/>
          <w:color w:val="000000"/>
          <w:sz w:val="24"/>
          <w:szCs w:val="24"/>
          <w:lang w:val="en-GB"/>
        </w:rPr>
        <w:t>ADD</w:t>
      </w:r>
      <w:r w:rsidRPr="00046568">
        <w:rPr>
          <w:b/>
          <w:color w:val="000000"/>
          <w:sz w:val="24"/>
          <w:szCs w:val="24"/>
          <w:lang w:val="en-GB"/>
        </w:rPr>
        <w:tab/>
        <w:t>USA/10(XXX)/3</w:t>
      </w:r>
    </w:p>
    <w:p w:rsidR="00046568" w:rsidRPr="00046568" w:rsidP="00046568">
      <w:pPr>
        <w:tabs>
          <w:tab w:val="left" w:pos="1134"/>
          <w:tab w:val="left" w:pos="1871"/>
          <w:tab w:val="left" w:pos="2268"/>
        </w:tabs>
        <w:spacing w:before="120"/>
        <w:jc w:val="center"/>
        <w:rPr>
          <w:sz w:val="24"/>
          <w:szCs w:val="24"/>
          <w:lang w:val="en-GB"/>
        </w:rPr>
      </w:pPr>
      <w:r w:rsidRPr="00046568">
        <w:rPr>
          <w:sz w:val="24"/>
          <w:szCs w:val="24"/>
          <w:lang w:val="en-GB"/>
        </w:rPr>
        <w:t>DRAFT NEW RESOLUTION [USA/10/XX] (WRC-19)</w:t>
      </w:r>
    </w:p>
    <w:p w:rsidR="00046568" w:rsidRPr="00046568" w:rsidP="00046568">
      <w:pPr>
        <w:tabs>
          <w:tab w:val="left" w:pos="1134"/>
          <w:tab w:val="left" w:pos="1871"/>
          <w:tab w:val="left" w:pos="2268"/>
        </w:tabs>
        <w:spacing w:before="120"/>
        <w:jc w:val="center"/>
        <w:rPr>
          <w:sz w:val="24"/>
          <w:szCs w:val="24"/>
          <w:lang w:val="en-GB"/>
        </w:rPr>
      </w:pPr>
      <w:r w:rsidRPr="00046568">
        <w:rPr>
          <w:b/>
          <w:sz w:val="24"/>
          <w:szCs w:val="24"/>
          <w:lang w:val="en-GB"/>
        </w:rPr>
        <w:t>UPDATE ITU RADIO REGULATION APPENDICES 26 AND 27 IN SUPPORT OF WIDEBAND HF</w:t>
      </w:r>
    </w:p>
    <w:p w:rsidR="00046568" w:rsidRPr="00046568" w:rsidP="00046568">
      <w:pPr>
        <w:tabs>
          <w:tab w:val="left" w:pos="1134"/>
          <w:tab w:val="left" w:pos="1871"/>
          <w:tab w:val="left" w:pos="2268"/>
        </w:tabs>
        <w:spacing w:before="280"/>
        <w:rPr>
          <w:sz w:val="24"/>
          <w:szCs w:val="24"/>
          <w:lang w:val="en-GB"/>
        </w:rPr>
      </w:pPr>
      <w:r w:rsidRPr="00046568">
        <w:rPr>
          <w:sz w:val="24"/>
          <w:szCs w:val="24"/>
          <w:lang w:val="en-GB"/>
        </w:rPr>
        <w:t xml:space="preserve">The World Radiocommunication Conference (Sharm el-Sheik Egypt, 2019), </w:t>
      </w:r>
    </w:p>
    <w:p w:rsidR="00046568" w:rsidRPr="00046568" w:rsidP="00046568">
      <w:pPr>
        <w:tabs>
          <w:tab w:val="left" w:pos="1134"/>
          <w:tab w:val="left" w:pos="1871"/>
          <w:tab w:val="left" w:pos="2268"/>
        </w:tabs>
        <w:spacing w:before="160"/>
        <w:ind w:left="720"/>
        <w:rPr>
          <w:rFonts w:eastAsia="Times"/>
          <w:sz w:val="24"/>
          <w:szCs w:val="24"/>
          <w:lang w:val="en-GB"/>
        </w:rPr>
      </w:pPr>
      <w:r w:rsidRPr="00046568">
        <w:rPr>
          <w:rFonts w:eastAsia="Times"/>
          <w:i/>
          <w:sz w:val="24"/>
          <w:szCs w:val="24"/>
          <w:lang w:val="en-GB"/>
        </w:rPr>
        <w:tab/>
        <w:t>considering</w:t>
      </w:r>
    </w:p>
    <w:p w:rsidR="00046568" w:rsidRPr="00046568" w:rsidP="00046568">
      <w:pPr>
        <w:numPr>
          <w:ilvl w:val="0"/>
          <w:numId w:val="20"/>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That with the availability of advanced technologies and demonstrated capabilities of aeronautical wideband HF through channel bonding, faster data rates and better voice communications are possible;</w:t>
      </w:r>
    </w:p>
    <w:p w:rsidR="00046568" w:rsidRPr="00046568" w:rsidP="00046568">
      <w:pPr>
        <w:numPr>
          <w:ilvl w:val="0"/>
          <w:numId w:val="20"/>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That aeronautical wideband HF must co-exist with current aeronautical HF systems and will not interfere with maritime HF uses;</w:t>
      </w:r>
    </w:p>
    <w:p w:rsidR="00046568" w:rsidRPr="00046568" w:rsidP="00046568">
      <w:pPr>
        <w:numPr>
          <w:ilvl w:val="0"/>
          <w:numId w:val="20"/>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 xml:space="preserve">that desirable properties of HF propagation from the perspective of providing global coverage, </w:t>
      </w:r>
    </w:p>
    <w:p w:rsidR="00046568" w:rsidRPr="00046568" w:rsidP="00046568">
      <w:pPr>
        <w:numPr>
          <w:ilvl w:val="0"/>
          <w:numId w:val="20"/>
        </w:numPr>
        <w:tabs>
          <w:tab w:val="left" w:pos="1134"/>
          <w:tab w:val="left" w:pos="1871"/>
          <w:tab w:val="left" w:pos="2268"/>
        </w:tabs>
        <w:spacing w:before="160"/>
        <w:rPr>
          <w:sz w:val="24"/>
          <w:szCs w:val="24"/>
          <w:lang w:val="en-GB"/>
        </w:rPr>
      </w:pPr>
      <w:r w:rsidRPr="00046568">
        <w:rPr>
          <w:sz w:val="24"/>
          <w:szCs w:val="24"/>
          <w:lang w:val="en-GB"/>
        </w:rPr>
        <w:t>that aeronautical analog voice and narrow band digital HF systems are the primary means for international and domestic aviation to communicate with aircraft in remote and oceanic areas;</w:t>
      </w:r>
    </w:p>
    <w:p w:rsidR="00046568" w:rsidRPr="00046568" w:rsidP="00046568">
      <w:pPr>
        <w:numPr>
          <w:ilvl w:val="0"/>
          <w:numId w:val="20"/>
        </w:numPr>
        <w:tabs>
          <w:tab w:val="left" w:pos="1134"/>
          <w:tab w:val="left" w:pos="1871"/>
          <w:tab w:val="left" w:pos="2268"/>
        </w:tabs>
        <w:spacing w:before="160"/>
        <w:rPr>
          <w:sz w:val="24"/>
          <w:szCs w:val="24"/>
          <w:lang w:val="en-GB"/>
        </w:rPr>
      </w:pPr>
      <w:r w:rsidRPr="00046568">
        <w:rPr>
          <w:sz w:val="24"/>
          <w:szCs w:val="24"/>
          <w:lang w:val="en-GB"/>
        </w:rPr>
        <w:t>the operational need for the modernization of data link services in the HF band for messages related to the safety and regularity of flight for use by international civil aviation;</w:t>
      </w:r>
    </w:p>
    <w:p w:rsidR="00046568" w:rsidRPr="00046568" w:rsidP="00046568">
      <w:pPr>
        <w:numPr>
          <w:ilvl w:val="0"/>
          <w:numId w:val="20"/>
        </w:numPr>
        <w:tabs>
          <w:tab w:val="left" w:pos="1134"/>
          <w:tab w:val="left" w:pos="1871"/>
          <w:tab w:val="left" w:pos="2268"/>
        </w:tabs>
        <w:spacing w:before="160"/>
        <w:rPr>
          <w:rFonts w:eastAsia="Times"/>
          <w:sz w:val="24"/>
          <w:szCs w:val="24"/>
          <w:lang w:val="en-GB"/>
        </w:rPr>
      </w:pPr>
      <w:r w:rsidRPr="00046568">
        <w:rPr>
          <w:sz w:val="24"/>
          <w:szCs w:val="24"/>
          <w:lang w:val="en-GB"/>
        </w:rPr>
        <w:t>that current aeronautical HF systems are limited by the available technology, and are insufficient to meet modern aviation information requirements without being augmented by aeronautical safety satellite communications;</w:t>
      </w:r>
    </w:p>
    <w:p w:rsidR="00046568" w:rsidRPr="00046568" w:rsidP="00046568">
      <w:pPr>
        <w:numPr>
          <w:ilvl w:val="0"/>
          <w:numId w:val="20"/>
        </w:numPr>
        <w:tabs>
          <w:tab w:val="left" w:pos="1134"/>
          <w:tab w:val="left" w:pos="1871"/>
          <w:tab w:val="left" w:pos="2268"/>
        </w:tabs>
        <w:spacing w:before="120"/>
        <w:contextualSpacing/>
        <w:rPr>
          <w:sz w:val="24"/>
          <w:szCs w:val="24"/>
          <w:lang w:val="en-GB"/>
        </w:rPr>
      </w:pPr>
      <w:r w:rsidRPr="00046568">
        <w:rPr>
          <w:sz w:val="24"/>
          <w:szCs w:val="24"/>
          <w:lang w:val="en-GB"/>
        </w:rPr>
        <w:t>that the use of the frequencies in the frequency bands allocated to the aeronautical mobile (R) service (AM(R)S) in the bands between 2.8-22 MHz is governed by the provisions of RR Appendix 27,</w:t>
      </w:r>
    </w:p>
    <w:p w:rsidR="00046568" w:rsidRPr="00046568" w:rsidP="00046568">
      <w:pPr>
        <w:tabs>
          <w:tab w:val="left" w:pos="1134"/>
          <w:tab w:val="left" w:pos="1871"/>
          <w:tab w:val="left" w:pos="2268"/>
        </w:tabs>
        <w:spacing w:before="160"/>
        <w:ind w:left="1080"/>
        <w:rPr>
          <w:rFonts w:eastAsia="Times"/>
          <w:sz w:val="24"/>
          <w:szCs w:val="24"/>
          <w:lang w:val="en-GB"/>
        </w:rPr>
      </w:pPr>
      <w:r w:rsidRPr="00046568">
        <w:rPr>
          <w:rFonts w:eastAsia="Times"/>
          <w:i/>
          <w:sz w:val="24"/>
          <w:szCs w:val="24"/>
          <w:lang w:val="en-GB"/>
        </w:rPr>
        <w:t xml:space="preserve">noting </w:t>
      </w:r>
    </w:p>
    <w:p w:rsidR="00046568" w:rsidRPr="00046568" w:rsidP="00046568">
      <w:pPr>
        <w:numPr>
          <w:ilvl w:val="0"/>
          <w:numId w:val="21"/>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the special arrangements clause in Appendix 27 for classes of emissions other than J3E or H2B;</w:t>
      </w:r>
    </w:p>
    <w:p w:rsidR="00046568" w:rsidRPr="00046568" w:rsidP="00046568">
      <w:pPr>
        <w:numPr>
          <w:ilvl w:val="0"/>
          <w:numId w:val="21"/>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the existing frequency allotments for aeronautical HF and the arrangements in the HF band for maritime mobile service,</w:t>
      </w:r>
    </w:p>
    <w:p w:rsidR="00046568" w:rsidRPr="00046568" w:rsidP="00046568">
      <w:pPr>
        <w:numPr>
          <w:ilvl w:val="0"/>
          <w:numId w:val="21"/>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 xml:space="preserve">that Appendix 27 provides international and regional allotments for HF channels within the AM(R)S </w:t>
      </w:r>
    </w:p>
    <w:p w:rsidR="00046568" w:rsidRPr="00046568" w:rsidP="00046568">
      <w:pPr>
        <w:numPr>
          <w:ilvl w:val="0"/>
          <w:numId w:val="21"/>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the current HF narrow band digital communications are detailed in ITU-R Recommendation</w:t>
      </w:r>
      <w:r w:rsidRPr="00046568">
        <w:rPr>
          <w:sz w:val="24"/>
          <w:szCs w:val="24"/>
          <w:lang w:val="en-GB"/>
        </w:rPr>
        <w:t> M.1458.</w:t>
      </w:r>
    </w:p>
    <w:p w:rsidR="00046568" w:rsidRPr="00046568" w:rsidP="00046568">
      <w:pPr>
        <w:tabs>
          <w:tab w:val="left" w:pos="1134"/>
          <w:tab w:val="left" w:pos="1871"/>
          <w:tab w:val="left" w:pos="2268"/>
        </w:tabs>
        <w:spacing w:before="160"/>
        <w:ind w:left="1080"/>
        <w:rPr>
          <w:rFonts w:eastAsia="Times"/>
          <w:sz w:val="24"/>
          <w:szCs w:val="24"/>
          <w:lang w:val="en-GB"/>
        </w:rPr>
      </w:pPr>
    </w:p>
    <w:p w:rsidR="00046568" w:rsidRPr="00046568" w:rsidP="00046568">
      <w:pPr>
        <w:tabs>
          <w:tab w:val="left" w:pos="1134"/>
          <w:tab w:val="left" w:pos="1871"/>
          <w:tab w:val="left" w:pos="2268"/>
        </w:tabs>
        <w:spacing w:before="160"/>
        <w:ind w:left="720"/>
        <w:rPr>
          <w:rFonts w:eastAsia="Times"/>
          <w:sz w:val="24"/>
          <w:szCs w:val="24"/>
          <w:lang w:val="en-GB"/>
        </w:rPr>
      </w:pPr>
      <w:r w:rsidRPr="00046568">
        <w:rPr>
          <w:rFonts w:eastAsia="Times"/>
          <w:i/>
          <w:sz w:val="24"/>
          <w:szCs w:val="24"/>
          <w:lang w:val="en-GB"/>
        </w:rPr>
        <w:tab/>
        <w:t>recognizing</w:t>
      </w:r>
    </w:p>
    <w:p w:rsidR="00046568" w:rsidRPr="00046568" w:rsidP="00046568">
      <w:pPr>
        <w:numPr>
          <w:ilvl w:val="0"/>
          <w:numId w:val="22"/>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the need for improving HF performance in support of internationally recognized aviation performance standards as defined by ICAO;</w:t>
      </w:r>
    </w:p>
    <w:p w:rsidR="00046568" w:rsidRPr="00046568" w:rsidP="00046568">
      <w:pPr>
        <w:numPr>
          <w:ilvl w:val="0"/>
          <w:numId w:val="22"/>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necessary improvements in HF voice communications;</w:t>
      </w:r>
    </w:p>
    <w:p w:rsidR="00046568" w:rsidRPr="00046568" w:rsidP="00046568">
      <w:pPr>
        <w:numPr>
          <w:ilvl w:val="0"/>
          <w:numId w:val="22"/>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 xml:space="preserve">the ability to provide better communication capabilities including higher data rates; </w:t>
      </w:r>
    </w:p>
    <w:p w:rsidR="00046568" w:rsidRPr="00046568" w:rsidP="00046568">
      <w:pPr>
        <w:numPr>
          <w:ilvl w:val="0"/>
          <w:numId w:val="22"/>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The link diversity that will be provided by WBHF to current Satcom solutions,</w:t>
      </w:r>
    </w:p>
    <w:p w:rsidR="00046568" w:rsidRPr="00046568" w:rsidP="00046568">
      <w:pPr>
        <w:numPr>
          <w:ilvl w:val="0"/>
          <w:numId w:val="22"/>
        </w:numPr>
        <w:tabs>
          <w:tab w:val="left" w:pos="1134"/>
          <w:tab w:val="left" w:pos="1871"/>
          <w:tab w:val="left" w:pos="2268"/>
        </w:tabs>
        <w:spacing w:before="160"/>
        <w:rPr>
          <w:rFonts w:eastAsia="Times"/>
          <w:sz w:val="24"/>
          <w:szCs w:val="24"/>
          <w:lang w:val="en-GB"/>
        </w:rPr>
      </w:pPr>
      <w:r w:rsidRPr="00046568">
        <w:rPr>
          <w:rFonts w:eastAsia="Times"/>
          <w:sz w:val="24"/>
          <w:szCs w:val="24"/>
          <w:lang w:val="en-GB"/>
        </w:rPr>
        <w:t>The modernization of aeronautical HF communications will not require Article V allocation changes,</w:t>
      </w:r>
    </w:p>
    <w:p w:rsidR="00046568" w:rsidRPr="00046568" w:rsidP="00046568">
      <w:pPr>
        <w:tabs>
          <w:tab w:val="left" w:pos="1134"/>
          <w:tab w:val="left" w:pos="1170"/>
          <w:tab w:val="left" w:pos="1871"/>
          <w:tab w:val="left" w:pos="2268"/>
        </w:tabs>
        <w:spacing w:before="160"/>
        <w:ind w:firstLine="720"/>
        <w:rPr>
          <w:rFonts w:eastAsia="Times"/>
          <w:sz w:val="24"/>
          <w:szCs w:val="24"/>
          <w:lang w:val="en-GB"/>
        </w:rPr>
      </w:pPr>
      <w:r w:rsidRPr="00046568">
        <w:rPr>
          <w:rFonts w:eastAsia="Times"/>
          <w:i/>
          <w:sz w:val="24"/>
          <w:szCs w:val="24"/>
          <w:lang w:val="en-GB"/>
        </w:rPr>
        <w:t xml:space="preserve">       resolves to invite ITU-R</w:t>
      </w:r>
    </w:p>
    <w:p w:rsidR="00046568" w:rsidRPr="00046568" w:rsidP="00046568">
      <w:pPr>
        <w:numPr>
          <w:ilvl w:val="0"/>
          <w:numId w:val="23"/>
        </w:numPr>
        <w:tabs>
          <w:tab w:val="left" w:pos="1134"/>
          <w:tab w:val="left" w:pos="1170"/>
          <w:tab w:val="left" w:pos="1871"/>
          <w:tab w:val="left" w:pos="2268"/>
        </w:tabs>
        <w:spacing w:before="160"/>
        <w:ind w:firstLine="720"/>
        <w:rPr>
          <w:rFonts w:eastAsia="Times"/>
          <w:sz w:val="24"/>
          <w:szCs w:val="24"/>
          <w:lang w:val="en-GB"/>
        </w:rPr>
      </w:pPr>
      <w:r w:rsidRPr="00046568">
        <w:rPr>
          <w:rFonts w:eastAsia="Times"/>
          <w:sz w:val="24"/>
          <w:szCs w:val="24"/>
          <w:lang w:val="en-GB"/>
        </w:rPr>
        <w:t xml:space="preserve">to conduct studies </w:t>
      </w:r>
    </w:p>
    <w:p w:rsidR="00046568" w:rsidRPr="00046568" w:rsidP="00046568">
      <w:pPr>
        <w:tabs>
          <w:tab w:val="left" w:pos="1134"/>
          <w:tab w:val="left" w:pos="1170"/>
          <w:tab w:val="left" w:pos="1871"/>
          <w:tab w:val="left" w:pos="2268"/>
        </w:tabs>
        <w:spacing w:before="160"/>
        <w:ind w:left="720"/>
        <w:rPr>
          <w:rFonts w:eastAsia="Times"/>
          <w:sz w:val="24"/>
          <w:szCs w:val="24"/>
          <w:lang w:val="en-GB"/>
        </w:rPr>
      </w:pPr>
      <w:r w:rsidRPr="00046568">
        <w:rPr>
          <w:rFonts w:eastAsia="Times"/>
          <w:sz w:val="24"/>
          <w:szCs w:val="24"/>
          <w:lang w:val="en-GB"/>
        </w:rPr>
        <w:t>- to identify any necessary modifications to Appendices 26 and 27 towards incorporating</w:t>
      </w:r>
    </w:p>
    <w:p w:rsidR="00046568" w:rsidRPr="00046568" w:rsidP="00046568">
      <w:pPr>
        <w:tabs>
          <w:tab w:val="left" w:pos="1134"/>
          <w:tab w:val="left" w:pos="1170"/>
          <w:tab w:val="left" w:pos="1871"/>
          <w:tab w:val="left" w:pos="2268"/>
        </w:tabs>
        <w:spacing w:before="160"/>
        <w:ind w:left="720"/>
        <w:rPr>
          <w:rFonts w:eastAsia="Times"/>
          <w:sz w:val="24"/>
          <w:szCs w:val="24"/>
          <w:lang w:val="en-GB"/>
        </w:rPr>
      </w:pPr>
      <w:r w:rsidRPr="00046568">
        <w:rPr>
          <w:rFonts w:eastAsia="Times"/>
          <w:sz w:val="24"/>
          <w:szCs w:val="24"/>
          <w:lang w:val="en-GB"/>
        </w:rPr>
        <w:t xml:space="preserve">            relevant updates that allow for </w:t>
      </w:r>
      <w:r w:rsidRPr="00046568">
        <w:rPr>
          <w:sz w:val="24"/>
          <w:szCs w:val="24"/>
          <w:lang w:val="en-GB"/>
        </w:rPr>
        <w:t xml:space="preserve">advanced modulation schemes and </w:t>
      </w:r>
      <w:r w:rsidRPr="00046568">
        <w:rPr>
          <w:rFonts w:eastAsia="Times"/>
          <w:sz w:val="24"/>
          <w:szCs w:val="24"/>
          <w:lang w:val="en-GB"/>
        </w:rPr>
        <w:t xml:space="preserve">bonding of contiguous </w:t>
      </w:r>
      <w:r w:rsidRPr="00046568">
        <w:rPr>
          <w:sz w:val="24"/>
          <w:szCs w:val="24"/>
          <w:lang w:val="en-GB"/>
        </w:rPr>
        <w:t xml:space="preserve">channels in support of Wideband HF taking into account </w:t>
      </w:r>
      <w:r w:rsidRPr="00046568">
        <w:rPr>
          <w:rFonts w:eastAsia="Times"/>
          <w:sz w:val="24"/>
          <w:szCs w:val="24"/>
          <w:lang w:val="en-GB"/>
        </w:rPr>
        <w:t>the need to ensure spectral compatibility with legacy and existing uses of HF.</w:t>
      </w:r>
    </w:p>
    <w:p w:rsidR="00046568" w:rsidRPr="00046568" w:rsidP="00046568">
      <w:pPr>
        <w:numPr>
          <w:ilvl w:val="0"/>
          <w:numId w:val="24"/>
        </w:numPr>
        <w:tabs>
          <w:tab w:val="left" w:pos="1134"/>
          <w:tab w:val="left" w:pos="1871"/>
          <w:tab w:val="left" w:pos="2268"/>
        </w:tabs>
        <w:spacing w:before="120"/>
        <w:rPr>
          <w:sz w:val="24"/>
          <w:szCs w:val="24"/>
          <w:lang w:val="en-GB"/>
        </w:rPr>
      </w:pPr>
    </w:p>
    <w:p w:rsidR="00046568" w:rsidRPr="00046568" w:rsidP="00046568">
      <w:pPr>
        <w:tabs>
          <w:tab w:val="left" w:pos="1134"/>
          <w:tab w:val="left" w:pos="1170"/>
          <w:tab w:val="left" w:pos="1871"/>
          <w:tab w:val="left" w:pos="2268"/>
        </w:tabs>
        <w:spacing w:before="160"/>
        <w:ind w:left="720"/>
        <w:rPr>
          <w:rFonts w:eastAsia="Times"/>
          <w:sz w:val="24"/>
          <w:szCs w:val="24"/>
          <w:lang w:val="en-GB"/>
        </w:rPr>
      </w:pPr>
    </w:p>
    <w:p w:rsidR="00046568" w:rsidRPr="00046568" w:rsidP="00046568">
      <w:pPr>
        <w:tabs>
          <w:tab w:val="left" w:pos="1134"/>
          <w:tab w:val="left" w:pos="1170"/>
          <w:tab w:val="left" w:pos="1871"/>
          <w:tab w:val="left" w:pos="2268"/>
        </w:tabs>
        <w:spacing w:before="160"/>
        <w:ind w:left="1080"/>
        <w:rPr>
          <w:rFonts w:eastAsia="Times"/>
          <w:sz w:val="24"/>
          <w:szCs w:val="24"/>
          <w:lang w:val="en-GB"/>
        </w:rPr>
      </w:pPr>
      <w:r w:rsidRPr="00046568">
        <w:rPr>
          <w:rFonts w:eastAsia="Times"/>
          <w:i/>
          <w:sz w:val="24"/>
          <w:szCs w:val="24"/>
          <w:lang w:val="en-GB"/>
        </w:rPr>
        <w:t>further resolves to invite WRC-23</w:t>
      </w:r>
    </w:p>
    <w:p w:rsidR="00046568" w:rsidRPr="00046568" w:rsidP="00046568">
      <w:pPr>
        <w:shd w:val="clear" w:color="auto" w:fill="FFFFFF"/>
        <w:ind w:left="720"/>
        <w:rPr>
          <w:color w:val="212121"/>
          <w:sz w:val="24"/>
          <w:szCs w:val="24"/>
        </w:rPr>
      </w:pPr>
      <w:r w:rsidRPr="00046568">
        <w:rPr>
          <w:sz w:val="24"/>
          <w:szCs w:val="24"/>
          <w:lang w:val="en-GB"/>
        </w:rPr>
        <w:t xml:space="preserve">            </w:t>
      </w:r>
      <w:r w:rsidRPr="00046568">
        <w:rPr>
          <w:color w:val="212121"/>
          <w:sz w:val="24"/>
          <w:szCs w:val="24"/>
        </w:rPr>
        <w:t>to consider, on the basis of the studies conducted under the </w:t>
      </w:r>
      <w:r w:rsidRPr="00046568">
        <w:rPr>
          <w:i/>
          <w:iCs/>
          <w:color w:val="212121"/>
          <w:sz w:val="24"/>
          <w:szCs w:val="24"/>
        </w:rPr>
        <w:t>resolves to invite ITU-R </w:t>
      </w:r>
      <w:r w:rsidRPr="00046568">
        <w:rPr>
          <w:color w:val="212121"/>
          <w:sz w:val="24"/>
          <w:szCs w:val="24"/>
        </w:rPr>
        <w:t>above,</w:t>
      </w:r>
      <w:r w:rsidRPr="00046568">
        <w:rPr>
          <w:i/>
          <w:iCs/>
          <w:color w:val="212121"/>
          <w:sz w:val="24"/>
          <w:szCs w:val="24"/>
        </w:rPr>
        <w:t> </w:t>
      </w:r>
      <w:r w:rsidRPr="00046568">
        <w:rPr>
          <w:color w:val="212121"/>
          <w:sz w:val="24"/>
          <w:szCs w:val="24"/>
        </w:rPr>
        <w:t>appropriate regulatory revisions to Appendices 26 and 27 </w:t>
      </w:r>
    </w:p>
    <w:p w:rsidR="00046568" w:rsidRPr="00046568" w:rsidP="00046568">
      <w:pPr>
        <w:rPr>
          <w:sz w:val="24"/>
          <w:szCs w:val="24"/>
        </w:rPr>
      </w:pPr>
    </w:p>
    <w:p w:rsidR="00046568" w:rsidRPr="00046568" w:rsidP="00046568">
      <w:pPr>
        <w:tabs>
          <w:tab w:val="left" w:pos="1134"/>
          <w:tab w:val="left" w:pos="1170"/>
          <w:tab w:val="left" w:pos="1871"/>
          <w:tab w:val="left" w:pos="2268"/>
        </w:tabs>
        <w:spacing w:before="120"/>
        <w:ind w:left="720"/>
        <w:rPr>
          <w:rFonts w:eastAsia="Times"/>
          <w:sz w:val="24"/>
          <w:szCs w:val="24"/>
          <w:lang w:val="en-GB"/>
        </w:rPr>
      </w:pPr>
    </w:p>
    <w:p w:rsidR="00046568" w:rsidRPr="00046568" w:rsidP="00046568">
      <w:pPr>
        <w:tabs>
          <w:tab w:val="left" w:pos="1134"/>
          <w:tab w:val="left" w:pos="1871"/>
          <w:tab w:val="left" w:pos="2268"/>
        </w:tabs>
        <w:spacing w:before="120"/>
        <w:jc w:val="center"/>
        <w:rPr>
          <w:sz w:val="24"/>
          <w:szCs w:val="24"/>
          <w:lang w:val="en-GB"/>
        </w:rPr>
      </w:pPr>
      <w:r w:rsidRPr="00046568">
        <w:rPr>
          <w:b/>
          <w:sz w:val="24"/>
          <w:szCs w:val="24"/>
          <w:lang w:val="en-GB"/>
        </w:rPr>
        <w:t>ATTACHMENT</w:t>
      </w: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spacing w:before="120"/>
        <w:jc w:val="center"/>
        <w:rPr>
          <w:sz w:val="24"/>
          <w:szCs w:val="24"/>
          <w:lang w:val="en-GB"/>
        </w:rPr>
      </w:pPr>
      <w:r w:rsidRPr="00046568">
        <w:rPr>
          <w:b/>
          <w:sz w:val="24"/>
          <w:szCs w:val="24"/>
          <w:lang w:val="en-GB"/>
        </w:rPr>
        <w:t>PROPOSAL FOR FUTURE AGENDA ITEM TO UPDATE ITU RADIO REGULATION APPENDICES 26 AND 27 IN SUPPORT OF WIDEBAND HF</w:t>
      </w: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spacing w:before="120"/>
        <w:rPr>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sz w:val="24"/>
          <w:szCs w:val="24"/>
          <w:lang w:val="en-GB"/>
        </w:rPr>
        <w:t>Subject:</w:t>
      </w:r>
      <w:r w:rsidRPr="00046568">
        <w:rPr>
          <w:sz w:val="24"/>
          <w:szCs w:val="24"/>
          <w:lang w:val="en-GB"/>
        </w:rPr>
        <w:t xml:space="preserve"> Proposed Future WRC Agenda Item for WRC-2023 to support updates to ITU Radio Regulations in support of Wideband HF</w:t>
      </w:r>
    </w:p>
    <w:p w:rsidR="00046568" w:rsidRPr="00046568" w:rsidP="00046568">
      <w:pPr>
        <w:tabs>
          <w:tab w:val="left" w:pos="1134"/>
          <w:tab w:val="left" w:pos="1871"/>
          <w:tab w:val="left" w:pos="2268"/>
        </w:tabs>
        <w:spacing w:before="120"/>
        <w:rPr>
          <w:sz w:val="24"/>
          <w:szCs w:val="24"/>
          <w:lang w:val="en-GB"/>
        </w:rPr>
      </w:pPr>
      <w:r w:rsidRPr="00046568">
        <w:rPr>
          <w:b/>
          <w:sz w:val="24"/>
          <w:szCs w:val="24"/>
          <w:lang w:val="en-GB"/>
        </w:rPr>
        <w:t>Origin</w:t>
      </w:r>
      <w:r w:rsidRPr="00046568">
        <w:rPr>
          <w:sz w:val="24"/>
          <w:szCs w:val="24"/>
          <w:lang w:val="en-GB"/>
        </w:rPr>
        <w:t>: United States of America</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p w:rsidR="00046568" w:rsidRPr="00046568" w:rsidP="00046568">
      <w:pPr>
        <w:tabs>
          <w:tab w:val="left" w:pos="1134"/>
          <w:tab w:val="left" w:pos="1871"/>
          <w:tab w:val="left" w:pos="2268"/>
        </w:tabs>
        <w:spacing w:before="120"/>
        <w:rPr>
          <w:rFonts w:eastAsia="Times"/>
          <w:sz w:val="24"/>
          <w:szCs w:val="24"/>
          <w:lang w:val="en-GB"/>
        </w:rPr>
      </w:pPr>
      <w:r w:rsidRPr="00046568">
        <w:rPr>
          <w:rFonts w:eastAsia="Times"/>
          <w:i/>
          <w:sz w:val="24"/>
          <w:szCs w:val="24"/>
          <w:lang w:val="en-GB"/>
        </w:rPr>
        <w:t xml:space="preserve">Proposal: </w:t>
      </w:r>
      <w:r w:rsidRPr="00046568">
        <w:rPr>
          <w:rFonts w:eastAsia="Times"/>
          <w:sz w:val="24"/>
          <w:szCs w:val="24"/>
          <w:lang w:val="en-GB"/>
        </w:rPr>
        <w:t xml:space="preserve">To review and update the relevant sections of ITU RR Appendices 26 and 27 in support of </w:t>
      </w:r>
      <w:r w:rsidRPr="00046568">
        <w:rPr>
          <w:sz w:val="24"/>
          <w:szCs w:val="24"/>
          <w:lang w:val="en-GB"/>
        </w:rPr>
        <w:t>Wideband HF</w:t>
      </w:r>
      <w:r w:rsidRPr="00046568">
        <w:rPr>
          <w:rFonts w:eastAsia="Times"/>
          <w:sz w:val="24"/>
          <w:szCs w:val="24"/>
          <w:lang w:val="en-GB"/>
        </w:rPr>
        <w:t xml:space="preserve"> for aviation applications while ensuring compatibility with legacy HF uses. </w:t>
      </w:r>
    </w:p>
    <w:p w:rsidR="00046568" w:rsidRPr="00046568" w:rsidP="00046568">
      <w:pPr>
        <w:tabs>
          <w:tab w:val="left" w:pos="1134"/>
          <w:tab w:val="left" w:pos="1871"/>
          <w:tab w:val="left" w:pos="2268"/>
        </w:tabs>
        <w:spacing w:before="120"/>
        <w:rPr>
          <w:rFonts w:eastAsia="Times"/>
          <w:sz w:val="24"/>
          <w:szCs w:val="24"/>
          <w:lang w:val="en-GB"/>
        </w:rPr>
      </w:pP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Background/reason:</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 xml:space="preserve">The aeronautical use of the various HF frequency bands in the range 2 850 – 22 000 kHz is essential to long distance aeronautical communications in remote and oceanic areas.  Since the last substantive review of Appendices 26 and 27 of the ITU Radio Regulations, use of HF by aviation has continued to change and grow, especially for HF Datalink (HFDL) services used by many aircraft.  Aviation is evaluating future developments within the HF band, using new technology to significantly improve capacity, connectivity, and quality of service for aviation data and voice, including increased channel bandwidths for greater data throughput.  Such developments within existing aviation HF allocations would provide aviation with additional capabilities, improving safety, global coverage and link diversity to L-band SATCOM systems thus allowing updated HF systems to work well together in a complementary and synergistic fashion with Satcom systems to better maintain communications at all times. In light of the evolving HF technologies, Appendices 26 and 27 need to be reviewed to ensure they meet the current and future aeronautical requirements by allowing for bonding contiguous HF channels and allow digital modulations that support higher data rates while ensuring that interference outside of the assigned multi-channel bands is no greater than the interference of individually utilized channels.  </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r w:rsidRPr="00046568">
        <w:rPr>
          <w:rFonts w:eastAsia="Times"/>
          <w:sz w:val="24"/>
          <w:szCs w:val="24"/>
          <w:highlight w:val="yellow"/>
          <w:lang w:val="en-GB"/>
        </w:rPr>
        <w:t xml:space="preserve"> </w:t>
      </w: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 xml:space="preserve">Radiocommunication services concerned: </w:t>
      </w:r>
    </w:p>
    <w:p w:rsidR="00046568" w:rsidRPr="00046568" w:rsidP="00046568">
      <w:pPr>
        <w:tabs>
          <w:tab w:val="left" w:pos="1134"/>
          <w:tab w:val="left" w:pos="1871"/>
          <w:tab w:val="left" w:pos="2268"/>
        </w:tabs>
        <w:spacing w:before="120"/>
        <w:rPr>
          <w:sz w:val="24"/>
          <w:szCs w:val="24"/>
          <w:lang w:val="en-GB"/>
        </w:rPr>
      </w:pPr>
      <w:r w:rsidRPr="00046568">
        <w:rPr>
          <w:sz w:val="24"/>
          <w:szCs w:val="24"/>
          <w:lang w:val="en-GB"/>
        </w:rPr>
        <w:t>Terrestrial HF Radio communication</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 xml:space="preserve">Indication of possible difficulties: </w:t>
      </w:r>
      <w:r w:rsidRPr="00046568">
        <w:rPr>
          <w:sz w:val="24"/>
          <w:szCs w:val="24"/>
          <w:lang w:val="en-GB"/>
        </w:rPr>
        <w:t>none foreseen</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Previous/ongoing studies on the issue</w:t>
      </w:r>
      <w:r w:rsidRPr="00046568">
        <w:rPr>
          <w:sz w:val="24"/>
          <w:szCs w:val="24"/>
          <w:lang w:val="en-GB"/>
        </w:rPr>
        <w:t>: N/A</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tbl>
      <w:tblPr>
        <w:tblW w:w="9336" w:type="dxa"/>
        <w:tblBorders>
          <w:top w:val="nil"/>
          <w:left w:val="nil"/>
          <w:bottom w:val="single" w:sz="12" w:space="0" w:color="000000"/>
          <w:right w:val="nil"/>
          <w:insideH w:val="single" w:sz="12" w:space="0" w:color="000000"/>
          <w:insideV w:val="single" w:sz="12" w:space="0" w:color="000000"/>
        </w:tblBorders>
        <w:tblLayout w:type="fixed"/>
        <w:tblLook w:val="0000"/>
      </w:tblPr>
      <w:tblGrid>
        <w:gridCol w:w="3979"/>
        <w:gridCol w:w="5357"/>
      </w:tblGrid>
      <w:tr w:rsidTr="003B7CB6">
        <w:tblPrEx>
          <w:tblW w:w="9336" w:type="dxa"/>
          <w:tblBorders>
            <w:top w:val="nil"/>
            <w:left w:val="nil"/>
            <w:bottom w:val="single" w:sz="12" w:space="0" w:color="000000"/>
            <w:right w:val="nil"/>
            <w:insideH w:val="single" w:sz="12" w:space="0" w:color="000000"/>
            <w:insideV w:val="single" w:sz="12" w:space="0" w:color="000000"/>
          </w:tblBorders>
          <w:tblLayout w:type="fixed"/>
          <w:tblLook w:val="0000"/>
        </w:tblPrEx>
        <w:tc>
          <w:tcPr>
            <w:tcW w:w="3979" w:type="dxa"/>
            <w:tcBorders>
              <w:top w:val="nil"/>
              <w:left w:val="nil"/>
              <w:bottom w:val="single" w:sz="12" w:space="0" w:color="000000"/>
              <w:right w:val="single" w:sz="12" w:space="0" w:color="000000"/>
            </w:tcBorders>
          </w:tcPr>
          <w:p w:rsidR="00046568" w:rsidRPr="00046568" w:rsidP="00046568">
            <w:pPr>
              <w:tabs>
                <w:tab w:val="left" w:pos="1134"/>
                <w:tab w:val="left" w:pos="1871"/>
                <w:tab w:val="left" w:pos="2268"/>
                <w:tab w:val="left" w:pos="4366"/>
              </w:tabs>
              <w:spacing w:before="120"/>
              <w:jc w:val="center"/>
              <w:rPr>
                <w:color w:val="000000"/>
                <w:sz w:val="24"/>
                <w:szCs w:val="24"/>
                <w:lang w:val="en-GB"/>
              </w:rPr>
            </w:pPr>
            <w:r w:rsidRPr="00046568">
              <w:rPr>
                <w:b/>
                <w:i/>
                <w:color w:val="000000"/>
                <w:sz w:val="24"/>
                <w:szCs w:val="24"/>
                <w:lang w:val="en-GB"/>
              </w:rPr>
              <w:t xml:space="preserve">Studies to be carried out by: </w:t>
            </w:r>
            <w:r w:rsidRPr="00046568">
              <w:rPr>
                <w:color w:val="000000"/>
                <w:sz w:val="24"/>
                <w:szCs w:val="24"/>
                <w:lang w:val="en-GB"/>
              </w:rPr>
              <w:t>ITU-R WP5B</w:t>
            </w:r>
          </w:p>
          <w:p w:rsidR="00046568" w:rsidRPr="00046568" w:rsidP="00046568">
            <w:pPr>
              <w:tabs>
                <w:tab w:val="left" w:pos="1134"/>
                <w:tab w:val="left" w:pos="1871"/>
                <w:tab w:val="left" w:pos="2268"/>
                <w:tab w:val="left" w:pos="4366"/>
              </w:tabs>
              <w:spacing w:before="120"/>
              <w:jc w:val="center"/>
              <w:rPr>
                <w:color w:val="000000"/>
                <w:sz w:val="24"/>
                <w:szCs w:val="24"/>
                <w:lang w:val="en-GB"/>
              </w:rPr>
            </w:pPr>
          </w:p>
        </w:tc>
        <w:tc>
          <w:tcPr>
            <w:tcW w:w="5357" w:type="dxa"/>
            <w:tcBorders>
              <w:top w:val="nil"/>
              <w:left w:val="single" w:sz="12" w:space="0" w:color="000000"/>
              <w:bottom w:val="single" w:sz="12" w:space="0" w:color="000000"/>
              <w:right w:val="nil"/>
            </w:tcBorders>
          </w:tcPr>
          <w:p w:rsidR="00046568" w:rsidRPr="00046568" w:rsidP="00046568">
            <w:pPr>
              <w:tabs>
                <w:tab w:val="left" w:pos="360"/>
                <w:tab w:val="left" w:pos="900"/>
                <w:tab w:val="left" w:pos="1134"/>
                <w:tab w:val="left" w:pos="1871"/>
                <w:tab w:val="left" w:pos="2268"/>
                <w:tab w:val="left" w:pos="4366"/>
              </w:tabs>
              <w:spacing w:before="120"/>
              <w:ind w:left="113"/>
              <w:jc w:val="center"/>
              <w:rPr>
                <w:color w:val="000000"/>
                <w:sz w:val="24"/>
                <w:szCs w:val="24"/>
                <w:lang w:val="en-GB"/>
              </w:rPr>
            </w:pPr>
            <w:r w:rsidRPr="00046568">
              <w:rPr>
                <w:i/>
                <w:color w:val="000000"/>
                <w:sz w:val="24"/>
                <w:szCs w:val="24"/>
                <w:lang w:val="en-GB"/>
              </w:rPr>
              <w:t xml:space="preserve">with the participation of: </w:t>
            </w:r>
          </w:p>
          <w:p w:rsidR="00046568" w:rsidRPr="00046568" w:rsidP="00046568">
            <w:pPr>
              <w:tabs>
                <w:tab w:val="left" w:pos="360"/>
                <w:tab w:val="left" w:pos="900"/>
                <w:tab w:val="left" w:pos="1134"/>
                <w:tab w:val="left" w:pos="1871"/>
                <w:tab w:val="left" w:pos="2268"/>
                <w:tab w:val="left" w:pos="4366"/>
              </w:tabs>
              <w:spacing w:before="120"/>
              <w:ind w:left="113"/>
              <w:jc w:val="center"/>
              <w:rPr>
                <w:color w:val="000000"/>
                <w:sz w:val="24"/>
                <w:szCs w:val="24"/>
                <w:lang w:val="en-GB"/>
              </w:rPr>
            </w:pPr>
          </w:p>
          <w:p w:rsidR="00046568" w:rsidRPr="00046568" w:rsidP="00046568">
            <w:pPr>
              <w:tabs>
                <w:tab w:val="left" w:pos="360"/>
                <w:tab w:val="left" w:pos="900"/>
                <w:tab w:val="left" w:pos="1134"/>
                <w:tab w:val="left" w:pos="1871"/>
                <w:tab w:val="left" w:pos="2268"/>
                <w:tab w:val="left" w:pos="4366"/>
              </w:tabs>
              <w:spacing w:before="120"/>
              <w:ind w:left="113"/>
              <w:jc w:val="center"/>
              <w:rPr>
                <w:color w:val="000000"/>
                <w:sz w:val="24"/>
                <w:szCs w:val="24"/>
                <w:lang w:val="en-GB"/>
              </w:rPr>
            </w:pPr>
          </w:p>
        </w:tc>
      </w:tr>
    </w:tbl>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 xml:space="preserve">ITU-R Study Groups concerned: </w:t>
      </w:r>
      <w:r w:rsidRPr="00046568">
        <w:rPr>
          <w:sz w:val="24"/>
          <w:szCs w:val="24"/>
          <w:lang w:val="en-GB"/>
        </w:rPr>
        <w:t>SG 5</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ITU resource implications, including financial implications (refer to CV126):</w:t>
      </w:r>
      <w:r w:rsidRPr="00046568">
        <w:rPr>
          <w:sz w:val="24"/>
          <w:szCs w:val="24"/>
          <w:lang w:val="en-GB"/>
        </w:rPr>
        <w:t xml:space="preserve">  minimal</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 xml:space="preserve">Common regional proposal: </w:t>
      </w:r>
      <w:r w:rsidRPr="00046568">
        <w:rPr>
          <w:sz w:val="24"/>
          <w:szCs w:val="24"/>
          <w:lang w:val="en-GB"/>
        </w:rPr>
        <w:t xml:space="preserve">Yes/No </w:t>
      </w:r>
      <w:r w:rsidRPr="00046568">
        <w:rPr>
          <w:sz w:val="24"/>
          <w:szCs w:val="24"/>
          <w:lang w:val="en-GB"/>
        </w:rPr>
        <w:tab/>
      </w:r>
      <w:r w:rsidRPr="00046568">
        <w:rPr>
          <w:sz w:val="24"/>
          <w:szCs w:val="24"/>
          <w:lang w:val="en-GB"/>
        </w:rPr>
        <w:tab/>
      </w:r>
      <w:r w:rsidRPr="00046568">
        <w:rPr>
          <w:b/>
          <w:i/>
          <w:sz w:val="24"/>
          <w:szCs w:val="24"/>
          <w:lang w:val="en-GB"/>
        </w:rPr>
        <w:t xml:space="preserve">Multicountry proposal: </w:t>
      </w:r>
      <w:r w:rsidRPr="00046568">
        <w:rPr>
          <w:sz w:val="24"/>
          <w:szCs w:val="24"/>
          <w:lang w:val="en-GB"/>
        </w:rPr>
        <w:t>Yes/No</w:t>
      </w:r>
    </w:p>
    <w:p w:rsidR="00046568" w:rsidRPr="00046568" w:rsidP="00046568">
      <w:pPr>
        <w:tabs>
          <w:tab w:val="left" w:pos="1134"/>
          <w:tab w:val="left" w:pos="1871"/>
          <w:tab w:val="left" w:pos="2268"/>
        </w:tabs>
        <w:spacing w:before="120"/>
        <w:ind w:firstLine="720"/>
        <w:rPr>
          <w:rFonts w:eastAsia="Times"/>
          <w:sz w:val="24"/>
          <w:szCs w:val="24"/>
          <w:lang w:val="en-GB"/>
        </w:rPr>
      </w:pPr>
      <w:r w:rsidRPr="00046568">
        <w:rPr>
          <w:rFonts w:eastAsia="Times"/>
          <w:i/>
          <w:sz w:val="24"/>
          <w:szCs w:val="24"/>
          <w:lang w:val="en-GB"/>
        </w:rPr>
        <w:t>Number of countries:</w:t>
      </w:r>
    </w:p>
    <w:p w:rsidR="00046568" w:rsidRPr="00046568" w:rsidP="00046568">
      <w:pPr>
        <w:pBdr>
          <w:bottom w:val="single" w:sz="12" w:space="1" w:color="000000"/>
        </w:pBdr>
        <w:tabs>
          <w:tab w:val="left" w:pos="794"/>
          <w:tab w:val="left" w:pos="1134"/>
          <w:tab w:val="left" w:pos="1191"/>
          <w:tab w:val="left" w:pos="1588"/>
          <w:tab w:val="left" w:pos="1871"/>
          <w:tab w:val="left" w:pos="1985"/>
          <w:tab w:val="left" w:pos="2268"/>
        </w:tabs>
        <w:spacing w:before="120"/>
        <w:rPr>
          <w:color w:val="000000"/>
          <w:sz w:val="24"/>
          <w:szCs w:val="24"/>
          <w:lang w:val="en-GB"/>
        </w:rPr>
      </w:pPr>
      <w:r w:rsidRPr="00046568">
        <w:rPr>
          <w:color w:val="000000"/>
          <w:sz w:val="24"/>
          <w:szCs w:val="24"/>
          <w:lang w:val="en-GB"/>
        </w:rPr>
        <w:t xml:space="preserve"> </w:t>
      </w:r>
    </w:p>
    <w:p w:rsidR="00046568" w:rsidRPr="00046568" w:rsidP="00046568">
      <w:pPr>
        <w:tabs>
          <w:tab w:val="left" w:pos="1134"/>
          <w:tab w:val="left" w:pos="1871"/>
          <w:tab w:val="left" w:pos="2268"/>
        </w:tabs>
        <w:spacing w:before="120"/>
        <w:rPr>
          <w:sz w:val="24"/>
          <w:szCs w:val="24"/>
          <w:lang w:val="en-GB"/>
        </w:rPr>
      </w:pPr>
      <w:r w:rsidRPr="00046568">
        <w:rPr>
          <w:b/>
          <w:i/>
          <w:sz w:val="24"/>
          <w:szCs w:val="24"/>
          <w:lang w:val="en-GB"/>
        </w:rPr>
        <w:t>Remarks</w:t>
      </w:r>
    </w:p>
    <w:p w:rsidR="00046568" w:rsidRPr="00046568" w:rsidP="00046568">
      <w:pPr>
        <w:keepNext/>
        <w:keepLines/>
        <w:pBdr>
          <w:top w:val="nil"/>
          <w:left w:val="nil"/>
          <w:bottom w:val="nil"/>
          <w:right w:val="nil"/>
          <w:between w:val="nil"/>
        </w:pBdr>
        <w:tabs>
          <w:tab w:val="left" w:pos="1134"/>
          <w:tab w:val="left" w:pos="1871"/>
          <w:tab w:val="left" w:pos="2268"/>
        </w:tabs>
        <w:spacing w:before="480"/>
        <w:jc w:val="center"/>
        <w:rPr>
          <w:smallCaps/>
          <w:color w:val="000000"/>
          <w:sz w:val="24"/>
          <w:szCs w:val="24"/>
          <w:lang w:val="en-GB"/>
        </w:rPr>
      </w:pPr>
      <w:r w:rsidRPr="00046568">
        <w:rPr>
          <w:smallCaps/>
          <w:color w:val="000000"/>
          <w:sz w:val="24"/>
          <w:szCs w:val="24"/>
          <w:lang w:val="en-GB"/>
        </w:rPr>
        <w:t>_____________________</w:t>
      </w:r>
    </w:p>
    <w:p w:rsidR="00046568">
      <w:pPr>
        <w:spacing w:after="200" w:line="276" w:lineRule="auto"/>
        <w:rPr>
          <w:b/>
          <w:sz w:val="24"/>
          <w:szCs w:val="24"/>
        </w:rPr>
      </w:pPr>
    </w:p>
    <w:p w:rsidR="00046568">
      <w:pPr>
        <w:spacing w:after="200" w:line="276" w:lineRule="auto"/>
        <w:rPr>
          <w:b/>
          <w:sz w:val="24"/>
          <w:szCs w:val="24"/>
        </w:rPr>
      </w:pPr>
      <w:r>
        <w:rPr>
          <w:b/>
          <w:sz w:val="24"/>
          <w:szCs w:val="24"/>
        </w:rPr>
        <w:br w:type="page"/>
      </w:r>
    </w:p>
    <w:p w:rsidR="00046568" w:rsidP="00046568">
      <w:pPr>
        <w:spacing w:after="200" w:line="276" w:lineRule="auto"/>
        <w:rPr>
          <w:b/>
          <w:sz w:val="24"/>
          <w:szCs w:val="24"/>
        </w:rPr>
      </w:pPr>
      <w:r>
        <w:rPr>
          <w:b/>
          <w:sz w:val="24"/>
          <w:szCs w:val="24"/>
        </w:rPr>
        <w:t>DOCUMENT WAC/085 (11.03.19)</w:t>
      </w:r>
    </w:p>
    <w:p w:rsidR="003B7CB6" w:rsidP="00046568">
      <w:pPr>
        <w:spacing w:after="200" w:line="276" w:lineRule="auto"/>
        <w:rPr>
          <w:b/>
          <w:sz w:val="24"/>
          <w:szCs w:val="24"/>
        </w:rPr>
      </w:pPr>
      <w:r w:rsidRPr="003B7CB6">
        <w:rPr>
          <w:noProof/>
        </w:rPr>
        <w:drawing>
          <wp:inline distT="0" distB="0" distL="0" distR="0">
            <wp:extent cx="6115685" cy="1965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55849"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15685" cy="1965126"/>
                    </a:xfrm>
                    <a:prstGeom prst="rect">
                      <a:avLst/>
                    </a:prstGeom>
                    <a:noFill/>
                    <a:ln>
                      <a:noFill/>
                    </a:ln>
                  </pic:spPr>
                </pic:pic>
              </a:graphicData>
            </a:graphic>
          </wp:inline>
        </w:drawing>
      </w:r>
    </w:p>
    <w:p w:rsidR="003B7CB6" w:rsidRPr="003B7CB6" w:rsidP="003B7CB6">
      <w:pPr>
        <w:keepNext/>
        <w:keepLines/>
        <w:tabs>
          <w:tab w:val="left" w:pos="794"/>
          <w:tab w:val="left" w:pos="2127"/>
          <w:tab w:val="left" w:pos="2410"/>
          <w:tab w:val="left" w:pos="2921"/>
          <w:tab w:val="left" w:pos="3261"/>
        </w:tabs>
        <w:spacing w:before="160"/>
        <w:rPr>
          <w:sz w:val="24"/>
          <w:lang w:val="en-GB"/>
        </w:rPr>
      </w:pPr>
      <w:r w:rsidRPr="003B7CB6">
        <w:rPr>
          <w:sz w:val="24"/>
          <w:lang w:val="en-GB"/>
        </w:rPr>
        <w:t>10</w:t>
      </w:r>
      <w:r w:rsidRPr="003B7CB6">
        <w:rPr>
          <w:b/>
          <w:bCs/>
          <w:sz w:val="24"/>
          <w:lang w:val="en-GB"/>
        </w:rPr>
        <w:tab/>
      </w:r>
      <w:r w:rsidRPr="003B7CB6">
        <w:rPr>
          <w:i/>
          <w:sz w:val="24"/>
          <w:lang w:val="en-GB"/>
        </w:rPr>
        <w:t>to recommend to the Council items for inclusion in the agenda for the next WRC, and to give its views on the preliminary agenda for the subsequent conference and on possible agenda items for future conferences, in accordance with Article 7 of the Convention</w:t>
      </w:r>
      <w:r w:rsidRPr="003B7CB6">
        <w:rPr>
          <w:sz w:val="24"/>
          <w:lang w:val="en-GB"/>
        </w:rPr>
        <w:t>,</w:t>
      </w:r>
    </w:p>
    <w:p w:rsidR="003B7CB6" w:rsidRPr="003B7CB6" w:rsidP="003B7CB6">
      <w:pPr>
        <w:keepNext/>
        <w:keepLines/>
        <w:tabs>
          <w:tab w:val="left" w:pos="794"/>
          <w:tab w:val="left" w:pos="2127"/>
          <w:tab w:val="left" w:pos="2410"/>
          <w:tab w:val="left" w:pos="2921"/>
          <w:tab w:val="left" w:pos="3261"/>
        </w:tabs>
        <w:spacing w:before="160"/>
        <w:rPr>
          <w:b/>
          <w:sz w:val="24"/>
          <w:szCs w:val="24"/>
          <w:lang w:val="en-GB" w:eastAsia="fr-FR"/>
        </w:rPr>
      </w:pPr>
    </w:p>
    <w:p w:rsidR="003B7CB6" w:rsidRPr="003B7CB6" w:rsidP="003B7CB6">
      <w:pPr>
        <w:rPr>
          <w:b/>
          <w:sz w:val="24"/>
          <w:szCs w:val="24"/>
        </w:rPr>
      </w:pPr>
      <w:r w:rsidRPr="003B7CB6">
        <w:rPr>
          <w:b/>
          <w:sz w:val="24"/>
          <w:szCs w:val="24"/>
        </w:rPr>
        <w:t>Background Information</w:t>
      </w:r>
      <w:r w:rsidRPr="003B7CB6">
        <w:rPr>
          <w:sz w:val="24"/>
          <w:szCs w:val="24"/>
        </w:rPr>
        <w:t>:</w:t>
      </w:r>
      <w:r w:rsidRPr="003B7CB6">
        <w:rPr>
          <w:b/>
          <w:sz w:val="24"/>
          <w:szCs w:val="24"/>
        </w:rPr>
        <w:t xml:space="preserve">  </w:t>
      </w:r>
    </w:p>
    <w:p w:rsidR="003B7CB6" w:rsidRPr="003B7CB6" w:rsidP="003B7CB6">
      <w:pPr>
        <w:rPr>
          <w:bCs/>
          <w:iCs/>
          <w:sz w:val="24"/>
          <w:szCs w:val="24"/>
          <w:lang w:val="en-GB"/>
        </w:rPr>
      </w:pPr>
      <w:r w:rsidRPr="003B7CB6">
        <w:rPr>
          <w:bCs/>
          <w:iCs/>
          <w:sz w:val="24"/>
          <w:szCs w:val="24"/>
          <w:lang w:val="en-GB"/>
        </w:rPr>
        <w:tab/>
        <w:t xml:space="preserve">Administrations are re-allocating spectrum away from Electronic News Gathering (ENG), also known as Services Ancillary to Broadcast and Program Making (SAP/SAB) and Programme Making &amp; Special Events (PMSE), to accommodate wireless technologies, such as International Mobile Telecommunications (IMT).  Some of this re-purposed spectrum is in the 600 MHz and 700 MHz bands which are heavily used by ENG.  There is a general incompatibility </w:t>
      </w:r>
      <w:bookmarkStart w:id="4" w:name="_Hlk532912994"/>
      <w:r w:rsidRPr="003B7CB6">
        <w:rPr>
          <w:bCs/>
          <w:iCs/>
          <w:sz w:val="24"/>
          <w:szCs w:val="24"/>
          <w:lang w:val="en-GB"/>
        </w:rPr>
        <w:t xml:space="preserve">in co-channel spectrum sharing </w:t>
      </w:r>
      <w:bookmarkEnd w:id="4"/>
      <w:r w:rsidRPr="003B7CB6">
        <w:rPr>
          <w:bCs/>
          <w:iCs/>
          <w:sz w:val="24"/>
          <w:szCs w:val="24"/>
          <w:lang w:val="en-GB"/>
        </w:rPr>
        <w:t xml:space="preserve">between IMT and wireless ENG tools, particularly wireless microphones (where the definition of wireless microphones includes a wide variety of production tools such as intercom systems, in-ear monitors, and interruptible fold-back systems).  For example, in the United States the repurposing of the 700 MHz band in 2010, and 600 MHz band currently in transition, not only has and will reduce TV broadcast spectrum, but will also displace a large portion of ENG operations.  Other countries are now, or soon will be, undergoing a similar process. This re-purposing of spectrum from traditional TV broadcast to mobile broadband is an issue of the </w:t>
      </w:r>
      <w:r w:rsidRPr="003B7CB6">
        <w:rPr>
          <w:bCs/>
          <w:i/>
          <w:iCs/>
          <w:sz w:val="24"/>
          <w:szCs w:val="24"/>
          <w:lang w:val="en-GB"/>
        </w:rPr>
        <w:t>distribution</w:t>
      </w:r>
      <w:r w:rsidRPr="003B7CB6">
        <w:rPr>
          <w:bCs/>
          <w:iCs/>
          <w:sz w:val="24"/>
          <w:szCs w:val="24"/>
          <w:lang w:val="en-GB"/>
        </w:rPr>
        <w:t xml:space="preserve"> of content.  ENG fuels the </w:t>
      </w:r>
      <w:r w:rsidRPr="003B7CB6">
        <w:rPr>
          <w:bCs/>
          <w:i/>
          <w:iCs/>
          <w:sz w:val="24"/>
          <w:szCs w:val="24"/>
          <w:lang w:val="en-GB"/>
        </w:rPr>
        <w:t>creation</w:t>
      </w:r>
      <w:r w:rsidRPr="003B7CB6">
        <w:rPr>
          <w:bCs/>
          <w:iCs/>
          <w:sz w:val="24"/>
          <w:szCs w:val="24"/>
          <w:lang w:val="en-GB"/>
        </w:rPr>
        <w:t xml:space="preserve"> of content and live event programs. </w:t>
      </w:r>
    </w:p>
    <w:p w:rsidR="003B7CB6" w:rsidRPr="003B7CB6" w:rsidP="003B7CB6">
      <w:pPr>
        <w:rPr>
          <w:bCs/>
          <w:iCs/>
          <w:sz w:val="24"/>
          <w:szCs w:val="24"/>
          <w:lang w:val="en-GB"/>
        </w:rPr>
      </w:pPr>
    </w:p>
    <w:p w:rsidR="003B7CB6" w:rsidRPr="003B7CB6" w:rsidP="003B7CB6">
      <w:pPr>
        <w:rPr>
          <w:bCs/>
          <w:iCs/>
          <w:sz w:val="24"/>
          <w:szCs w:val="24"/>
        </w:rPr>
      </w:pPr>
      <w:r w:rsidRPr="003B7CB6">
        <w:rPr>
          <w:bCs/>
          <w:iCs/>
          <w:sz w:val="24"/>
          <w:szCs w:val="24"/>
          <w:lang w:val="en-GB"/>
        </w:rPr>
        <w:tab/>
        <w:t xml:space="preserve">Demand for news and entertainment content has never been more robust, and is accelerating.  Wireless microphones are used in the creation of virtually all content today, regardless of how that content is consumed: through TV, radio, laptop, tablet, cell phone, or in person.  Furthermore, productions are increasingly more sophisticated, requiring more audio channels, many of them with high definition resolution.  This long-term trend is clear and will inevitably continue.  </w:t>
      </w:r>
      <w:r w:rsidRPr="003B7CB6">
        <w:rPr>
          <w:bCs/>
          <w:iCs/>
          <w:sz w:val="24"/>
          <w:szCs w:val="24"/>
        </w:rPr>
        <w:t xml:space="preserve">Worldwide, virtually all professional wireless microphones currently operate in the UHF TV band because this spectrum fulfills the requirements of demanding microphone applications, </w:t>
      </w:r>
      <w:r w:rsidRPr="003B7CB6">
        <w:rPr>
          <w:bCs/>
          <w:iCs/>
          <w:sz w:val="24"/>
          <w:szCs w:val="24"/>
          <w:lang w:val="en-GB"/>
        </w:rPr>
        <w:t>but will need alternative spectrum because of declining available of UHF TV spectrum in the 600 and 700 MHz bands, and increasing demand for content.</w:t>
      </w:r>
      <w:r w:rsidRPr="003B7CB6">
        <w:rPr>
          <w:bCs/>
          <w:iCs/>
          <w:sz w:val="24"/>
          <w:szCs w:val="24"/>
        </w:rPr>
        <w:t xml:space="preserve"> </w:t>
      </w:r>
      <w:r w:rsidRPr="003B7CB6">
        <w:rPr>
          <w:bCs/>
          <w:iCs/>
          <w:sz w:val="24"/>
          <w:szCs w:val="24"/>
          <w:lang w:val="en-GB"/>
        </w:rPr>
        <w:t xml:space="preserve">Some administrations, including the United States, have recognized the importance and ubiquitous nature of wireless microphones and are attempting to accommodate the strong demand for news and content creation by permitting wireless microphones to also operate in alternative bands, outside TV spectrum, that are suitable for ENG applications, including 169-172 MHz and 941.5-960 MHz.  </w:t>
      </w:r>
      <w:r w:rsidRPr="003B7CB6">
        <w:rPr>
          <w:bCs/>
          <w:iCs/>
          <w:sz w:val="24"/>
          <w:szCs w:val="24"/>
        </w:rPr>
        <w:t xml:space="preserve">As other administrations </w:t>
      </w:r>
      <w:r w:rsidRPr="003B7CB6">
        <w:rPr>
          <w:bCs/>
          <w:iCs/>
          <w:sz w:val="24"/>
          <w:szCs w:val="24"/>
          <w:lang w:val="en-GB"/>
        </w:rPr>
        <w:t xml:space="preserve">also transition from analogue TV to digital TV and mobile broadband, it is in the interests of administrations and industry to study and </w:t>
      </w:r>
      <w:r w:rsidRPr="003B7CB6">
        <w:rPr>
          <w:bCs/>
          <w:iCs/>
          <w:sz w:val="24"/>
          <w:szCs w:val="24"/>
        </w:rPr>
        <w:t xml:space="preserve">harmonize frequency bands and tuning ranges, as intended by Resolution ITU-R 59-1.  Harmonization would provide economies of scale and logistical practicality, especially for networks and production companies that must cover events in </w:t>
      </w:r>
      <w:r w:rsidRPr="003B7CB6">
        <w:rPr>
          <w:bCs/>
          <w:iCs/>
          <w:sz w:val="24"/>
          <w:szCs w:val="24"/>
        </w:rPr>
        <w:t>multiple countries, such as global news, elections, international sport events, conferences, and concert tours.  ENG crews also provide early and essential disaster alert information.</w:t>
      </w:r>
    </w:p>
    <w:p w:rsidR="003B7CB6" w:rsidRPr="003B7CB6" w:rsidP="003B7CB6">
      <w:pPr>
        <w:keepNext/>
        <w:keepLines/>
        <w:tabs>
          <w:tab w:val="left" w:pos="794"/>
          <w:tab w:val="left" w:pos="2127"/>
          <w:tab w:val="left" w:pos="2410"/>
          <w:tab w:val="left" w:pos="2921"/>
          <w:tab w:val="left" w:pos="3261"/>
        </w:tabs>
        <w:spacing w:before="160"/>
        <w:rPr>
          <w:sz w:val="24"/>
          <w:szCs w:val="24"/>
          <w:lang w:val="en-GB" w:eastAsia="fr-FR"/>
        </w:rPr>
      </w:pPr>
      <w:r w:rsidRPr="003B7CB6">
        <w:rPr>
          <w:b/>
          <w:sz w:val="24"/>
          <w:szCs w:val="24"/>
          <w:lang w:val="en-GB" w:eastAsia="fr-FR"/>
        </w:rPr>
        <w:t>Proposal</w:t>
      </w:r>
      <w:r w:rsidRPr="003B7CB6">
        <w:rPr>
          <w:sz w:val="24"/>
          <w:szCs w:val="24"/>
          <w:lang w:val="en-GB" w:eastAsia="fr-FR"/>
        </w:rPr>
        <w:t>:</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SUP</w:t>
      </w:r>
      <w:r w:rsidRPr="003B7CB6">
        <w:rPr>
          <w:rFonts w:hAnsi="Times New Roman Bold"/>
          <w:b/>
          <w:sz w:val="24"/>
          <w:lang w:val="en-GB"/>
        </w:rPr>
        <w:tab/>
        <w:t>USA/10(XXX)/1</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bookmarkStart w:id="5" w:name="_Toc327364588"/>
      <w:r w:rsidRPr="003B7CB6">
        <w:rPr>
          <w:caps/>
          <w:sz w:val="28"/>
          <w:lang w:val="en-GB"/>
        </w:rPr>
        <w:t>RESOLUTION 810 (WRC</w:t>
      </w:r>
      <w:r w:rsidRPr="003B7CB6">
        <w:rPr>
          <w:caps/>
          <w:sz w:val="28"/>
          <w:lang w:val="en-GB"/>
        </w:rPr>
        <w:noBreakHyphen/>
        <w:t>15)</w:t>
      </w:r>
      <w:bookmarkEnd w:id="5"/>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bookmarkStart w:id="6" w:name="_Toc327364589"/>
      <w:r w:rsidRPr="003B7CB6">
        <w:rPr>
          <w:rFonts w:ascii="Times New Roman Bold" w:hAnsi="Times New Roman Bold"/>
          <w:b/>
          <w:sz w:val="28"/>
          <w:lang w:val="en-GB"/>
        </w:rPr>
        <w:t>Preliminary agenda for the 2023 World Radiocommunication Conference</w:t>
      </w:r>
      <w:bookmarkEnd w:id="6"/>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lang w:val="en-GB"/>
        </w:rPr>
      </w:pPr>
      <w:r w:rsidRPr="003B7CB6">
        <w:rPr>
          <w:sz w:val="24"/>
          <w:lang w:val="en-GB"/>
        </w:rPr>
        <w:t>The World Radiocommunication Conference (Geneva, 2015),</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sz w:val="24"/>
          <w:lang w:val="en-GB"/>
        </w:rPr>
        <w:t>Reasons:</w:t>
      </w:r>
      <w:r w:rsidRPr="003B7CB6">
        <w:rPr>
          <w:sz w:val="24"/>
          <w:lang w:val="en-GB"/>
        </w:rPr>
        <w:tab/>
        <w:t>This Resolution must be suppressed, as WRC-19 will create a new Resolution that will include the agenda for WRC-23.</w:t>
      </w:r>
    </w:p>
    <w:p w:rsidR="003B7CB6" w:rsidRPr="003B7CB6" w:rsidP="003B7CB6">
      <w:pPr>
        <w:keepNext/>
        <w:tabs>
          <w:tab w:val="left" w:pos="1134"/>
          <w:tab w:val="left" w:pos="1871"/>
          <w:tab w:val="left" w:pos="2268"/>
        </w:tabs>
        <w:overflowPunct w:val="0"/>
        <w:autoSpaceDE w:val="0"/>
        <w:autoSpaceDN w:val="0"/>
        <w:adjustRightInd w:val="0"/>
        <w:textAlignment w:val="baseline"/>
        <w:rPr>
          <w:b/>
          <w:bCs/>
          <w:sz w:val="24"/>
          <w:szCs w:val="24"/>
          <w:lang w:val="en-GB" w:eastAsia="x-none"/>
        </w:rPr>
      </w:pP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 xml:space="preserve">ADD </w:t>
      </w:r>
      <w:r w:rsidRPr="003B7CB6">
        <w:rPr>
          <w:rFonts w:hAnsi="Times New Roman Bold"/>
          <w:b/>
          <w:sz w:val="24"/>
          <w:lang w:val="en-GB"/>
        </w:rPr>
        <w:tab/>
      </w:r>
      <w:bookmarkStart w:id="7" w:name="_Hlk536626534"/>
      <w:r w:rsidRPr="003B7CB6">
        <w:rPr>
          <w:rFonts w:hAnsi="Times New Roman Bold"/>
          <w:b/>
          <w:sz w:val="24"/>
          <w:lang w:val="en-GB"/>
        </w:rPr>
        <w:t>USA/10(XXX)/2</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3B7CB6">
        <w:rPr>
          <w:caps/>
          <w:sz w:val="28"/>
          <w:lang w:val="en-GB"/>
        </w:rPr>
        <w:t>Draft New Resolution [USA-2023]</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bookmarkStart w:id="8" w:name="_Toc319401924"/>
      <w:bookmarkStart w:id="9" w:name="_Toc327364587"/>
      <w:r w:rsidRPr="003B7CB6">
        <w:rPr>
          <w:rFonts w:ascii="Times New Roman Bold" w:hAnsi="Times New Roman Bold"/>
          <w:b/>
          <w:sz w:val="28"/>
          <w:lang w:val="en-GB"/>
        </w:rPr>
        <w:t>Agenda for the 2023 World Radiocommunication Conference</w:t>
      </w:r>
      <w:bookmarkEnd w:id="7"/>
      <w:bookmarkEnd w:id="8"/>
      <w:bookmarkEnd w:id="9"/>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lang w:val="en-GB"/>
        </w:rPr>
      </w:pPr>
      <w:r w:rsidRPr="003B7CB6">
        <w:rPr>
          <w:sz w:val="24"/>
          <w:lang w:val="en-GB"/>
        </w:rPr>
        <w:t>The World Radiocommunication Conference (Geneva, 2015),</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considering</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a)</w:t>
      </w:r>
      <w:r w:rsidRPr="003B7CB6">
        <w:rPr>
          <w:sz w:val="24"/>
          <w:lang w:val="en-GB"/>
        </w:rPr>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b)</w:t>
      </w:r>
      <w:r w:rsidRPr="003B7CB6">
        <w:rPr>
          <w:sz w:val="24"/>
          <w:lang w:val="en-GB"/>
        </w:rPr>
        <w:tab/>
        <w:t>Article 13 of the ITU Constitution relating to the competence and scheduling of world radiocommunication conferences and Article 7 of the Convention relating to their agendas;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c)</w:t>
      </w:r>
      <w:r w:rsidRPr="003B7CB6">
        <w:rPr>
          <w:sz w:val="24"/>
          <w:lang w:val="en-GB"/>
        </w:rPr>
        <w:tab/>
        <w:t>the relevant resolutions and recommendations of previous world administrative radio conferences (WARCs) and world radiocommunication conferences (WRCs),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recommend to the Council that a world radiocommunication conference be held in 2023 for a maximum period of four weeks, with the following agenda:</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1</w:t>
      </w:r>
      <w:r w:rsidRPr="003B7CB6">
        <w:rPr>
          <w:sz w:val="24"/>
          <w:lang w:val="en-GB"/>
        </w:rPr>
        <w:tab/>
        <w:t>on the basis of proposals from administrations, taking account of the results of WRC</w:t>
      </w:r>
      <w:r w:rsidRPr="003B7CB6">
        <w:rPr>
          <w:sz w:val="24"/>
          <w:lang w:val="en-GB"/>
        </w:rPr>
        <w:noBreakHyphen/>
        <w:t>15 and the Report of the Conference Preparatory Meeting, and with due regard to the requirements of existing and future services in the bands under consideration, to consider and take appropriate action in respect of the following items: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b/>
          <w:i/>
          <w:sz w:val="24"/>
          <w:szCs w:val="24"/>
          <w:lang w:val="en-GB"/>
        </w:rPr>
      </w:pPr>
      <w:r w:rsidRPr="003B7CB6">
        <w:rPr>
          <w:bCs/>
          <w:sz w:val="24"/>
          <w:lang w:val="en-GB"/>
        </w:rPr>
        <w:t>1.[XXX]</w:t>
      </w:r>
      <w:r w:rsidRPr="003B7CB6">
        <w:rPr>
          <w:bCs/>
          <w:sz w:val="24"/>
          <w:lang w:val="en-GB"/>
        </w:rPr>
        <w:tab/>
      </w:r>
      <w:r w:rsidRPr="003B7CB6">
        <w:rPr>
          <w:rFonts w:ascii="TimesNewRomanPSMT" w:hAnsi="TimesNewRomanPSMT" w:cs="TimesNewRomanPSMT"/>
          <w:sz w:val="24"/>
          <w:szCs w:val="24"/>
          <w:lang w:val="en-GB"/>
        </w:rPr>
        <w:t xml:space="preserve">to consider, on the basis of ITU-R studies in accordance with Resolution </w:t>
      </w:r>
      <w:r w:rsidRPr="003B7CB6">
        <w:rPr>
          <w:rFonts w:ascii="TimesNewRomanPSMT" w:hAnsi="TimesNewRomanPSMT" w:cs="TimesNewRomanPSMT"/>
          <w:b/>
          <w:sz w:val="24"/>
          <w:szCs w:val="24"/>
          <w:lang w:val="en-GB"/>
        </w:rPr>
        <w:t>[USA/10/XX] (WRC-19)</w:t>
      </w:r>
      <w:r w:rsidRPr="003B7CB6">
        <w:rPr>
          <w:rFonts w:ascii="TimesNewRomanPSMT" w:hAnsi="TimesNewRomanPSMT" w:cs="TimesNewRomanPSMT"/>
          <w:sz w:val="24"/>
          <w:szCs w:val="24"/>
          <w:lang w:val="en-GB"/>
        </w:rPr>
        <w:t xml:space="preserve">, appropriate regulatory actions, </w:t>
      </w:r>
      <w:r w:rsidRPr="003B7CB6">
        <w:rPr>
          <w:rFonts w:ascii="TimesNewRomanPSMT" w:hAnsi="TimesNewRomanPSMT" w:cs="TimesNewRomanPSMT"/>
          <w:b/>
          <w:i/>
          <w:sz w:val="24"/>
          <w:szCs w:val="24"/>
          <w:lang w:val="en-GB"/>
        </w:rPr>
        <w:t>Studies on additional frequency bands outside the 600 MHz and 700 MHz bands between 150 MHz to 2 000 MHz, and worldwide and/or regional harmonization for terrestrial electronic news gathering systems;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b/>
          <w:sz w:val="24"/>
          <w:lang w:val="en-GB"/>
        </w:rPr>
      </w:pPr>
      <w:r w:rsidRPr="003B7CB6">
        <w:rPr>
          <w:b/>
          <w:sz w:val="24"/>
          <w:lang w:val="en-GB"/>
        </w:rPr>
        <w:t>1. ENG</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 further</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activate the Conference Preparatory Meeting,</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invites the Council</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finalize the agenda and arrange for the convening of WRC</w:t>
      </w:r>
      <w:r w:rsidRPr="003B7CB6">
        <w:rPr>
          <w:sz w:val="24"/>
          <w:lang w:val="en-GB"/>
        </w:rPr>
        <w:noBreakHyphen/>
        <w:t>23, and to initiate as soon as possible the necessary consultations with Member States,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instructs the Director of the Radiocommunication Bureau</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make the necessary arrangements to convene meetings of the Conference Preparatory Meeting and to prepare a report to WRC</w:t>
      </w:r>
      <w:r w:rsidRPr="003B7CB6">
        <w:rPr>
          <w:sz w:val="24"/>
          <w:lang w:val="en-GB"/>
        </w:rPr>
        <w:noBreakHyphen/>
        <w:t>23,</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instructs the Secretary-General</w:t>
      </w:r>
    </w:p>
    <w:p w:rsidR="003B7CB6" w:rsidRPr="003B7CB6" w:rsidP="003B7CB6">
      <w:pPr>
        <w:tabs>
          <w:tab w:val="left" w:pos="1134"/>
          <w:tab w:val="left" w:pos="1871"/>
          <w:tab w:val="left" w:pos="2268"/>
        </w:tabs>
        <w:overflowPunct w:val="0"/>
        <w:autoSpaceDE w:val="0"/>
        <w:autoSpaceDN w:val="0"/>
        <w:adjustRightInd w:val="0"/>
        <w:spacing w:before="120" w:after="240"/>
        <w:textAlignment w:val="baseline"/>
        <w:rPr>
          <w:sz w:val="24"/>
          <w:lang w:val="en-GB"/>
        </w:rPr>
      </w:pPr>
      <w:r w:rsidRPr="003B7CB6">
        <w:rPr>
          <w:sz w:val="24"/>
          <w:lang w:val="en-GB"/>
        </w:rPr>
        <w:t>to communicate this Resolution to international and regional organizations concerned.</w:t>
      </w:r>
    </w:p>
    <w:p w:rsidR="003B7CB6" w:rsidRPr="003B7CB6" w:rsidP="003B7CB6">
      <w:pPr>
        <w:jc w:val="both"/>
        <w:rPr>
          <w:sz w:val="24"/>
          <w:szCs w:val="24"/>
        </w:rPr>
      </w:pPr>
      <w:r w:rsidRPr="003B7CB6">
        <w:rPr>
          <w:b/>
          <w:sz w:val="24"/>
          <w:lang w:val="en-GB"/>
        </w:rPr>
        <w:t xml:space="preserve">Reasons:  </w:t>
      </w:r>
      <w:r w:rsidRPr="003B7CB6">
        <w:rPr>
          <w:sz w:val="24"/>
          <w:szCs w:val="24"/>
        </w:rPr>
        <w:t>Demand for ENG content is robust and accelerating.  Currently, nearly all ENG audio tools (i.e., wireless microphones) operate in the UHF TV band, including the 600 MHz and 700 MHz bands that many administrations are re-allocating. As UHF spectrum is re-purposed from traditional analog TV to digital TV and mobile broadband, alternative suitable frequency bands are being made available for ENG applications. It is in the interests of administrations and industry to chart a smooth transition from the 600 MHz and 700 MHz to standardized alternate frequency bands that are suitable for ENG, i.e. between 150 to 2 000 MHz.</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b/>
          <w:sz w:val="24"/>
          <w:lang w:val="en-GB"/>
        </w:rPr>
      </w:pP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ADD</w:t>
      </w:r>
      <w:r w:rsidRPr="003B7CB6">
        <w:rPr>
          <w:rFonts w:hAnsi="Times New Roman Bold"/>
          <w:b/>
          <w:sz w:val="24"/>
          <w:lang w:val="en-GB"/>
        </w:rPr>
        <w:tab/>
        <w:t>USA/10(XXX)/3</w:t>
      </w:r>
    </w:p>
    <w:p w:rsidR="003B7CB6" w:rsidRPr="003B7CB6" w:rsidP="003B7CB6">
      <w:pPr>
        <w:jc w:val="center"/>
        <w:rPr>
          <w:sz w:val="28"/>
          <w:szCs w:val="28"/>
        </w:rPr>
      </w:pPr>
      <w:r w:rsidRPr="003B7CB6">
        <w:rPr>
          <w:sz w:val="28"/>
          <w:szCs w:val="28"/>
        </w:rPr>
        <w:t>DRAFT NEW RESOLUTION [USA/10/XX] (WRC-19)</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color w:val="000000"/>
          <w:sz w:val="24"/>
          <w:szCs w:val="24"/>
          <w:lang w:val="en-GB"/>
        </w:rPr>
      </w:pPr>
      <w:r w:rsidRPr="003B7CB6">
        <w:rPr>
          <w:rFonts w:hAnsi="Times New Roman Bold"/>
          <w:color w:val="000000"/>
          <w:sz w:val="24"/>
          <w:szCs w:val="24"/>
          <w:lang w:val="en-GB"/>
        </w:rPr>
        <w:t>RESOLUTION [xxx]</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bCs/>
          <w:sz w:val="24"/>
          <w:szCs w:val="24"/>
          <w:lang w:val="en-GB"/>
        </w:rPr>
      </w:pPr>
      <w:r w:rsidRPr="003B7CB6">
        <w:rPr>
          <w:b/>
          <w:i/>
          <w:color w:val="000000"/>
          <w:sz w:val="24"/>
          <w:szCs w:val="24"/>
          <w:lang w:val="en-GB"/>
        </w:rPr>
        <w:t>Studies on additional frequency bands outside the 600 MHz and 700 MHz bands between 150 to 2 000 MHz, and worldwide and/or regional harmonization for terrestrial electronic news gathering</w:t>
      </w:r>
      <w:r>
        <w:rPr>
          <w:b/>
          <w:i/>
          <w:color w:val="000000"/>
          <w:position w:val="6"/>
          <w:sz w:val="24"/>
          <w:szCs w:val="24"/>
          <w:lang w:val="en-GB"/>
        </w:rPr>
        <w:footnoteReference w:id="4"/>
      </w:r>
      <w:r w:rsidRPr="003B7CB6">
        <w:rPr>
          <w:b/>
          <w:i/>
          <w:color w:val="000000"/>
          <w:sz w:val="24"/>
          <w:szCs w:val="24"/>
          <w:lang w:val="en-GB"/>
        </w:rPr>
        <w:t xml:space="preserve"> systems</w:t>
      </w:r>
    </w:p>
    <w:p w:rsidR="003B7CB6" w:rsidRPr="003B7CB6" w:rsidP="003B7CB6">
      <w:pPr>
        <w:autoSpaceDE w:val="0"/>
        <w:autoSpaceDN w:val="0"/>
        <w:adjustRightInd w:val="0"/>
        <w:jc w:val="center"/>
        <w:rPr>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The World Radiocommunication Conference (Sharm El Sheikh, 2019),</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Considering</w:t>
      </w:r>
    </w:p>
    <w:p w:rsidR="003B7CB6" w:rsidRPr="003B7CB6" w:rsidP="003B7CB6">
      <w:pPr>
        <w:autoSpaceDE w:val="0"/>
        <w:autoSpaceDN w:val="0"/>
        <w:adjustRightInd w:val="0"/>
        <w:spacing w:before="240"/>
        <w:rPr>
          <w:iCs/>
          <w:color w:val="000000"/>
          <w:sz w:val="24"/>
          <w:szCs w:val="24"/>
        </w:rPr>
      </w:pPr>
      <w:r w:rsidRPr="003B7CB6">
        <w:rPr>
          <w:i/>
          <w:iCs/>
          <w:color w:val="000000"/>
          <w:sz w:val="24"/>
          <w:szCs w:val="24"/>
        </w:rPr>
        <w:t xml:space="preserve">a) </w:t>
      </w:r>
      <w:r w:rsidRPr="003B7CB6">
        <w:rPr>
          <w:i/>
          <w:iCs/>
          <w:color w:val="000000"/>
          <w:sz w:val="24"/>
          <w:szCs w:val="24"/>
        </w:rPr>
        <w:tab/>
      </w:r>
      <w:r w:rsidRPr="003B7CB6">
        <w:rPr>
          <w:iCs/>
          <w:color w:val="000000"/>
          <w:sz w:val="24"/>
          <w:szCs w:val="24"/>
        </w:rPr>
        <w:t>A large portion of ENG production tools, such as radio microphones, operate in vacant channels (6 MHz or 8 MHz wide) within the 600 MHz and 700 MHz bands;</w:t>
      </w:r>
    </w:p>
    <w:p w:rsidR="003B7CB6" w:rsidRPr="003B7CB6" w:rsidP="003B7CB6">
      <w:pPr>
        <w:autoSpaceDE w:val="0"/>
        <w:autoSpaceDN w:val="0"/>
        <w:adjustRightInd w:val="0"/>
        <w:rPr>
          <w:iCs/>
          <w:color w:val="000000"/>
          <w:sz w:val="24"/>
          <w:szCs w:val="24"/>
        </w:rPr>
      </w:pPr>
    </w:p>
    <w:p w:rsidR="003B7CB6" w:rsidRPr="003B7CB6" w:rsidP="003B7CB6">
      <w:pPr>
        <w:autoSpaceDE w:val="0"/>
        <w:autoSpaceDN w:val="0"/>
        <w:adjustRightInd w:val="0"/>
        <w:rPr>
          <w:iCs/>
          <w:color w:val="000000"/>
          <w:sz w:val="24"/>
          <w:szCs w:val="24"/>
        </w:rPr>
      </w:pPr>
      <w:r w:rsidRPr="003B7CB6">
        <w:rPr>
          <w:i/>
          <w:iCs/>
          <w:color w:val="000000"/>
          <w:sz w:val="24"/>
          <w:szCs w:val="24"/>
        </w:rPr>
        <w:t>b)</w:t>
      </w:r>
      <w:r w:rsidRPr="003B7CB6">
        <w:rPr>
          <w:iCs/>
          <w:color w:val="000000"/>
          <w:sz w:val="24"/>
          <w:szCs w:val="24"/>
        </w:rPr>
        <w:t xml:space="preserve"> </w:t>
      </w:r>
      <w:r w:rsidRPr="003B7CB6">
        <w:rPr>
          <w:iCs/>
          <w:color w:val="000000"/>
          <w:sz w:val="24"/>
          <w:szCs w:val="24"/>
        </w:rPr>
        <w:tab/>
        <w:t>that parts of these bands are being repurposed by many administrations from terrestrial TV to mobile broadband, resulting in loss of availability of many channels for ENG operations, approximately 60 MHz at typical locations;</w:t>
      </w:r>
    </w:p>
    <w:p w:rsidR="003B7CB6" w:rsidRPr="003B7CB6" w:rsidP="003B7CB6">
      <w:pPr>
        <w:autoSpaceDE w:val="0"/>
        <w:autoSpaceDN w:val="0"/>
        <w:adjustRightInd w:val="0"/>
        <w:rPr>
          <w:iCs/>
          <w:color w:val="000000"/>
          <w:sz w:val="24"/>
          <w:szCs w:val="24"/>
        </w:rPr>
      </w:pPr>
    </w:p>
    <w:p w:rsidR="003B7CB6" w:rsidRPr="003B7CB6" w:rsidP="003B7CB6">
      <w:pPr>
        <w:autoSpaceDE w:val="0"/>
        <w:autoSpaceDN w:val="0"/>
        <w:adjustRightInd w:val="0"/>
        <w:rPr>
          <w:iCs/>
          <w:color w:val="000000"/>
          <w:sz w:val="24"/>
          <w:szCs w:val="24"/>
        </w:rPr>
      </w:pPr>
      <w:r w:rsidRPr="003B7CB6">
        <w:rPr>
          <w:i/>
          <w:iCs/>
          <w:color w:val="000000"/>
          <w:sz w:val="24"/>
          <w:szCs w:val="24"/>
        </w:rPr>
        <w:t>c)</w:t>
      </w:r>
      <w:r w:rsidRPr="003B7CB6">
        <w:rPr>
          <w:iCs/>
          <w:color w:val="000000"/>
          <w:sz w:val="24"/>
          <w:szCs w:val="24"/>
        </w:rPr>
        <w:t xml:space="preserve"> </w:t>
      </w:r>
      <w:r w:rsidRPr="003B7CB6">
        <w:rPr>
          <w:iCs/>
          <w:color w:val="000000"/>
          <w:sz w:val="24"/>
          <w:szCs w:val="24"/>
        </w:rPr>
        <w:tab/>
        <w:t xml:space="preserve">that the technical nature of most ENG tools results in a general incapability </w:t>
      </w:r>
      <w:r w:rsidRPr="003B7CB6">
        <w:rPr>
          <w:bCs/>
          <w:iCs/>
          <w:color w:val="000000"/>
          <w:sz w:val="24"/>
          <w:szCs w:val="24"/>
          <w:lang w:val="en-GB"/>
        </w:rPr>
        <w:t xml:space="preserve">in co-channel spectrum sharing </w:t>
      </w:r>
      <w:r w:rsidRPr="003B7CB6">
        <w:rPr>
          <w:iCs/>
          <w:color w:val="000000"/>
          <w:sz w:val="24"/>
          <w:szCs w:val="24"/>
        </w:rPr>
        <w:t>with mobile handsets;</w:t>
      </w:r>
    </w:p>
    <w:p w:rsidR="003B7CB6" w:rsidRPr="003B7CB6" w:rsidP="003B7CB6">
      <w:pPr>
        <w:autoSpaceDE w:val="0"/>
        <w:autoSpaceDN w:val="0"/>
        <w:adjustRightInd w:val="0"/>
        <w:rPr>
          <w:iCs/>
          <w:color w:val="000000"/>
          <w:sz w:val="24"/>
          <w:szCs w:val="24"/>
        </w:rPr>
      </w:pPr>
    </w:p>
    <w:p w:rsidR="003B7CB6" w:rsidRPr="003B7CB6" w:rsidP="003B7CB6">
      <w:pPr>
        <w:autoSpaceDE w:val="0"/>
        <w:autoSpaceDN w:val="0"/>
        <w:adjustRightInd w:val="0"/>
        <w:rPr>
          <w:iCs/>
          <w:color w:val="000000"/>
          <w:sz w:val="24"/>
          <w:szCs w:val="24"/>
        </w:rPr>
      </w:pPr>
      <w:r w:rsidRPr="003B7CB6">
        <w:rPr>
          <w:i/>
          <w:color w:val="000000"/>
          <w:sz w:val="24"/>
          <w:szCs w:val="24"/>
        </w:rPr>
        <w:t>d)</w:t>
      </w:r>
      <w:r w:rsidRPr="003B7CB6">
        <w:rPr>
          <w:iCs/>
          <w:color w:val="000000"/>
          <w:sz w:val="24"/>
          <w:szCs w:val="24"/>
        </w:rPr>
        <w:tab/>
        <w:t xml:space="preserve">that administrations will have to transition a large portion of ENG operations to alternate suitable spectrum, outside the 600 and 700 MHz bands; </w:t>
      </w:r>
    </w:p>
    <w:p w:rsidR="003B7CB6" w:rsidRPr="003B7CB6" w:rsidP="003B7CB6">
      <w:pPr>
        <w:autoSpaceDE w:val="0"/>
        <w:autoSpaceDN w:val="0"/>
        <w:adjustRightInd w:val="0"/>
        <w:rPr>
          <w:iCs/>
          <w:color w:val="000000"/>
          <w:sz w:val="24"/>
          <w:szCs w:val="24"/>
        </w:rPr>
      </w:pPr>
    </w:p>
    <w:p w:rsidR="003B7CB6" w:rsidRPr="003B7CB6" w:rsidP="003B7CB6">
      <w:pPr>
        <w:autoSpaceDE w:val="0"/>
        <w:autoSpaceDN w:val="0"/>
        <w:adjustRightInd w:val="0"/>
        <w:rPr>
          <w:color w:val="000000"/>
          <w:sz w:val="24"/>
          <w:szCs w:val="24"/>
        </w:rPr>
      </w:pPr>
      <w:r w:rsidRPr="003B7CB6">
        <w:rPr>
          <w:i/>
          <w:color w:val="000000"/>
          <w:sz w:val="24"/>
          <w:szCs w:val="24"/>
        </w:rPr>
        <w:t>e)</w:t>
      </w:r>
      <w:r w:rsidRPr="003B7CB6">
        <w:rPr>
          <w:color w:val="000000"/>
          <w:sz w:val="24"/>
          <w:szCs w:val="24"/>
        </w:rPr>
        <w:t xml:space="preserve"> </w:t>
      </w:r>
      <w:r w:rsidRPr="003B7CB6">
        <w:rPr>
          <w:color w:val="000000"/>
          <w:sz w:val="24"/>
          <w:szCs w:val="24"/>
        </w:rPr>
        <w:tab/>
        <w:t>that WRC-15 initiated studies concerned with spectrum usage and operational characteristics of portable and nomadic links for terrestrial ENG systems operation in spectrum already allocated for that purpose</w:t>
      </w:r>
      <w:r w:rsidRPr="003B7CB6">
        <w:rPr>
          <w:b/>
          <w:color w:val="000000"/>
          <w:sz w:val="24"/>
          <w:szCs w:val="24"/>
        </w:rPr>
        <w:t xml:space="preserve"> </w:t>
      </w:r>
      <w:r w:rsidRPr="003B7CB6">
        <w:rPr>
          <w:color w:val="000000"/>
          <w:sz w:val="24"/>
          <w:szCs w:val="24"/>
        </w:rPr>
        <w:t>on a global basis, in accordance with Resolution 59-1;</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e)</w:t>
      </w:r>
      <w:r w:rsidRPr="003B7CB6">
        <w:rPr>
          <w:i/>
          <w:iCs/>
          <w:color w:val="000000"/>
          <w:sz w:val="24"/>
          <w:szCs w:val="24"/>
        </w:rPr>
        <w:tab/>
        <w:t xml:space="preserve"> </w:t>
      </w:r>
      <w:r w:rsidRPr="003B7CB6">
        <w:rPr>
          <w:color w:val="000000"/>
          <w:sz w:val="24"/>
          <w:szCs w:val="24"/>
        </w:rPr>
        <w:t>that modularization and miniaturization of terrestrial ENG systems has increased the portability for these systems and has thus increased the trend towards cross-border operation of ENG equipment;</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 xml:space="preserve">d) </w:t>
      </w:r>
      <w:r w:rsidRPr="003B7CB6">
        <w:rPr>
          <w:i/>
          <w:iCs/>
          <w:color w:val="000000"/>
          <w:sz w:val="24"/>
          <w:szCs w:val="24"/>
        </w:rPr>
        <w:tab/>
      </w:r>
      <w:r w:rsidRPr="003B7CB6">
        <w:rPr>
          <w:color w:val="000000"/>
          <w:sz w:val="24"/>
          <w:szCs w:val="24"/>
        </w:rPr>
        <w:t>that the technical characteristics for television outside broadcast, ENG and electronic field production systems have been established in ITU-R Recommendations (e.g. ITU-R BT 1871),</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noting</w:t>
      </w:r>
    </w:p>
    <w:p w:rsidR="003B7CB6" w:rsidRPr="003B7CB6" w:rsidP="003B7CB6">
      <w:pPr>
        <w:autoSpaceDE w:val="0"/>
        <w:autoSpaceDN w:val="0"/>
        <w:adjustRightInd w:val="0"/>
        <w:spacing w:before="240"/>
        <w:rPr>
          <w:color w:val="000000"/>
          <w:sz w:val="24"/>
          <w:szCs w:val="24"/>
        </w:rPr>
      </w:pPr>
      <w:r w:rsidRPr="003B7CB6">
        <w:rPr>
          <w:i/>
          <w:iCs/>
          <w:color w:val="000000"/>
          <w:sz w:val="24"/>
          <w:szCs w:val="24"/>
        </w:rPr>
        <w:t xml:space="preserve">a) </w:t>
      </w:r>
      <w:r w:rsidRPr="003B7CB6">
        <w:rPr>
          <w:i/>
          <w:iCs/>
          <w:color w:val="000000"/>
          <w:sz w:val="24"/>
          <w:szCs w:val="24"/>
        </w:rPr>
        <w:tab/>
      </w:r>
      <w:r w:rsidRPr="003B7CB6">
        <w:rPr>
          <w:color w:val="000000"/>
          <w:sz w:val="24"/>
          <w:szCs w:val="24"/>
        </w:rPr>
        <w:t>that studies undertaken by ITU-R indicate that national spectrum management could</w:t>
      </w:r>
    </w:p>
    <w:p w:rsidR="003B7CB6" w:rsidRPr="003B7CB6" w:rsidP="003B7CB6">
      <w:pPr>
        <w:autoSpaceDE w:val="0"/>
        <w:autoSpaceDN w:val="0"/>
        <w:adjustRightInd w:val="0"/>
        <w:rPr>
          <w:color w:val="000000"/>
          <w:sz w:val="24"/>
          <w:szCs w:val="24"/>
        </w:rPr>
      </w:pPr>
      <w:r w:rsidRPr="003B7CB6">
        <w:rPr>
          <w:color w:val="000000"/>
          <w:sz w:val="24"/>
          <w:szCs w:val="24"/>
        </w:rPr>
        <w:t>benefit from globally harmonized band planning for ENG systems;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 xml:space="preserve">b) </w:t>
      </w:r>
      <w:r w:rsidRPr="003B7CB6">
        <w:rPr>
          <w:i/>
          <w:iCs/>
          <w:color w:val="000000"/>
          <w:sz w:val="24"/>
          <w:szCs w:val="24"/>
        </w:rPr>
        <w:tab/>
      </w:r>
      <w:r w:rsidRPr="003B7CB6">
        <w:rPr>
          <w:color w:val="000000"/>
          <w:sz w:val="24"/>
          <w:szCs w:val="24"/>
        </w:rPr>
        <w:t>that ENG-related studies in ITU-R are based on data for current and anticipated ENG</w:t>
      </w:r>
    </w:p>
    <w:p w:rsidR="003B7CB6" w:rsidRPr="003B7CB6" w:rsidP="003B7CB6">
      <w:pPr>
        <w:autoSpaceDE w:val="0"/>
        <w:autoSpaceDN w:val="0"/>
        <w:adjustRightInd w:val="0"/>
        <w:rPr>
          <w:color w:val="000000"/>
          <w:sz w:val="24"/>
          <w:szCs w:val="24"/>
        </w:rPr>
      </w:pPr>
      <w:r w:rsidRPr="003B7CB6">
        <w:rPr>
          <w:color w:val="000000"/>
          <w:sz w:val="24"/>
          <w:szCs w:val="24"/>
        </w:rPr>
        <w:t>spectrum requirements collected from many administrations in all regions;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 xml:space="preserve">c) </w:t>
      </w:r>
      <w:r w:rsidRPr="003B7CB6">
        <w:rPr>
          <w:i/>
          <w:iCs/>
          <w:color w:val="000000"/>
          <w:sz w:val="24"/>
          <w:szCs w:val="24"/>
        </w:rPr>
        <w:tab/>
      </w:r>
      <w:r w:rsidRPr="003B7CB6">
        <w:rPr>
          <w:color w:val="000000"/>
          <w:sz w:val="24"/>
          <w:szCs w:val="24"/>
        </w:rPr>
        <w:t xml:space="preserve"> that the lower frequency spectrum, i.e. less than 2 000 MHz tends to provide better propagation characteristics over obstructed paths, thereby increasing the reliability of ENG links operating in</w:t>
      </w:r>
    </w:p>
    <w:p w:rsidR="003B7CB6" w:rsidRPr="003B7CB6" w:rsidP="003B7CB6">
      <w:pPr>
        <w:autoSpaceDE w:val="0"/>
        <w:autoSpaceDN w:val="0"/>
        <w:adjustRightInd w:val="0"/>
        <w:rPr>
          <w:color w:val="000000"/>
          <w:sz w:val="24"/>
          <w:szCs w:val="24"/>
        </w:rPr>
      </w:pPr>
      <w:r w:rsidRPr="003B7CB6">
        <w:rPr>
          <w:color w:val="000000"/>
          <w:sz w:val="24"/>
          <w:szCs w:val="24"/>
        </w:rPr>
        <w:t>these bands;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d)</w:t>
      </w:r>
      <w:r w:rsidRPr="003B7CB6">
        <w:rPr>
          <w:color w:val="000000"/>
          <w:sz w:val="24"/>
          <w:szCs w:val="24"/>
        </w:rPr>
        <w:tab/>
        <w:t>that the demand for ENG content is robust and accelerating,</w:t>
      </w:r>
    </w:p>
    <w:p w:rsidR="003B7CB6" w:rsidRPr="003B7CB6" w:rsidP="003B7CB6">
      <w:pPr>
        <w:autoSpaceDE w:val="0"/>
        <w:autoSpaceDN w:val="0"/>
        <w:adjustRightInd w:val="0"/>
        <w:rPr>
          <w:color w:val="000000"/>
          <w:sz w:val="24"/>
          <w:szCs w:val="24"/>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recognizing</w:t>
      </w:r>
    </w:p>
    <w:p w:rsidR="003B7CB6" w:rsidRPr="003B7CB6" w:rsidP="003B7CB6">
      <w:pPr>
        <w:autoSpaceDE w:val="0"/>
        <w:autoSpaceDN w:val="0"/>
        <w:adjustRightInd w:val="0"/>
        <w:rPr>
          <w:i/>
          <w:iCs/>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 xml:space="preserve">a) </w:t>
      </w:r>
      <w:r w:rsidRPr="003B7CB6">
        <w:rPr>
          <w:i/>
          <w:iCs/>
          <w:color w:val="000000"/>
          <w:sz w:val="24"/>
          <w:szCs w:val="24"/>
        </w:rPr>
        <w:tab/>
      </w:r>
      <w:r w:rsidRPr="003B7CB6">
        <w:rPr>
          <w:color w:val="000000"/>
          <w:sz w:val="24"/>
          <w:szCs w:val="24"/>
        </w:rPr>
        <w:t>that the production of ENG content continues to become increasingly sophisticated, requiring more channel in higher audio and video resolution formats;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b)</w:t>
      </w:r>
      <w:r w:rsidRPr="003B7CB6">
        <w:rPr>
          <w:i/>
          <w:iCs/>
          <w:color w:val="000000"/>
          <w:sz w:val="24"/>
          <w:szCs w:val="24"/>
        </w:rPr>
        <w:tab/>
        <w:t xml:space="preserve"> </w:t>
      </w:r>
      <w:r w:rsidRPr="003B7CB6">
        <w:rPr>
          <w:color w:val="000000"/>
          <w:sz w:val="24"/>
          <w:szCs w:val="24"/>
        </w:rPr>
        <w:t>that the dynamic nature of the use of ENG is driven in part by unscheduled and</w:t>
      </w:r>
    </w:p>
    <w:p w:rsidR="003B7CB6" w:rsidRPr="003B7CB6" w:rsidP="003B7CB6">
      <w:pPr>
        <w:autoSpaceDE w:val="0"/>
        <w:autoSpaceDN w:val="0"/>
        <w:adjustRightInd w:val="0"/>
        <w:rPr>
          <w:color w:val="000000"/>
          <w:sz w:val="24"/>
          <w:szCs w:val="24"/>
        </w:rPr>
      </w:pPr>
      <w:r w:rsidRPr="003B7CB6">
        <w:rPr>
          <w:color w:val="000000"/>
          <w:sz w:val="24"/>
          <w:szCs w:val="24"/>
        </w:rPr>
        <w:t>unpredictable events such as breaking news, emergencies and disasters;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 xml:space="preserve">c) </w:t>
      </w:r>
      <w:r w:rsidRPr="003B7CB6">
        <w:rPr>
          <w:i/>
          <w:iCs/>
          <w:color w:val="000000"/>
          <w:sz w:val="24"/>
          <w:szCs w:val="24"/>
        </w:rPr>
        <w:tab/>
      </w:r>
      <w:r w:rsidRPr="003B7CB6">
        <w:rPr>
          <w:color w:val="000000"/>
          <w:sz w:val="24"/>
          <w:szCs w:val="24"/>
        </w:rPr>
        <w:t>that news gathering and electronic production typically takes place in an environment</w:t>
      </w:r>
    </w:p>
    <w:p w:rsidR="003B7CB6" w:rsidRPr="003B7CB6" w:rsidP="003B7CB6">
      <w:pPr>
        <w:autoSpaceDE w:val="0"/>
        <w:autoSpaceDN w:val="0"/>
        <w:adjustRightInd w:val="0"/>
        <w:rPr>
          <w:color w:val="000000"/>
          <w:sz w:val="24"/>
          <w:szCs w:val="24"/>
        </w:rPr>
      </w:pPr>
      <w:r w:rsidRPr="003B7CB6">
        <w:rPr>
          <w:color w:val="000000"/>
          <w:sz w:val="24"/>
          <w:szCs w:val="24"/>
        </w:rPr>
        <w:t>where several television broadcasters/organizations/networks attempt to cover the same event,</w:t>
      </w:r>
    </w:p>
    <w:p w:rsidR="003B7CB6" w:rsidRPr="003B7CB6" w:rsidP="003B7CB6">
      <w:pPr>
        <w:autoSpaceDE w:val="0"/>
        <w:autoSpaceDN w:val="0"/>
        <w:adjustRightInd w:val="0"/>
        <w:rPr>
          <w:color w:val="000000"/>
          <w:sz w:val="24"/>
          <w:szCs w:val="24"/>
        </w:rPr>
      </w:pPr>
      <w:r w:rsidRPr="003B7CB6">
        <w:rPr>
          <w:color w:val="000000"/>
          <w:sz w:val="24"/>
          <w:szCs w:val="24"/>
        </w:rPr>
        <w:t>creating a demand for multiple ENG links and increased demand for access to spectrum in</w:t>
      </w:r>
    </w:p>
    <w:p w:rsidR="003B7CB6" w:rsidRPr="003B7CB6" w:rsidP="003B7CB6">
      <w:pPr>
        <w:autoSpaceDE w:val="0"/>
        <w:autoSpaceDN w:val="0"/>
        <w:adjustRightInd w:val="0"/>
        <w:rPr>
          <w:color w:val="000000"/>
          <w:sz w:val="24"/>
          <w:szCs w:val="24"/>
        </w:rPr>
      </w:pPr>
      <w:r w:rsidRPr="003B7CB6">
        <w:rPr>
          <w:color w:val="000000"/>
          <w:sz w:val="24"/>
          <w:szCs w:val="24"/>
        </w:rPr>
        <w:t>suitable frequency bands;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iCs/>
          <w:color w:val="000000"/>
          <w:sz w:val="24"/>
          <w:szCs w:val="24"/>
        </w:rPr>
      </w:pPr>
      <w:r w:rsidRPr="003B7CB6">
        <w:rPr>
          <w:i/>
          <w:iCs/>
          <w:color w:val="000000"/>
          <w:sz w:val="24"/>
          <w:szCs w:val="24"/>
        </w:rPr>
        <w:t>d)</w:t>
      </w:r>
      <w:r w:rsidRPr="003B7CB6">
        <w:rPr>
          <w:iCs/>
          <w:color w:val="000000"/>
          <w:sz w:val="24"/>
          <w:szCs w:val="24"/>
        </w:rPr>
        <w:tab/>
        <w:t>that handheld and body pack transmitters as well as body worn receivers require compact size, battery operation, sufficient range and small, yet efficient antennas, frequency bands suitable for mobile audio ENG are primarily within the frequency bands of 150 MHz to 2 000 MHz;</w:t>
      </w:r>
    </w:p>
    <w:p w:rsidR="003B7CB6" w:rsidRPr="003B7CB6" w:rsidP="003B7CB6">
      <w:pPr>
        <w:autoSpaceDE w:val="0"/>
        <w:autoSpaceDN w:val="0"/>
        <w:adjustRightInd w:val="0"/>
        <w:rPr>
          <w:iCs/>
          <w:color w:val="000000"/>
          <w:sz w:val="24"/>
          <w:szCs w:val="24"/>
        </w:rPr>
      </w:pPr>
    </w:p>
    <w:p w:rsidR="003B7CB6" w:rsidRPr="003B7CB6" w:rsidP="003B7CB6">
      <w:pPr>
        <w:autoSpaceDE w:val="0"/>
        <w:autoSpaceDN w:val="0"/>
        <w:adjustRightInd w:val="0"/>
        <w:rPr>
          <w:iCs/>
          <w:color w:val="000000"/>
          <w:sz w:val="24"/>
          <w:szCs w:val="24"/>
        </w:rPr>
      </w:pPr>
      <w:r w:rsidRPr="003B7CB6">
        <w:rPr>
          <w:i/>
          <w:iCs/>
          <w:color w:val="000000"/>
          <w:sz w:val="24"/>
          <w:szCs w:val="24"/>
        </w:rPr>
        <w:t>e)</w:t>
      </w:r>
      <w:r w:rsidRPr="003B7CB6">
        <w:rPr>
          <w:iCs/>
          <w:color w:val="000000"/>
          <w:sz w:val="24"/>
          <w:szCs w:val="24"/>
        </w:rPr>
        <w:tab/>
        <w:t xml:space="preserve">There is a general incompatibility in co-channel spectrum sharing between wireless ENG / PMSE tools and some services that operate in portions of the 150 MHz to 2 000 MHz range. These </w:t>
      </w:r>
      <w:r w:rsidRPr="003B7CB6">
        <w:rPr>
          <w:iCs/>
          <w:color w:val="000000"/>
          <w:sz w:val="24"/>
          <w:szCs w:val="24"/>
        </w:rPr>
        <w:t>include IMT; aviation radio services and aeronautical mobile telemetry (AMT)</w:t>
      </w:r>
      <w:r>
        <w:rPr>
          <w:iCs/>
          <w:color w:val="000000"/>
          <w:position w:val="6"/>
          <w:sz w:val="18"/>
          <w:szCs w:val="24"/>
        </w:rPr>
        <w:footnoteReference w:id="5"/>
      </w:r>
      <w:r w:rsidRPr="003B7CB6">
        <w:rPr>
          <w:iCs/>
          <w:color w:val="000000"/>
          <w:sz w:val="24"/>
          <w:szCs w:val="24"/>
        </w:rPr>
        <w:t>; Radio Navigation Satellite Service (e.g., GPS); and other satellite downlink bands. Thus, for purposes of global harmonization, the identification of suitable bands will require careful consideration and detailed compatibility studies to ensure protection of these services.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color w:val="000000"/>
          <w:sz w:val="24"/>
          <w:szCs w:val="24"/>
        </w:rPr>
        <w:t>f)</w:t>
      </w:r>
      <w:r w:rsidRPr="003B7CB6">
        <w:rPr>
          <w:color w:val="000000"/>
          <w:sz w:val="24"/>
          <w:szCs w:val="24"/>
        </w:rPr>
        <w:tab/>
        <w:t>some administrations have already identified such alternate, suitable spectrum between 150 MHz to 2 000 MHz for ENG (e.g. 941.5 - 960 MHz, 169 -172 MHz in the United States; 960 - 1 164 MHz in the United Kingdom; 1 350 – 1 400 MHz in portions of Region 1);</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color w:val="000000"/>
          <w:sz w:val="24"/>
          <w:szCs w:val="24"/>
        </w:rPr>
        <w:t>g)</w:t>
      </w:r>
      <w:r w:rsidRPr="003B7CB6">
        <w:rPr>
          <w:i/>
          <w:color w:val="000000"/>
          <w:sz w:val="24"/>
          <w:szCs w:val="24"/>
        </w:rPr>
        <w:tab/>
      </w:r>
      <w:r w:rsidRPr="003B7CB6">
        <w:rPr>
          <w:color w:val="000000"/>
          <w:sz w:val="24"/>
          <w:szCs w:val="24"/>
        </w:rPr>
        <w:t>Mobile ENG audio tools (i.e. wireless microphones) are low power devices, typically operating with transmitter output power of 50 mW – 250 mW, and have proven to pose a negligible risk of interference to services operating in adjacent channels (e.g. broadcast services);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i/>
          <w:iCs/>
          <w:color w:val="000000"/>
          <w:sz w:val="24"/>
          <w:szCs w:val="24"/>
        </w:rPr>
        <w:t xml:space="preserve">h) </w:t>
      </w:r>
      <w:r w:rsidRPr="003B7CB6">
        <w:rPr>
          <w:i/>
          <w:iCs/>
          <w:color w:val="000000"/>
          <w:sz w:val="24"/>
          <w:szCs w:val="24"/>
        </w:rPr>
        <w:tab/>
      </w:r>
      <w:r w:rsidRPr="003B7CB6">
        <w:rPr>
          <w:color w:val="000000"/>
          <w:sz w:val="24"/>
          <w:szCs w:val="24"/>
        </w:rPr>
        <w:t>that access to globally harmonized spectrum is highly desirable to facilitate the</w:t>
      </w:r>
    </w:p>
    <w:p w:rsidR="003B7CB6" w:rsidRPr="003B7CB6" w:rsidP="003B7CB6">
      <w:pPr>
        <w:autoSpaceDE w:val="0"/>
        <w:autoSpaceDN w:val="0"/>
        <w:adjustRightInd w:val="0"/>
        <w:rPr>
          <w:color w:val="000000"/>
          <w:sz w:val="24"/>
          <w:szCs w:val="24"/>
        </w:rPr>
      </w:pPr>
      <w:r w:rsidRPr="003B7CB6">
        <w:rPr>
          <w:color w:val="000000"/>
          <w:sz w:val="24"/>
          <w:szCs w:val="24"/>
        </w:rPr>
        <w:t>rapid and less restricted deployment and operation of ENG systems from one country to another,</w:t>
      </w:r>
    </w:p>
    <w:p w:rsidR="003B7CB6" w:rsidRPr="003B7CB6" w:rsidP="003B7CB6">
      <w:pPr>
        <w:autoSpaceDE w:val="0"/>
        <w:autoSpaceDN w:val="0"/>
        <w:adjustRightInd w:val="0"/>
        <w:rPr>
          <w:color w:val="000000"/>
          <w:sz w:val="24"/>
          <w:szCs w:val="24"/>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w:t>
      </w:r>
    </w:p>
    <w:p w:rsidR="003B7CB6" w:rsidRPr="003B7CB6" w:rsidP="003B7CB6">
      <w:pPr>
        <w:autoSpaceDE w:val="0"/>
        <w:autoSpaceDN w:val="0"/>
        <w:adjustRightInd w:val="0"/>
        <w:rPr>
          <w:i/>
          <w:iCs/>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 xml:space="preserve">1 </w:t>
      </w:r>
      <w:r w:rsidRPr="003B7CB6">
        <w:rPr>
          <w:color w:val="000000"/>
          <w:sz w:val="24"/>
          <w:szCs w:val="24"/>
        </w:rPr>
        <w:tab/>
        <w:t>that, based on studies undertaken by ITU-R, WRC-23 should address the feasibility of achieving a coordinated transition for ENG operations from the 600 MHz and 700 MHz bands to suitable alternate spectrum between 150 – 2 000 MHz. The amount of alternate spectrum should total approximately 72 MHz, contiguous or separate multiple 6 MHz or 8 MHz channels, to compensate for the loss within the 600 MHz and 700 MHz bands and to accommodate the robust demand for content creation. A portion of this alternate spectrum should be identified in a manner that results in a satisfactory degree of worldwide/regional harmonization of spectrum for ENG use in terms of the frequency bands and tuning ranges</w:t>
      </w:r>
      <w:r>
        <w:rPr>
          <w:color w:val="000000"/>
          <w:position w:val="6"/>
          <w:sz w:val="18"/>
          <w:szCs w:val="24"/>
        </w:rPr>
        <w:footnoteReference w:id="6"/>
      </w:r>
      <w:r w:rsidRPr="003B7CB6">
        <w:rPr>
          <w:color w:val="000000"/>
          <w:sz w:val="24"/>
          <w:szCs w:val="24"/>
        </w:rPr>
        <w:t>;</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2</w:t>
      </w:r>
      <w:r w:rsidRPr="003B7CB6">
        <w:rPr>
          <w:color w:val="000000"/>
          <w:sz w:val="24"/>
          <w:szCs w:val="24"/>
        </w:rPr>
        <w:tab/>
        <w:t xml:space="preserve"> that methods should be identified for the possible harmonization of frequency bands</w:t>
      </w:r>
    </w:p>
    <w:p w:rsidR="003B7CB6" w:rsidRPr="003B7CB6" w:rsidP="003B7CB6">
      <w:pPr>
        <w:autoSpaceDE w:val="0"/>
        <w:autoSpaceDN w:val="0"/>
        <w:adjustRightInd w:val="0"/>
        <w:rPr>
          <w:color w:val="000000"/>
          <w:sz w:val="24"/>
          <w:szCs w:val="24"/>
        </w:rPr>
      </w:pPr>
      <w:r w:rsidRPr="003B7CB6">
        <w:rPr>
          <w:color w:val="000000"/>
          <w:sz w:val="24"/>
          <w:szCs w:val="24"/>
        </w:rPr>
        <w:t>and tuning ranges for ENG usage,</w:t>
      </w:r>
    </w:p>
    <w:p w:rsidR="003B7CB6" w:rsidRPr="003B7CB6" w:rsidP="003B7CB6">
      <w:pPr>
        <w:autoSpaceDE w:val="0"/>
        <w:autoSpaceDN w:val="0"/>
        <w:adjustRightInd w:val="0"/>
        <w:rPr>
          <w:color w:val="000000"/>
          <w:sz w:val="24"/>
          <w:szCs w:val="24"/>
        </w:rPr>
      </w:pPr>
      <w:r w:rsidRPr="003B7CB6">
        <w:rPr>
          <w:color w:val="000000"/>
          <w:sz w:val="24"/>
          <w:szCs w:val="24"/>
        </w:rPr>
        <w:t xml:space="preserve"> </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invites ITU-R</w:t>
      </w:r>
    </w:p>
    <w:p w:rsidR="003B7CB6" w:rsidRPr="003B7CB6" w:rsidP="003B7CB6">
      <w:pPr>
        <w:autoSpaceDE w:val="0"/>
        <w:autoSpaceDN w:val="0"/>
        <w:adjustRightInd w:val="0"/>
        <w:rPr>
          <w:i/>
          <w:iCs/>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 xml:space="preserve">1 </w:t>
      </w:r>
      <w:r w:rsidRPr="003B7CB6">
        <w:rPr>
          <w:color w:val="000000"/>
          <w:sz w:val="24"/>
          <w:szCs w:val="24"/>
        </w:rPr>
        <w:tab/>
        <w:t>to carry out studies of ENG regarding possible solutions for global/regional harmonization in frequency bands and tuning ranges, taking into account:</w:t>
      </w:r>
    </w:p>
    <w:p w:rsidR="003B7CB6" w:rsidRPr="003B7CB6" w:rsidP="003B7CB6">
      <w:pPr>
        <w:numPr>
          <w:ilvl w:val="0"/>
          <w:numId w:val="25"/>
        </w:numPr>
        <w:autoSpaceDE w:val="0"/>
        <w:autoSpaceDN w:val="0"/>
        <w:adjustRightInd w:val="0"/>
        <w:ind w:left="180" w:hanging="180"/>
        <w:rPr>
          <w:color w:val="000000"/>
          <w:sz w:val="24"/>
          <w:szCs w:val="24"/>
        </w:rPr>
      </w:pPr>
      <w:r w:rsidRPr="003B7CB6">
        <w:rPr>
          <w:color w:val="000000"/>
          <w:sz w:val="24"/>
          <w:szCs w:val="24"/>
        </w:rPr>
        <w:t>propagation characteristics at various frequencies;</w:t>
      </w:r>
    </w:p>
    <w:p w:rsidR="003B7CB6" w:rsidRPr="003B7CB6" w:rsidP="003B7CB6">
      <w:pPr>
        <w:autoSpaceDE w:val="0"/>
        <w:autoSpaceDN w:val="0"/>
        <w:adjustRightInd w:val="0"/>
        <w:rPr>
          <w:color w:val="000000"/>
          <w:sz w:val="24"/>
          <w:szCs w:val="24"/>
        </w:rPr>
      </w:pPr>
      <w:r w:rsidRPr="003B7CB6">
        <w:rPr>
          <w:color w:val="000000"/>
          <w:sz w:val="24"/>
          <w:szCs w:val="24"/>
        </w:rPr>
        <w:t>– available technologies to maximize efficient and flexible use of frequency;</w:t>
      </w:r>
    </w:p>
    <w:p w:rsidR="003B7CB6" w:rsidRPr="003B7CB6" w:rsidP="003B7CB6">
      <w:pPr>
        <w:autoSpaceDE w:val="0"/>
        <w:autoSpaceDN w:val="0"/>
        <w:adjustRightInd w:val="0"/>
        <w:rPr>
          <w:color w:val="000000"/>
          <w:sz w:val="24"/>
          <w:szCs w:val="24"/>
        </w:rPr>
      </w:pPr>
      <w:r w:rsidRPr="003B7CB6">
        <w:rPr>
          <w:color w:val="000000"/>
          <w:sz w:val="24"/>
          <w:szCs w:val="24"/>
        </w:rPr>
        <w:t>– system characteristics and operational practices which facilitate the implementation of these</w:t>
      </w:r>
    </w:p>
    <w:p w:rsidR="003B7CB6" w:rsidRPr="003B7CB6" w:rsidP="003B7CB6">
      <w:pPr>
        <w:autoSpaceDE w:val="0"/>
        <w:autoSpaceDN w:val="0"/>
        <w:adjustRightInd w:val="0"/>
        <w:rPr>
          <w:color w:val="000000"/>
          <w:sz w:val="24"/>
          <w:szCs w:val="24"/>
        </w:rPr>
      </w:pPr>
      <w:r w:rsidRPr="003B7CB6">
        <w:rPr>
          <w:color w:val="000000"/>
          <w:sz w:val="24"/>
          <w:szCs w:val="24"/>
        </w:rPr>
        <w:t>solutions;</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 xml:space="preserve">2 </w:t>
      </w:r>
      <w:r w:rsidRPr="003B7CB6">
        <w:rPr>
          <w:color w:val="000000"/>
          <w:sz w:val="24"/>
          <w:szCs w:val="24"/>
        </w:rPr>
        <w:tab/>
        <w:t>to include in the studies referred to above, sharing and compatibility issues with</w:t>
      </w:r>
    </w:p>
    <w:p w:rsidR="003B7CB6" w:rsidRPr="003B7CB6" w:rsidP="003B7CB6">
      <w:pPr>
        <w:autoSpaceDE w:val="0"/>
        <w:autoSpaceDN w:val="0"/>
        <w:adjustRightInd w:val="0"/>
        <w:rPr>
          <w:color w:val="000000"/>
          <w:sz w:val="24"/>
          <w:szCs w:val="24"/>
        </w:rPr>
      </w:pPr>
      <w:r w:rsidRPr="003B7CB6">
        <w:rPr>
          <w:color w:val="000000"/>
          <w:sz w:val="24"/>
          <w:szCs w:val="24"/>
        </w:rPr>
        <w:t>services already having allocations in frequency bands and tuning ranges which have potential</w:t>
      </w:r>
    </w:p>
    <w:p w:rsidR="003B7CB6" w:rsidRPr="003B7CB6" w:rsidP="003B7CB6">
      <w:pPr>
        <w:autoSpaceDE w:val="0"/>
        <w:autoSpaceDN w:val="0"/>
        <w:adjustRightInd w:val="0"/>
        <w:rPr>
          <w:color w:val="000000"/>
          <w:sz w:val="24"/>
          <w:szCs w:val="24"/>
        </w:rPr>
      </w:pPr>
      <w:r w:rsidRPr="003B7CB6">
        <w:rPr>
          <w:color w:val="000000"/>
          <w:sz w:val="24"/>
          <w:szCs w:val="24"/>
        </w:rPr>
        <w:t>for ENG use;</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 xml:space="preserve">3 </w:t>
      </w:r>
      <w:r w:rsidRPr="003B7CB6">
        <w:rPr>
          <w:color w:val="000000"/>
          <w:sz w:val="24"/>
          <w:szCs w:val="24"/>
        </w:rPr>
        <w:tab/>
        <w:t>to propose operational measures to facilitate operation of ENG equipment consistent</w:t>
      </w:r>
    </w:p>
    <w:p w:rsidR="003B7CB6" w:rsidRPr="003B7CB6" w:rsidP="003B7CB6">
      <w:pPr>
        <w:autoSpaceDE w:val="0"/>
        <w:autoSpaceDN w:val="0"/>
        <w:adjustRightInd w:val="0"/>
        <w:rPr>
          <w:color w:val="000000"/>
          <w:sz w:val="24"/>
          <w:szCs w:val="24"/>
        </w:rPr>
      </w:pPr>
      <w:r w:rsidRPr="003B7CB6">
        <w:rPr>
          <w:color w:val="000000"/>
          <w:sz w:val="24"/>
          <w:szCs w:val="24"/>
        </w:rPr>
        <w:t>with global circulation of radiocommunication equipment, taking into account Recommendation</w:t>
      </w:r>
    </w:p>
    <w:p w:rsidR="003B7CB6" w:rsidRPr="003B7CB6" w:rsidP="003B7CB6">
      <w:pPr>
        <w:autoSpaceDE w:val="0"/>
        <w:autoSpaceDN w:val="0"/>
        <w:adjustRightInd w:val="0"/>
        <w:rPr>
          <w:color w:val="000000"/>
          <w:sz w:val="24"/>
          <w:szCs w:val="24"/>
        </w:rPr>
      </w:pPr>
      <w:r w:rsidRPr="003B7CB6">
        <w:rPr>
          <w:color w:val="000000"/>
          <w:sz w:val="24"/>
          <w:szCs w:val="24"/>
        </w:rPr>
        <w:t>ITU-R M.1637;</w:t>
      </w:r>
    </w:p>
    <w:p w:rsidR="003B7CB6" w:rsidRPr="003B7CB6" w:rsidP="003B7CB6">
      <w:pPr>
        <w:autoSpaceDE w:val="0"/>
        <w:autoSpaceDN w:val="0"/>
        <w:adjustRightInd w:val="0"/>
        <w:rPr>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 xml:space="preserve">4 </w:t>
      </w:r>
      <w:r w:rsidRPr="003B7CB6">
        <w:rPr>
          <w:color w:val="000000"/>
          <w:sz w:val="24"/>
          <w:szCs w:val="24"/>
        </w:rPr>
        <w:tab/>
        <w:t>to report the results of those studies to the World Radiocommunication</w:t>
      </w:r>
    </w:p>
    <w:p w:rsidR="003B7CB6" w:rsidRPr="003B7CB6" w:rsidP="003B7CB6">
      <w:pPr>
        <w:autoSpaceDE w:val="0"/>
        <w:autoSpaceDN w:val="0"/>
        <w:adjustRightInd w:val="0"/>
        <w:rPr>
          <w:color w:val="000000"/>
          <w:sz w:val="24"/>
          <w:szCs w:val="24"/>
        </w:rPr>
      </w:pPr>
      <w:r w:rsidRPr="003B7CB6">
        <w:rPr>
          <w:color w:val="000000"/>
          <w:sz w:val="24"/>
          <w:szCs w:val="24"/>
        </w:rPr>
        <w:t>Conference 2023 and identify ranges for regional and global harmonization,</w:t>
      </w:r>
    </w:p>
    <w:p w:rsidR="003B7CB6" w:rsidRPr="003B7CB6" w:rsidP="003B7CB6">
      <w:pPr>
        <w:autoSpaceDE w:val="0"/>
        <w:autoSpaceDN w:val="0"/>
        <w:adjustRightInd w:val="0"/>
        <w:rPr>
          <w:i/>
          <w:iCs/>
          <w:color w:val="000000"/>
          <w:sz w:val="24"/>
          <w:szCs w:val="24"/>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invites administrations</w:t>
      </w:r>
    </w:p>
    <w:p w:rsidR="003B7CB6" w:rsidRPr="003B7CB6" w:rsidP="003B7CB6">
      <w:pPr>
        <w:autoSpaceDE w:val="0"/>
        <w:autoSpaceDN w:val="0"/>
        <w:adjustRightInd w:val="0"/>
        <w:rPr>
          <w:i/>
          <w:iCs/>
          <w:color w:val="000000"/>
          <w:sz w:val="24"/>
          <w:szCs w:val="24"/>
        </w:rPr>
      </w:pPr>
    </w:p>
    <w:p w:rsidR="003B7CB6" w:rsidRPr="003B7CB6" w:rsidP="003B7CB6">
      <w:pPr>
        <w:autoSpaceDE w:val="0"/>
        <w:autoSpaceDN w:val="0"/>
        <w:adjustRightInd w:val="0"/>
        <w:rPr>
          <w:color w:val="000000"/>
          <w:sz w:val="24"/>
          <w:szCs w:val="24"/>
        </w:rPr>
      </w:pPr>
      <w:r w:rsidRPr="003B7CB6">
        <w:rPr>
          <w:color w:val="000000"/>
          <w:sz w:val="24"/>
          <w:szCs w:val="24"/>
        </w:rPr>
        <w:t>to participate in the studies by submitting contributions to ITU-R.</w:t>
      </w:r>
    </w:p>
    <w:p w:rsidR="003B7CB6" w:rsidRPr="003B7CB6" w:rsidP="003B7CB6">
      <w:pPr>
        <w:tabs>
          <w:tab w:val="left" w:pos="699"/>
          <w:tab w:val="left" w:pos="1080"/>
          <w:tab w:val="left" w:pos="7257"/>
          <w:tab w:val="left" w:pos="7920"/>
          <w:tab w:val="left" w:pos="8508"/>
          <w:tab w:val="left" w:pos="9216"/>
        </w:tabs>
        <w:ind w:right="2"/>
        <w:jc w:val="center"/>
        <w:rPr>
          <w:b/>
          <w:sz w:val="24"/>
          <w:szCs w:val="24"/>
        </w:rPr>
      </w:pPr>
      <w:r w:rsidRPr="003B7CB6">
        <w:rPr>
          <w:color w:val="000000"/>
          <w:sz w:val="24"/>
          <w:szCs w:val="24"/>
        </w:rPr>
        <w:br w:type="page"/>
      </w:r>
      <w:r w:rsidRPr="003B7CB6">
        <w:rPr>
          <w:b/>
          <w:sz w:val="24"/>
          <w:szCs w:val="24"/>
        </w:rPr>
        <w:t>ATTACHMENT</w:t>
      </w:r>
    </w:p>
    <w:p w:rsidR="003B7CB6" w:rsidRPr="003B7CB6" w:rsidP="003B7CB6">
      <w:pPr>
        <w:tabs>
          <w:tab w:val="left" w:pos="699"/>
          <w:tab w:val="left" w:pos="1080"/>
          <w:tab w:val="left" w:pos="7257"/>
          <w:tab w:val="left" w:pos="7920"/>
          <w:tab w:val="left" w:pos="8508"/>
          <w:tab w:val="left" w:pos="9216"/>
        </w:tabs>
        <w:ind w:right="2"/>
        <w:jc w:val="center"/>
        <w:outlineLvl w:val="0"/>
        <w:rPr>
          <w:b/>
          <w:sz w:val="24"/>
          <w:szCs w:val="24"/>
        </w:rPr>
      </w:pPr>
    </w:p>
    <w:p w:rsidR="003B7CB6" w:rsidRPr="003B7CB6" w:rsidP="003B7CB6">
      <w:pPr>
        <w:tabs>
          <w:tab w:val="left" w:pos="699"/>
          <w:tab w:val="left" w:pos="1080"/>
          <w:tab w:val="left" w:pos="7257"/>
          <w:tab w:val="left" w:pos="7920"/>
          <w:tab w:val="left" w:pos="8508"/>
          <w:tab w:val="left" w:pos="9216"/>
        </w:tabs>
        <w:ind w:right="2"/>
        <w:jc w:val="center"/>
        <w:rPr>
          <w:b/>
          <w:sz w:val="24"/>
          <w:szCs w:val="24"/>
        </w:rPr>
      </w:pPr>
      <w:r w:rsidRPr="003B7CB6">
        <w:rPr>
          <w:b/>
          <w:sz w:val="24"/>
          <w:szCs w:val="24"/>
        </w:rPr>
        <w:t>PROPOSAL FOR ADDITIONAL AGENDA ITEM TO IDENTIFY AND HARMONIZE FREQUENCY BANDS FOR ENG</w:t>
      </w:r>
    </w:p>
    <w:p w:rsidR="003B7CB6" w:rsidRPr="003B7CB6" w:rsidP="003B7CB6">
      <w:pPr>
        <w:keepNext/>
        <w:tabs>
          <w:tab w:val="left" w:pos="1134"/>
          <w:tab w:val="left" w:pos="1871"/>
          <w:tab w:val="left" w:pos="2268"/>
        </w:tabs>
        <w:overflowPunct w:val="0"/>
        <w:autoSpaceDE w:val="0"/>
        <w:autoSpaceDN w:val="0"/>
        <w:adjustRightInd w:val="0"/>
        <w:spacing w:before="160"/>
        <w:textAlignment w:val="baseline"/>
        <w:rPr>
          <w:b/>
          <w:color w:val="000000"/>
          <w:sz w:val="24"/>
          <w:szCs w:val="24"/>
        </w:rPr>
      </w:pPr>
    </w:p>
    <w:p w:rsidR="003B7CB6" w:rsidRPr="003B7CB6" w:rsidP="003B7CB6">
      <w:pPr>
        <w:keepNext/>
        <w:tabs>
          <w:tab w:val="left" w:pos="1134"/>
          <w:tab w:val="left" w:pos="1871"/>
          <w:tab w:val="left" w:pos="2268"/>
        </w:tabs>
        <w:overflowPunct w:val="0"/>
        <w:autoSpaceDE w:val="0"/>
        <w:autoSpaceDN w:val="0"/>
        <w:adjustRightInd w:val="0"/>
        <w:spacing w:before="160"/>
        <w:jc w:val="both"/>
        <w:textAlignment w:val="baseline"/>
        <w:rPr>
          <w:b/>
          <w:color w:val="000000"/>
          <w:sz w:val="24"/>
          <w:szCs w:val="24"/>
        </w:rPr>
      </w:pPr>
      <w:r w:rsidRPr="003B7CB6">
        <w:rPr>
          <w:b/>
          <w:color w:val="000000"/>
          <w:sz w:val="24"/>
          <w:szCs w:val="24"/>
        </w:rPr>
        <w:t xml:space="preserve">Subject: </w:t>
      </w:r>
      <w:r w:rsidRPr="003B7CB6">
        <w:rPr>
          <w:color w:val="000000"/>
          <w:sz w:val="24"/>
          <w:szCs w:val="24"/>
        </w:rPr>
        <w:t>Proposed Future WRC Agenda Item for WRC-2023 studying harmonization</w:t>
      </w:r>
    </w:p>
    <w:p w:rsidR="003B7CB6" w:rsidRPr="003B7CB6" w:rsidP="003B7CB6">
      <w:pPr>
        <w:rPr>
          <w:b/>
          <w:color w:val="000000"/>
          <w:sz w:val="24"/>
          <w:szCs w:val="24"/>
        </w:rPr>
      </w:pPr>
    </w:p>
    <w:p w:rsidR="003B7CB6" w:rsidRPr="003B7CB6" w:rsidP="003B7CB6">
      <w:pPr>
        <w:rPr>
          <w:color w:val="000000"/>
          <w:sz w:val="24"/>
          <w:szCs w:val="24"/>
        </w:rPr>
      </w:pPr>
      <w:r w:rsidRPr="003B7CB6">
        <w:rPr>
          <w:b/>
          <w:color w:val="000000"/>
          <w:sz w:val="24"/>
          <w:szCs w:val="24"/>
        </w:rPr>
        <w:t>Origin</w:t>
      </w:r>
      <w:r w:rsidRPr="003B7CB6">
        <w:rPr>
          <w:color w:val="000000"/>
          <w:sz w:val="24"/>
          <w:szCs w:val="24"/>
        </w:rPr>
        <w:t>: United States of America</w:t>
      </w:r>
    </w:p>
    <w:p w:rsidR="003B7CB6" w:rsidRPr="003B7CB6" w:rsidP="003B7CB6">
      <w:pPr>
        <w:pBdr>
          <w:bottom w:val="single" w:sz="12" w:space="1" w:color="auto"/>
        </w:pBdr>
        <w:tabs>
          <w:tab w:val="left" w:pos="794"/>
          <w:tab w:val="left" w:pos="1191"/>
          <w:tab w:val="left" w:pos="1588"/>
          <w:tab w:val="left" w:pos="1985"/>
        </w:tabs>
        <w:rPr>
          <w:color w:val="000000"/>
          <w:sz w:val="24"/>
          <w:szCs w:val="24"/>
        </w:rPr>
      </w:pPr>
    </w:p>
    <w:p w:rsidR="003B7CB6" w:rsidRPr="003B7CB6" w:rsidP="003B7CB6">
      <w:pPr>
        <w:tabs>
          <w:tab w:val="left" w:pos="360"/>
          <w:tab w:val="left" w:pos="900"/>
        </w:tabs>
        <w:rPr>
          <w:b/>
          <w:iCs/>
          <w:color w:val="000000"/>
          <w:sz w:val="24"/>
          <w:szCs w:val="24"/>
          <w:lang w:val="x-none" w:eastAsia="x-none"/>
        </w:rPr>
      </w:pPr>
      <w:r w:rsidRPr="003B7CB6">
        <w:rPr>
          <w:bCs/>
          <w:i/>
          <w:color w:val="000000"/>
          <w:sz w:val="24"/>
          <w:szCs w:val="24"/>
          <w:lang w:val="x-none" w:eastAsia="x-none"/>
        </w:rPr>
        <w:t>Proposal</w:t>
      </w:r>
      <w:r w:rsidRPr="003B7CB6">
        <w:rPr>
          <w:i/>
          <w:iCs/>
          <w:color w:val="000000"/>
          <w:sz w:val="24"/>
          <w:szCs w:val="24"/>
          <w:lang w:val="x-none" w:eastAsia="x-none"/>
        </w:rPr>
        <w:t xml:space="preserve">: To review the </w:t>
      </w:r>
      <w:r w:rsidRPr="003B7CB6">
        <w:rPr>
          <w:i/>
          <w:iCs/>
          <w:color w:val="000000"/>
          <w:sz w:val="24"/>
          <w:szCs w:val="24"/>
          <w:lang w:eastAsia="x-none"/>
        </w:rPr>
        <w:t>frequency bands permitted for ENG, identify alternate bands outside of the 600 MHz and 700 MHz bands, and harmonize them among various administrations.</w:t>
      </w:r>
    </w:p>
    <w:p w:rsidR="003B7CB6" w:rsidRPr="003B7CB6" w:rsidP="003B7CB6">
      <w:pPr>
        <w:pBdr>
          <w:bottom w:val="single" w:sz="12" w:space="1" w:color="auto"/>
        </w:pBdr>
        <w:tabs>
          <w:tab w:val="left" w:pos="794"/>
          <w:tab w:val="left" w:pos="1191"/>
          <w:tab w:val="left" w:pos="1588"/>
          <w:tab w:val="left" w:pos="1985"/>
        </w:tabs>
        <w:rPr>
          <w:color w:val="000000"/>
          <w:sz w:val="24"/>
          <w:szCs w:val="24"/>
        </w:rPr>
      </w:pPr>
    </w:p>
    <w:p w:rsidR="003B7CB6" w:rsidRPr="003B7CB6" w:rsidP="003B7CB6">
      <w:pPr>
        <w:rPr>
          <w:sz w:val="24"/>
          <w:szCs w:val="24"/>
        </w:rPr>
      </w:pPr>
      <w:r w:rsidRPr="003B7CB6">
        <w:rPr>
          <w:b/>
          <w:i/>
          <w:color w:val="000000"/>
          <w:sz w:val="24"/>
          <w:szCs w:val="24"/>
        </w:rPr>
        <w:t>Background/reason</w:t>
      </w:r>
      <w:r w:rsidRPr="003B7CB6">
        <w:rPr>
          <w:b/>
          <w:bCs/>
          <w:i/>
          <w:iCs/>
          <w:color w:val="000000"/>
          <w:sz w:val="24"/>
          <w:szCs w:val="24"/>
        </w:rPr>
        <w:t>:</w:t>
      </w:r>
    </w:p>
    <w:p w:rsidR="003B7CB6" w:rsidRPr="003B7CB6" w:rsidP="003B7CB6">
      <w:pPr>
        <w:jc w:val="both"/>
        <w:rPr>
          <w:sz w:val="24"/>
          <w:szCs w:val="24"/>
        </w:rPr>
      </w:pPr>
      <w:r w:rsidRPr="003B7CB6">
        <w:rPr>
          <w:sz w:val="24"/>
          <w:szCs w:val="24"/>
        </w:rPr>
        <w:t>Demand for ENG content is robust and accelerating.  Currently, nearly all ENG audio tools (i.e., wireless microphones) operate in the UHF TV band, including the 600 MHz and 700 MHz bands that many administrations are re-allocating. As UHF spectrum is re-purposed from traditional analog TV to digital TV and mobile broadband, alternative suitable frequency bands are being made available for ENG applications. It is in the interests of administrations and industry to chart a smooth transition from the 600 MHz and 700 MHz to standardized alternate frequency bands suitable for ENG above 150 MHz and below 2 000 MHz.</w:t>
      </w:r>
    </w:p>
    <w:p w:rsidR="003B7CB6" w:rsidRPr="003B7CB6" w:rsidP="003B7CB6">
      <w:pPr>
        <w:pBdr>
          <w:bottom w:val="single" w:sz="12" w:space="1" w:color="auto"/>
        </w:pBdr>
        <w:rPr>
          <w:color w:val="000000"/>
          <w:sz w:val="24"/>
          <w:szCs w:val="24"/>
        </w:rPr>
      </w:pPr>
    </w:p>
    <w:p w:rsidR="003B7CB6" w:rsidRPr="003B7CB6" w:rsidP="003B7CB6">
      <w:pPr>
        <w:rPr>
          <w:bCs/>
          <w:color w:val="000000"/>
          <w:sz w:val="24"/>
          <w:szCs w:val="24"/>
        </w:rPr>
      </w:pPr>
      <w:r w:rsidRPr="003B7CB6">
        <w:rPr>
          <w:b/>
          <w:i/>
          <w:color w:val="000000"/>
          <w:sz w:val="24"/>
          <w:szCs w:val="24"/>
        </w:rPr>
        <w:t>Radiocommunication services concerned</w:t>
      </w:r>
      <w:r w:rsidRPr="003B7CB6">
        <w:rPr>
          <w:b/>
          <w:bCs/>
          <w:i/>
          <w:iCs/>
          <w:color w:val="000000"/>
          <w:sz w:val="24"/>
          <w:szCs w:val="24"/>
        </w:rPr>
        <w:t xml:space="preserve">: </w:t>
      </w:r>
      <w:r w:rsidRPr="003B7CB6">
        <w:rPr>
          <w:bCs/>
          <w:iCs/>
          <w:color w:val="000000"/>
          <w:sz w:val="24"/>
          <w:szCs w:val="24"/>
        </w:rPr>
        <w:t>Terrestrial Broadcast, Mobile Service</w:t>
      </w:r>
    </w:p>
    <w:p w:rsidR="003B7CB6" w:rsidRPr="003B7CB6" w:rsidP="003B7CB6">
      <w:pPr>
        <w:pBdr>
          <w:bottom w:val="single" w:sz="12" w:space="1" w:color="auto"/>
        </w:pBdr>
        <w:rPr>
          <w:color w:val="000000"/>
          <w:sz w:val="24"/>
          <w:szCs w:val="24"/>
        </w:rPr>
      </w:pPr>
    </w:p>
    <w:p w:rsidR="003B7CB6" w:rsidRPr="003B7CB6" w:rsidP="003B7CB6">
      <w:pPr>
        <w:rPr>
          <w:b/>
          <w:bCs/>
          <w:i/>
          <w:color w:val="000000"/>
          <w:sz w:val="24"/>
          <w:szCs w:val="24"/>
        </w:rPr>
      </w:pPr>
      <w:r w:rsidRPr="003B7CB6">
        <w:rPr>
          <w:b/>
          <w:i/>
          <w:color w:val="000000"/>
          <w:sz w:val="24"/>
          <w:szCs w:val="24"/>
        </w:rPr>
        <w:t>Indication of possible difficulties</w:t>
      </w:r>
      <w:r w:rsidRPr="003B7CB6">
        <w:rPr>
          <w:b/>
          <w:bCs/>
          <w:i/>
          <w:iCs/>
          <w:color w:val="000000"/>
          <w:sz w:val="24"/>
          <w:szCs w:val="24"/>
        </w:rPr>
        <w:t>:</w:t>
      </w:r>
      <w:r w:rsidRPr="003B7CB6">
        <w:rPr>
          <w:bCs/>
          <w:iCs/>
          <w:color w:val="000000"/>
          <w:sz w:val="24"/>
          <w:szCs w:val="24"/>
        </w:rPr>
        <w:t xml:space="preserve"> None foreseen</w:t>
      </w:r>
    </w:p>
    <w:p w:rsidR="003B7CB6" w:rsidRPr="003B7CB6" w:rsidP="003B7CB6">
      <w:pPr>
        <w:pBdr>
          <w:bottom w:val="single" w:sz="12" w:space="1" w:color="auto"/>
        </w:pBdr>
        <w:rPr>
          <w:color w:val="000000"/>
          <w:sz w:val="24"/>
          <w:szCs w:val="24"/>
        </w:rPr>
      </w:pPr>
    </w:p>
    <w:p w:rsidR="003B7CB6" w:rsidRPr="003B7CB6" w:rsidP="003B7CB6">
      <w:pPr>
        <w:rPr>
          <w:b/>
          <w:bCs/>
          <w:i/>
          <w:color w:val="000000"/>
          <w:sz w:val="24"/>
          <w:szCs w:val="24"/>
        </w:rPr>
      </w:pPr>
      <w:r w:rsidRPr="003B7CB6">
        <w:rPr>
          <w:b/>
          <w:i/>
          <w:color w:val="000000"/>
          <w:sz w:val="24"/>
          <w:szCs w:val="24"/>
        </w:rPr>
        <w:t>Previous/ongoing studies on the issue</w:t>
      </w:r>
      <w:r w:rsidRPr="003B7CB6">
        <w:rPr>
          <w:b/>
          <w:bCs/>
          <w:i/>
          <w:iCs/>
          <w:color w:val="000000"/>
          <w:sz w:val="24"/>
          <w:szCs w:val="24"/>
        </w:rPr>
        <w:t>:</w:t>
      </w:r>
      <w:r w:rsidRPr="003B7CB6">
        <w:rPr>
          <w:bCs/>
          <w:iCs/>
          <w:color w:val="000000"/>
          <w:sz w:val="24"/>
          <w:szCs w:val="24"/>
        </w:rPr>
        <w:t xml:space="preserve"> Resolution ITU-R 59-1, Report ITU-R BT 2069-7, Report ITU-R BT 2344-2, Recommendation ITU-R BT 1871-2</w:t>
      </w:r>
    </w:p>
    <w:p w:rsidR="003B7CB6" w:rsidRPr="003B7CB6" w:rsidP="003B7CB6">
      <w:pPr>
        <w:pBdr>
          <w:bottom w:val="single" w:sz="12" w:space="1" w:color="auto"/>
        </w:pBdr>
        <w:rPr>
          <w:color w:val="000000"/>
          <w:sz w:val="24"/>
          <w:szCs w:val="24"/>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tblPr>
      <w:tblGrid>
        <w:gridCol w:w="3979"/>
        <w:gridCol w:w="5357"/>
      </w:tblGrid>
      <w:tr w:rsidTr="003B7CB6">
        <w:tblPrEx>
          <w:tblW w:w="0" w:type="auto"/>
          <w:jc w:val="center"/>
          <w:tblBorders>
            <w:bottom w:val="single" w:sz="12" w:space="0" w:color="auto"/>
            <w:insideH w:val="single" w:sz="12" w:space="0" w:color="auto"/>
            <w:insideV w:val="single" w:sz="12" w:space="0" w:color="auto"/>
          </w:tblBorders>
          <w:tblCellMar>
            <w:left w:w="0" w:type="dxa"/>
            <w:right w:w="0" w:type="dxa"/>
          </w:tblCellMar>
          <w:tblLook w:val="0000"/>
        </w:tblPrEx>
        <w:trPr>
          <w:jc w:val="center"/>
        </w:trPr>
        <w:tc>
          <w:tcPr>
            <w:tcW w:w="3979" w:type="dxa"/>
          </w:tcPr>
          <w:p w:rsidR="003B7CB6" w:rsidRPr="003B7CB6" w:rsidP="003B7CB6">
            <w:pPr>
              <w:framePr w:hSpace="181" w:wrap="notBeside" w:vAnchor="text" w:hAnchor="text" w:xAlign="center" w:y="1"/>
              <w:tabs>
                <w:tab w:val="left" w:pos="4366"/>
              </w:tabs>
              <w:rPr>
                <w:b/>
                <w:bCs/>
                <w:i/>
                <w:iCs/>
                <w:color w:val="000000"/>
                <w:sz w:val="24"/>
                <w:szCs w:val="24"/>
              </w:rPr>
            </w:pPr>
            <w:r w:rsidRPr="003B7CB6">
              <w:rPr>
                <w:b/>
                <w:i/>
                <w:color w:val="000000"/>
                <w:sz w:val="24"/>
                <w:szCs w:val="24"/>
              </w:rPr>
              <w:t>Studies to be carried out by</w:t>
            </w:r>
            <w:r w:rsidRPr="003B7CB6">
              <w:rPr>
                <w:b/>
                <w:bCs/>
                <w:i/>
                <w:iCs/>
                <w:color w:val="000000"/>
                <w:sz w:val="24"/>
                <w:szCs w:val="24"/>
              </w:rPr>
              <w:t xml:space="preserve">: </w:t>
            </w:r>
            <w:r w:rsidRPr="003B7CB6">
              <w:rPr>
                <w:bCs/>
                <w:iCs/>
                <w:color w:val="000000"/>
                <w:sz w:val="24"/>
                <w:szCs w:val="24"/>
              </w:rPr>
              <w:t>SG6</w:t>
            </w:r>
          </w:p>
        </w:tc>
        <w:tc>
          <w:tcPr>
            <w:tcW w:w="5357" w:type="dxa"/>
          </w:tcPr>
          <w:p w:rsidR="003B7CB6" w:rsidRPr="003B7CB6" w:rsidP="003B7CB6">
            <w:pPr>
              <w:framePr w:hSpace="181" w:wrap="notBeside" w:vAnchor="text" w:hAnchor="text" w:xAlign="center" w:y="1"/>
              <w:tabs>
                <w:tab w:val="left" w:pos="360"/>
                <w:tab w:val="left" w:pos="900"/>
                <w:tab w:val="left" w:pos="4366"/>
              </w:tabs>
              <w:ind w:left="113"/>
              <w:rPr>
                <w:i/>
                <w:iCs/>
                <w:color w:val="000000"/>
                <w:sz w:val="24"/>
                <w:szCs w:val="24"/>
                <w:lang w:eastAsia="x-none"/>
              </w:rPr>
            </w:pPr>
            <w:r w:rsidRPr="003B7CB6">
              <w:rPr>
                <w:bCs/>
                <w:i/>
                <w:color w:val="000000"/>
                <w:sz w:val="24"/>
                <w:szCs w:val="24"/>
                <w:lang w:val="x-none" w:eastAsia="x-none"/>
              </w:rPr>
              <w:t>with the participation of</w:t>
            </w:r>
            <w:r w:rsidRPr="003B7CB6">
              <w:rPr>
                <w:i/>
                <w:iCs/>
                <w:color w:val="000000"/>
                <w:sz w:val="24"/>
                <w:szCs w:val="24"/>
                <w:lang w:val="x-none" w:eastAsia="x-none"/>
              </w:rPr>
              <w:t xml:space="preserve">: </w:t>
            </w:r>
            <w:r w:rsidRPr="003B7CB6">
              <w:rPr>
                <w:bCs/>
                <w:iCs/>
                <w:color w:val="000000"/>
                <w:sz w:val="24"/>
                <w:szCs w:val="24"/>
              </w:rPr>
              <w:t>SG5</w:t>
            </w:r>
          </w:p>
          <w:p w:rsidR="003B7CB6" w:rsidRPr="003B7CB6" w:rsidP="003B7CB6">
            <w:pPr>
              <w:framePr w:hSpace="181" w:wrap="notBeside" w:vAnchor="text" w:hAnchor="text" w:xAlign="center" w:y="1"/>
              <w:tabs>
                <w:tab w:val="left" w:pos="4366"/>
              </w:tabs>
              <w:rPr>
                <w:b/>
                <w:bCs/>
                <w:i/>
                <w:iCs/>
                <w:color w:val="000000"/>
                <w:sz w:val="24"/>
                <w:szCs w:val="24"/>
              </w:rPr>
            </w:pPr>
          </w:p>
        </w:tc>
      </w:tr>
    </w:tbl>
    <w:p w:rsidR="003B7CB6" w:rsidRPr="003B7CB6" w:rsidP="003B7CB6">
      <w:pPr>
        <w:rPr>
          <w:bCs/>
          <w:iCs/>
          <w:color w:val="000000"/>
          <w:sz w:val="24"/>
          <w:szCs w:val="24"/>
        </w:rPr>
      </w:pPr>
      <w:r w:rsidRPr="003B7CB6">
        <w:rPr>
          <w:b/>
          <w:i/>
          <w:color w:val="000000"/>
          <w:sz w:val="24"/>
          <w:szCs w:val="24"/>
        </w:rPr>
        <w:t>ITU-R Study Groups concerned</w:t>
      </w:r>
      <w:r w:rsidRPr="003B7CB6">
        <w:rPr>
          <w:b/>
          <w:bCs/>
          <w:i/>
          <w:iCs/>
          <w:color w:val="000000"/>
          <w:sz w:val="24"/>
          <w:szCs w:val="24"/>
        </w:rPr>
        <w:t xml:space="preserve">: </w:t>
      </w:r>
      <w:r w:rsidRPr="003B7CB6">
        <w:rPr>
          <w:bCs/>
          <w:iCs/>
          <w:color w:val="000000"/>
          <w:sz w:val="24"/>
          <w:szCs w:val="24"/>
        </w:rPr>
        <w:t>SG6, SG5</w:t>
      </w:r>
    </w:p>
    <w:p w:rsidR="003B7CB6" w:rsidRPr="003B7CB6" w:rsidP="003B7CB6">
      <w:pPr>
        <w:pBdr>
          <w:bottom w:val="single" w:sz="12" w:space="1" w:color="auto"/>
        </w:pBdr>
        <w:rPr>
          <w:color w:val="000000"/>
          <w:sz w:val="24"/>
          <w:szCs w:val="24"/>
        </w:rPr>
      </w:pPr>
    </w:p>
    <w:p w:rsidR="003B7CB6" w:rsidRPr="003B7CB6" w:rsidP="003B7CB6">
      <w:pPr>
        <w:tabs>
          <w:tab w:val="left" w:pos="360"/>
          <w:tab w:val="left" w:pos="900"/>
        </w:tabs>
        <w:rPr>
          <w:i/>
          <w:iCs/>
          <w:color w:val="000000"/>
          <w:sz w:val="24"/>
          <w:szCs w:val="24"/>
          <w:lang w:val="x-none" w:eastAsia="x-none"/>
        </w:rPr>
      </w:pPr>
      <w:r w:rsidRPr="003B7CB6">
        <w:rPr>
          <w:bCs/>
          <w:i/>
          <w:color w:val="000000"/>
          <w:sz w:val="24"/>
          <w:szCs w:val="24"/>
          <w:lang w:val="x-none" w:eastAsia="x-none"/>
        </w:rPr>
        <w:t>ITU resource implications, including financial implications (refer to CV126)</w:t>
      </w:r>
      <w:r w:rsidRPr="003B7CB6">
        <w:rPr>
          <w:i/>
          <w:iCs/>
          <w:color w:val="000000"/>
          <w:sz w:val="24"/>
          <w:szCs w:val="24"/>
          <w:lang w:val="x-none" w:eastAsia="x-none"/>
        </w:rPr>
        <w:t xml:space="preserve">: </w:t>
      </w:r>
      <w:r w:rsidRPr="003B7CB6">
        <w:rPr>
          <w:b/>
          <w:iCs/>
          <w:color w:val="000000"/>
          <w:sz w:val="24"/>
          <w:szCs w:val="24"/>
          <w:lang w:val="x-none" w:eastAsia="x-none"/>
        </w:rPr>
        <w:t>Minimal</w:t>
      </w:r>
    </w:p>
    <w:p w:rsidR="003B7CB6" w:rsidRPr="003B7CB6" w:rsidP="003B7CB6">
      <w:pPr>
        <w:pBdr>
          <w:bottom w:val="single" w:sz="12" w:space="1" w:color="auto"/>
        </w:pBdr>
        <w:rPr>
          <w:color w:val="000000"/>
          <w:sz w:val="24"/>
          <w:szCs w:val="24"/>
        </w:rPr>
      </w:pPr>
    </w:p>
    <w:p w:rsidR="003B7CB6" w:rsidRPr="003B7CB6" w:rsidP="003B7CB6">
      <w:pPr>
        <w:tabs>
          <w:tab w:val="left" w:pos="4366"/>
        </w:tabs>
        <w:rPr>
          <w:color w:val="000000"/>
          <w:sz w:val="24"/>
          <w:szCs w:val="24"/>
        </w:rPr>
      </w:pPr>
      <w:r w:rsidRPr="003B7CB6">
        <w:rPr>
          <w:b/>
          <w:i/>
          <w:color w:val="000000"/>
          <w:sz w:val="24"/>
          <w:szCs w:val="24"/>
        </w:rPr>
        <w:t>Common regional proposal</w:t>
      </w:r>
      <w:r w:rsidRPr="003B7CB6">
        <w:rPr>
          <w:b/>
          <w:bCs/>
          <w:i/>
          <w:iCs/>
          <w:color w:val="000000"/>
          <w:sz w:val="24"/>
          <w:szCs w:val="24"/>
        </w:rPr>
        <w:t>:</w:t>
      </w:r>
      <w:r w:rsidRPr="003B7CB6">
        <w:rPr>
          <w:color w:val="000000"/>
          <w:sz w:val="24"/>
          <w:szCs w:val="24"/>
        </w:rPr>
        <w:t xml:space="preserve">  Yes/No</w:t>
      </w:r>
      <w:r w:rsidRPr="003B7CB6">
        <w:rPr>
          <w:color w:val="000000"/>
          <w:sz w:val="24"/>
          <w:szCs w:val="24"/>
        </w:rPr>
        <w:tab/>
      </w:r>
      <w:r w:rsidRPr="003B7CB6">
        <w:rPr>
          <w:b/>
          <w:i/>
          <w:color w:val="000000"/>
          <w:sz w:val="24"/>
          <w:szCs w:val="24"/>
        </w:rPr>
        <w:t>Multicountry proposal</w:t>
      </w:r>
      <w:r w:rsidRPr="003B7CB6">
        <w:rPr>
          <w:b/>
          <w:bCs/>
          <w:i/>
          <w:iCs/>
          <w:color w:val="000000"/>
          <w:sz w:val="24"/>
          <w:szCs w:val="24"/>
        </w:rPr>
        <w:t xml:space="preserve">:  </w:t>
      </w:r>
      <w:r w:rsidRPr="003B7CB6">
        <w:rPr>
          <w:color w:val="000000"/>
          <w:sz w:val="24"/>
          <w:szCs w:val="24"/>
        </w:rPr>
        <w:t>Yes/No</w:t>
      </w:r>
    </w:p>
    <w:p w:rsidR="003B7CB6" w:rsidRPr="003B7CB6" w:rsidP="003B7CB6">
      <w:pPr>
        <w:tabs>
          <w:tab w:val="left" w:pos="360"/>
          <w:tab w:val="left" w:pos="900"/>
          <w:tab w:val="left" w:pos="4366"/>
        </w:tabs>
        <w:rPr>
          <w:i/>
          <w:iCs/>
          <w:color w:val="000000"/>
          <w:sz w:val="24"/>
          <w:szCs w:val="24"/>
          <w:lang w:val="x-none" w:eastAsia="x-none"/>
        </w:rPr>
      </w:pPr>
      <w:r w:rsidRPr="003B7CB6">
        <w:rPr>
          <w:i/>
          <w:iCs/>
          <w:color w:val="000000"/>
          <w:sz w:val="24"/>
          <w:szCs w:val="24"/>
          <w:lang w:val="x-none" w:eastAsia="x-none"/>
        </w:rPr>
        <w:tab/>
        <w:t>Number of countries:</w:t>
      </w:r>
    </w:p>
    <w:p w:rsidR="003B7CB6" w:rsidRPr="003B7CB6" w:rsidP="003B7CB6">
      <w:pPr>
        <w:pBdr>
          <w:bottom w:val="single" w:sz="12" w:space="1" w:color="auto"/>
        </w:pBdr>
        <w:rPr>
          <w:color w:val="000000"/>
          <w:sz w:val="24"/>
          <w:szCs w:val="24"/>
        </w:rPr>
      </w:pPr>
    </w:p>
    <w:p w:rsidR="003B7CB6" w:rsidRPr="003B7CB6" w:rsidP="003B7CB6">
      <w:pPr>
        <w:rPr>
          <w:color w:val="000000"/>
          <w:sz w:val="24"/>
          <w:szCs w:val="24"/>
        </w:rPr>
      </w:pPr>
      <w:r w:rsidRPr="003B7CB6">
        <w:rPr>
          <w:b/>
          <w:bCs/>
          <w:i/>
          <w:iCs/>
          <w:color w:val="000000"/>
          <w:sz w:val="24"/>
          <w:szCs w:val="24"/>
        </w:rPr>
        <w:t>Remarks</w:t>
      </w:r>
    </w:p>
    <w:p w:rsidR="003B7CB6" w:rsidRPr="003B7CB6" w:rsidP="003B7CB6">
      <w:pPr>
        <w:tabs>
          <w:tab w:val="right" w:pos="8640"/>
        </w:tabs>
        <w:rPr>
          <w:b/>
          <w:sz w:val="24"/>
          <w:szCs w:val="24"/>
        </w:rPr>
      </w:pPr>
    </w:p>
    <w:p w:rsidR="003B7CB6" w:rsidRPr="003B7CB6" w:rsidP="003B7CB6">
      <w:pPr>
        <w:tabs>
          <w:tab w:val="right" w:pos="8640"/>
        </w:tabs>
        <w:rPr>
          <w:b/>
          <w:sz w:val="24"/>
          <w:szCs w:val="24"/>
        </w:rPr>
      </w:pPr>
    </w:p>
    <w:p w:rsidR="003B7CB6" w:rsidP="003B7CB6">
      <w:pPr>
        <w:spacing w:after="200" w:line="276" w:lineRule="auto"/>
        <w:jc w:val="center"/>
        <w:rPr>
          <w:b/>
          <w:sz w:val="24"/>
          <w:szCs w:val="24"/>
        </w:rPr>
      </w:pPr>
      <w:r>
        <w:rPr>
          <w:b/>
          <w:sz w:val="24"/>
          <w:szCs w:val="24"/>
        </w:rPr>
        <w:t>_________________________</w:t>
      </w:r>
    </w:p>
    <w:p w:rsidR="003B7CB6">
      <w:pPr>
        <w:spacing w:after="200" w:line="276" w:lineRule="auto"/>
        <w:rPr>
          <w:b/>
          <w:sz w:val="24"/>
          <w:szCs w:val="24"/>
        </w:rPr>
      </w:pPr>
      <w:r>
        <w:rPr>
          <w:b/>
          <w:sz w:val="24"/>
          <w:szCs w:val="24"/>
        </w:rPr>
        <w:br w:type="page"/>
      </w:r>
    </w:p>
    <w:p w:rsidR="00046568" w:rsidP="00046568">
      <w:pPr>
        <w:spacing w:after="200" w:line="276" w:lineRule="auto"/>
        <w:rPr>
          <w:b/>
          <w:sz w:val="24"/>
          <w:szCs w:val="24"/>
        </w:rPr>
      </w:pPr>
      <w:r>
        <w:rPr>
          <w:b/>
          <w:sz w:val="24"/>
          <w:szCs w:val="24"/>
        </w:rPr>
        <w:t>DOCUMENT WAC/08</w:t>
      </w:r>
      <w:r w:rsidR="003B7CB6">
        <w:rPr>
          <w:b/>
          <w:sz w:val="24"/>
          <w:szCs w:val="24"/>
        </w:rPr>
        <w:t>8</w:t>
      </w:r>
      <w:r>
        <w:rPr>
          <w:b/>
          <w:sz w:val="24"/>
          <w:szCs w:val="24"/>
        </w:rPr>
        <w:t xml:space="preserve"> (11.03.19)</w:t>
      </w:r>
    </w:p>
    <w:p w:rsidR="003B7CB6" w:rsidRPr="003B7CB6" w:rsidP="003B7CB6">
      <w:pPr>
        <w:jc w:val="center"/>
        <w:rPr>
          <w:b/>
          <w:sz w:val="28"/>
          <w:szCs w:val="28"/>
        </w:rPr>
      </w:pPr>
      <w:r w:rsidRPr="003B7CB6">
        <w:rPr>
          <w:b/>
          <w:sz w:val="28"/>
          <w:szCs w:val="28"/>
        </w:rPr>
        <w:t>United States of America</w:t>
      </w:r>
    </w:p>
    <w:p w:rsidR="003B7CB6" w:rsidRPr="003B7CB6" w:rsidP="003B7CB6">
      <w:pPr>
        <w:jc w:val="center"/>
        <w:rPr>
          <w:b/>
          <w:sz w:val="28"/>
          <w:szCs w:val="28"/>
        </w:rPr>
      </w:pPr>
    </w:p>
    <w:p w:rsidR="003B7CB6" w:rsidRPr="003B7CB6" w:rsidP="003B7CB6">
      <w:pPr>
        <w:jc w:val="center"/>
        <w:rPr>
          <w:sz w:val="28"/>
          <w:szCs w:val="28"/>
        </w:rPr>
      </w:pPr>
      <w:r w:rsidRPr="003B7CB6">
        <w:rPr>
          <w:sz w:val="28"/>
          <w:szCs w:val="28"/>
        </w:rPr>
        <w:t>DRAFT PROPOSALS FOR THE WORK OF THE CONFERENCE</w:t>
      </w:r>
    </w:p>
    <w:p w:rsidR="003B7CB6" w:rsidRPr="003B7CB6" w:rsidP="003B7CB6">
      <w:pPr>
        <w:jc w:val="center"/>
        <w:rPr>
          <w:sz w:val="28"/>
          <w:szCs w:val="28"/>
        </w:rPr>
      </w:pPr>
    </w:p>
    <w:p w:rsidR="003B7CB6" w:rsidRPr="003B7CB6" w:rsidP="003B7CB6">
      <w:pPr>
        <w:rPr>
          <w:sz w:val="24"/>
          <w:szCs w:val="24"/>
        </w:rPr>
      </w:pPr>
      <w:r w:rsidRPr="003B7CB6">
        <w:rPr>
          <w:b/>
          <w:sz w:val="24"/>
          <w:szCs w:val="24"/>
        </w:rPr>
        <w:t>Agenda Item 9, Issue 9.1.9:</w:t>
      </w:r>
      <w:r w:rsidRPr="003B7CB6">
        <w:rPr>
          <w:sz w:val="24"/>
          <w:szCs w:val="24"/>
        </w:rPr>
        <w:t xml:space="preserve"> Studies relating to spectrum needs and possible allocation of the frequency band 51.4-52.4 GHz to the fixed-satellite service (Earth-to-space)</w:t>
      </w:r>
    </w:p>
    <w:p w:rsidR="003B7CB6" w:rsidRPr="003B7CB6" w:rsidP="003B7CB6">
      <w:pPr>
        <w:rPr>
          <w:sz w:val="24"/>
          <w:szCs w:val="24"/>
        </w:rPr>
      </w:pPr>
    </w:p>
    <w:p w:rsidR="003B7CB6" w:rsidRPr="003B7CB6" w:rsidP="003B7CB6">
      <w:pPr>
        <w:rPr>
          <w:b/>
          <w:sz w:val="24"/>
          <w:szCs w:val="24"/>
        </w:rPr>
      </w:pPr>
      <w:r w:rsidRPr="003B7CB6">
        <w:rPr>
          <w:b/>
          <w:sz w:val="24"/>
          <w:szCs w:val="24"/>
        </w:rPr>
        <w:t>BACKGROUND:</w:t>
      </w:r>
    </w:p>
    <w:p w:rsidR="003B7CB6" w:rsidRPr="003B7CB6" w:rsidP="003B7CB6">
      <w:pPr>
        <w:rPr>
          <w:sz w:val="24"/>
          <w:szCs w:val="24"/>
          <w:lang w:eastAsia="zh-CN"/>
        </w:rPr>
      </w:pPr>
    </w:p>
    <w:p w:rsidR="003B7CB6" w:rsidRPr="003B7CB6" w:rsidP="003B7CB6">
      <w:pPr>
        <w:rPr>
          <w:sz w:val="24"/>
          <w:szCs w:val="24"/>
          <w:lang w:eastAsia="zh-CN"/>
        </w:rPr>
      </w:pPr>
      <w:r w:rsidRPr="003B7CB6">
        <w:rPr>
          <w:sz w:val="24"/>
          <w:szCs w:val="24"/>
          <w:lang w:eastAsia="zh-CN"/>
        </w:rPr>
        <w:t xml:space="preserve">Resolution </w:t>
      </w:r>
      <w:r w:rsidRPr="003B7CB6">
        <w:rPr>
          <w:b/>
          <w:sz w:val="24"/>
          <w:szCs w:val="24"/>
          <w:lang w:eastAsia="zh-CN"/>
        </w:rPr>
        <w:t>162 (WRC-15)</w:t>
      </w:r>
      <w:r w:rsidRPr="003B7CB6">
        <w:rPr>
          <w:sz w:val="24"/>
          <w:szCs w:val="24"/>
          <w:lang w:eastAsia="zh-CN"/>
        </w:rPr>
        <w:t xml:space="preserve"> resolves to invite ITU-R to conduct studies considering additional spectrum needs for development of the fixed-satellite service (FSS) and conduct sharing and compatibility studies with existing services to determine the suitability of new primary allocations to the FSS in the frequency band 51.4-52.4 GHz (Earth-to-space) limited to FSS gateway links for geostationary orbit use, and the possible associated regulatory actions.</w:t>
      </w:r>
    </w:p>
    <w:p w:rsidR="003B7CB6" w:rsidRPr="003B7CB6" w:rsidP="003B7CB6">
      <w:pPr>
        <w:rPr>
          <w:sz w:val="24"/>
          <w:szCs w:val="24"/>
          <w:lang w:eastAsia="zh-CN"/>
        </w:rPr>
      </w:pPr>
    </w:p>
    <w:p w:rsidR="003B7CB6" w:rsidRPr="003B7CB6" w:rsidP="003B7CB6">
      <w:pPr>
        <w:rPr>
          <w:sz w:val="24"/>
          <w:szCs w:val="24"/>
          <w:lang w:eastAsia="zh-CN"/>
        </w:rPr>
      </w:pPr>
      <w:r w:rsidRPr="003B7CB6">
        <w:rPr>
          <w:sz w:val="24"/>
          <w:szCs w:val="24"/>
          <w:lang w:eastAsia="zh-CN"/>
        </w:rPr>
        <w:t xml:space="preserve">ITU-R </w:t>
      </w:r>
      <w:r w:rsidRPr="003B7CB6">
        <w:rPr>
          <w:bCs/>
          <w:sz w:val="24"/>
          <w:szCs w:val="24"/>
          <w:lang w:eastAsia="zh-CN"/>
        </w:rPr>
        <w:t xml:space="preserve">has conducted studies required by </w:t>
      </w:r>
      <w:r w:rsidRPr="003B7CB6">
        <w:rPr>
          <w:sz w:val="24"/>
          <w:szCs w:val="24"/>
          <w:lang w:eastAsia="zh-CN"/>
        </w:rPr>
        <w:t xml:space="preserve">Resolution </w:t>
      </w:r>
      <w:r w:rsidRPr="003B7CB6">
        <w:rPr>
          <w:b/>
          <w:sz w:val="24"/>
          <w:szCs w:val="24"/>
          <w:lang w:eastAsia="zh-CN"/>
        </w:rPr>
        <w:t>162 (WRC-15)</w:t>
      </w:r>
      <w:r w:rsidRPr="003B7CB6">
        <w:rPr>
          <w:sz w:val="24"/>
          <w:szCs w:val="24"/>
          <w:lang w:eastAsia="zh-CN"/>
        </w:rPr>
        <w:t xml:space="preserve">. The results of analysis of additional spectrum needs are contained in DN Report ITU-R S.[SPECTRUM_NEEDS]. The results of sharing and compatibility studies with incumbent services including the fixed service (FS), mobile service (MS), </w:t>
      </w:r>
      <w:r w:rsidRPr="003B7CB6">
        <w:rPr>
          <w:sz w:val="24"/>
          <w:szCs w:val="24"/>
        </w:rPr>
        <w:t xml:space="preserve">Earth exploration-satellite </w:t>
      </w:r>
      <w:r w:rsidRPr="003B7CB6">
        <w:rPr>
          <w:sz w:val="24"/>
          <w:szCs w:val="24"/>
          <w:lang w:eastAsia="zh-CN"/>
        </w:rPr>
        <w:t>service (</w:t>
      </w:r>
      <w:r w:rsidRPr="003B7CB6">
        <w:rPr>
          <w:sz w:val="24"/>
          <w:szCs w:val="24"/>
        </w:rPr>
        <w:t>EESS</w:t>
      </w:r>
      <w:r w:rsidRPr="003B7CB6">
        <w:rPr>
          <w:sz w:val="24"/>
          <w:szCs w:val="24"/>
          <w:lang w:eastAsia="zh-CN"/>
        </w:rPr>
        <w:t>)</w:t>
      </w:r>
      <w:r w:rsidRPr="003B7CB6">
        <w:rPr>
          <w:sz w:val="24"/>
          <w:szCs w:val="24"/>
        </w:rPr>
        <w:t xml:space="preserve"> (passive), radio astronomy service (RAS), and sharing with potential IMT-2020 applications</w:t>
      </w:r>
      <w:r w:rsidRPr="003B7CB6">
        <w:rPr>
          <w:sz w:val="24"/>
          <w:szCs w:val="24"/>
          <w:lang w:eastAsia="zh-CN"/>
        </w:rPr>
        <w:t xml:space="preserve"> are contained in PDN Report ITU-R S.[SPECTRUM_SHARING].</w:t>
      </w:r>
    </w:p>
    <w:p w:rsidR="003B7CB6" w:rsidRPr="003B7CB6" w:rsidP="003B7CB6">
      <w:pPr>
        <w:rPr>
          <w:rFonts w:eastAsia="Calibri"/>
          <w:sz w:val="24"/>
          <w:szCs w:val="24"/>
        </w:rPr>
      </w:pPr>
    </w:p>
    <w:p w:rsidR="003B7CB6" w:rsidRPr="003B7CB6" w:rsidP="003B7CB6">
      <w:pPr>
        <w:rPr>
          <w:rFonts w:eastAsia="Calibri"/>
          <w:sz w:val="24"/>
          <w:szCs w:val="24"/>
        </w:rPr>
      </w:pPr>
      <w:r w:rsidRPr="003B7CB6">
        <w:rPr>
          <w:rFonts w:eastAsia="Calibri"/>
          <w:sz w:val="24"/>
          <w:szCs w:val="24"/>
        </w:rPr>
        <w:t>The spectrum needs were analyzed and it was concluded that the additional allocation to the FSS being considered is beneficial to make broadband connections accessible to communities as achieved by HTS (High Throughput Satellite) systems.</w:t>
      </w:r>
    </w:p>
    <w:p w:rsidR="003B7CB6" w:rsidRPr="003B7CB6" w:rsidP="003B7CB6">
      <w:pPr>
        <w:rPr>
          <w:rFonts w:eastAsia="Calibri"/>
          <w:sz w:val="24"/>
          <w:szCs w:val="24"/>
        </w:rPr>
      </w:pPr>
    </w:p>
    <w:p w:rsidR="003B7CB6" w:rsidRPr="003B7CB6" w:rsidP="003B7CB6">
      <w:pPr>
        <w:rPr>
          <w:sz w:val="24"/>
          <w:szCs w:val="24"/>
        </w:rPr>
      </w:pPr>
      <w:r w:rsidRPr="003B7CB6">
        <w:rPr>
          <w:sz w:val="24"/>
          <w:szCs w:val="24"/>
        </w:rPr>
        <w:t>Additionally, the outcome of the studies has demonstrated the possibility of sharing and compatibility with the appropriate protection measures. Studies included sharing and compatibility between FSS and other primary services in the band, such as fixed service and mobile service (including IMT-2020). Studies were also performed for the protection of Earth Exploration-Satellite Service (EESS) and Space Research Service (SRS) allocated in adjacent bands. Studies have considered FSS earth stations as small as 4.5 m but analysis of the various studies demonstrates the feasibility to use smaller FSS earth stations, as low as 2.4 m, with minimal impact.</w:t>
      </w:r>
    </w:p>
    <w:p w:rsidR="003B7CB6" w:rsidRPr="003B7CB6" w:rsidP="003B7CB6">
      <w:pPr>
        <w:rPr>
          <w:sz w:val="24"/>
          <w:szCs w:val="24"/>
          <w:lang w:eastAsia="zh-CN"/>
        </w:rPr>
      </w:pPr>
    </w:p>
    <w:p w:rsidR="003B7CB6" w:rsidRPr="003B7CB6" w:rsidP="003B7CB6">
      <w:pPr>
        <w:rPr>
          <w:sz w:val="24"/>
          <w:szCs w:val="24"/>
          <w:lang w:eastAsia="zh-CN"/>
        </w:rPr>
      </w:pPr>
      <w:r w:rsidRPr="003B7CB6">
        <w:rPr>
          <w:sz w:val="24"/>
          <w:szCs w:val="24"/>
          <w:lang w:eastAsia="zh-CN"/>
        </w:rPr>
        <w:t>Based on the results of the sharing and compatibility studies this proposal supports an allocation of the frequency band 51.4-52.4 GHz to the fixed-satellite service (Earth-to-space), limited to FSS gateway links for geostationary orbit use while protecting currently allocated services in the same frequency band and in adjacent bands as follows:</w:t>
      </w:r>
    </w:p>
    <w:p w:rsidR="003B7CB6" w:rsidRPr="003B7CB6" w:rsidP="003B7CB6">
      <w:pPr>
        <w:rPr>
          <w:rFonts w:eastAsia="Calibri"/>
          <w:spacing w:val="-2"/>
          <w:sz w:val="24"/>
          <w:szCs w:val="24"/>
        </w:rPr>
      </w:pPr>
    </w:p>
    <w:p w:rsidR="003B7CB6" w:rsidRPr="003B7CB6" w:rsidP="003B7CB6">
      <w:pPr>
        <w:rPr>
          <w:sz w:val="24"/>
          <w:szCs w:val="24"/>
          <w:lang w:eastAsia="zh-CN"/>
        </w:rPr>
      </w:pPr>
      <w:r w:rsidRPr="003B7CB6">
        <w:rPr>
          <w:rFonts w:eastAsia="Calibri"/>
          <w:spacing w:val="-2"/>
          <w:sz w:val="24"/>
          <w:szCs w:val="24"/>
        </w:rPr>
        <w:t xml:space="preserve">To protect FS stations, separation distances up to 33 km are required when assuming flat terrain and a 4.5 m earth station which means that the distance can be reduced when real terrain is taken into consideration. </w:t>
      </w:r>
      <w:r w:rsidRPr="003B7CB6">
        <w:rPr>
          <w:sz w:val="24"/>
          <w:szCs w:val="24"/>
        </w:rPr>
        <w:t xml:space="preserve">In the case of a 2.4 m earth station, the only impacting parameter is the change in FSS antenna peak gain and the resulting change in the transmitter power spectral density (assuming a fixed EIRP density) </w:t>
      </w:r>
      <w:r w:rsidRPr="003B7CB6">
        <w:rPr>
          <w:sz w:val="24"/>
          <w:szCs w:val="24"/>
          <w:lang w:eastAsia="zh-CN"/>
        </w:rPr>
        <w:t>leading to a separation distance of 35 km.</w:t>
      </w:r>
    </w:p>
    <w:p w:rsidR="003B7CB6" w:rsidRPr="003B7CB6" w:rsidP="003B7CB6">
      <w:pPr>
        <w:rPr>
          <w:sz w:val="24"/>
          <w:szCs w:val="24"/>
          <w:lang w:eastAsia="zh-CN"/>
        </w:rPr>
      </w:pPr>
      <w:r w:rsidRPr="003B7CB6">
        <w:rPr>
          <w:sz w:val="24"/>
          <w:szCs w:val="24"/>
          <w:lang w:eastAsia="zh-CN"/>
        </w:rPr>
        <w:t xml:space="preserve">Regarding the possible IMT-2020 applications of the MS in the same frequency band, the required separation distances between FSS earth stations and IMT base station and IMT user equipment are 260 and 330 meters, respectively. </w:t>
      </w:r>
    </w:p>
    <w:p w:rsidR="003B7CB6" w:rsidRPr="003B7CB6" w:rsidP="003B7CB6">
      <w:pPr>
        <w:rPr>
          <w:sz w:val="24"/>
          <w:szCs w:val="24"/>
          <w:lang w:eastAsia="zh-CN"/>
        </w:rPr>
      </w:pPr>
    </w:p>
    <w:p w:rsidR="003B7CB6" w:rsidRPr="003B7CB6" w:rsidP="003B7CB6">
      <w:pPr>
        <w:rPr>
          <w:sz w:val="24"/>
          <w:szCs w:val="24"/>
        </w:rPr>
      </w:pPr>
      <w:r w:rsidRPr="003B7CB6">
        <w:rPr>
          <w:sz w:val="24"/>
          <w:szCs w:val="24"/>
          <w:lang w:eastAsia="zh-CN"/>
        </w:rPr>
        <w:t>The protection of non-GSO EESS (passive) sensors operating in the frequency band 52.6</w:t>
      </w:r>
      <w:r w:rsidRPr="003B7CB6">
        <w:rPr>
          <w:sz w:val="24"/>
          <w:szCs w:val="24"/>
          <w:lang w:eastAsia="zh-CN"/>
        </w:rPr>
        <w:noBreakHyphen/>
        <w:t xml:space="preserve">54.25 GHz can be achieved </w:t>
      </w:r>
      <w:r w:rsidRPr="003B7CB6">
        <w:rPr>
          <w:color w:val="000000"/>
          <w:spacing w:val="-2"/>
          <w:sz w:val="24"/>
          <w:szCs w:val="24"/>
        </w:rPr>
        <w:t>by limiting the FSS earth station unwanted emissions falling in the passive band.</w:t>
      </w:r>
    </w:p>
    <w:p w:rsidR="003B7CB6" w:rsidRPr="003B7CB6" w:rsidP="003B7CB6">
      <w:pPr>
        <w:rPr>
          <w:sz w:val="24"/>
          <w:szCs w:val="24"/>
        </w:rPr>
      </w:pPr>
    </w:p>
    <w:p w:rsidR="003B7CB6" w:rsidRPr="003B7CB6" w:rsidP="003B7CB6">
      <w:pPr>
        <w:rPr>
          <w:sz w:val="24"/>
          <w:szCs w:val="24"/>
          <w:lang w:eastAsia="zh-CN"/>
        </w:rPr>
      </w:pPr>
      <w:bookmarkStart w:id="10" w:name="_Hlk536711174"/>
      <w:bookmarkStart w:id="11" w:name="_Hlk536793325"/>
      <w:r w:rsidRPr="003B7CB6">
        <w:rPr>
          <w:sz w:val="24"/>
          <w:szCs w:val="24"/>
        </w:rPr>
        <w:t>Regarding the protection of future GSO EESS (passive) sensors,</w:t>
      </w:r>
      <w:bookmarkEnd w:id="10"/>
      <w:r w:rsidRPr="003B7CB6">
        <w:rPr>
          <w:sz w:val="24"/>
          <w:szCs w:val="24"/>
        </w:rPr>
        <w:t xml:space="preserve"> a footnote in article 5 will require coordination between a FSS network and a notified GSO EESS network when the orbital separation between the GSO EESS space station and the FSS space station is less than 1.8 degrees.</w:t>
      </w:r>
    </w:p>
    <w:bookmarkEnd w:id="11"/>
    <w:p w:rsidR="003B7CB6" w:rsidRPr="003B7CB6" w:rsidP="003B7CB6">
      <w:pPr>
        <w:rPr>
          <w:sz w:val="24"/>
          <w:szCs w:val="24"/>
          <w:lang w:eastAsia="zh-CN"/>
        </w:rPr>
      </w:pPr>
    </w:p>
    <w:p w:rsidR="003B7CB6" w:rsidRPr="003B7CB6" w:rsidP="003B7CB6">
      <w:pPr>
        <w:rPr>
          <w:sz w:val="24"/>
          <w:szCs w:val="24"/>
          <w:lang w:eastAsia="zh-CN"/>
        </w:rPr>
      </w:pPr>
      <w:r w:rsidRPr="003B7CB6">
        <w:rPr>
          <w:sz w:val="24"/>
          <w:szCs w:val="24"/>
          <w:lang w:eastAsia="zh-CN"/>
        </w:rPr>
        <w:t>Regarding protection of EESS (passive) sensors, studies have demonstrated that the FSS earth station antenna size has only a minimal impact on the results. It is then proposed to consider FSS earth station size as small as 2.4 m.</w:t>
      </w:r>
    </w:p>
    <w:p w:rsidR="003B7CB6" w:rsidRPr="003B7CB6" w:rsidP="003B7CB6">
      <w:pPr>
        <w:rPr>
          <w:sz w:val="24"/>
          <w:szCs w:val="24"/>
          <w:lang w:eastAsia="zh-CN"/>
        </w:rPr>
      </w:pPr>
    </w:p>
    <w:p w:rsidR="003B7CB6" w:rsidRPr="003B7CB6" w:rsidP="003B7CB6">
      <w:pPr>
        <w:rPr>
          <w:sz w:val="24"/>
          <w:szCs w:val="24"/>
          <w:lang w:eastAsia="zh-CN"/>
        </w:rPr>
      </w:pPr>
    </w:p>
    <w:p w:rsidR="003B7CB6" w:rsidRPr="003B7CB6" w:rsidP="003B7CB6">
      <w:pPr>
        <w:rPr>
          <w:sz w:val="24"/>
          <w:szCs w:val="24"/>
          <w:lang w:eastAsia="zh-CN"/>
        </w:rPr>
      </w:pP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AU" w:eastAsia="x-none"/>
        </w:rPr>
      </w:pPr>
      <w:bookmarkStart w:id="12" w:name="_Toc451865291"/>
      <w:r w:rsidRPr="003B7CB6">
        <w:rPr>
          <w:caps/>
          <w:sz w:val="28"/>
          <w:lang w:val="en-GB" w:eastAsia="x-none"/>
        </w:rPr>
        <w:t>ARTICLE</w:t>
      </w:r>
      <w:r w:rsidRPr="003B7CB6">
        <w:rPr>
          <w:caps/>
          <w:sz w:val="28"/>
          <w:lang w:val="en-AU" w:eastAsia="x-none"/>
        </w:rPr>
        <w:t xml:space="preserve"> </w:t>
      </w:r>
      <w:r w:rsidRPr="003B7CB6">
        <w:rPr>
          <w:caps/>
          <w:color w:val="000000"/>
          <w:sz w:val="28"/>
          <w:lang w:val="en-AU" w:eastAsia="x-none"/>
        </w:rPr>
        <w:t>5</w:t>
      </w:r>
      <w:bookmarkEnd w:id="12"/>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b/>
          <w:sz w:val="28"/>
          <w:lang w:eastAsia="x-none"/>
        </w:rPr>
      </w:pPr>
      <w:bookmarkStart w:id="13" w:name="_Toc327956583"/>
      <w:bookmarkStart w:id="14" w:name="_Toc451865292"/>
      <w:r w:rsidRPr="003B7CB6">
        <w:rPr>
          <w:b/>
          <w:sz w:val="28"/>
          <w:lang w:val="en-GB" w:eastAsia="x-none"/>
        </w:rPr>
        <w:t>Frequency allocations</w:t>
      </w:r>
      <w:bookmarkEnd w:id="13"/>
      <w:bookmarkEnd w:id="14"/>
    </w:p>
    <w:p w:rsidR="003B7CB6" w:rsidRPr="003B7CB6" w:rsidP="003B7CB6">
      <w:pPr>
        <w:keepNext/>
        <w:tabs>
          <w:tab w:val="center" w:pos="4820"/>
        </w:tabs>
        <w:overflowPunct w:val="0"/>
        <w:autoSpaceDE w:val="0"/>
        <w:autoSpaceDN w:val="0"/>
        <w:adjustRightInd w:val="0"/>
        <w:spacing w:before="360"/>
        <w:jc w:val="center"/>
        <w:textAlignment w:val="baseline"/>
        <w:rPr>
          <w:b/>
          <w:sz w:val="24"/>
          <w:lang w:val="en-GB"/>
        </w:rPr>
      </w:pPr>
      <w:r w:rsidRPr="003B7CB6">
        <w:rPr>
          <w:b/>
          <w:sz w:val="24"/>
          <w:lang w:val="en-GB"/>
        </w:rPr>
        <w:t>Section</w:t>
      </w:r>
      <w:r w:rsidRPr="003B7CB6">
        <w:rPr>
          <w:b/>
          <w:sz w:val="24"/>
          <w:lang w:val="en-AU"/>
        </w:rPr>
        <w:t xml:space="preserve"> IV – Table of Frequency Allocations</w:t>
      </w:r>
      <w:r w:rsidRPr="003B7CB6">
        <w:rPr>
          <w:b/>
          <w:sz w:val="24"/>
          <w:lang w:val="en-AU"/>
        </w:rPr>
        <w:br/>
      </w:r>
      <w:r w:rsidRPr="003B7CB6">
        <w:rPr>
          <w:bCs/>
          <w:sz w:val="24"/>
          <w:lang w:val="en-GB"/>
        </w:rPr>
        <w:t xml:space="preserve">(See No. </w:t>
      </w:r>
      <w:r w:rsidRPr="003B7CB6">
        <w:rPr>
          <w:b/>
          <w:sz w:val="24"/>
          <w:lang w:val="en-GB"/>
        </w:rPr>
        <w:t>2.1</w:t>
      </w:r>
      <w:r w:rsidRPr="003B7CB6">
        <w:rPr>
          <w:bCs/>
          <w:sz w:val="24"/>
          <w:lang w:val="en-GB"/>
        </w:rPr>
        <w:t>)</w:t>
      </w:r>
      <w:r w:rsidRPr="003B7CB6">
        <w:rPr>
          <w:bCs/>
          <w:sz w:val="24"/>
          <w:lang w:val="en-GB"/>
        </w:rPr>
        <w:br/>
      </w:r>
      <w:r w:rsidRPr="003B7CB6">
        <w:rPr>
          <w:b/>
          <w:sz w:val="24"/>
          <w:lang w:val="en-GB"/>
        </w:rPr>
        <w:br/>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3B7CB6">
        <w:rPr>
          <w:sz w:val="24"/>
          <w:lang w:val="en-GB"/>
        </w:rPr>
        <w:t>MOD</w:t>
      </w:r>
      <w:r w:rsidRPr="003B7CB6">
        <w:rPr>
          <w:sz w:val="24"/>
          <w:lang w:val="en-GB"/>
        </w:rPr>
        <w:tab/>
        <w:t>USA/9.1.9/1</w:t>
      </w:r>
    </w:p>
    <w:p w:rsidR="003B7CB6" w:rsidRPr="003B7CB6" w:rsidP="003B7CB6">
      <w:pPr>
        <w:keepNext/>
        <w:overflowPunct w:val="0"/>
        <w:autoSpaceDE w:val="0"/>
        <w:autoSpaceDN w:val="0"/>
        <w:adjustRightInd w:val="0"/>
        <w:spacing w:after="120"/>
        <w:jc w:val="center"/>
        <w:textAlignment w:val="baseline"/>
        <w:rPr>
          <w:b/>
          <w:sz w:val="24"/>
          <w:szCs w:val="24"/>
          <w:lang w:val="fr-FR"/>
        </w:rPr>
      </w:pPr>
      <w:r w:rsidRPr="003B7CB6">
        <w:rPr>
          <w:b/>
          <w:sz w:val="24"/>
          <w:szCs w:val="24"/>
          <w:lang w:val="fr-FR"/>
        </w:rPr>
        <w:t>51.4-55.78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102"/>
        <w:gridCol w:w="3102"/>
      </w:tblGrid>
      <w:tr w:rsidTr="003B7CB6">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B7CB6" w:rsidRPr="003B7CB6" w:rsidP="003B7CB6">
            <w:pPr>
              <w:overflowPunct w:val="0"/>
              <w:autoSpaceDE w:val="0"/>
              <w:autoSpaceDN w:val="0"/>
              <w:adjustRightInd w:val="0"/>
              <w:spacing w:before="80" w:after="80"/>
              <w:jc w:val="center"/>
              <w:textAlignment w:val="baseline"/>
              <w:rPr>
                <w:b/>
                <w:sz w:val="20"/>
                <w:lang w:val="fr-FR"/>
              </w:rPr>
            </w:pPr>
            <w:r w:rsidRPr="003B7CB6">
              <w:rPr>
                <w:b/>
                <w:sz w:val="20"/>
                <w:lang w:val="fr-FR"/>
              </w:rPr>
              <w:t>Allocation to services</w:t>
            </w:r>
          </w:p>
        </w:tc>
      </w:tr>
      <w:tr w:rsidTr="003B7CB6">
        <w:tblPrEx>
          <w:tblW w:w="9304"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3B7CB6" w:rsidRPr="003B7CB6" w:rsidP="003B7CB6">
            <w:pPr>
              <w:overflowPunct w:val="0"/>
              <w:autoSpaceDE w:val="0"/>
              <w:autoSpaceDN w:val="0"/>
              <w:adjustRightInd w:val="0"/>
              <w:spacing w:before="80" w:after="80"/>
              <w:jc w:val="center"/>
              <w:textAlignment w:val="baseline"/>
              <w:rPr>
                <w:b/>
                <w:sz w:val="20"/>
              </w:rPr>
            </w:pPr>
            <w:r w:rsidRPr="003B7CB6">
              <w:rPr>
                <w:b/>
                <w:sz w:val="20"/>
              </w:rPr>
              <w:t>Region 1</w:t>
            </w:r>
          </w:p>
        </w:tc>
        <w:tc>
          <w:tcPr>
            <w:tcW w:w="3102" w:type="dxa"/>
            <w:tcBorders>
              <w:top w:val="single" w:sz="4" w:space="0" w:color="auto"/>
              <w:left w:val="single" w:sz="4" w:space="0" w:color="auto"/>
              <w:bottom w:val="single" w:sz="4" w:space="0" w:color="auto"/>
              <w:right w:val="single" w:sz="4" w:space="0" w:color="auto"/>
            </w:tcBorders>
            <w:hideMark/>
          </w:tcPr>
          <w:p w:rsidR="003B7CB6" w:rsidRPr="003B7CB6" w:rsidP="003B7CB6">
            <w:pPr>
              <w:overflowPunct w:val="0"/>
              <w:autoSpaceDE w:val="0"/>
              <w:autoSpaceDN w:val="0"/>
              <w:adjustRightInd w:val="0"/>
              <w:spacing w:before="80" w:after="80"/>
              <w:jc w:val="center"/>
              <w:textAlignment w:val="baseline"/>
              <w:rPr>
                <w:b/>
                <w:sz w:val="20"/>
              </w:rPr>
            </w:pPr>
            <w:r w:rsidRPr="003B7CB6">
              <w:rPr>
                <w:b/>
                <w:sz w:val="20"/>
              </w:rPr>
              <w:t>Region 2</w:t>
            </w:r>
          </w:p>
        </w:tc>
        <w:tc>
          <w:tcPr>
            <w:tcW w:w="3102" w:type="dxa"/>
            <w:tcBorders>
              <w:top w:val="single" w:sz="4" w:space="0" w:color="auto"/>
              <w:left w:val="single" w:sz="4" w:space="0" w:color="auto"/>
              <w:bottom w:val="single" w:sz="4" w:space="0" w:color="auto"/>
              <w:right w:val="single" w:sz="4" w:space="0" w:color="auto"/>
            </w:tcBorders>
            <w:hideMark/>
          </w:tcPr>
          <w:p w:rsidR="003B7CB6" w:rsidRPr="003B7CB6" w:rsidP="003B7CB6">
            <w:pPr>
              <w:overflowPunct w:val="0"/>
              <w:autoSpaceDE w:val="0"/>
              <w:autoSpaceDN w:val="0"/>
              <w:adjustRightInd w:val="0"/>
              <w:spacing w:before="80" w:after="80"/>
              <w:jc w:val="center"/>
              <w:textAlignment w:val="baseline"/>
              <w:rPr>
                <w:b/>
                <w:sz w:val="20"/>
              </w:rPr>
            </w:pPr>
            <w:r w:rsidRPr="003B7CB6">
              <w:rPr>
                <w:b/>
                <w:sz w:val="20"/>
              </w:rPr>
              <w:t>Region 3</w:t>
            </w:r>
          </w:p>
        </w:tc>
      </w:tr>
      <w:tr w:rsidTr="003B7CB6">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3B7CB6" w:rsidRPr="003B7CB6" w:rsidP="003B7CB6">
            <w:pPr>
              <w:tabs>
                <w:tab w:val="left" w:pos="2977"/>
                <w:tab w:val="left" w:pos="3266"/>
              </w:tabs>
              <w:overflowPunct w:val="0"/>
              <w:autoSpaceDE w:val="0"/>
              <w:autoSpaceDN w:val="0"/>
              <w:adjustRightInd w:val="0"/>
              <w:spacing w:before="50" w:after="50"/>
              <w:textAlignment w:val="baseline"/>
              <w:rPr>
                <w:color w:val="000000"/>
                <w:sz w:val="20"/>
                <w:lang w:eastAsia="zh-CN"/>
              </w:rPr>
            </w:pPr>
            <w:r w:rsidRPr="003B7CB6">
              <w:rPr>
                <w:b/>
                <w:sz w:val="20"/>
              </w:rPr>
              <w:t>51.4</w:t>
            </w:r>
            <w:r w:rsidRPr="003B7CB6">
              <w:rPr>
                <w:b/>
                <w:color w:val="FFCC00"/>
                <w:sz w:val="20"/>
              </w:rPr>
              <w:t>-</w:t>
            </w:r>
            <w:r w:rsidRPr="003B7CB6">
              <w:rPr>
                <w:b/>
                <w:color w:val="FFCC00"/>
                <w:sz w:val="20"/>
              </w:rPr>
              <w:t>52.4</w:t>
            </w:r>
            <w:r w:rsidRPr="003B7CB6">
              <w:rPr>
                <w:color w:val="000000"/>
                <w:sz w:val="20"/>
              </w:rPr>
              <w:tab/>
            </w:r>
            <w:r w:rsidRPr="003B7CB6">
              <w:rPr>
                <w:color w:val="000000"/>
                <w:sz w:val="20"/>
              </w:rPr>
              <w:t xml:space="preserve">FIXED-SATELLITE (Earth-to-space)  </w:t>
            </w:r>
            <w:r w:rsidRPr="003B7CB6">
              <w:rPr>
                <w:sz w:val="20"/>
              </w:rPr>
              <w:t>ADD 5.A919 ADD 5.B919</w:t>
            </w:r>
          </w:p>
          <w:p w:rsidR="003B7CB6" w:rsidRPr="003B7CB6" w:rsidP="003B7CB6">
            <w:pPr>
              <w:tabs>
                <w:tab w:val="left" w:pos="170"/>
                <w:tab w:val="left" w:pos="567"/>
                <w:tab w:val="left" w:pos="737"/>
                <w:tab w:val="left" w:pos="2977"/>
                <w:tab w:val="left" w:pos="3266"/>
              </w:tabs>
              <w:overflowPunct w:val="0"/>
              <w:autoSpaceDE w:val="0"/>
              <w:autoSpaceDN w:val="0"/>
              <w:adjustRightInd w:val="0"/>
              <w:spacing w:before="50" w:after="50"/>
              <w:ind w:left="2486" w:leftChars="1243"/>
              <w:textAlignment w:val="baseline"/>
              <w:rPr>
                <w:color w:val="000000"/>
                <w:sz w:val="20"/>
              </w:rPr>
            </w:pPr>
            <w:r w:rsidRPr="003B7CB6">
              <w:rPr>
                <w:color w:val="000000"/>
                <w:sz w:val="20"/>
              </w:rPr>
              <w:t xml:space="preserve">FIXED  </w:t>
            </w:r>
          </w:p>
          <w:p w:rsidR="003B7CB6" w:rsidRPr="003B7CB6" w:rsidP="003B7CB6">
            <w:pPr>
              <w:tabs>
                <w:tab w:val="left" w:pos="170"/>
                <w:tab w:val="left" w:pos="567"/>
                <w:tab w:val="left" w:pos="737"/>
                <w:tab w:val="left" w:pos="2977"/>
                <w:tab w:val="left" w:pos="3266"/>
              </w:tabs>
              <w:overflowPunct w:val="0"/>
              <w:autoSpaceDE w:val="0"/>
              <w:autoSpaceDN w:val="0"/>
              <w:adjustRightInd w:val="0"/>
              <w:spacing w:before="50" w:after="50"/>
              <w:textAlignment w:val="baseline"/>
              <w:rPr>
                <w:color w:val="000000"/>
                <w:sz w:val="20"/>
              </w:rPr>
            </w:pPr>
            <w:r w:rsidRPr="003B7CB6">
              <w:rPr>
                <w:color w:val="000000"/>
                <w:sz w:val="20"/>
              </w:rPr>
              <w:tab/>
            </w:r>
            <w:r w:rsidRPr="003B7CB6">
              <w:rPr>
                <w:color w:val="000000"/>
                <w:sz w:val="20"/>
              </w:rPr>
              <w:tab/>
            </w:r>
            <w:r w:rsidRPr="003B7CB6">
              <w:rPr>
                <w:color w:val="000000"/>
                <w:sz w:val="20"/>
              </w:rPr>
              <w:tab/>
            </w:r>
            <w:r w:rsidRPr="003B7CB6">
              <w:rPr>
                <w:color w:val="000000"/>
                <w:sz w:val="20"/>
              </w:rPr>
              <w:tab/>
              <w:t>MOBILE</w:t>
            </w:r>
          </w:p>
          <w:p w:rsidR="003B7CB6" w:rsidRPr="003B7CB6" w:rsidP="003B7CB6">
            <w:pPr>
              <w:tabs>
                <w:tab w:val="left" w:pos="170"/>
                <w:tab w:val="left" w:pos="567"/>
                <w:tab w:val="left" w:pos="737"/>
                <w:tab w:val="left" w:pos="2977"/>
                <w:tab w:val="left" w:pos="3266"/>
              </w:tabs>
              <w:overflowPunct w:val="0"/>
              <w:autoSpaceDE w:val="0"/>
              <w:autoSpaceDN w:val="0"/>
              <w:adjustRightInd w:val="0"/>
              <w:spacing w:before="50" w:after="50"/>
              <w:textAlignment w:val="baseline"/>
              <w:rPr>
                <w:color w:val="000000"/>
                <w:sz w:val="20"/>
              </w:rPr>
            </w:pPr>
            <w:r w:rsidRPr="003B7CB6">
              <w:rPr>
                <w:color w:val="000000"/>
                <w:sz w:val="20"/>
              </w:rPr>
              <w:tab/>
            </w:r>
            <w:r w:rsidRPr="003B7CB6">
              <w:rPr>
                <w:color w:val="000000"/>
                <w:sz w:val="20"/>
              </w:rPr>
              <w:tab/>
            </w:r>
            <w:r w:rsidRPr="003B7CB6">
              <w:rPr>
                <w:color w:val="000000"/>
                <w:sz w:val="20"/>
              </w:rPr>
              <w:tab/>
            </w:r>
            <w:r w:rsidRPr="003B7CB6">
              <w:rPr>
                <w:color w:val="000000"/>
                <w:sz w:val="20"/>
              </w:rPr>
              <w:tab/>
              <w:t>5.547  5.556</w:t>
            </w:r>
            <w:r w:rsidRPr="003B7CB6">
              <w:rPr>
                <w:color w:val="000000"/>
                <w:sz w:val="20"/>
                <w:lang w:eastAsia="zh-CN"/>
              </w:rPr>
              <w:t xml:space="preserve">  MOD </w:t>
            </w:r>
            <w:r w:rsidRPr="003B7CB6">
              <w:rPr>
                <w:sz w:val="20"/>
                <w:lang w:val="fr-FR"/>
              </w:rPr>
              <w:t>5.338A</w:t>
            </w:r>
          </w:p>
        </w:tc>
      </w:tr>
      <w:tr w:rsidTr="003B7CB6">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3B7CB6" w:rsidRPr="003B7CB6" w:rsidP="003B7CB6">
            <w:pPr>
              <w:tabs>
                <w:tab w:val="left" w:pos="2977"/>
                <w:tab w:val="left" w:pos="3266"/>
              </w:tabs>
              <w:overflowPunct w:val="0"/>
              <w:autoSpaceDE w:val="0"/>
              <w:autoSpaceDN w:val="0"/>
              <w:adjustRightInd w:val="0"/>
              <w:spacing w:before="50" w:after="50"/>
              <w:textAlignment w:val="baseline"/>
              <w:rPr>
                <w:color w:val="000000"/>
                <w:sz w:val="20"/>
              </w:rPr>
            </w:pPr>
            <w:r w:rsidRPr="003B7CB6">
              <w:rPr>
                <w:b/>
                <w:color w:val="FFCC00"/>
                <w:sz w:val="20"/>
                <w:lang w:eastAsia="zh-CN"/>
              </w:rPr>
              <w:t>52.4</w:t>
            </w:r>
            <w:r w:rsidRPr="003B7CB6">
              <w:rPr>
                <w:b/>
                <w:sz w:val="20"/>
                <w:lang w:eastAsia="zh-CN"/>
              </w:rPr>
              <w:t>-52.6</w:t>
            </w:r>
            <w:r w:rsidRPr="003B7CB6">
              <w:rPr>
                <w:b/>
                <w:color w:val="FFCC00"/>
                <w:sz w:val="20"/>
                <w:lang w:eastAsia="zh-CN"/>
              </w:rPr>
              <w:tab/>
            </w:r>
            <w:r w:rsidRPr="003B7CB6">
              <w:rPr>
                <w:color w:val="000000"/>
                <w:sz w:val="20"/>
              </w:rPr>
              <w:t xml:space="preserve">FIXED </w:t>
            </w:r>
            <w:r w:rsidRPr="003B7CB6">
              <w:rPr>
                <w:color w:val="000000"/>
                <w:sz w:val="20"/>
              </w:rPr>
              <w:t xml:space="preserve"> MOD </w:t>
            </w:r>
            <w:r w:rsidRPr="003B7CB6">
              <w:rPr>
                <w:sz w:val="20"/>
              </w:rPr>
              <w:t>5.338A</w:t>
            </w:r>
          </w:p>
          <w:p w:rsidR="003B7CB6" w:rsidRPr="003B7CB6" w:rsidP="003B7CB6">
            <w:pPr>
              <w:tabs>
                <w:tab w:val="left" w:pos="170"/>
                <w:tab w:val="left" w:pos="567"/>
                <w:tab w:val="left" w:pos="737"/>
                <w:tab w:val="left" w:pos="2977"/>
                <w:tab w:val="left" w:pos="3266"/>
              </w:tabs>
              <w:overflowPunct w:val="0"/>
              <w:autoSpaceDE w:val="0"/>
              <w:autoSpaceDN w:val="0"/>
              <w:adjustRightInd w:val="0"/>
              <w:spacing w:before="50" w:after="50"/>
              <w:textAlignment w:val="baseline"/>
              <w:rPr>
                <w:color w:val="000000"/>
                <w:sz w:val="20"/>
                <w:lang w:val="fr-FR"/>
              </w:rPr>
            </w:pPr>
            <w:r w:rsidRPr="003B7CB6">
              <w:rPr>
                <w:color w:val="000000"/>
                <w:sz w:val="20"/>
                <w:lang w:val="fr-FR"/>
              </w:rPr>
              <w:tab/>
            </w:r>
            <w:r w:rsidRPr="003B7CB6">
              <w:rPr>
                <w:color w:val="000000"/>
                <w:sz w:val="20"/>
                <w:lang w:val="fr-FR"/>
              </w:rPr>
              <w:tab/>
            </w:r>
            <w:r w:rsidRPr="003B7CB6">
              <w:rPr>
                <w:color w:val="000000"/>
                <w:sz w:val="20"/>
                <w:lang w:val="fr-FR"/>
              </w:rPr>
              <w:tab/>
            </w:r>
            <w:r w:rsidRPr="003B7CB6">
              <w:rPr>
                <w:color w:val="000000"/>
                <w:sz w:val="20"/>
                <w:lang w:val="fr-FR"/>
              </w:rPr>
              <w:tab/>
              <w:t>MOBILE</w:t>
            </w:r>
          </w:p>
          <w:p w:rsidR="003B7CB6" w:rsidRPr="003B7CB6" w:rsidP="003B7CB6">
            <w:pPr>
              <w:tabs>
                <w:tab w:val="left" w:pos="2977"/>
              </w:tabs>
              <w:overflowPunct w:val="0"/>
              <w:autoSpaceDE w:val="0"/>
              <w:autoSpaceDN w:val="0"/>
              <w:adjustRightInd w:val="0"/>
              <w:spacing w:before="50" w:after="50"/>
              <w:textAlignment w:val="baseline"/>
              <w:rPr>
                <w:b/>
                <w:color w:val="FFCC00"/>
                <w:sz w:val="20"/>
                <w:lang w:eastAsia="zh-CN"/>
              </w:rPr>
            </w:pPr>
            <w:r w:rsidRPr="003B7CB6">
              <w:rPr>
                <w:color w:val="000000"/>
                <w:sz w:val="20"/>
                <w:lang w:val="fr-FR"/>
              </w:rPr>
              <w:tab/>
              <w:t>5.547  5.556</w:t>
            </w:r>
          </w:p>
        </w:tc>
      </w:tr>
    </w:tbl>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b/>
          <w:bCs/>
          <w:sz w:val="24"/>
          <w:lang w:val="en-GB"/>
        </w:rPr>
        <w:t>Reasons</w:t>
      </w:r>
      <w:r w:rsidRPr="003B7CB6">
        <w:rPr>
          <w:sz w:val="24"/>
          <w:lang w:val="en-GB"/>
        </w:rPr>
        <w:t>:</w:t>
      </w:r>
      <w:r w:rsidRPr="003B7CB6">
        <w:rPr>
          <w:sz w:val="24"/>
          <w:lang w:val="en-GB"/>
        </w:rPr>
        <w:tab/>
        <w:t>Creates an allocation to the FSS (Earth-to-space) in 51.4-52.4 GHz.</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sz w:val="24"/>
          <w:lang w:eastAsia="zh-CN"/>
        </w:rPr>
      </w:pPr>
    </w:p>
    <w:p w:rsidR="003B7CB6" w:rsidRPr="003B7CB6" w:rsidP="003B7CB6">
      <w:pPr>
        <w:rPr>
          <w:sz w:val="24"/>
          <w:szCs w:val="24"/>
          <w:lang w:eastAsia="zh-CN"/>
        </w:rPr>
      </w:pPr>
      <w:r w:rsidRPr="003B7CB6">
        <w:rPr>
          <w:sz w:val="24"/>
          <w:szCs w:val="24"/>
          <w:lang w:eastAsia="zh-CN"/>
        </w:rPr>
        <w:t>MOD</w:t>
      </w:r>
      <w:r w:rsidRPr="003B7CB6">
        <w:rPr>
          <w:sz w:val="24"/>
          <w:szCs w:val="24"/>
          <w:lang w:eastAsia="zh-CN"/>
        </w:rPr>
        <w:tab/>
      </w:r>
      <w:r w:rsidRPr="003B7CB6">
        <w:rPr>
          <w:sz w:val="24"/>
          <w:szCs w:val="24"/>
          <w:lang w:eastAsia="zh-CN"/>
        </w:rPr>
        <w:tab/>
        <w:t>USA/9.1.9/2</w:t>
      </w:r>
    </w:p>
    <w:p w:rsidR="003B7CB6" w:rsidRPr="003B7CB6" w:rsidP="003B7CB6">
      <w:pPr>
        <w:keepNext/>
        <w:widowControl w:val="0"/>
        <w:tabs>
          <w:tab w:val="left" w:pos="1134"/>
          <w:tab w:val="left" w:pos="1871"/>
          <w:tab w:val="left" w:pos="2268"/>
        </w:tabs>
        <w:overflowPunct w:val="0"/>
        <w:autoSpaceDE w:val="0"/>
        <w:autoSpaceDN w:val="0"/>
        <w:adjustRightInd w:val="0"/>
        <w:spacing w:before="240"/>
        <w:textAlignment w:val="baseline"/>
        <w:rPr>
          <w:sz w:val="24"/>
        </w:rPr>
      </w:pPr>
    </w:p>
    <w:p w:rsidR="003B7CB6" w:rsidRPr="003B7CB6" w:rsidP="003B7CB6">
      <w:pPr>
        <w:tabs>
          <w:tab w:val="left" w:pos="1381"/>
        </w:tabs>
        <w:rPr>
          <w:sz w:val="16"/>
          <w:szCs w:val="24"/>
          <w:lang w:eastAsia="zh-CN"/>
        </w:rPr>
      </w:pPr>
      <w:r w:rsidRPr="003B7CB6">
        <w:rPr>
          <w:b/>
          <w:sz w:val="24"/>
          <w:szCs w:val="24"/>
        </w:rPr>
        <w:t>5.338A</w:t>
      </w:r>
      <w:r w:rsidRPr="003B7CB6">
        <w:rPr>
          <w:b/>
          <w:sz w:val="24"/>
          <w:szCs w:val="24"/>
        </w:rPr>
        <w:tab/>
      </w:r>
      <w:r w:rsidRPr="003B7CB6">
        <w:rPr>
          <w:sz w:val="24"/>
          <w:szCs w:val="24"/>
        </w:rPr>
        <w:t>In the frequency bands 1 350-1 400 MHz, 1 427-1 452 MHz, 22.55-23.55 GHz, 30</w:t>
      </w:r>
      <w:r w:rsidRPr="003B7CB6">
        <w:rPr>
          <w:sz w:val="24"/>
          <w:szCs w:val="24"/>
        </w:rPr>
        <w:noBreakHyphen/>
        <w:t>31.3 GHz, 49.7</w:t>
      </w:r>
      <w:r w:rsidRPr="003B7CB6">
        <w:rPr>
          <w:sz w:val="24"/>
          <w:szCs w:val="24"/>
        </w:rPr>
        <w:noBreakHyphen/>
        <w:t>50.2 GHz, 50.4-50.9 GHz, 51.4-52.6 GHz, 81-86 GHz and 92</w:t>
      </w:r>
      <w:r w:rsidRPr="003B7CB6">
        <w:rPr>
          <w:sz w:val="24"/>
          <w:szCs w:val="24"/>
        </w:rPr>
        <w:noBreakHyphen/>
        <w:t>94 GHz, Resolution </w:t>
      </w:r>
      <w:r w:rsidRPr="003B7CB6">
        <w:rPr>
          <w:b/>
          <w:bCs/>
          <w:sz w:val="24"/>
          <w:szCs w:val="24"/>
        </w:rPr>
        <w:t>750 (Rev.WRC</w:t>
      </w:r>
      <w:r w:rsidRPr="003B7CB6">
        <w:rPr>
          <w:b/>
          <w:bCs/>
          <w:sz w:val="24"/>
          <w:szCs w:val="24"/>
        </w:rPr>
        <w:noBreakHyphen/>
      </w:r>
      <w:r w:rsidRPr="003B7CB6">
        <w:rPr>
          <w:b/>
          <w:bCs/>
          <w:sz w:val="24"/>
          <w:szCs w:val="24"/>
        </w:rPr>
        <w:t>19</w:t>
      </w:r>
      <w:r w:rsidRPr="003B7CB6">
        <w:rPr>
          <w:b/>
          <w:bCs/>
          <w:sz w:val="24"/>
          <w:szCs w:val="24"/>
        </w:rPr>
        <w:t>)</w:t>
      </w:r>
      <w:r w:rsidRPr="003B7CB6">
        <w:rPr>
          <w:sz w:val="24"/>
          <w:szCs w:val="24"/>
        </w:rPr>
        <w:t xml:space="preserve"> applies.</w:t>
      </w:r>
      <w:r w:rsidRPr="003B7CB6">
        <w:rPr>
          <w:sz w:val="16"/>
          <w:szCs w:val="24"/>
        </w:rPr>
        <w:t>     (WRC</w:t>
      </w:r>
      <w:r w:rsidRPr="003B7CB6">
        <w:rPr>
          <w:sz w:val="16"/>
          <w:szCs w:val="24"/>
        </w:rPr>
        <w:noBreakHyphen/>
      </w:r>
      <w:r w:rsidRPr="003B7CB6">
        <w:rPr>
          <w:sz w:val="16"/>
          <w:szCs w:val="24"/>
        </w:rPr>
        <w:t>19</w:t>
      </w:r>
      <w:r w:rsidRPr="003B7CB6">
        <w:rPr>
          <w:sz w:val="16"/>
          <w:szCs w:val="24"/>
        </w:rPr>
        <w:t>)</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sz w:val="24"/>
        </w:rPr>
      </w:pPr>
      <w:r w:rsidRPr="003B7CB6">
        <w:rPr>
          <w:b/>
          <w:sz w:val="24"/>
        </w:rPr>
        <w:t>Reasons:</w:t>
      </w:r>
      <w:r w:rsidRPr="003B7CB6">
        <w:rPr>
          <w:sz w:val="24"/>
        </w:rPr>
        <w:tab/>
        <w:t xml:space="preserve">Applies the limits for FSS ES unwanted emissions as contained in the proposed revision to Resolution </w:t>
      </w:r>
      <w:r w:rsidRPr="003B7CB6">
        <w:rPr>
          <w:b/>
          <w:sz w:val="24"/>
        </w:rPr>
        <w:t>750 (Rev.WRC-15).</w:t>
      </w:r>
      <w:r w:rsidRPr="003B7CB6">
        <w:rPr>
          <w:sz w:val="24"/>
        </w:rPr>
        <w:t xml:space="preserve"> </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sz w:val="24"/>
        </w:rPr>
        <w:t>ADD</w:t>
      </w:r>
      <w:r w:rsidRPr="003B7CB6">
        <w:rPr>
          <w:sz w:val="24"/>
        </w:rPr>
        <w:tab/>
        <w:t>USA/9.1.9/1</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sz w:val="24"/>
          <w:lang w:val="en-GB"/>
        </w:rPr>
        <w:t>5.A919</w:t>
      </w:r>
      <w:r w:rsidRPr="003B7CB6">
        <w:rPr>
          <w:b/>
          <w:sz w:val="24"/>
          <w:lang w:val="en-GB"/>
        </w:rPr>
        <w:tab/>
      </w:r>
      <w:r w:rsidRPr="003B7CB6">
        <w:rPr>
          <w:b/>
          <w:sz w:val="24"/>
          <w:lang w:val="en-GB"/>
        </w:rPr>
        <w:tab/>
      </w:r>
      <w:r w:rsidRPr="003B7CB6">
        <w:rPr>
          <w:sz w:val="24"/>
          <w:lang w:val="en-GB"/>
        </w:rPr>
        <w:t>The use of the band 51.4-52.4 GHz by the fixed-satellite service (Earth-to-space) is limited to feeder links for geostationary satellite networks.</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sz w:val="24"/>
          <w:lang w:val="en-GB"/>
        </w:rPr>
        <w:t>Reasons</w:t>
      </w:r>
      <w:r w:rsidRPr="003B7CB6">
        <w:rPr>
          <w:b/>
          <w:bCs/>
          <w:sz w:val="24"/>
          <w:lang w:val="en-GB"/>
        </w:rPr>
        <w:t>:</w:t>
      </w:r>
      <w:r w:rsidRPr="003B7CB6">
        <w:rPr>
          <w:b/>
          <w:sz w:val="24"/>
          <w:lang w:val="en-GB"/>
        </w:rPr>
        <w:tab/>
      </w:r>
      <w:r w:rsidRPr="003B7CB6">
        <w:rPr>
          <w:sz w:val="24"/>
          <w:lang w:val="en-GB"/>
        </w:rPr>
        <w:t xml:space="preserve">Limits the new allocation to feeder links operating in FSS GSO networks as prescribed in Resolution 162, </w:t>
      </w:r>
      <w:r w:rsidRPr="003B7CB6">
        <w:rPr>
          <w:i/>
          <w:sz w:val="24"/>
          <w:lang w:val="en-GB"/>
        </w:rPr>
        <w:t xml:space="preserve">resolves </w:t>
      </w:r>
      <w:r w:rsidRPr="003B7CB6">
        <w:rPr>
          <w:sz w:val="24"/>
          <w:lang w:val="en-GB"/>
        </w:rPr>
        <w:t>2.</w:t>
      </w:r>
    </w:p>
    <w:p w:rsidR="003B7CB6" w:rsidRPr="003B7CB6" w:rsidP="003B7CB6">
      <w:pPr>
        <w:rPr>
          <w:sz w:val="24"/>
          <w:szCs w:val="24"/>
        </w:rPr>
      </w:pPr>
    </w:p>
    <w:p w:rsidR="003B7CB6" w:rsidRPr="003B7CB6" w:rsidP="003B7CB6">
      <w:pPr>
        <w:rPr>
          <w:sz w:val="24"/>
          <w:szCs w:val="24"/>
        </w:rPr>
      </w:pP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sz w:val="24"/>
        </w:rPr>
        <w:t>ADD</w:t>
      </w:r>
      <w:r w:rsidRPr="003B7CB6">
        <w:rPr>
          <w:sz w:val="24"/>
        </w:rPr>
        <w:tab/>
        <w:t>USA/9.1.9/2</w:t>
      </w:r>
    </w:p>
    <w:p w:rsidR="003B7CB6" w:rsidRPr="003B7CB6" w:rsidP="003B7CB6">
      <w:pPr>
        <w:rPr>
          <w:sz w:val="24"/>
          <w:szCs w:val="24"/>
        </w:rPr>
      </w:pPr>
    </w:p>
    <w:p w:rsidR="003B7CB6" w:rsidRPr="003B7CB6" w:rsidP="003B7CB6">
      <w:pPr>
        <w:tabs>
          <w:tab w:val="left" w:pos="1138"/>
        </w:tabs>
        <w:rPr>
          <w:sz w:val="24"/>
          <w:szCs w:val="24"/>
        </w:rPr>
      </w:pPr>
      <w:bookmarkStart w:id="15" w:name="_Hlk536793757"/>
      <w:r w:rsidRPr="003B7CB6">
        <w:rPr>
          <w:b/>
          <w:sz w:val="24"/>
          <w:szCs w:val="24"/>
        </w:rPr>
        <w:t>5.B919</w:t>
      </w:r>
      <w:r w:rsidRPr="003B7CB6">
        <w:rPr>
          <w:b/>
          <w:sz w:val="24"/>
          <w:szCs w:val="24"/>
        </w:rPr>
        <w:tab/>
      </w:r>
      <w:r w:rsidRPr="003B7CB6">
        <w:rPr>
          <w:b/>
          <w:sz w:val="24"/>
          <w:szCs w:val="24"/>
        </w:rPr>
        <w:tab/>
      </w:r>
      <w:r w:rsidRPr="003B7CB6">
        <w:rPr>
          <w:sz w:val="24"/>
          <w:szCs w:val="24"/>
        </w:rPr>
        <w:t xml:space="preserve">An administration that has notified frequency assignments in the EESS on a GSO space station in the frequency band 52.6-54.25 GHz may seek the agreement of administrations who have submitted a notice under </w:t>
      </w:r>
      <w:r w:rsidRPr="003B7CB6">
        <w:rPr>
          <w:b/>
          <w:sz w:val="24"/>
          <w:szCs w:val="24"/>
        </w:rPr>
        <w:t>No. 9.6</w:t>
      </w:r>
      <w:r w:rsidRPr="003B7CB6">
        <w:rPr>
          <w:sz w:val="24"/>
          <w:szCs w:val="24"/>
        </w:rPr>
        <w:t xml:space="preserve"> with frequency assignments in the fixed-satellite service on a GSO station that are within 1.8 degrees of the notified orbital position of GSO EESS space station.  The administration responsible for the GSO fixed-satellite service satellite network shall cooperate with the administration responsible for the GSO EESS space station and both administrations should take reasonable steps to find a mutually agreed arrangement. In the absence of a mutually agreed arrangement, the administration responsible for the GSO FSS satellite network shall take all practicable actions to minimize its unwanted emission power in the 52.6-54.25 GHz band.  The Bureau shall make no examination or finding under Articles </w:t>
      </w:r>
      <w:r w:rsidRPr="003B7CB6">
        <w:rPr>
          <w:b/>
          <w:sz w:val="24"/>
          <w:szCs w:val="24"/>
        </w:rPr>
        <w:t>9</w:t>
      </w:r>
      <w:r w:rsidRPr="003B7CB6">
        <w:rPr>
          <w:sz w:val="24"/>
          <w:szCs w:val="24"/>
        </w:rPr>
        <w:t xml:space="preserve"> or </w:t>
      </w:r>
      <w:r w:rsidRPr="003B7CB6">
        <w:rPr>
          <w:b/>
          <w:sz w:val="24"/>
          <w:szCs w:val="24"/>
        </w:rPr>
        <w:t>11</w:t>
      </w:r>
      <w:r w:rsidRPr="003B7CB6">
        <w:rPr>
          <w:sz w:val="24"/>
          <w:szCs w:val="24"/>
        </w:rPr>
        <w:t xml:space="preserve"> pursuant to this provision.  </w:t>
      </w:r>
    </w:p>
    <w:p w:rsidR="003B7CB6" w:rsidRPr="003B7CB6" w:rsidP="003B7CB6">
      <w:pPr>
        <w:rPr>
          <w:sz w:val="24"/>
          <w:szCs w:val="24"/>
        </w:rPr>
      </w:pPr>
    </w:p>
    <w:p w:rsidR="003B7CB6" w:rsidRPr="003B7CB6" w:rsidP="003B7CB6">
      <w:pPr>
        <w:rPr>
          <w:szCs w:val="22"/>
        </w:rPr>
      </w:pPr>
      <w:r w:rsidRPr="003B7CB6">
        <w:rPr>
          <w:b/>
          <w:sz w:val="24"/>
          <w:szCs w:val="24"/>
        </w:rPr>
        <w:t>Reasons</w:t>
      </w:r>
      <w:r w:rsidRPr="003B7CB6">
        <w:rPr>
          <w:b/>
          <w:bCs/>
          <w:sz w:val="24"/>
          <w:szCs w:val="24"/>
        </w:rPr>
        <w:t>:</w:t>
      </w:r>
      <w:r w:rsidRPr="003B7CB6">
        <w:rPr>
          <w:b/>
          <w:sz w:val="24"/>
          <w:szCs w:val="24"/>
        </w:rPr>
        <w:tab/>
      </w:r>
      <w:r w:rsidRPr="003B7CB6">
        <w:rPr>
          <w:sz w:val="24"/>
          <w:szCs w:val="24"/>
        </w:rPr>
        <w:t>To address possible stations at GSO in the EESS coexisting with new FSS GSO stations.</w:t>
      </w:r>
    </w:p>
    <w:bookmarkEnd w:id="15"/>
    <w:p w:rsidR="003B7CB6" w:rsidRPr="003B7CB6" w:rsidP="003B7CB6">
      <w:pPr>
        <w:rPr>
          <w:b/>
          <w:sz w:val="24"/>
          <w:szCs w:val="24"/>
        </w:rPr>
      </w:pP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highlight w:val="darkBlue"/>
          <w:lang w:eastAsia="x-none"/>
        </w:rPr>
      </w:pPr>
      <w:bookmarkStart w:id="16" w:name="_Toc451865330"/>
      <w:r w:rsidRPr="003B7CB6">
        <w:rPr>
          <w:caps/>
          <w:sz w:val="28"/>
          <w:lang w:val="en-GB" w:eastAsia="x-none"/>
        </w:rPr>
        <w:t>ARTICLE</w:t>
      </w:r>
      <w:r w:rsidRPr="003B7CB6">
        <w:rPr>
          <w:caps/>
          <w:sz w:val="28"/>
          <w:lang w:eastAsia="x-none"/>
        </w:rPr>
        <w:t xml:space="preserve"> 21</w:t>
      </w:r>
      <w:bookmarkEnd w:id="16"/>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b/>
          <w:sz w:val="28"/>
          <w:lang w:eastAsia="x-none"/>
        </w:rPr>
      </w:pPr>
      <w:bookmarkStart w:id="17" w:name="_Toc327956622"/>
      <w:bookmarkStart w:id="18" w:name="_Toc451865331"/>
      <w:r w:rsidRPr="003B7CB6">
        <w:rPr>
          <w:b/>
          <w:sz w:val="28"/>
          <w:lang w:eastAsia="x-none"/>
        </w:rPr>
        <w:t xml:space="preserve">Terrestrial and space services sharing </w:t>
      </w:r>
      <w:r w:rsidRPr="003B7CB6">
        <w:rPr>
          <w:b/>
          <w:sz w:val="28"/>
          <w:lang w:val="en-GB" w:eastAsia="x-none"/>
        </w:rPr>
        <w:t>frequency</w:t>
      </w:r>
      <w:r w:rsidRPr="003B7CB6">
        <w:rPr>
          <w:b/>
          <w:sz w:val="28"/>
          <w:lang w:eastAsia="x-none"/>
        </w:rPr>
        <w:t xml:space="preserve"> bands above 1 GHz</w:t>
      </w:r>
      <w:bookmarkEnd w:id="17"/>
      <w:bookmarkEnd w:id="18"/>
    </w:p>
    <w:p w:rsidR="003B7CB6" w:rsidRPr="003B7CB6" w:rsidP="003B7CB6">
      <w:pPr>
        <w:keepNext/>
        <w:tabs>
          <w:tab w:val="center" w:pos="4820"/>
        </w:tabs>
        <w:overflowPunct w:val="0"/>
        <w:autoSpaceDE w:val="0"/>
        <w:autoSpaceDN w:val="0"/>
        <w:adjustRightInd w:val="0"/>
        <w:spacing w:before="360"/>
        <w:jc w:val="center"/>
        <w:textAlignment w:val="baseline"/>
        <w:rPr>
          <w:b/>
          <w:sz w:val="24"/>
        </w:rPr>
      </w:pPr>
      <w:r w:rsidRPr="003B7CB6">
        <w:rPr>
          <w:b/>
          <w:sz w:val="24"/>
        </w:rPr>
        <w:t>Section II − Power limits for terrestrial stations</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sz w:val="24"/>
          <w:lang w:eastAsia="zh-CN"/>
        </w:rPr>
      </w:pPr>
    </w:p>
    <w:p w:rsidR="003B7CB6" w:rsidRPr="003B7CB6" w:rsidP="003B7CB6">
      <w:pPr>
        <w:rPr>
          <w:sz w:val="24"/>
          <w:szCs w:val="24"/>
          <w:lang w:eastAsia="zh-CN"/>
        </w:rPr>
      </w:pPr>
      <w:r w:rsidRPr="003B7CB6">
        <w:rPr>
          <w:sz w:val="24"/>
          <w:szCs w:val="24"/>
          <w:lang w:eastAsia="zh-CN"/>
        </w:rPr>
        <w:t>MOD</w:t>
      </w:r>
      <w:r w:rsidRPr="003B7CB6">
        <w:rPr>
          <w:sz w:val="24"/>
          <w:szCs w:val="24"/>
          <w:lang w:eastAsia="zh-CN"/>
        </w:rPr>
        <w:tab/>
      </w:r>
      <w:r w:rsidRPr="003B7CB6">
        <w:rPr>
          <w:sz w:val="24"/>
          <w:szCs w:val="24"/>
          <w:lang w:eastAsia="zh-CN"/>
        </w:rPr>
        <w:tab/>
        <w:t>USA/9.1.9/3</w:t>
      </w:r>
    </w:p>
    <w:p w:rsidR="003B7CB6" w:rsidRPr="003B7CB6" w:rsidP="003B7CB6">
      <w:pPr>
        <w:keepNext/>
        <w:tabs>
          <w:tab w:val="left" w:pos="1134"/>
          <w:tab w:val="left" w:pos="1871"/>
          <w:tab w:val="left" w:pos="2268"/>
        </w:tabs>
        <w:overflowPunct w:val="0"/>
        <w:autoSpaceDE w:val="0"/>
        <w:autoSpaceDN w:val="0"/>
        <w:adjustRightInd w:val="0"/>
        <w:spacing w:before="360" w:after="120"/>
        <w:jc w:val="center"/>
        <w:textAlignment w:val="baseline"/>
        <w:rPr>
          <w:caps/>
          <w:sz w:val="20"/>
          <w:lang w:eastAsia="x-none"/>
        </w:rPr>
      </w:pPr>
      <w:r w:rsidRPr="003B7CB6">
        <w:rPr>
          <w:caps/>
          <w:sz w:val="20"/>
          <w:lang w:eastAsia="x-none"/>
        </w:rPr>
        <w:t xml:space="preserve">TABLE </w:t>
      </w:r>
      <w:r w:rsidRPr="003B7CB6">
        <w:rPr>
          <w:b/>
          <w:bCs/>
          <w:caps/>
          <w:sz w:val="20"/>
          <w:lang w:eastAsia="x-none"/>
        </w:rPr>
        <w:t>21-2</w:t>
      </w:r>
      <w:r w:rsidRPr="003B7CB6">
        <w:rPr>
          <w:caps/>
          <w:sz w:val="16"/>
          <w:szCs w:val="16"/>
          <w:lang w:eastAsia="x-none"/>
        </w:rPr>
        <w:t>     </w:t>
      </w:r>
      <w:r w:rsidRPr="003B7CB6">
        <w:rPr>
          <w:caps/>
          <w:sz w:val="16"/>
          <w:szCs w:val="16"/>
          <w:lang w:eastAsia="x-none"/>
        </w:rPr>
        <w:t>(</w:t>
      </w:r>
      <w:r w:rsidRPr="003B7CB6">
        <w:rPr>
          <w:sz w:val="16"/>
          <w:szCs w:val="16"/>
          <w:lang w:eastAsia="x-none"/>
        </w:rPr>
        <w:t>Rev</w:t>
      </w:r>
      <w:r w:rsidRPr="003B7CB6">
        <w:rPr>
          <w:caps/>
          <w:sz w:val="16"/>
          <w:szCs w:val="16"/>
          <w:lang w:eastAsia="x-none"/>
        </w:rPr>
        <w:t>.WRC</w:t>
      </w:r>
      <w:r w:rsidRPr="003B7CB6">
        <w:rPr>
          <w:caps/>
          <w:sz w:val="16"/>
          <w:szCs w:val="16"/>
          <w:lang w:eastAsia="x-none"/>
        </w:rPr>
        <w:noBreakHyphen/>
        <w:t>19)</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59"/>
        <w:gridCol w:w="2905"/>
        <w:gridCol w:w="2035"/>
      </w:tblGrid>
      <w:tr w:rsidTr="003B7CB6">
        <w:tblPrEx>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cantSplit/>
          <w:trHeight w:val="20"/>
          <w:jc w:val="center"/>
        </w:trPr>
        <w:tc>
          <w:tcPr>
            <w:tcW w:w="4359" w:type="dxa"/>
            <w:tcBorders>
              <w:top w:val="single" w:sz="4" w:space="0" w:color="auto"/>
              <w:left w:val="single" w:sz="4" w:space="0" w:color="auto"/>
              <w:bottom w:val="single" w:sz="4" w:space="0" w:color="auto"/>
              <w:right w:val="single" w:sz="4" w:space="0" w:color="auto"/>
            </w:tcBorders>
            <w:vAlign w:val="center"/>
            <w:hideMark/>
          </w:tcPr>
          <w:p w:rsidR="003B7CB6" w:rsidRPr="003B7CB6" w:rsidP="003B7CB6">
            <w:pPr>
              <w:overflowPunct w:val="0"/>
              <w:autoSpaceDE w:val="0"/>
              <w:autoSpaceDN w:val="0"/>
              <w:adjustRightInd w:val="0"/>
              <w:spacing w:before="80" w:after="80"/>
              <w:jc w:val="center"/>
              <w:textAlignment w:val="baseline"/>
              <w:rPr>
                <w:b/>
                <w:sz w:val="20"/>
              </w:rPr>
            </w:pPr>
            <w:r w:rsidRPr="003B7CB6">
              <w:rPr>
                <w:b/>
                <w:sz w:val="20"/>
              </w:rPr>
              <w:t>Frequency band</w:t>
            </w:r>
          </w:p>
        </w:tc>
        <w:tc>
          <w:tcPr>
            <w:tcW w:w="2905" w:type="dxa"/>
            <w:tcBorders>
              <w:top w:val="single" w:sz="4" w:space="0" w:color="auto"/>
              <w:left w:val="single" w:sz="4" w:space="0" w:color="auto"/>
              <w:bottom w:val="single" w:sz="4" w:space="0" w:color="auto"/>
              <w:right w:val="single" w:sz="4" w:space="0" w:color="auto"/>
            </w:tcBorders>
            <w:vAlign w:val="center"/>
            <w:hideMark/>
          </w:tcPr>
          <w:p w:rsidR="003B7CB6" w:rsidRPr="003B7CB6" w:rsidP="003B7CB6">
            <w:pPr>
              <w:overflowPunct w:val="0"/>
              <w:autoSpaceDE w:val="0"/>
              <w:autoSpaceDN w:val="0"/>
              <w:adjustRightInd w:val="0"/>
              <w:spacing w:before="80" w:after="80"/>
              <w:jc w:val="center"/>
              <w:textAlignment w:val="baseline"/>
              <w:rPr>
                <w:b/>
                <w:sz w:val="20"/>
              </w:rPr>
            </w:pPr>
            <w:r w:rsidRPr="003B7CB6">
              <w:rPr>
                <w:b/>
                <w:sz w:val="20"/>
              </w:rPr>
              <w:t>Service</w:t>
            </w:r>
          </w:p>
        </w:tc>
        <w:tc>
          <w:tcPr>
            <w:tcW w:w="2035" w:type="dxa"/>
            <w:tcBorders>
              <w:top w:val="single" w:sz="4" w:space="0" w:color="auto"/>
              <w:left w:val="single" w:sz="4" w:space="0" w:color="auto"/>
              <w:bottom w:val="single" w:sz="4" w:space="0" w:color="auto"/>
              <w:right w:val="single" w:sz="4" w:space="0" w:color="auto"/>
            </w:tcBorders>
            <w:hideMark/>
          </w:tcPr>
          <w:p w:rsidR="003B7CB6" w:rsidRPr="003B7CB6" w:rsidP="003B7CB6">
            <w:pPr>
              <w:overflowPunct w:val="0"/>
              <w:autoSpaceDE w:val="0"/>
              <w:autoSpaceDN w:val="0"/>
              <w:adjustRightInd w:val="0"/>
              <w:spacing w:before="80" w:after="80"/>
              <w:jc w:val="center"/>
              <w:textAlignment w:val="baseline"/>
              <w:rPr>
                <w:b/>
                <w:sz w:val="20"/>
              </w:rPr>
            </w:pPr>
            <w:r w:rsidRPr="003B7CB6">
              <w:rPr>
                <w:b/>
                <w:sz w:val="20"/>
              </w:rPr>
              <w:t>Limit as specified</w:t>
            </w:r>
            <w:r w:rsidRPr="003B7CB6">
              <w:rPr>
                <w:b/>
                <w:sz w:val="20"/>
              </w:rPr>
              <w:br/>
              <w:t>in Nos.</w:t>
            </w:r>
          </w:p>
        </w:tc>
      </w:tr>
      <w:tr w:rsidTr="003B7CB6">
        <w:tblPrEx>
          <w:tblW w:w="9299" w:type="dxa"/>
          <w:jc w:val="center"/>
          <w:tblLayout w:type="fixed"/>
          <w:tblLook w:val="04A0"/>
        </w:tblPrEx>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w:t>
            </w:r>
          </w:p>
        </w:tc>
        <w:tc>
          <w:tcPr>
            <w:tcW w:w="2905"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w:t>
            </w:r>
          </w:p>
        </w:tc>
        <w:tc>
          <w:tcPr>
            <w:tcW w:w="2035"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b/>
                <w:bCs/>
                <w:sz w:val="20"/>
                <w:lang w:eastAsia="x-none"/>
              </w:rPr>
            </w:pPr>
            <w:r w:rsidRPr="003B7CB6">
              <w:rPr>
                <w:b/>
                <w:bCs/>
                <w:sz w:val="20"/>
                <w:lang w:eastAsia="x-none"/>
              </w:rPr>
              <w:t>…</w:t>
            </w:r>
          </w:p>
        </w:tc>
      </w:tr>
      <w:tr w:rsidTr="003B7CB6">
        <w:tblPrEx>
          <w:tblW w:w="9299" w:type="dxa"/>
          <w:jc w:val="center"/>
          <w:tblLayout w:type="fixed"/>
          <w:tblLook w:val="04A0"/>
        </w:tblPrEx>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sz w:val="20"/>
                <w:lang w:eastAsia="x-none"/>
              </w:rPr>
            </w:pPr>
            <w:r w:rsidRPr="003B7CB6">
              <w:rPr>
                <w:sz w:val="20"/>
                <w:lang w:eastAsia="x-none"/>
              </w:rPr>
              <w:t xml:space="preserve">10.7-11.7 GHz </w:t>
            </w:r>
            <w:r w:rsidRPr="003B7CB6">
              <w:rPr>
                <w:position w:val="4"/>
                <w:sz w:val="16"/>
                <w:szCs w:val="16"/>
                <w:lang w:eastAsia="x-none"/>
              </w:rPr>
              <w:t>5</w:t>
            </w:r>
            <w:r w:rsidRPr="003B7CB6">
              <w:rPr>
                <w:sz w:val="20"/>
                <w:lang w:eastAsia="x-none"/>
              </w:rPr>
              <w:t xml:space="preserve"> (Region 1)</w:t>
            </w:r>
            <w:r w:rsidRPr="003B7CB6">
              <w:rPr>
                <w:sz w:val="20"/>
                <w:lang w:eastAsia="x-none"/>
              </w:rPr>
              <w:br/>
              <w:t xml:space="preserve">12.5-12.75 GHz </w:t>
            </w:r>
            <w:r w:rsidRPr="003B7CB6">
              <w:rPr>
                <w:position w:val="4"/>
                <w:sz w:val="16"/>
                <w:szCs w:val="16"/>
                <w:lang w:eastAsia="x-none"/>
              </w:rPr>
              <w:t>5</w:t>
            </w:r>
            <w:r w:rsidRPr="003B7CB6">
              <w:rPr>
                <w:sz w:val="20"/>
                <w:lang w:eastAsia="x-none"/>
              </w:rPr>
              <w:t xml:space="preserve"> (Nos. </w:t>
            </w:r>
            <w:r w:rsidRPr="003B7CB6">
              <w:rPr>
                <w:b/>
                <w:bCs/>
                <w:sz w:val="20"/>
                <w:lang w:eastAsia="x-none"/>
              </w:rPr>
              <w:t>5.494</w:t>
            </w:r>
            <w:r w:rsidRPr="003B7CB6">
              <w:rPr>
                <w:sz w:val="20"/>
                <w:lang w:eastAsia="x-none"/>
              </w:rPr>
              <w:t xml:space="preserve"> and </w:t>
            </w:r>
            <w:r w:rsidRPr="003B7CB6">
              <w:rPr>
                <w:b/>
                <w:bCs/>
                <w:sz w:val="20"/>
                <w:lang w:eastAsia="x-none"/>
              </w:rPr>
              <w:t>5.496</w:t>
            </w:r>
            <w:r w:rsidRPr="003B7CB6">
              <w:rPr>
                <w:sz w:val="20"/>
                <w:lang w:eastAsia="x-none"/>
              </w:rPr>
              <w:t>)</w:t>
            </w:r>
            <w:r w:rsidRPr="003B7CB6">
              <w:rPr>
                <w:sz w:val="20"/>
                <w:lang w:eastAsia="x-none"/>
              </w:rPr>
              <w:br/>
              <w:t xml:space="preserve">12.7-12.75 GHz </w:t>
            </w:r>
            <w:r w:rsidRPr="003B7CB6">
              <w:rPr>
                <w:position w:val="4"/>
                <w:sz w:val="16"/>
                <w:szCs w:val="16"/>
                <w:lang w:eastAsia="x-none"/>
              </w:rPr>
              <w:t>5</w:t>
            </w:r>
            <w:r w:rsidRPr="003B7CB6">
              <w:rPr>
                <w:sz w:val="20"/>
                <w:lang w:eastAsia="x-none"/>
              </w:rPr>
              <w:t xml:space="preserve"> (Region 2)</w:t>
            </w:r>
            <w:r w:rsidRPr="003B7CB6">
              <w:rPr>
                <w:sz w:val="20"/>
                <w:lang w:eastAsia="x-none"/>
              </w:rPr>
              <w:br/>
              <w:t>12.75-13.25 GHz</w:t>
            </w:r>
            <w:r w:rsidRPr="003B7CB6">
              <w:rPr>
                <w:sz w:val="20"/>
                <w:lang w:eastAsia="x-none"/>
              </w:rPr>
              <w:br/>
              <w:t>13.75-14 GHz (Nos. </w:t>
            </w:r>
            <w:r w:rsidRPr="003B7CB6">
              <w:rPr>
                <w:b/>
                <w:bCs/>
                <w:sz w:val="20"/>
                <w:lang w:eastAsia="x-none"/>
              </w:rPr>
              <w:t>5.499</w:t>
            </w:r>
            <w:r w:rsidRPr="003B7CB6">
              <w:rPr>
                <w:sz w:val="20"/>
                <w:lang w:eastAsia="x-none"/>
              </w:rPr>
              <w:t xml:space="preserve"> and </w:t>
            </w:r>
            <w:r w:rsidRPr="003B7CB6">
              <w:rPr>
                <w:b/>
                <w:bCs/>
                <w:sz w:val="20"/>
                <w:lang w:eastAsia="x-none"/>
              </w:rPr>
              <w:t>5.500</w:t>
            </w:r>
            <w:r w:rsidRPr="003B7CB6">
              <w:rPr>
                <w:sz w:val="20"/>
                <w:lang w:eastAsia="x-none"/>
              </w:rPr>
              <w:t>)</w:t>
            </w:r>
            <w:r w:rsidRPr="003B7CB6">
              <w:rPr>
                <w:sz w:val="20"/>
                <w:lang w:eastAsia="x-none"/>
              </w:rPr>
              <w:br/>
              <w:t>14.0-14.25 GHz (No. </w:t>
            </w:r>
            <w:r w:rsidRPr="003B7CB6">
              <w:rPr>
                <w:b/>
                <w:bCs/>
                <w:sz w:val="20"/>
                <w:lang w:eastAsia="x-none"/>
              </w:rPr>
              <w:t>5.505</w:t>
            </w:r>
            <w:r w:rsidRPr="003B7CB6">
              <w:rPr>
                <w:sz w:val="20"/>
                <w:lang w:eastAsia="x-none"/>
              </w:rPr>
              <w:t>)</w:t>
            </w:r>
            <w:r w:rsidRPr="003B7CB6">
              <w:rPr>
                <w:sz w:val="20"/>
                <w:lang w:eastAsia="x-none"/>
              </w:rPr>
              <w:br/>
              <w:t>14.25-14.3 GHz (Nos. </w:t>
            </w:r>
            <w:r w:rsidRPr="003B7CB6">
              <w:rPr>
                <w:b/>
                <w:bCs/>
                <w:sz w:val="20"/>
                <w:lang w:eastAsia="x-none"/>
              </w:rPr>
              <w:t>5.505</w:t>
            </w:r>
            <w:r w:rsidRPr="003B7CB6">
              <w:rPr>
                <w:sz w:val="20"/>
                <w:lang w:eastAsia="x-none"/>
              </w:rPr>
              <w:t xml:space="preserve"> and </w:t>
            </w:r>
            <w:r w:rsidRPr="003B7CB6">
              <w:rPr>
                <w:b/>
                <w:bCs/>
                <w:sz w:val="20"/>
                <w:lang w:eastAsia="x-none"/>
              </w:rPr>
              <w:t>5.508</w:t>
            </w:r>
            <w:r w:rsidRPr="003B7CB6">
              <w:rPr>
                <w:sz w:val="20"/>
                <w:lang w:eastAsia="x-none"/>
              </w:rPr>
              <w:t>)</w:t>
            </w:r>
            <w:r w:rsidRPr="003B7CB6">
              <w:rPr>
                <w:sz w:val="20"/>
                <w:lang w:eastAsia="x-none"/>
              </w:rPr>
              <w:br/>
              <w:t xml:space="preserve">14.3-14.4 GHz </w:t>
            </w:r>
            <w:r w:rsidRPr="003B7CB6">
              <w:rPr>
                <w:position w:val="4"/>
                <w:sz w:val="16"/>
                <w:szCs w:val="16"/>
                <w:lang w:eastAsia="x-none"/>
              </w:rPr>
              <w:t>5</w:t>
            </w:r>
            <w:r w:rsidRPr="003B7CB6">
              <w:rPr>
                <w:sz w:val="20"/>
                <w:lang w:eastAsia="x-none"/>
              </w:rPr>
              <w:t xml:space="preserve"> (Regions 1 and 3)</w:t>
            </w:r>
            <w:r w:rsidRPr="003B7CB6">
              <w:rPr>
                <w:sz w:val="20"/>
                <w:lang w:eastAsia="x-none"/>
              </w:rPr>
              <w:br/>
              <w:t>14.4-14.5 GHz</w:t>
            </w:r>
            <w:r w:rsidRPr="003B7CB6">
              <w:rPr>
                <w:sz w:val="20"/>
                <w:lang w:eastAsia="x-none"/>
              </w:rPr>
              <w:br/>
              <w:t>14.5-14.8 GHz</w:t>
            </w:r>
            <w:r w:rsidRPr="003B7CB6">
              <w:rPr>
                <w:sz w:val="20"/>
                <w:lang w:eastAsia="x-none"/>
              </w:rPr>
              <w:br/>
              <w:t>51.4-52.4 GHz</w:t>
            </w:r>
          </w:p>
        </w:tc>
        <w:tc>
          <w:tcPr>
            <w:tcW w:w="2905"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Fixed-satellite</w:t>
            </w:r>
          </w:p>
        </w:tc>
        <w:tc>
          <w:tcPr>
            <w:tcW w:w="2035"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b/>
                <w:bCs/>
                <w:sz w:val="20"/>
                <w:lang w:eastAsia="x-none"/>
              </w:rPr>
            </w:pPr>
            <w:r w:rsidRPr="003B7CB6">
              <w:rPr>
                <w:b/>
                <w:bCs/>
                <w:sz w:val="20"/>
                <w:lang w:eastAsia="x-none"/>
              </w:rPr>
              <w:t xml:space="preserve">21.2, 21.3 </w:t>
            </w:r>
            <w:r w:rsidRPr="003B7CB6">
              <w:rPr>
                <w:sz w:val="20"/>
                <w:lang w:eastAsia="x-none"/>
              </w:rPr>
              <w:t>and</w:t>
            </w:r>
            <w:r w:rsidRPr="003B7CB6">
              <w:rPr>
                <w:b/>
                <w:bCs/>
                <w:sz w:val="20"/>
                <w:lang w:eastAsia="x-none"/>
              </w:rPr>
              <w:t xml:space="preserve"> 21.5</w:t>
            </w:r>
          </w:p>
        </w:tc>
      </w:tr>
      <w:tr w:rsidTr="003B7CB6">
        <w:tblPrEx>
          <w:tblW w:w="9299" w:type="dxa"/>
          <w:jc w:val="center"/>
          <w:tblLayout w:type="fixed"/>
          <w:tblLook w:val="04A0"/>
        </w:tblPrEx>
        <w:trPr>
          <w:cantSplit/>
          <w:trHeight w:val="20"/>
          <w:jc w:val="center"/>
        </w:trPr>
        <w:tc>
          <w:tcPr>
            <w:tcW w:w="4359"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de-CH" w:eastAsia="x-none"/>
              </w:rPr>
            </w:pPr>
            <w:r w:rsidRPr="003B7CB6">
              <w:rPr>
                <w:sz w:val="20"/>
                <w:lang w:val="de-CH" w:eastAsia="x-none"/>
              </w:rPr>
              <w:t>…</w:t>
            </w:r>
          </w:p>
        </w:tc>
        <w:tc>
          <w:tcPr>
            <w:tcW w:w="2905"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w:t>
            </w:r>
          </w:p>
        </w:tc>
        <w:tc>
          <w:tcPr>
            <w:tcW w:w="2035" w:type="dxa"/>
            <w:tcBorders>
              <w:top w:val="single" w:sz="4" w:space="0" w:color="auto"/>
              <w:left w:val="single" w:sz="6" w:space="0" w:color="auto"/>
              <w:bottom w:val="single" w:sz="4" w:space="0" w:color="auto"/>
              <w:right w:val="single" w:sz="6" w:space="0" w:color="auto"/>
            </w:tcBorders>
            <w:hideMark/>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b/>
                <w:sz w:val="20"/>
                <w:lang w:eastAsia="x-none"/>
              </w:rPr>
            </w:pPr>
            <w:r w:rsidRPr="003B7CB6">
              <w:rPr>
                <w:b/>
                <w:sz w:val="20"/>
                <w:lang w:eastAsia="x-none"/>
              </w:rPr>
              <w:t>…</w:t>
            </w:r>
          </w:p>
        </w:tc>
      </w:tr>
    </w:tbl>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b/>
          <w:sz w:val="24"/>
        </w:rPr>
        <w:t>Reasons:</w:t>
      </w:r>
      <w:r w:rsidRPr="003B7CB6">
        <w:rPr>
          <w:sz w:val="24"/>
        </w:rPr>
        <w:tab/>
        <w:t xml:space="preserve">Applies the limits in Nos. </w:t>
      </w:r>
      <w:r w:rsidRPr="003B7CB6">
        <w:rPr>
          <w:b/>
          <w:bCs/>
          <w:sz w:val="24"/>
        </w:rPr>
        <w:t xml:space="preserve">21.2, 21.3 </w:t>
      </w:r>
      <w:r w:rsidRPr="003B7CB6">
        <w:rPr>
          <w:sz w:val="24"/>
        </w:rPr>
        <w:t>and</w:t>
      </w:r>
      <w:r w:rsidRPr="003B7CB6">
        <w:rPr>
          <w:b/>
          <w:bCs/>
          <w:sz w:val="24"/>
        </w:rPr>
        <w:t xml:space="preserve"> 21.5 </w:t>
      </w:r>
      <w:r w:rsidRPr="003B7CB6">
        <w:rPr>
          <w:bCs/>
          <w:sz w:val="24"/>
        </w:rPr>
        <w:t>to the new allocation</w:t>
      </w:r>
      <w:r w:rsidRPr="003B7CB6">
        <w:rPr>
          <w:b/>
          <w:bCs/>
          <w:sz w:val="24"/>
        </w:rPr>
        <w:t>.</w:t>
      </w:r>
      <w:r w:rsidRPr="003B7CB6">
        <w:rPr>
          <w:sz w:val="24"/>
        </w:rPr>
        <w:t xml:space="preserve"> </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p>
    <w:p w:rsidR="003B7CB6" w:rsidRPr="003B7CB6" w:rsidP="003B7CB6">
      <w:pPr>
        <w:keepNext/>
        <w:keepLines/>
        <w:tabs>
          <w:tab w:val="center" w:pos="4820"/>
        </w:tabs>
        <w:overflowPunct w:val="0"/>
        <w:autoSpaceDE w:val="0"/>
        <w:autoSpaceDN w:val="0"/>
        <w:adjustRightInd w:val="0"/>
        <w:spacing w:before="360"/>
        <w:jc w:val="center"/>
        <w:textAlignment w:val="baseline"/>
        <w:rPr>
          <w:b/>
          <w:sz w:val="24"/>
        </w:rPr>
      </w:pPr>
      <w:r w:rsidRPr="003B7CB6">
        <w:rPr>
          <w:b/>
          <w:sz w:val="24"/>
        </w:rPr>
        <w:t>Section III − Power limits for earth stations</w:t>
      </w:r>
    </w:p>
    <w:p w:rsidR="003B7CB6" w:rsidRPr="003B7CB6" w:rsidP="003B7CB6">
      <w:pPr>
        <w:rPr>
          <w:sz w:val="24"/>
          <w:szCs w:val="24"/>
          <w:lang w:eastAsia="zh-CN"/>
        </w:rPr>
      </w:pPr>
      <w:r w:rsidRPr="003B7CB6">
        <w:rPr>
          <w:sz w:val="24"/>
          <w:szCs w:val="24"/>
          <w:lang w:eastAsia="zh-CN"/>
        </w:rPr>
        <w:t>MOD</w:t>
      </w:r>
      <w:r w:rsidRPr="003B7CB6">
        <w:rPr>
          <w:sz w:val="24"/>
          <w:szCs w:val="24"/>
          <w:lang w:eastAsia="zh-CN"/>
        </w:rPr>
        <w:tab/>
      </w:r>
      <w:r w:rsidRPr="003B7CB6">
        <w:rPr>
          <w:sz w:val="24"/>
          <w:szCs w:val="24"/>
          <w:lang w:eastAsia="zh-CN"/>
        </w:rPr>
        <w:tab/>
        <w:t>USA/9.1.9/4</w:t>
      </w:r>
    </w:p>
    <w:p w:rsidR="003B7CB6" w:rsidRPr="003B7CB6" w:rsidP="003B7CB6">
      <w:pPr>
        <w:keepNext/>
        <w:keepLines/>
        <w:tabs>
          <w:tab w:val="left" w:pos="1134"/>
          <w:tab w:val="left" w:pos="1871"/>
          <w:tab w:val="left" w:pos="2268"/>
        </w:tabs>
        <w:overflowPunct w:val="0"/>
        <w:autoSpaceDE w:val="0"/>
        <w:autoSpaceDN w:val="0"/>
        <w:adjustRightInd w:val="0"/>
        <w:spacing w:before="240"/>
        <w:textAlignment w:val="baseline"/>
        <w:rPr>
          <w:sz w:val="24"/>
        </w:rPr>
      </w:pPr>
    </w:p>
    <w:p w:rsidR="003B7CB6" w:rsidRPr="003B7CB6" w:rsidP="003B7CB6">
      <w:pPr>
        <w:keepNext/>
        <w:keepLines/>
        <w:tabs>
          <w:tab w:val="left" w:pos="1134"/>
          <w:tab w:val="left" w:pos="1871"/>
          <w:tab w:val="left" w:pos="2268"/>
        </w:tabs>
        <w:overflowPunct w:val="0"/>
        <w:autoSpaceDE w:val="0"/>
        <w:autoSpaceDN w:val="0"/>
        <w:adjustRightInd w:val="0"/>
        <w:spacing w:before="120" w:after="120"/>
        <w:jc w:val="center"/>
        <w:textAlignment w:val="baseline"/>
        <w:rPr>
          <w:caps/>
          <w:sz w:val="16"/>
          <w:szCs w:val="16"/>
          <w:lang w:eastAsia="x-none"/>
        </w:rPr>
      </w:pPr>
      <w:r w:rsidRPr="003B7CB6">
        <w:rPr>
          <w:caps/>
          <w:sz w:val="20"/>
          <w:lang w:eastAsia="x-none"/>
        </w:rPr>
        <w:t xml:space="preserve">TABLE </w:t>
      </w:r>
      <w:r w:rsidRPr="003B7CB6">
        <w:rPr>
          <w:b/>
          <w:bCs/>
          <w:caps/>
          <w:sz w:val="20"/>
          <w:lang w:eastAsia="x-none"/>
        </w:rPr>
        <w:t>21-3</w:t>
      </w:r>
      <w:r w:rsidRPr="003B7CB6">
        <w:rPr>
          <w:caps/>
          <w:sz w:val="20"/>
          <w:lang w:eastAsia="x-none"/>
        </w:rPr>
        <w:t>     </w:t>
      </w:r>
      <w:r w:rsidRPr="003B7CB6">
        <w:rPr>
          <w:caps/>
          <w:sz w:val="16"/>
          <w:szCs w:val="16"/>
          <w:lang w:eastAsia="x-none"/>
        </w:rPr>
        <w:t>(R</w:t>
      </w:r>
      <w:r w:rsidRPr="003B7CB6">
        <w:rPr>
          <w:sz w:val="16"/>
          <w:szCs w:val="16"/>
          <w:lang w:eastAsia="x-none"/>
        </w:rPr>
        <w:t>ev</w:t>
      </w:r>
      <w:r w:rsidRPr="003B7CB6">
        <w:rPr>
          <w:caps/>
          <w:sz w:val="16"/>
          <w:szCs w:val="16"/>
          <w:lang w:eastAsia="x-none"/>
        </w:rPr>
        <w:t>.WRC</w:t>
      </w:r>
      <w:r w:rsidRPr="003B7CB6">
        <w:rPr>
          <w:caps/>
          <w:sz w:val="16"/>
          <w:szCs w:val="16"/>
          <w:lang w:eastAsia="x-none"/>
        </w:rPr>
        <w:noBreakHyphen/>
        <w:t>1</w:t>
      </w:r>
      <w:r w:rsidRPr="003B7CB6">
        <w:rPr>
          <w:caps/>
          <w:sz w:val="16"/>
          <w:szCs w:val="16"/>
          <w:lang w:eastAsia="x-none"/>
        </w:rPr>
        <w:t>9</w:t>
      </w:r>
      <w:r w:rsidRPr="003B7CB6">
        <w:rPr>
          <w:caps/>
          <w:sz w:val="16"/>
          <w:szCs w:val="16"/>
          <w:lang w:eastAsia="x-none"/>
        </w:rPr>
        <w:t>)</w:t>
      </w:r>
    </w:p>
    <w:tbl>
      <w:tblPr>
        <w:tblW w:w="9636" w:type="dxa"/>
        <w:jc w:val="center"/>
        <w:tblLayout w:type="fixed"/>
        <w:tblCellMar>
          <w:left w:w="107" w:type="dxa"/>
          <w:right w:w="107" w:type="dxa"/>
        </w:tblCellMar>
        <w:tblLook w:val="04A0"/>
      </w:tblPr>
      <w:tblGrid>
        <w:gridCol w:w="1983"/>
        <w:gridCol w:w="4252"/>
        <w:gridCol w:w="3401"/>
      </w:tblGrid>
      <w:tr w:rsidTr="003B7CB6">
        <w:tblPrEx>
          <w:tblW w:w="9636" w:type="dxa"/>
          <w:jc w:val="center"/>
          <w:tblLayout w:type="fixed"/>
          <w:tblCellMar>
            <w:left w:w="107" w:type="dxa"/>
            <w:right w:w="107" w:type="dxa"/>
          </w:tblCellMar>
          <w:tblLook w:val="04A0"/>
        </w:tblPrEx>
        <w:trPr>
          <w:jc w:val="center"/>
        </w:trPr>
        <w:tc>
          <w:tcPr>
            <w:tcW w:w="6235" w:type="dxa"/>
            <w:gridSpan w:val="2"/>
            <w:tcBorders>
              <w:top w:val="single" w:sz="4" w:space="0" w:color="auto"/>
              <w:left w:val="single" w:sz="6" w:space="0" w:color="auto"/>
              <w:bottom w:val="single" w:sz="6" w:space="0" w:color="auto"/>
              <w:right w:val="nil"/>
            </w:tcBorders>
            <w:hideMark/>
          </w:tcPr>
          <w:p w:rsidR="003B7CB6" w:rsidRPr="003B7CB6" w:rsidP="003B7CB6">
            <w:pPr>
              <w:keepLines/>
              <w:overflowPunct w:val="0"/>
              <w:autoSpaceDE w:val="0"/>
              <w:autoSpaceDN w:val="0"/>
              <w:adjustRightInd w:val="0"/>
              <w:spacing w:before="80" w:after="80"/>
              <w:jc w:val="center"/>
              <w:textAlignment w:val="baseline"/>
              <w:rPr>
                <w:b/>
                <w:sz w:val="20"/>
              </w:rPr>
            </w:pPr>
            <w:r w:rsidRPr="003B7CB6">
              <w:rPr>
                <w:b/>
                <w:sz w:val="20"/>
              </w:rPr>
              <w:t>Frequency band</w:t>
            </w:r>
          </w:p>
        </w:tc>
        <w:tc>
          <w:tcPr>
            <w:tcW w:w="3401" w:type="dxa"/>
            <w:tcBorders>
              <w:top w:val="single" w:sz="4" w:space="0" w:color="auto"/>
              <w:left w:val="single" w:sz="6" w:space="0" w:color="auto"/>
              <w:bottom w:val="single" w:sz="6" w:space="0" w:color="auto"/>
              <w:right w:val="single" w:sz="6" w:space="0" w:color="auto"/>
            </w:tcBorders>
            <w:hideMark/>
          </w:tcPr>
          <w:p w:rsidR="003B7CB6" w:rsidRPr="003B7CB6" w:rsidP="003B7CB6">
            <w:pPr>
              <w:keepLines/>
              <w:overflowPunct w:val="0"/>
              <w:autoSpaceDE w:val="0"/>
              <w:autoSpaceDN w:val="0"/>
              <w:adjustRightInd w:val="0"/>
              <w:spacing w:before="80" w:after="80"/>
              <w:jc w:val="center"/>
              <w:textAlignment w:val="baseline"/>
              <w:rPr>
                <w:b/>
                <w:sz w:val="20"/>
              </w:rPr>
            </w:pPr>
            <w:r w:rsidRPr="003B7CB6">
              <w:rPr>
                <w:b/>
                <w:sz w:val="20"/>
              </w:rPr>
              <w:t>Services</w:t>
            </w: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bottom w:val="nil"/>
              <w:right w:val="nil"/>
            </w:tcBorders>
            <w:hideMark/>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 xml:space="preserve">… </w:t>
            </w:r>
          </w:p>
        </w:tc>
        <w:tc>
          <w:tcPr>
            <w:tcW w:w="4252" w:type="dxa"/>
            <w:tcBorders>
              <w:top w:val="nil"/>
              <w:left w:val="nil"/>
              <w:bottom w:val="nil"/>
              <w:right w:val="single" w:sz="6" w:space="0" w:color="auto"/>
            </w:tcBorders>
            <w:hideMark/>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w:t>
            </w:r>
          </w:p>
        </w:tc>
        <w:tc>
          <w:tcPr>
            <w:tcW w:w="3401" w:type="dxa"/>
            <w:tcBorders>
              <w:top w:val="nil"/>
              <w:left w:val="single" w:sz="6" w:space="0" w:color="auto"/>
              <w:bottom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w:t>
            </w: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bottom w:val="nil"/>
              <w:right w:val="nil"/>
            </w:tcBorders>
            <w:hideMark/>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 xml:space="preserve">14.3-14.4 GHz </w:t>
            </w:r>
            <w:r w:rsidRPr="003B7CB6">
              <w:rPr>
                <w:position w:val="6"/>
                <w:sz w:val="16"/>
                <w:szCs w:val="16"/>
                <w:lang w:eastAsia="x-none"/>
              </w:rPr>
              <w:t>6</w:t>
            </w:r>
          </w:p>
        </w:tc>
        <w:tc>
          <w:tcPr>
            <w:tcW w:w="4252" w:type="dxa"/>
            <w:tcBorders>
              <w:top w:val="nil"/>
              <w:left w:val="nil"/>
              <w:bottom w:val="nil"/>
              <w:right w:val="single" w:sz="6" w:space="0" w:color="auto"/>
            </w:tcBorders>
            <w:hideMark/>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(for Regions 1 and 3)</w:t>
            </w:r>
          </w:p>
        </w:tc>
        <w:tc>
          <w:tcPr>
            <w:tcW w:w="3401" w:type="dxa"/>
            <w:tcBorders>
              <w:top w:val="nil"/>
              <w:left w:val="single" w:sz="6" w:space="0" w:color="auto"/>
              <w:bottom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14.4-14.8 GHz</w:t>
            </w:r>
          </w:p>
        </w:tc>
        <w:tc>
          <w:tcPr>
            <w:tcW w:w="4252" w:type="dxa"/>
            <w:tcBorders>
              <w:top w:val="nil"/>
              <w:left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c>
          <w:tcPr>
            <w:tcW w:w="3401" w:type="dxa"/>
            <w:tcBorders>
              <w:top w:val="nil"/>
              <w:left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r>
      <w:tr w:rsidTr="003B7CB6">
        <w:tblPrEx>
          <w:tblW w:w="9636" w:type="dxa"/>
          <w:jc w:val="center"/>
          <w:tblLayout w:type="fixed"/>
          <w:tblCellMar>
            <w:left w:w="107" w:type="dxa"/>
            <w:right w:w="107" w:type="dxa"/>
          </w:tblCellMar>
          <w:tblLook w:val="04A0"/>
        </w:tblPrEx>
        <w:trPr>
          <w:jc w:val="center"/>
        </w:trPr>
        <w:tc>
          <w:tcPr>
            <w:tcW w:w="1983" w:type="dxa"/>
            <w:tcBorders>
              <w:left w:val="single" w:sz="6" w:space="0" w:color="auto"/>
              <w:bottom w:val="nil"/>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17.7-18.1 GHz</w:t>
            </w:r>
          </w:p>
        </w:tc>
        <w:tc>
          <w:tcPr>
            <w:tcW w:w="4252" w:type="dxa"/>
            <w:tcBorders>
              <w:left w:val="nil"/>
              <w:bottom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c>
          <w:tcPr>
            <w:tcW w:w="3401" w:type="dxa"/>
            <w:tcBorders>
              <w:left w:val="single" w:sz="6" w:space="0" w:color="auto"/>
              <w:bottom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Fixed-satellite</w:t>
            </w: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22.55-23.15 GHz</w:t>
            </w:r>
          </w:p>
        </w:tc>
        <w:tc>
          <w:tcPr>
            <w:tcW w:w="4252" w:type="dxa"/>
            <w:tcBorders>
              <w:top w:val="nil"/>
              <w:left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c>
          <w:tcPr>
            <w:tcW w:w="3401" w:type="dxa"/>
            <w:tcBorders>
              <w:top w:val="nil"/>
              <w:left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Earth exploration-satellite</w:t>
            </w: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 xml:space="preserve">27.0-27.5 GHz </w:t>
            </w:r>
            <w:r w:rsidRPr="003B7CB6">
              <w:rPr>
                <w:sz w:val="16"/>
                <w:szCs w:val="16"/>
                <w:vertAlign w:val="superscript"/>
                <w:lang w:eastAsia="x-none"/>
              </w:rPr>
              <w:t>6</w:t>
            </w:r>
            <w:r w:rsidRPr="003B7CB6">
              <w:rPr>
                <w:sz w:val="20"/>
                <w:lang w:eastAsia="x-none"/>
              </w:rPr>
              <w:t xml:space="preserve"> </w:t>
            </w:r>
          </w:p>
        </w:tc>
        <w:tc>
          <w:tcPr>
            <w:tcW w:w="4252" w:type="dxa"/>
            <w:tcBorders>
              <w:top w:val="nil"/>
              <w:left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(for Regions 2 and 3)</w:t>
            </w:r>
          </w:p>
        </w:tc>
        <w:tc>
          <w:tcPr>
            <w:tcW w:w="3401" w:type="dxa"/>
            <w:tcBorders>
              <w:left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Mobile-satellite</w:t>
            </w: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27.5-29.5 GHz</w:t>
            </w:r>
          </w:p>
        </w:tc>
        <w:tc>
          <w:tcPr>
            <w:tcW w:w="4252" w:type="dxa"/>
            <w:tcBorders>
              <w:top w:val="nil"/>
              <w:left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c>
          <w:tcPr>
            <w:tcW w:w="3401" w:type="dxa"/>
            <w:tcBorders>
              <w:left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Space research</w:t>
            </w:r>
          </w:p>
        </w:tc>
      </w:tr>
      <w:tr w:rsidTr="003B7CB6">
        <w:tblPrEx>
          <w:tblW w:w="9636" w:type="dxa"/>
          <w:jc w:val="center"/>
          <w:tblLayout w:type="fixed"/>
          <w:tblCellMar>
            <w:left w:w="107" w:type="dxa"/>
            <w:right w:w="107" w:type="dxa"/>
          </w:tblCellMar>
          <w:tblLook w:val="04A0"/>
        </w:tblPrEx>
        <w:trPr>
          <w:jc w:val="center"/>
        </w:trPr>
        <w:tc>
          <w:tcPr>
            <w:tcW w:w="1983" w:type="dxa"/>
            <w:tcBorders>
              <w:top w:val="nil"/>
              <w:left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31.0-31.3 GHz</w:t>
            </w:r>
          </w:p>
        </w:tc>
        <w:tc>
          <w:tcPr>
            <w:tcW w:w="4252" w:type="dxa"/>
            <w:tcBorders>
              <w:top w:val="nil"/>
              <w:left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(for the countries listed in No. </w:t>
            </w:r>
            <w:r w:rsidRPr="003B7CB6">
              <w:rPr>
                <w:b/>
                <w:sz w:val="20"/>
                <w:lang w:eastAsia="x-none"/>
              </w:rPr>
              <w:t>5.545</w:t>
            </w:r>
            <w:r w:rsidRPr="003B7CB6">
              <w:rPr>
                <w:sz w:val="20"/>
                <w:lang w:eastAsia="x-none"/>
              </w:rPr>
              <w:t>)</w:t>
            </w:r>
          </w:p>
        </w:tc>
        <w:tc>
          <w:tcPr>
            <w:tcW w:w="3401" w:type="dxa"/>
            <w:tcBorders>
              <w:left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r>
      <w:tr w:rsidTr="003B7CB6">
        <w:tblPrEx>
          <w:tblW w:w="9636" w:type="dxa"/>
          <w:jc w:val="center"/>
          <w:tblLayout w:type="fixed"/>
          <w:tblCellMar>
            <w:left w:w="107" w:type="dxa"/>
            <w:right w:w="107" w:type="dxa"/>
          </w:tblCellMar>
          <w:tblLook w:val="04A0"/>
        </w:tblPrEx>
        <w:trPr>
          <w:jc w:val="center"/>
        </w:trPr>
        <w:tc>
          <w:tcPr>
            <w:tcW w:w="1983" w:type="dxa"/>
            <w:tcBorders>
              <w:left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34.2-35.2 GHz</w:t>
            </w:r>
          </w:p>
        </w:tc>
        <w:tc>
          <w:tcPr>
            <w:tcW w:w="4252" w:type="dxa"/>
            <w:tcBorders>
              <w:left w:val="nil"/>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(for the countries listed in No. </w:t>
            </w:r>
            <w:r w:rsidRPr="003B7CB6">
              <w:rPr>
                <w:b/>
                <w:sz w:val="20"/>
                <w:lang w:eastAsia="x-none"/>
              </w:rPr>
              <w:t>5.550</w:t>
            </w:r>
            <w:r w:rsidRPr="003B7CB6">
              <w:rPr>
                <w:sz w:val="20"/>
                <w:lang w:eastAsia="x-none"/>
              </w:rPr>
              <w:t xml:space="preserve"> with respect to the countries listed in No. </w:t>
            </w:r>
            <w:r w:rsidRPr="003B7CB6">
              <w:rPr>
                <w:b/>
                <w:sz w:val="20"/>
                <w:lang w:eastAsia="x-none"/>
              </w:rPr>
              <w:t>5.549</w:t>
            </w:r>
            <w:r w:rsidRPr="003B7CB6">
              <w:rPr>
                <w:sz w:val="20"/>
                <w:lang w:eastAsia="x-none"/>
              </w:rPr>
              <w:t>)</w:t>
            </w:r>
          </w:p>
        </w:tc>
        <w:tc>
          <w:tcPr>
            <w:tcW w:w="3401" w:type="dxa"/>
            <w:tcBorders>
              <w:left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r>
      <w:tr w:rsidTr="003B7CB6">
        <w:tblPrEx>
          <w:tblW w:w="9636" w:type="dxa"/>
          <w:jc w:val="center"/>
          <w:tblLayout w:type="fixed"/>
          <w:tblCellMar>
            <w:left w:w="107" w:type="dxa"/>
            <w:right w:w="107" w:type="dxa"/>
          </w:tblCellMar>
          <w:tblLook w:val="04A0"/>
        </w:tblPrEx>
        <w:trPr>
          <w:jc w:val="center"/>
        </w:trPr>
        <w:tc>
          <w:tcPr>
            <w:tcW w:w="1983" w:type="dxa"/>
            <w:tcBorders>
              <w:left w:val="single" w:sz="6" w:space="0" w:color="auto"/>
              <w:bottom w:val="single" w:sz="6" w:space="0" w:color="auto"/>
              <w:right w:val="nil"/>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51.4-52.4 GHz</w:t>
            </w:r>
          </w:p>
        </w:tc>
        <w:tc>
          <w:tcPr>
            <w:tcW w:w="4252" w:type="dxa"/>
            <w:tcBorders>
              <w:left w:val="nil"/>
              <w:bottom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p>
        </w:tc>
        <w:tc>
          <w:tcPr>
            <w:tcW w:w="3401" w:type="dxa"/>
            <w:tcBorders>
              <w:left w:val="single" w:sz="6" w:space="0" w:color="auto"/>
              <w:bottom w:val="single" w:sz="6" w:space="0" w:color="auto"/>
              <w:right w:val="single" w:sz="6" w:space="0" w:color="auto"/>
            </w:tcBorders>
          </w:tcPr>
          <w:p w:rsidR="003B7CB6" w:rsidRPr="003B7CB6" w:rsidP="003B7CB6">
            <w:pPr>
              <w:keepNext/>
              <w:keepLines/>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Fixed-satellite</w:t>
            </w:r>
          </w:p>
        </w:tc>
      </w:tr>
    </w:tbl>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b/>
          <w:sz w:val="24"/>
        </w:rPr>
        <w:t>Reasons:</w:t>
      </w:r>
      <w:r w:rsidRPr="003B7CB6">
        <w:rPr>
          <w:sz w:val="24"/>
        </w:rPr>
        <w:tab/>
        <w:t xml:space="preserve">Applies the limits in No. 21.8 to the new FSS frequency band </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sz w:val="24"/>
        </w:rPr>
        <w:t>MOD</w:t>
      </w:r>
      <w:r w:rsidRPr="003B7CB6">
        <w:rPr>
          <w:sz w:val="24"/>
        </w:rPr>
        <w:tab/>
        <w:t>USA/9.1.9/5</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sz w:val="24"/>
        </w:rPr>
        <w:t>{</w:t>
      </w:r>
      <w:r w:rsidRPr="003B7CB6">
        <w:rPr>
          <w:i/>
          <w:sz w:val="24"/>
        </w:rPr>
        <w:t>Editor’s note: this Appendix 4 text is to mandate that the antenna size be provided – depending on formulation of 5.A919, this may not be needed.</w:t>
      </w:r>
      <w:r w:rsidRPr="003B7CB6">
        <w:rPr>
          <w:sz w:val="24"/>
        </w:rPr>
        <w:t>}</w:t>
      </w:r>
    </w:p>
    <w:p w:rsidR="003B7CB6" w:rsidRPr="003B7CB6" w:rsidP="003B7CB6">
      <w:pPr>
        <w:keepNext/>
        <w:keepLines/>
        <w:tabs>
          <w:tab w:val="left" w:pos="1134"/>
          <w:tab w:val="left" w:pos="1871"/>
          <w:tab w:val="left" w:pos="2268"/>
        </w:tabs>
        <w:overflowPunct w:val="0"/>
        <w:autoSpaceDE w:val="0"/>
        <w:autoSpaceDN w:val="0"/>
        <w:adjustRightInd w:val="0"/>
        <w:spacing w:before="720"/>
        <w:jc w:val="center"/>
        <w:textAlignment w:val="baseline"/>
        <w:rPr>
          <w:sz w:val="28"/>
          <w:lang w:val="fr-FR"/>
        </w:rPr>
      </w:pPr>
      <w:bookmarkStart w:id="19" w:name="_Toc454787403"/>
      <w:bookmarkStart w:id="20" w:name="_Toc454787412"/>
      <w:r w:rsidRPr="003B7CB6">
        <w:rPr>
          <w:sz w:val="28"/>
          <w:lang w:val="fr-FR"/>
        </w:rPr>
        <w:t>APPENDIX 4 (REV.WRC</w:t>
      </w:r>
      <w:r w:rsidRPr="003B7CB6">
        <w:rPr>
          <w:sz w:val="28"/>
          <w:lang w:val="fr-FR"/>
        </w:rPr>
        <w:noBreakHyphen/>
        <w:t>15)</w:t>
      </w:r>
      <w:bookmarkEnd w:id="19"/>
    </w:p>
    <w:p w:rsidR="003B7CB6" w:rsidRPr="003B7CB6" w:rsidP="003B7CB6">
      <w:pPr>
        <w:overflowPunct w:val="0"/>
        <w:autoSpaceDE w:val="0"/>
        <w:autoSpaceDN w:val="0"/>
        <w:adjustRightInd w:val="0"/>
        <w:spacing w:before="160" w:after="80"/>
        <w:jc w:val="center"/>
        <w:textAlignment w:val="baseline"/>
        <w:rPr>
          <w:b/>
          <w:noProof/>
          <w:sz w:val="28"/>
        </w:rPr>
      </w:pPr>
      <w:bookmarkStart w:id="21" w:name="_Toc328648889"/>
      <w:bookmarkStart w:id="22" w:name="_Toc454787404"/>
      <w:r w:rsidRPr="003B7CB6">
        <w:rPr>
          <w:b/>
          <w:noProof/>
          <w:sz w:val="28"/>
        </w:rPr>
        <w:t>Consolidated list and tables of characteristics for use in the</w:t>
      </w:r>
      <w:r w:rsidRPr="003B7CB6">
        <w:rPr>
          <w:b/>
          <w:noProof/>
          <w:sz w:val="28"/>
        </w:rPr>
        <w:br/>
        <w:t>application of the procedures of Chapter III</w:t>
      </w:r>
      <w:bookmarkEnd w:id="21"/>
      <w:bookmarkEnd w:id="22"/>
    </w:p>
    <w:p w:rsidR="003B7CB6" w:rsidRPr="003B7CB6" w:rsidP="003B7CB6">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Calibri"/>
          <w:caps/>
          <w:sz w:val="28"/>
          <w:lang w:val="en-GB" w:eastAsia="ko-KR"/>
        </w:rPr>
      </w:pPr>
      <w:bookmarkStart w:id="23" w:name="_Toc328648892"/>
      <w:bookmarkStart w:id="24" w:name="_Toc454787407"/>
      <w:r w:rsidRPr="003B7CB6">
        <w:rPr>
          <w:rFonts w:eastAsia="Calibri"/>
          <w:caps/>
          <w:sz w:val="28"/>
          <w:lang w:val="en-GB" w:eastAsia="ko-KR"/>
        </w:rPr>
        <w:t>ANNEX 2</w:t>
      </w:r>
      <w:bookmarkEnd w:id="23"/>
      <w:bookmarkEnd w:id="24"/>
    </w:p>
    <w:p w:rsidR="003B7CB6" w:rsidRPr="003B7CB6" w:rsidP="003B7CB6">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bookmarkStart w:id="25" w:name="_Toc328648893"/>
      <w:bookmarkStart w:id="26" w:name="_Toc454787408"/>
      <w:r w:rsidRPr="003B7CB6">
        <w:rPr>
          <w:rFonts w:ascii="Times New Roman Bold" w:eastAsia="Calibri" w:hAnsi="Times New Roman Bold"/>
          <w:b/>
          <w:sz w:val="28"/>
          <w:lang w:val="en-GB"/>
        </w:rPr>
        <w:t>Characteristics of satellite networks, earth stations</w:t>
      </w:r>
      <w:r w:rsidRPr="003B7CB6">
        <w:rPr>
          <w:rFonts w:ascii="Times New Roman Bold" w:eastAsia="Calibri" w:hAnsi="Times New Roman Bold"/>
          <w:b/>
          <w:sz w:val="28"/>
          <w:lang w:val="en-GB"/>
        </w:rPr>
        <w:br/>
        <w:t>or radio astronomy stations</w:t>
      </w:r>
      <w:r w:rsidRPr="003B7CB6">
        <w:rPr>
          <w:rFonts w:eastAsia="Calibri"/>
          <w:b/>
          <w:bCs/>
          <w:sz w:val="28"/>
          <w:vertAlign w:val="superscript"/>
          <w:lang w:val="en-GB"/>
        </w:rPr>
        <w:t>2</w:t>
      </w:r>
      <w:r w:rsidRPr="003B7CB6">
        <w:rPr>
          <w:rFonts w:eastAsia="Calibri"/>
          <w:bCs/>
          <w:sz w:val="16"/>
          <w:szCs w:val="16"/>
          <w:vertAlign w:val="superscript"/>
          <w:lang w:val="en-GB"/>
        </w:rPr>
        <w:t> </w:t>
      </w:r>
      <w:r w:rsidRPr="003B7CB6">
        <w:rPr>
          <w:rFonts w:eastAsia="Calibri" w:hAnsi="Times New Roman Bold"/>
          <w:sz w:val="16"/>
          <w:szCs w:val="16"/>
          <w:lang w:val="en-GB"/>
        </w:rPr>
        <w:t>    </w:t>
      </w:r>
      <w:r w:rsidRPr="003B7CB6">
        <w:rPr>
          <w:rFonts w:eastAsia="Calibri" w:hAnsi="Times New Roman Bold"/>
          <w:sz w:val="16"/>
          <w:szCs w:val="16"/>
          <w:lang w:val="en-GB"/>
        </w:rPr>
        <w:t>(Rev.WRC</w:t>
      </w:r>
      <w:r w:rsidRPr="003B7CB6">
        <w:rPr>
          <w:rFonts w:eastAsia="Calibri" w:hAnsi="Times New Roman Bold"/>
          <w:sz w:val="16"/>
          <w:szCs w:val="16"/>
          <w:lang w:val="en-GB"/>
        </w:rPr>
        <w:noBreakHyphen/>
        <w:t>12)</w:t>
      </w:r>
      <w:bookmarkEnd w:id="25"/>
      <w:bookmarkEnd w:id="26"/>
    </w:p>
    <w:p w:rsidR="003B7CB6" w:rsidRPr="003B7CB6" w:rsidP="003B7CB6">
      <w:pPr>
        <w:keepNext/>
        <w:tabs>
          <w:tab w:val="left" w:pos="1134"/>
          <w:tab w:val="left" w:pos="1871"/>
          <w:tab w:val="left" w:pos="2268"/>
        </w:tabs>
        <w:overflowPunct w:val="0"/>
        <w:autoSpaceDE w:val="0"/>
        <w:autoSpaceDN w:val="0"/>
        <w:adjustRightInd w:val="0"/>
        <w:spacing w:before="160"/>
        <w:textAlignment w:val="baseline"/>
        <w:rPr>
          <w:rFonts w:ascii="Times" w:hAnsi="Times"/>
          <w:b/>
          <w:sz w:val="24"/>
          <w:lang w:val="en-GB"/>
        </w:rPr>
      </w:pPr>
      <w:r w:rsidRPr="003B7CB6">
        <w:rPr>
          <w:rFonts w:ascii="Times" w:hAnsi="Times"/>
          <w:b/>
          <w:sz w:val="24"/>
          <w:lang w:val="en-GB"/>
        </w:rPr>
        <w:t>Footnotes to Tables A, B, C and D</w:t>
      </w:r>
    </w:p>
    <w:p w:rsidR="003B7CB6" w:rsidRPr="003B7CB6" w:rsidP="003B7CB6">
      <w:pPr>
        <w:rPr>
          <w:sz w:val="24"/>
          <w:szCs w:val="24"/>
          <w:lang w:val="en-GB"/>
        </w:rPr>
      </w:pPr>
    </w:p>
    <w:p w:rsidR="003B7CB6" w:rsidRPr="003B7CB6" w:rsidP="003B7CB6">
      <w:pPr>
        <w:rPr>
          <w:sz w:val="28"/>
          <w:szCs w:val="24"/>
          <w:lang w:eastAsia="zh-CN"/>
        </w:rPr>
        <w:sectPr>
          <w:headerReference w:type="even" r:id="rId6"/>
          <w:headerReference w:type="default" r:id="rId7"/>
          <w:footerReference w:type="even" r:id="rId8"/>
          <w:footerReference w:type="default" r:id="rId9"/>
          <w:headerReference w:type="first" r:id="rId10"/>
          <w:footerReference w:type="first" r:id="rId11"/>
          <w:pgSz w:w="11907" w:h="16834"/>
          <w:pgMar w:top="1418" w:right="1134" w:bottom="1418" w:left="1134" w:header="720" w:footer="720" w:gutter="0"/>
          <w:paperSrc w:first="15" w:other="15"/>
          <w:cols w:space="720"/>
        </w:sectPr>
      </w:pPr>
    </w:p>
    <w:p w:rsidR="003B7CB6" w:rsidRPr="003B7CB6" w:rsidP="003B7CB6">
      <w:pPr>
        <w:keepNext/>
        <w:tabs>
          <w:tab w:val="left" w:pos="1134"/>
          <w:tab w:val="left" w:pos="1871"/>
          <w:tab w:val="left" w:pos="2268"/>
        </w:tabs>
        <w:overflowPunct w:val="0"/>
        <w:autoSpaceDE w:val="0"/>
        <w:autoSpaceDN w:val="0"/>
        <w:adjustRightInd w:val="0"/>
        <w:spacing w:after="120"/>
        <w:jc w:val="center"/>
        <w:textAlignment w:val="baseline"/>
        <w:rPr>
          <w:rFonts w:ascii="Times New Roman Bold" w:hAnsi="Times New Roman Bold"/>
          <w:b/>
          <w:sz w:val="20"/>
          <w:lang w:val="en-GB" w:eastAsia="x-none"/>
        </w:rPr>
      </w:pPr>
      <w:r w:rsidRPr="003B7CB6">
        <w:rPr>
          <w:rFonts w:ascii="Times New Roman Bold" w:hAnsi="Times New Roman Bold"/>
          <w:b/>
          <w:sz w:val="20"/>
          <w:lang w:val="en-GB" w:eastAsia="x-none"/>
        </w:rPr>
        <w:t>TABLE C</w:t>
      </w:r>
    </w:p>
    <w:p w:rsidR="003B7CB6" w:rsidRPr="003B7CB6" w:rsidP="003B7CB6">
      <w:pPr>
        <w:keepNext/>
        <w:overflowPunct w:val="0"/>
        <w:autoSpaceDE w:val="0"/>
        <w:autoSpaceDN w:val="0"/>
        <w:adjustRightInd w:val="0"/>
        <w:spacing w:after="120"/>
        <w:jc w:val="center"/>
        <w:textAlignment w:val="baseline"/>
        <w:rPr>
          <w:rFonts w:ascii="Times New Roman Bold" w:hAnsi="Times New Roman Bold"/>
          <w:b/>
          <w:sz w:val="24"/>
          <w:szCs w:val="24"/>
          <w:lang w:val="fr-FR"/>
        </w:rPr>
      </w:pPr>
      <w:r w:rsidRPr="003B7CB6">
        <w:rPr>
          <w:b/>
          <w:sz w:val="24"/>
          <w:szCs w:val="24"/>
          <w:lang w:val="fr-FR"/>
        </w:rPr>
        <w:t xml:space="preserve">CHARACTERISTICS TO BE PROVIDED FOR EACH GROUP OF FREQUENCY ASSIGNMENTS </w:t>
      </w:r>
      <w:r w:rsidRPr="003B7CB6">
        <w:rPr>
          <w:b/>
          <w:sz w:val="24"/>
          <w:szCs w:val="24"/>
          <w:lang w:val="fr-FR"/>
        </w:rPr>
        <w:br/>
        <w:t xml:space="preserve">FOR A SATELLITE ANTENNA BEAM OR AN EARTH STATION OR </w:t>
      </w:r>
      <w:r w:rsidRPr="003B7CB6">
        <w:rPr>
          <w:b/>
          <w:sz w:val="24"/>
          <w:szCs w:val="24"/>
          <w:lang w:val="fr-FR"/>
        </w:rPr>
        <w:br/>
        <w:t>RADIO ASTRONOMY ANTENNA      </w:t>
      </w:r>
      <w:r w:rsidRPr="003B7CB6">
        <w:rPr>
          <w:bCs/>
          <w:color w:val="000000"/>
          <w:sz w:val="16"/>
          <w:szCs w:val="24"/>
          <w:lang w:val="fr-FR"/>
        </w:rPr>
        <w:t>(Rev.WRC</w:t>
      </w:r>
      <w:r w:rsidRPr="003B7CB6">
        <w:rPr>
          <w:bCs/>
          <w:color w:val="000000"/>
          <w:sz w:val="16"/>
          <w:szCs w:val="24"/>
          <w:lang w:val="fr-FR"/>
        </w:rPr>
        <w:noBreakHyphen/>
      </w:r>
      <w:r w:rsidRPr="003B7CB6">
        <w:rPr>
          <w:bCs/>
          <w:color w:val="000000"/>
          <w:sz w:val="16"/>
          <w:szCs w:val="24"/>
          <w:lang w:val="fr-FR"/>
        </w:rPr>
        <w:t>19)</w:t>
      </w:r>
    </w:p>
    <w:tbl>
      <w:tblPr>
        <w:tblW w:w="18495" w:type="dxa"/>
        <w:jc w:val="center"/>
        <w:tblLayout w:type="fixed"/>
        <w:tblLook w:val="04A0"/>
      </w:tblPr>
      <w:tblGrid>
        <w:gridCol w:w="1154"/>
        <w:gridCol w:w="7966"/>
        <w:gridCol w:w="763"/>
        <w:gridCol w:w="870"/>
        <w:gridCol w:w="924"/>
        <w:gridCol w:w="998"/>
        <w:gridCol w:w="651"/>
        <w:gridCol w:w="786"/>
        <w:gridCol w:w="860"/>
        <w:gridCol w:w="817"/>
        <w:gridCol w:w="833"/>
        <w:gridCol w:w="1244"/>
        <w:gridCol w:w="629"/>
      </w:tblGrid>
      <w:tr w:rsidTr="003B7CB6">
        <w:tblPrEx>
          <w:tblW w:w="18495" w:type="dxa"/>
          <w:jc w:val="center"/>
          <w:tblLayout w:type="fixed"/>
          <w:tblLook w:val="04A0"/>
        </w:tblPrEx>
        <w:trPr>
          <w:trHeight w:val="3000"/>
          <w:tblHeader/>
          <w:jc w:val="center"/>
        </w:trPr>
        <w:tc>
          <w:tcPr>
            <w:tcW w:w="1153" w:type="dxa"/>
            <w:tcBorders>
              <w:top w:val="single" w:sz="12" w:space="0" w:color="auto"/>
              <w:left w:val="single" w:sz="12" w:space="0" w:color="auto"/>
              <w:bottom w:val="single" w:sz="4" w:space="0" w:color="auto"/>
              <w:right w:val="nil"/>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Items in Appendix</w:t>
            </w:r>
          </w:p>
        </w:tc>
        <w:tc>
          <w:tcPr>
            <w:tcW w:w="7965" w:type="dxa"/>
            <w:tcBorders>
              <w:top w:val="single" w:sz="12" w:space="0" w:color="auto"/>
              <w:left w:val="double" w:sz="6" w:space="0" w:color="auto"/>
              <w:bottom w:val="single" w:sz="4" w:space="0" w:color="auto"/>
              <w:right w:val="double" w:sz="4" w:space="0" w:color="auto"/>
            </w:tcBorders>
            <w:vAlign w:val="center"/>
            <w:hideMark/>
          </w:tcPr>
          <w:p w:rsidR="003B7CB6" w:rsidRPr="003B7CB6" w:rsidP="003B7CB6">
            <w:pPr>
              <w:spacing w:before="40" w:after="40"/>
              <w:jc w:val="center"/>
              <w:rPr>
                <w:b/>
                <w:bCs/>
                <w:i/>
                <w:iCs/>
                <w:sz w:val="16"/>
                <w:szCs w:val="16"/>
                <w:lang w:eastAsia="zh-CN"/>
              </w:rPr>
            </w:pPr>
            <w:r w:rsidRPr="003B7CB6">
              <w:rPr>
                <w:b/>
                <w:bCs/>
                <w:i/>
                <w:iCs/>
                <w:sz w:val="16"/>
                <w:szCs w:val="16"/>
                <w:lang w:eastAsia="zh-CN"/>
              </w:rPr>
              <w:t xml:space="preserve">C </w:t>
            </w:r>
            <w:r w:rsidRPr="003B7CB6">
              <w:rPr>
                <w:b/>
                <w:bCs/>
                <w:i/>
                <w:iCs/>
                <w:sz w:val="16"/>
                <w:szCs w:val="16"/>
                <w:vertAlign w:val="superscript"/>
                <w:lang w:eastAsia="zh-CN"/>
              </w:rPr>
              <w:t>_</w:t>
            </w:r>
            <w:r w:rsidRPr="003B7CB6">
              <w:rPr>
                <w:b/>
                <w:bCs/>
                <w:i/>
                <w:iCs/>
                <w:sz w:val="16"/>
                <w:szCs w:val="16"/>
                <w:lang w:eastAsia="zh-CN"/>
              </w:rPr>
              <w:t xml:space="preserve"> CHARACTERISTICS TO BE PROVIDED FOR EACH GROUP OF FREQUENCY </w:t>
            </w:r>
            <w:r w:rsidRPr="003B7CB6">
              <w:rPr>
                <w:b/>
                <w:bCs/>
                <w:i/>
                <w:iCs/>
                <w:sz w:val="16"/>
                <w:szCs w:val="16"/>
                <w:lang w:eastAsia="zh-CN"/>
              </w:rPr>
              <w:br/>
              <w:t xml:space="preserve">ASSIGNMENTS FOR A SATELLITE ANTENNA BEAM OR </w:t>
            </w:r>
            <w:r w:rsidRPr="003B7CB6">
              <w:rPr>
                <w:b/>
                <w:bCs/>
                <w:i/>
                <w:iCs/>
                <w:sz w:val="16"/>
                <w:szCs w:val="16"/>
                <w:lang w:eastAsia="zh-CN"/>
              </w:rPr>
              <w:br/>
              <w:t>AN EARTH STATION OR RADIO ASTRONOMY ANTENNA</w:t>
            </w:r>
          </w:p>
        </w:tc>
        <w:tc>
          <w:tcPr>
            <w:tcW w:w="763" w:type="dxa"/>
            <w:tcBorders>
              <w:top w:val="single" w:sz="12" w:space="0" w:color="auto"/>
              <w:left w:val="double" w:sz="4" w:space="0" w:color="auto"/>
              <w:bottom w:val="single" w:sz="4" w:space="0" w:color="auto"/>
              <w:right w:val="single" w:sz="4"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Advance publication of a geostationary-</w:t>
            </w:r>
            <w:r w:rsidRPr="003B7CB6">
              <w:rPr>
                <w:b/>
                <w:bCs/>
                <w:sz w:val="16"/>
                <w:szCs w:val="16"/>
                <w:lang w:eastAsia="zh-CN"/>
              </w:rPr>
              <w:br/>
              <w:t>satellite network</w:t>
            </w:r>
          </w:p>
        </w:tc>
        <w:tc>
          <w:tcPr>
            <w:tcW w:w="870"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after="40"/>
              <w:jc w:val="center"/>
              <w:rPr>
                <w:b/>
                <w:bCs/>
                <w:sz w:val="16"/>
                <w:szCs w:val="16"/>
                <w:lang w:eastAsia="zh-CN"/>
              </w:rPr>
            </w:pPr>
            <w:r w:rsidRPr="003B7CB6">
              <w:rPr>
                <w:b/>
                <w:bCs/>
                <w:sz w:val="16"/>
                <w:szCs w:val="16"/>
                <w:lang w:eastAsia="zh-CN"/>
              </w:rPr>
              <w:t xml:space="preserve">Advance publication of a non-geostationary-satellite network subject to coordination under Section II </w:t>
            </w:r>
            <w:r w:rsidRPr="003B7CB6">
              <w:rPr>
                <w:b/>
                <w:bCs/>
                <w:sz w:val="16"/>
                <w:szCs w:val="16"/>
                <w:lang w:eastAsia="zh-CN"/>
              </w:rPr>
              <w:br/>
              <w:t>of Article 9</w:t>
            </w:r>
          </w:p>
        </w:tc>
        <w:tc>
          <w:tcPr>
            <w:tcW w:w="924"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after="40"/>
              <w:jc w:val="center"/>
              <w:rPr>
                <w:b/>
                <w:bCs/>
                <w:sz w:val="16"/>
                <w:szCs w:val="16"/>
                <w:lang w:eastAsia="zh-CN"/>
              </w:rPr>
            </w:pPr>
            <w:r w:rsidRPr="003B7CB6">
              <w:rPr>
                <w:b/>
                <w:bCs/>
                <w:sz w:val="16"/>
                <w:szCs w:val="16"/>
                <w:lang w:eastAsia="zh-CN"/>
              </w:rPr>
              <w:t xml:space="preserve">Advance publication of a non-geostationary-satellite network not subject to coordination under Section II </w:t>
            </w:r>
            <w:r w:rsidRPr="003B7CB6">
              <w:rPr>
                <w:b/>
                <w:bCs/>
                <w:sz w:val="16"/>
                <w:szCs w:val="16"/>
                <w:lang w:eastAsia="zh-CN"/>
              </w:rPr>
              <w:br/>
              <w:t>of Article 9</w:t>
            </w:r>
          </w:p>
        </w:tc>
        <w:tc>
          <w:tcPr>
            <w:tcW w:w="998"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 xml:space="preserve">Notification or coordination of a geostationary-satellite network (including space operation functions under Article 2A of Appendices 30 or 30A) </w:t>
            </w:r>
          </w:p>
        </w:tc>
        <w:tc>
          <w:tcPr>
            <w:tcW w:w="651"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Notification or coordination of a non-geostationary-satellite network</w:t>
            </w:r>
          </w:p>
        </w:tc>
        <w:tc>
          <w:tcPr>
            <w:tcW w:w="786"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 xml:space="preserve">Notification or coordination of an earth station (including notification under </w:t>
            </w:r>
            <w:r w:rsidRPr="003B7CB6">
              <w:rPr>
                <w:b/>
                <w:bCs/>
                <w:sz w:val="16"/>
                <w:szCs w:val="16"/>
                <w:lang w:eastAsia="zh-CN"/>
              </w:rPr>
              <w:br/>
              <w:t xml:space="preserve">Appendices 30A or 30B) </w:t>
            </w:r>
          </w:p>
        </w:tc>
        <w:tc>
          <w:tcPr>
            <w:tcW w:w="860"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Notice for a satellite network in the broadcasting-satellite service under Appendix 30 (Articles 4 and 5)</w:t>
            </w:r>
          </w:p>
        </w:tc>
        <w:tc>
          <w:tcPr>
            <w:tcW w:w="817" w:type="dxa"/>
            <w:tcBorders>
              <w:top w:val="single" w:sz="12" w:space="0" w:color="auto"/>
              <w:left w:val="nil"/>
              <w:bottom w:val="single" w:sz="4" w:space="0" w:color="auto"/>
              <w:right w:val="single" w:sz="4"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 xml:space="preserve">Notice for a satellite network </w:t>
            </w:r>
            <w:r w:rsidRPr="003B7CB6">
              <w:rPr>
                <w:b/>
                <w:bCs/>
                <w:sz w:val="16"/>
                <w:szCs w:val="16"/>
                <w:lang w:eastAsia="zh-CN"/>
              </w:rPr>
              <w:br/>
              <w:t xml:space="preserve">(feeder-link) under Appendix 30A </w:t>
            </w:r>
            <w:r w:rsidRPr="003B7CB6">
              <w:rPr>
                <w:b/>
                <w:bCs/>
                <w:sz w:val="16"/>
                <w:szCs w:val="16"/>
                <w:lang w:eastAsia="zh-CN"/>
              </w:rPr>
              <w:br/>
              <w:t>(Articles 4 and 5)</w:t>
            </w:r>
          </w:p>
        </w:tc>
        <w:tc>
          <w:tcPr>
            <w:tcW w:w="833" w:type="dxa"/>
            <w:tcBorders>
              <w:top w:val="single" w:sz="12" w:space="0" w:color="auto"/>
              <w:left w:val="nil"/>
              <w:bottom w:val="single" w:sz="4" w:space="0" w:color="auto"/>
              <w:right w:val="double" w:sz="6"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Notice for a satellite network in the fixed-</w:t>
            </w:r>
            <w:r w:rsidRPr="003B7CB6">
              <w:rPr>
                <w:b/>
                <w:bCs/>
                <w:sz w:val="16"/>
                <w:szCs w:val="16"/>
                <w:lang w:eastAsia="zh-CN"/>
              </w:rPr>
              <w:br/>
              <w:t xml:space="preserve">satellite service under Appendix 30B </w:t>
            </w:r>
            <w:r w:rsidRPr="003B7CB6">
              <w:rPr>
                <w:b/>
                <w:bCs/>
                <w:sz w:val="16"/>
                <w:szCs w:val="16"/>
                <w:lang w:eastAsia="zh-CN"/>
              </w:rPr>
              <w:br/>
              <w:t>(Articles 6 and 8)</w:t>
            </w:r>
          </w:p>
        </w:tc>
        <w:tc>
          <w:tcPr>
            <w:tcW w:w="1244" w:type="dxa"/>
            <w:tcBorders>
              <w:top w:val="single" w:sz="12" w:space="0" w:color="auto"/>
              <w:left w:val="nil"/>
              <w:bottom w:val="single" w:sz="4" w:space="0" w:color="auto"/>
              <w:right w:val="nil"/>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Items in Appendix</w:t>
            </w:r>
          </w:p>
        </w:tc>
        <w:tc>
          <w:tcPr>
            <w:tcW w:w="629" w:type="dxa"/>
            <w:tcBorders>
              <w:top w:val="single" w:sz="12" w:space="0" w:color="auto"/>
              <w:left w:val="double" w:sz="6" w:space="0" w:color="auto"/>
              <w:bottom w:val="single" w:sz="4" w:space="0" w:color="auto"/>
              <w:right w:val="single" w:sz="12" w:space="0" w:color="auto"/>
            </w:tcBorders>
            <w:textDirection w:val="btLr"/>
            <w:vAlign w:val="center"/>
            <w:hideMark/>
          </w:tcPr>
          <w:p w:rsidR="003B7CB6" w:rsidRPr="003B7CB6" w:rsidP="003B7CB6">
            <w:pPr>
              <w:spacing w:before="40" w:after="40"/>
              <w:jc w:val="center"/>
              <w:rPr>
                <w:b/>
                <w:bCs/>
                <w:sz w:val="16"/>
                <w:szCs w:val="16"/>
                <w:lang w:eastAsia="zh-CN"/>
              </w:rPr>
            </w:pPr>
            <w:r w:rsidRPr="003B7CB6">
              <w:rPr>
                <w:b/>
                <w:bCs/>
                <w:sz w:val="16"/>
                <w:szCs w:val="16"/>
                <w:lang w:eastAsia="zh-CN"/>
              </w:rPr>
              <w:t>Radio astronomy</w:t>
            </w:r>
          </w:p>
        </w:tc>
      </w:tr>
      <w:tr w:rsidTr="003B7CB6">
        <w:tblPrEx>
          <w:tblW w:w="18495" w:type="dxa"/>
          <w:jc w:val="center"/>
          <w:tblLayout w:type="fixed"/>
          <w:tblLook w:val="04A0"/>
        </w:tblPrEx>
        <w:trPr>
          <w:cantSplit/>
          <w:jc w:val="center"/>
        </w:trPr>
        <w:tc>
          <w:tcPr>
            <w:tcW w:w="1153" w:type="dxa"/>
            <w:tcBorders>
              <w:top w:val="nil"/>
              <w:left w:val="single" w:sz="12" w:space="0" w:color="auto"/>
              <w:bottom w:val="nil"/>
              <w:right w:val="double" w:sz="6" w:space="0" w:color="auto"/>
            </w:tcBorders>
            <w:hideMark/>
          </w:tcPr>
          <w:p w:rsidR="003B7CB6" w:rsidRPr="003B7CB6" w:rsidP="003B7CB6">
            <w:pPr>
              <w:tabs>
                <w:tab w:val="left" w:pos="720"/>
              </w:tabs>
              <w:spacing w:before="40" w:after="40"/>
              <w:rPr>
                <w:sz w:val="18"/>
                <w:szCs w:val="18"/>
                <w:lang w:eastAsia="zh-CN"/>
              </w:rPr>
            </w:pPr>
            <w:r w:rsidRPr="003B7CB6">
              <w:rPr>
                <w:sz w:val="18"/>
                <w:szCs w:val="18"/>
                <w:lang w:eastAsia="zh-CN"/>
              </w:rPr>
              <w:t>...</w:t>
            </w:r>
          </w:p>
        </w:tc>
        <w:tc>
          <w:tcPr>
            <w:tcW w:w="7965" w:type="dxa"/>
            <w:tcBorders>
              <w:top w:val="nil"/>
              <w:left w:val="nil"/>
              <w:bottom w:val="single" w:sz="4" w:space="0" w:color="auto"/>
              <w:right w:val="double" w:sz="4" w:space="0" w:color="auto"/>
            </w:tcBorders>
            <w:shd w:val="clear" w:color="auto" w:fill="FFFFFF"/>
            <w:hideMark/>
          </w:tcPr>
          <w:p w:rsidR="003B7CB6" w:rsidRPr="003B7CB6" w:rsidP="003B7CB6">
            <w:pPr>
              <w:spacing w:before="40" w:after="40"/>
              <w:ind w:left="170"/>
              <w:rPr>
                <w:sz w:val="18"/>
                <w:szCs w:val="18"/>
                <w:lang w:eastAsia="zh-CN"/>
              </w:rPr>
            </w:pPr>
            <w:r w:rsidRPr="003B7CB6">
              <w:rPr>
                <w:sz w:val="18"/>
                <w:szCs w:val="18"/>
                <w:lang w:eastAsia="zh-CN"/>
              </w:rPr>
              <w:t>...</w:t>
            </w:r>
          </w:p>
        </w:tc>
        <w:tc>
          <w:tcPr>
            <w:tcW w:w="763" w:type="dxa"/>
            <w:tcBorders>
              <w:top w:val="nil"/>
              <w:left w:val="double" w:sz="4" w:space="0" w:color="auto"/>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870" w:type="dxa"/>
            <w:tcBorders>
              <w:top w:val="nil"/>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924" w:type="dxa"/>
            <w:tcBorders>
              <w:top w:val="nil"/>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998" w:type="dxa"/>
            <w:tcBorders>
              <w:top w:val="nil"/>
              <w:left w:val="nil"/>
              <w:bottom w:val="single" w:sz="4" w:space="0" w:color="auto"/>
              <w:right w:val="single" w:sz="4" w:space="0" w:color="auto"/>
            </w:tcBorders>
            <w:vAlign w:val="center"/>
          </w:tcPr>
          <w:p w:rsidR="003B7CB6" w:rsidRPr="003B7CB6" w:rsidP="003B7CB6">
            <w:pPr>
              <w:tabs>
                <w:tab w:val="left" w:pos="720"/>
              </w:tabs>
              <w:spacing w:before="40" w:after="40"/>
              <w:jc w:val="center"/>
              <w:rPr>
                <w:b/>
                <w:bCs/>
                <w:sz w:val="18"/>
                <w:szCs w:val="18"/>
                <w:lang w:eastAsia="zh-CN"/>
              </w:rPr>
            </w:pPr>
          </w:p>
        </w:tc>
        <w:tc>
          <w:tcPr>
            <w:tcW w:w="651" w:type="dxa"/>
            <w:tcBorders>
              <w:top w:val="nil"/>
              <w:left w:val="nil"/>
              <w:bottom w:val="single" w:sz="4" w:space="0" w:color="auto"/>
              <w:right w:val="single" w:sz="4" w:space="0" w:color="auto"/>
            </w:tcBorders>
            <w:vAlign w:val="center"/>
          </w:tcPr>
          <w:p w:rsidR="003B7CB6" w:rsidRPr="003B7CB6" w:rsidP="003B7CB6">
            <w:pPr>
              <w:tabs>
                <w:tab w:val="left" w:pos="720"/>
              </w:tabs>
              <w:spacing w:before="40" w:after="40"/>
              <w:jc w:val="center"/>
              <w:rPr>
                <w:b/>
                <w:bCs/>
                <w:sz w:val="18"/>
                <w:szCs w:val="18"/>
                <w:lang w:eastAsia="zh-CN"/>
              </w:rPr>
            </w:pPr>
          </w:p>
        </w:tc>
        <w:tc>
          <w:tcPr>
            <w:tcW w:w="786" w:type="dxa"/>
            <w:tcBorders>
              <w:top w:val="nil"/>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860" w:type="dxa"/>
            <w:tcBorders>
              <w:top w:val="nil"/>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817" w:type="dxa"/>
            <w:tcBorders>
              <w:top w:val="nil"/>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833" w:type="dxa"/>
            <w:tcBorders>
              <w:top w:val="nil"/>
              <w:left w:val="nil"/>
              <w:bottom w:val="single" w:sz="4" w:space="0" w:color="auto"/>
              <w:right w:val="double" w:sz="6"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1244" w:type="dxa"/>
            <w:tcBorders>
              <w:top w:val="nil"/>
              <w:left w:val="nil"/>
              <w:bottom w:val="single" w:sz="4" w:space="0" w:color="auto"/>
              <w:right w:val="double" w:sz="6" w:space="0" w:color="auto"/>
            </w:tcBorders>
          </w:tcPr>
          <w:p w:rsidR="003B7CB6" w:rsidRPr="003B7CB6" w:rsidP="003B7CB6">
            <w:pPr>
              <w:tabs>
                <w:tab w:val="left" w:pos="720"/>
              </w:tabs>
              <w:spacing w:before="40" w:after="40"/>
              <w:rPr>
                <w:sz w:val="18"/>
                <w:szCs w:val="18"/>
                <w:lang w:eastAsia="zh-CN"/>
              </w:rPr>
            </w:pPr>
          </w:p>
        </w:tc>
        <w:tc>
          <w:tcPr>
            <w:tcW w:w="629" w:type="dxa"/>
            <w:tcBorders>
              <w:top w:val="nil"/>
              <w:left w:val="nil"/>
              <w:bottom w:val="single" w:sz="4" w:space="0" w:color="auto"/>
              <w:right w:val="single" w:sz="12"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r>
      <w:tr w:rsidTr="003B7CB6">
        <w:tblPrEx>
          <w:tblW w:w="18495" w:type="dxa"/>
          <w:jc w:val="center"/>
          <w:tblLayout w:type="fixed"/>
          <w:tblLook w:val="04A0"/>
        </w:tblPrEx>
        <w:trPr>
          <w:cantSplit/>
          <w:jc w:val="center"/>
        </w:trPr>
        <w:tc>
          <w:tcPr>
            <w:tcW w:w="1153" w:type="dxa"/>
            <w:tcBorders>
              <w:top w:val="single" w:sz="4" w:space="0" w:color="auto"/>
              <w:left w:val="single" w:sz="12" w:space="0" w:color="auto"/>
              <w:bottom w:val="single" w:sz="4" w:space="0" w:color="auto"/>
              <w:right w:val="double" w:sz="6" w:space="0" w:color="auto"/>
            </w:tcBorders>
            <w:noWrap/>
            <w:hideMark/>
          </w:tcPr>
          <w:p w:rsidR="003B7CB6" w:rsidRPr="003B7CB6" w:rsidP="003B7CB6">
            <w:pPr>
              <w:tabs>
                <w:tab w:val="left" w:pos="720"/>
              </w:tabs>
              <w:spacing w:before="40" w:after="40"/>
              <w:rPr>
                <w:sz w:val="18"/>
                <w:szCs w:val="18"/>
                <w:lang w:eastAsia="zh-CN"/>
              </w:rPr>
            </w:pPr>
            <w:r w:rsidRPr="003B7CB6">
              <w:rPr>
                <w:sz w:val="18"/>
                <w:szCs w:val="18"/>
                <w:lang w:eastAsia="zh-CN"/>
              </w:rPr>
              <w:t>C.10.d.7</w:t>
            </w:r>
          </w:p>
        </w:tc>
        <w:tc>
          <w:tcPr>
            <w:tcW w:w="7965" w:type="dxa"/>
            <w:tcBorders>
              <w:top w:val="nil"/>
              <w:left w:val="nil"/>
              <w:bottom w:val="single" w:sz="4" w:space="0" w:color="auto"/>
              <w:right w:val="double" w:sz="4" w:space="0" w:color="auto"/>
            </w:tcBorders>
            <w:hideMark/>
          </w:tcPr>
          <w:p w:rsidR="003B7CB6" w:rsidRPr="003B7CB6" w:rsidP="003B7CB6">
            <w:pPr>
              <w:spacing w:before="40" w:after="40"/>
              <w:ind w:left="170"/>
              <w:rPr>
                <w:sz w:val="18"/>
                <w:szCs w:val="18"/>
                <w:lang w:eastAsia="zh-CN"/>
              </w:rPr>
            </w:pPr>
            <w:r w:rsidRPr="003B7CB6">
              <w:rPr>
                <w:sz w:val="18"/>
                <w:szCs w:val="18"/>
                <w:lang w:eastAsia="zh-CN"/>
              </w:rPr>
              <w:t>the antenna diameter, in metres</w:t>
            </w:r>
          </w:p>
          <w:p w:rsidR="003B7CB6" w:rsidRPr="003B7CB6" w:rsidP="003B7CB6">
            <w:pPr>
              <w:keepNext/>
              <w:spacing w:before="40" w:after="40"/>
              <w:ind w:left="340"/>
              <w:rPr>
                <w:sz w:val="18"/>
                <w:szCs w:val="18"/>
                <w:lang w:eastAsia="zh-CN"/>
              </w:rPr>
            </w:pPr>
            <w:r w:rsidRPr="003B7CB6">
              <w:rPr>
                <w:sz w:val="18"/>
                <w:szCs w:val="18"/>
                <w:lang w:eastAsia="zh-CN"/>
              </w:rPr>
              <w:t>In cases other than Appendix</w:t>
            </w:r>
            <w:r w:rsidRPr="003B7CB6">
              <w:rPr>
                <w:sz w:val="16"/>
                <w:szCs w:val="16"/>
                <w:lang w:eastAsia="zh-CN"/>
              </w:rPr>
              <w:t> </w:t>
            </w:r>
            <w:r w:rsidRPr="003B7CB6">
              <w:rPr>
                <w:b/>
                <w:bCs/>
                <w:sz w:val="18"/>
                <w:szCs w:val="14"/>
                <w:lang w:eastAsia="zh-CN"/>
              </w:rPr>
              <w:t>30A</w:t>
            </w:r>
            <w:r w:rsidRPr="003B7CB6">
              <w:rPr>
                <w:sz w:val="18"/>
                <w:szCs w:val="18"/>
                <w:lang w:eastAsia="zh-CN"/>
              </w:rPr>
              <w:t xml:space="preserve">, required for fixed-satellite service networks operating in the frequency bands 13.75-14 GHz, 14.5-14.75 GHz (in countries listed in Resolution </w:t>
            </w:r>
            <w:r w:rsidRPr="003B7CB6">
              <w:rPr>
                <w:b/>
                <w:bCs/>
                <w:sz w:val="18"/>
                <w:szCs w:val="18"/>
                <w:lang w:eastAsia="zh-CN"/>
              </w:rPr>
              <w:t>163 (WRC</w:t>
            </w:r>
            <w:r w:rsidRPr="003B7CB6">
              <w:rPr>
                <w:b/>
                <w:bCs/>
                <w:sz w:val="18"/>
                <w:szCs w:val="18"/>
                <w:lang w:eastAsia="zh-CN"/>
              </w:rPr>
              <w:noBreakHyphen/>
              <w:t>15)</w:t>
            </w:r>
            <w:r w:rsidRPr="003B7CB6">
              <w:rPr>
                <w:sz w:val="18"/>
                <w:szCs w:val="18"/>
                <w:lang w:eastAsia="zh-CN"/>
              </w:rPr>
              <w:t xml:space="preserve"> not for feeder links for the broadcasting-satellite service), 14.5-14.8 GHz (in countries listed in Resolution </w:t>
            </w:r>
            <w:r w:rsidRPr="003B7CB6">
              <w:rPr>
                <w:b/>
                <w:bCs/>
                <w:sz w:val="18"/>
                <w:szCs w:val="18"/>
                <w:lang w:eastAsia="zh-CN"/>
              </w:rPr>
              <w:t>164 (WRC</w:t>
            </w:r>
            <w:r w:rsidRPr="003B7CB6">
              <w:rPr>
                <w:b/>
                <w:bCs/>
                <w:sz w:val="18"/>
                <w:szCs w:val="18"/>
                <w:lang w:eastAsia="zh-CN"/>
              </w:rPr>
              <w:noBreakHyphen/>
              <w:t>15)</w:t>
            </w:r>
            <w:r w:rsidRPr="003B7CB6">
              <w:rPr>
                <w:sz w:val="18"/>
                <w:szCs w:val="18"/>
                <w:lang w:eastAsia="zh-CN"/>
              </w:rPr>
              <w:t xml:space="preserve"> not for feeder links for the broadcasting-satellite service), 24.65</w:t>
            </w:r>
            <w:r w:rsidRPr="003B7CB6">
              <w:rPr>
                <w:sz w:val="18"/>
                <w:szCs w:val="18"/>
                <w:lang w:eastAsia="zh-CN"/>
              </w:rPr>
              <w:noBreakHyphen/>
              <w:t xml:space="preserve">25.25 GHz (Region 1) </w:t>
            </w:r>
            <w:r w:rsidRPr="003B7CB6">
              <w:rPr>
                <w:sz w:val="18"/>
                <w:szCs w:val="18"/>
                <w:lang w:eastAsia="zh-CN"/>
              </w:rPr>
              <w:t xml:space="preserve">24.65-24.75 GHz (Region 3) </w:t>
            </w:r>
            <w:r w:rsidRPr="003B7CB6">
              <w:rPr>
                <w:sz w:val="18"/>
                <w:szCs w:val="18"/>
                <w:lang w:eastAsia="zh-CN"/>
              </w:rPr>
              <w:t xml:space="preserve">and 51.4-52.4 GHz </w:t>
            </w:r>
            <w:r w:rsidRPr="003B7CB6">
              <w:rPr>
                <w:sz w:val="18"/>
                <w:szCs w:val="18"/>
                <w:lang w:eastAsia="zh-CN"/>
              </w:rPr>
              <w:t>and for maritime mobile-satellite service networks operating in the frequency band 14</w:t>
            </w:r>
            <w:r w:rsidRPr="003B7CB6">
              <w:rPr>
                <w:sz w:val="18"/>
                <w:szCs w:val="18"/>
                <w:lang w:eastAsia="zh-CN"/>
              </w:rPr>
              <w:noBreakHyphen/>
              <w:t>14.5 GHz</w:t>
            </w:r>
          </w:p>
        </w:tc>
        <w:tc>
          <w:tcPr>
            <w:tcW w:w="763" w:type="dxa"/>
            <w:tcBorders>
              <w:top w:val="nil"/>
              <w:left w:val="double" w:sz="4" w:space="0" w:color="auto"/>
              <w:bottom w:val="single" w:sz="4" w:space="0" w:color="auto"/>
              <w:right w:val="single" w:sz="4" w:space="0" w:color="auto"/>
            </w:tcBorders>
            <w:shd w:val="clear" w:color="auto" w:fill="FFFFFF"/>
            <w:vAlign w:val="center"/>
            <w:hideMark/>
          </w:tcPr>
          <w:p w:rsidR="003B7CB6" w:rsidRPr="003B7CB6" w:rsidP="003B7CB6">
            <w:pPr>
              <w:tabs>
                <w:tab w:val="left" w:pos="720"/>
              </w:tabs>
              <w:spacing w:before="40" w:after="40"/>
              <w:jc w:val="center"/>
              <w:rPr>
                <w:b/>
                <w:bCs/>
                <w:sz w:val="18"/>
                <w:szCs w:val="18"/>
                <w:lang w:eastAsia="zh-CN"/>
              </w:rPr>
            </w:pPr>
            <w:r w:rsidRPr="003B7CB6">
              <w:rPr>
                <w:b/>
                <w:bCs/>
                <w:sz w:val="18"/>
                <w:szCs w:val="18"/>
                <w:lang w:eastAsia="zh-CN"/>
              </w:rPr>
              <w:t>  </w:t>
            </w:r>
          </w:p>
        </w:tc>
        <w:tc>
          <w:tcPr>
            <w:tcW w:w="870" w:type="dxa"/>
            <w:tcBorders>
              <w:top w:val="nil"/>
              <w:left w:val="nil"/>
              <w:bottom w:val="single" w:sz="4" w:space="0" w:color="auto"/>
              <w:right w:val="single" w:sz="4" w:space="0" w:color="auto"/>
            </w:tcBorders>
            <w:shd w:val="clear" w:color="auto" w:fill="FFFFFF"/>
            <w:vAlign w:val="center"/>
            <w:hideMark/>
          </w:tcPr>
          <w:p w:rsidR="003B7CB6" w:rsidRPr="003B7CB6" w:rsidP="003B7CB6">
            <w:pPr>
              <w:spacing w:before="40" w:after="40"/>
              <w:jc w:val="center"/>
              <w:rPr>
                <w:b/>
                <w:bCs/>
                <w:sz w:val="18"/>
                <w:szCs w:val="18"/>
                <w:lang w:eastAsia="zh-CN"/>
              </w:rPr>
            </w:pPr>
            <w:r w:rsidRPr="003B7CB6">
              <w:rPr>
                <w:b/>
                <w:bCs/>
                <w:sz w:val="18"/>
                <w:szCs w:val="18"/>
                <w:lang w:eastAsia="zh-CN"/>
              </w:rPr>
              <w:t> </w:t>
            </w:r>
          </w:p>
        </w:tc>
        <w:tc>
          <w:tcPr>
            <w:tcW w:w="924" w:type="dxa"/>
            <w:tcBorders>
              <w:top w:val="nil"/>
              <w:left w:val="nil"/>
              <w:bottom w:val="single" w:sz="4" w:space="0" w:color="auto"/>
              <w:right w:val="single" w:sz="4" w:space="0" w:color="auto"/>
            </w:tcBorders>
            <w:shd w:val="clear" w:color="auto" w:fill="FFFFFF"/>
            <w:vAlign w:val="center"/>
            <w:hideMark/>
          </w:tcPr>
          <w:p w:rsidR="003B7CB6" w:rsidRPr="003B7CB6" w:rsidP="003B7CB6">
            <w:pPr>
              <w:spacing w:before="40" w:after="40"/>
              <w:jc w:val="center"/>
              <w:rPr>
                <w:b/>
                <w:bCs/>
                <w:sz w:val="18"/>
                <w:szCs w:val="18"/>
                <w:lang w:eastAsia="zh-CN"/>
              </w:rPr>
            </w:pPr>
            <w:r w:rsidRPr="003B7CB6">
              <w:rPr>
                <w:b/>
                <w:bCs/>
                <w:sz w:val="18"/>
                <w:szCs w:val="18"/>
                <w:lang w:eastAsia="zh-CN"/>
              </w:rPr>
              <w:t> </w:t>
            </w:r>
          </w:p>
        </w:tc>
        <w:tc>
          <w:tcPr>
            <w:tcW w:w="998" w:type="dxa"/>
            <w:tcBorders>
              <w:top w:val="nil"/>
              <w:left w:val="nil"/>
              <w:bottom w:val="single" w:sz="4" w:space="0" w:color="auto"/>
              <w:right w:val="single" w:sz="4" w:space="0" w:color="auto"/>
            </w:tcBorders>
            <w:vAlign w:val="center"/>
            <w:hideMark/>
          </w:tcPr>
          <w:p w:rsidR="003B7CB6" w:rsidRPr="003B7CB6" w:rsidP="003B7CB6">
            <w:pPr>
              <w:spacing w:before="40" w:after="40"/>
              <w:jc w:val="center"/>
              <w:rPr>
                <w:b/>
                <w:bCs/>
                <w:sz w:val="18"/>
                <w:szCs w:val="18"/>
                <w:lang w:eastAsia="zh-CN"/>
              </w:rPr>
            </w:pPr>
            <w:r w:rsidRPr="003B7CB6">
              <w:rPr>
                <w:b/>
                <w:bCs/>
                <w:sz w:val="18"/>
                <w:szCs w:val="18"/>
                <w:lang w:eastAsia="zh-CN"/>
              </w:rPr>
              <w:t>+</w:t>
            </w:r>
          </w:p>
        </w:tc>
        <w:tc>
          <w:tcPr>
            <w:tcW w:w="651" w:type="dxa"/>
            <w:tcBorders>
              <w:top w:val="nil"/>
              <w:left w:val="nil"/>
              <w:bottom w:val="single" w:sz="4" w:space="0" w:color="auto"/>
              <w:right w:val="single" w:sz="4" w:space="0" w:color="auto"/>
            </w:tcBorders>
            <w:vAlign w:val="center"/>
            <w:hideMark/>
          </w:tcPr>
          <w:p w:rsidR="003B7CB6" w:rsidRPr="003B7CB6" w:rsidP="003B7CB6">
            <w:pPr>
              <w:spacing w:before="40" w:after="40"/>
              <w:jc w:val="center"/>
              <w:rPr>
                <w:b/>
                <w:bCs/>
                <w:sz w:val="18"/>
                <w:szCs w:val="18"/>
                <w:lang w:eastAsia="zh-CN"/>
              </w:rPr>
            </w:pPr>
            <w:r w:rsidRPr="003B7CB6">
              <w:rPr>
                <w:b/>
                <w:bCs/>
                <w:sz w:val="18"/>
                <w:szCs w:val="18"/>
                <w:lang w:eastAsia="zh-CN"/>
              </w:rPr>
              <w:t>+</w:t>
            </w:r>
          </w:p>
        </w:tc>
        <w:tc>
          <w:tcPr>
            <w:tcW w:w="786" w:type="dxa"/>
            <w:tcBorders>
              <w:top w:val="nil"/>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rPr>
                <w:b/>
                <w:bCs/>
                <w:sz w:val="18"/>
                <w:szCs w:val="18"/>
                <w:lang w:eastAsia="zh-CN"/>
              </w:rPr>
            </w:pPr>
          </w:p>
        </w:tc>
        <w:tc>
          <w:tcPr>
            <w:tcW w:w="860" w:type="dxa"/>
            <w:tcBorders>
              <w:top w:val="nil"/>
              <w:left w:val="nil"/>
              <w:bottom w:val="single" w:sz="4" w:space="0" w:color="auto"/>
              <w:right w:val="single" w:sz="4" w:space="0" w:color="auto"/>
            </w:tcBorders>
            <w:vAlign w:val="center"/>
          </w:tcPr>
          <w:p w:rsidR="003B7CB6" w:rsidRPr="003B7CB6" w:rsidP="003B7CB6">
            <w:pPr>
              <w:spacing w:before="40" w:after="40"/>
              <w:rPr>
                <w:b/>
                <w:bCs/>
                <w:sz w:val="18"/>
                <w:szCs w:val="18"/>
                <w:lang w:eastAsia="zh-CN"/>
              </w:rPr>
            </w:pPr>
          </w:p>
        </w:tc>
        <w:tc>
          <w:tcPr>
            <w:tcW w:w="817" w:type="dxa"/>
            <w:tcBorders>
              <w:top w:val="nil"/>
              <w:left w:val="nil"/>
              <w:bottom w:val="single" w:sz="4" w:space="0" w:color="auto"/>
              <w:right w:val="single" w:sz="4" w:space="0" w:color="auto"/>
            </w:tcBorders>
            <w:shd w:val="clear" w:color="auto" w:fill="FFFFFF"/>
            <w:vAlign w:val="center"/>
            <w:hideMark/>
          </w:tcPr>
          <w:p w:rsidR="003B7CB6" w:rsidRPr="003B7CB6" w:rsidP="003B7CB6">
            <w:pPr>
              <w:spacing w:before="40" w:after="40"/>
              <w:jc w:val="center"/>
              <w:rPr>
                <w:b/>
                <w:bCs/>
                <w:sz w:val="18"/>
                <w:szCs w:val="18"/>
                <w:lang w:eastAsia="zh-CN"/>
              </w:rPr>
            </w:pPr>
            <w:r w:rsidRPr="003B7CB6">
              <w:rPr>
                <w:b/>
                <w:bCs/>
                <w:sz w:val="18"/>
                <w:szCs w:val="18"/>
                <w:lang w:eastAsia="zh-CN"/>
              </w:rPr>
              <w:t>X</w:t>
            </w:r>
          </w:p>
        </w:tc>
        <w:tc>
          <w:tcPr>
            <w:tcW w:w="833" w:type="dxa"/>
            <w:tcBorders>
              <w:top w:val="nil"/>
              <w:left w:val="nil"/>
              <w:bottom w:val="single" w:sz="4" w:space="0" w:color="auto"/>
              <w:right w:val="double" w:sz="6"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1244" w:type="dxa"/>
            <w:tcBorders>
              <w:top w:val="nil"/>
              <w:left w:val="nil"/>
              <w:bottom w:val="single" w:sz="4" w:space="0" w:color="auto"/>
              <w:right w:val="double" w:sz="6" w:space="0" w:color="auto"/>
            </w:tcBorders>
            <w:hideMark/>
          </w:tcPr>
          <w:p w:rsidR="003B7CB6" w:rsidRPr="003B7CB6" w:rsidP="003B7CB6">
            <w:pPr>
              <w:spacing w:before="40" w:after="40"/>
              <w:rPr>
                <w:sz w:val="18"/>
                <w:szCs w:val="18"/>
                <w:lang w:eastAsia="zh-CN"/>
              </w:rPr>
            </w:pPr>
            <w:r w:rsidRPr="003B7CB6">
              <w:rPr>
                <w:sz w:val="18"/>
                <w:szCs w:val="18"/>
                <w:lang w:eastAsia="zh-CN"/>
              </w:rPr>
              <w:t>C.10.d.7</w:t>
            </w:r>
          </w:p>
        </w:tc>
        <w:tc>
          <w:tcPr>
            <w:tcW w:w="629" w:type="dxa"/>
            <w:tcBorders>
              <w:top w:val="nil"/>
              <w:left w:val="nil"/>
              <w:bottom w:val="single" w:sz="4" w:space="0" w:color="auto"/>
              <w:right w:val="single" w:sz="12" w:space="0" w:color="auto"/>
            </w:tcBorders>
            <w:shd w:val="clear" w:color="auto" w:fill="FFFFFF"/>
            <w:vAlign w:val="center"/>
          </w:tcPr>
          <w:p w:rsidR="003B7CB6" w:rsidRPr="003B7CB6" w:rsidP="003B7CB6">
            <w:pPr>
              <w:tabs>
                <w:tab w:val="left" w:pos="720"/>
              </w:tabs>
              <w:spacing w:before="40" w:after="40"/>
              <w:rPr>
                <w:b/>
                <w:bCs/>
                <w:sz w:val="18"/>
                <w:szCs w:val="18"/>
                <w:lang w:eastAsia="zh-CN"/>
              </w:rPr>
            </w:pPr>
          </w:p>
        </w:tc>
      </w:tr>
      <w:tr w:rsidTr="003B7CB6">
        <w:tblPrEx>
          <w:tblW w:w="18495" w:type="dxa"/>
          <w:jc w:val="center"/>
          <w:tblLayout w:type="fixed"/>
          <w:tblLook w:val="04A0"/>
        </w:tblPrEx>
        <w:trPr>
          <w:cantSplit/>
          <w:jc w:val="center"/>
        </w:trPr>
        <w:tc>
          <w:tcPr>
            <w:tcW w:w="1153" w:type="dxa"/>
            <w:tcBorders>
              <w:top w:val="single" w:sz="4" w:space="0" w:color="auto"/>
              <w:left w:val="single" w:sz="12" w:space="0" w:color="auto"/>
              <w:bottom w:val="single" w:sz="4" w:space="0" w:color="auto"/>
              <w:right w:val="double" w:sz="6" w:space="0" w:color="auto"/>
            </w:tcBorders>
            <w:noWrap/>
            <w:hideMark/>
          </w:tcPr>
          <w:p w:rsidR="003B7CB6" w:rsidRPr="003B7CB6" w:rsidP="003B7CB6">
            <w:pPr>
              <w:tabs>
                <w:tab w:val="left" w:pos="720"/>
              </w:tabs>
              <w:spacing w:before="40" w:after="40"/>
              <w:rPr>
                <w:sz w:val="18"/>
                <w:szCs w:val="18"/>
                <w:lang w:eastAsia="zh-CN"/>
              </w:rPr>
            </w:pPr>
            <w:r w:rsidRPr="003B7CB6">
              <w:rPr>
                <w:sz w:val="18"/>
                <w:szCs w:val="18"/>
                <w:lang w:eastAsia="zh-CN"/>
              </w:rPr>
              <w:t>...</w:t>
            </w:r>
          </w:p>
        </w:tc>
        <w:tc>
          <w:tcPr>
            <w:tcW w:w="7965" w:type="dxa"/>
            <w:tcBorders>
              <w:top w:val="single" w:sz="4" w:space="0" w:color="auto"/>
              <w:left w:val="nil"/>
              <w:bottom w:val="single" w:sz="4" w:space="0" w:color="auto"/>
              <w:right w:val="double" w:sz="4" w:space="0" w:color="auto"/>
            </w:tcBorders>
            <w:hideMark/>
          </w:tcPr>
          <w:p w:rsidR="003B7CB6" w:rsidRPr="003B7CB6" w:rsidP="003B7CB6">
            <w:pPr>
              <w:spacing w:before="40" w:after="40"/>
              <w:ind w:left="170"/>
              <w:rPr>
                <w:sz w:val="18"/>
                <w:szCs w:val="18"/>
                <w:lang w:eastAsia="zh-CN"/>
              </w:rPr>
            </w:pPr>
            <w:r w:rsidRPr="003B7CB6">
              <w:rPr>
                <w:sz w:val="18"/>
                <w:szCs w:val="18"/>
                <w:lang w:eastAsia="zh-CN"/>
              </w:rPr>
              <w:t>...</w:t>
            </w:r>
          </w:p>
        </w:tc>
        <w:tc>
          <w:tcPr>
            <w:tcW w:w="763" w:type="dxa"/>
            <w:tcBorders>
              <w:top w:val="single" w:sz="4" w:space="0" w:color="auto"/>
              <w:left w:val="double" w:sz="4" w:space="0" w:color="auto"/>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870" w:type="dxa"/>
            <w:tcBorders>
              <w:top w:val="single" w:sz="4" w:space="0" w:color="auto"/>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924" w:type="dxa"/>
            <w:tcBorders>
              <w:top w:val="single" w:sz="4" w:space="0" w:color="auto"/>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998" w:type="dxa"/>
            <w:tcBorders>
              <w:top w:val="single" w:sz="4" w:space="0" w:color="auto"/>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651" w:type="dxa"/>
            <w:tcBorders>
              <w:top w:val="single" w:sz="4" w:space="0" w:color="auto"/>
              <w:left w:val="nil"/>
              <w:bottom w:val="single" w:sz="4" w:space="0" w:color="auto"/>
              <w:right w:val="single" w:sz="4"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786" w:type="dxa"/>
            <w:tcBorders>
              <w:top w:val="single" w:sz="4" w:space="0" w:color="auto"/>
              <w:left w:val="nil"/>
              <w:bottom w:val="single" w:sz="4" w:space="0" w:color="auto"/>
              <w:right w:val="nil"/>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860" w:type="dxa"/>
            <w:tcBorders>
              <w:top w:val="single" w:sz="4" w:space="0" w:color="auto"/>
              <w:left w:val="single" w:sz="4" w:space="0" w:color="auto"/>
              <w:bottom w:val="single" w:sz="4" w:space="0" w:color="auto"/>
              <w:right w:val="single" w:sz="4" w:space="0" w:color="auto"/>
            </w:tcBorders>
            <w:vAlign w:val="center"/>
          </w:tcPr>
          <w:p w:rsidR="003B7CB6" w:rsidRPr="003B7CB6" w:rsidP="003B7CB6">
            <w:pPr>
              <w:tabs>
                <w:tab w:val="left" w:pos="720"/>
              </w:tabs>
              <w:spacing w:before="40" w:after="40"/>
              <w:jc w:val="center"/>
              <w:rPr>
                <w:b/>
                <w:bCs/>
                <w:sz w:val="18"/>
                <w:szCs w:val="18"/>
                <w:lang w:eastAsia="zh-CN"/>
              </w:rPr>
            </w:pPr>
          </w:p>
        </w:tc>
        <w:tc>
          <w:tcPr>
            <w:tcW w:w="817" w:type="dxa"/>
            <w:tcBorders>
              <w:top w:val="single" w:sz="4" w:space="0" w:color="auto"/>
              <w:left w:val="nil"/>
              <w:bottom w:val="single" w:sz="4" w:space="0" w:color="auto"/>
              <w:right w:val="single" w:sz="4" w:space="0" w:color="auto"/>
            </w:tcBorders>
            <w:vAlign w:val="center"/>
          </w:tcPr>
          <w:p w:rsidR="003B7CB6" w:rsidRPr="003B7CB6" w:rsidP="003B7CB6">
            <w:pPr>
              <w:tabs>
                <w:tab w:val="left" w:pos="720"/>
              </w:tabs>
              <w:spacing w:before="40" w:after="40"/>
              <w:jc w:val="center"/>
              <w:rPr>
                <w:b/>
                <w:bCs/>
                <w:sz w:val="18"/>
                <w:szCs w:val="18"/>
                <w:lang w:eastAsia="zh-CN"/>
              </w:rPr>
            </w:pPr>
          </w:p>
        </w:tc>
        <w:tc>
          <w:tcPr>
            <w:tcW w:w="833" w:type="dxa"/>
            <w:tcBorders>
              <w:top w:val="single" w:sz="4" w:space="0" w:color="auto"/>
              <w:left w:val="nil"/>
              <w:bottom w:val="single" w:sz="4" w:space="0" w:color="auto"/>
              <w:right w:val="double" w:sz="6" w:space="0" w:color="auto"/>
            </w:tcBorders>
            <w:shd w:val="clear" w:color="auto" w:fill="FFFFFF"/>
            <w:vAlign w:val="center"/>
          </w:tcPr>
          <w:p w:rsidR="003B7CB6" w:rsidRPr="003B7CB6" w:rsidP="003B7CB6">
            <w:pPr>
              <w:tabs>
                <w:tab w:val="left" w:pos="720"/>
              </w:tabs>
              <w:spacing w:before="40" w:after="40"/>
              <w:jc w:val="center"/>
              <w:rPr>
                <w:b/>
                <w:bCs/>
                <w:sz w:val="18"/>
                <w:szCs w:val="18"/>
                <w:lang w:eastAsia="zh-CN"/>
              </w:rPr>
            </w:pPr>
          </w:p>
        </w:tc>
        <w:tc>
          <w:tcPr>
            <w:tcW w:w="1244" w:type="dxa"/>
            <w:tcBorders>
              <w:top w:val="single" w:sz="4" w:space="0" w:color="auto"/>
              <w:left w:val="double" w:sz="6" w:space="0" w:color="auto"/>
              <w:bottom w:val="single" w:sz="4" w:space="0" w:color="auto"/>
              <w:right w:val="double" w:sz="6" w:space="0" w:color="auto"/>
            </w:tcBorders>
          </w:tcPr>
          <w:p w:rsidR="003B7CB6" w:rsidRPr="003B7CB6" w:rsidP="003B7CB6">
            <w:pPr>
              <w:tabs>
                <w:tab w:val="left" w:pos="720"/>
              </w:tabs>
              <w:spacing w:before="40" w:after="40"/>
              <w:rPr>
                <w:sz w:val="18"/>
                <w:szCs w:val="18"/>
                <w:lang w:eastAsia="zh-CN"/>
              </w:rPr>
            </w:pPr>
          </w:p>
        </w:tc>
        <w:tc>
          <w:tcPr>
            <w:tcW w:w="629" w:type="dxa"/>
            <w:tcBorders>
              <w:top w:val="single" w:sz="4" w:space="0" w:color="auto"/>
              <w:left w:val="double" w:sz="6" w:space="0" w:color="auto"/>
              <w:bottom w:val="single" w:sz="4" w:space="0" w:color="auto"/>
              <w:right w:val="single" w:sz="12" w:space="0" w:color="auto"/>
            </w:tcBorders>
            <w:vAlign w:val="center"/>
          </w:tcPr>
          <w:p w:rsidR="003B7CB6" w:rsidRPr="003B7CB6" w:rsidP="003B7CB6">
            <w:pPr>
              <w:tabs>
                <w:tab w:val="left" w:pos="720"/>
              </w:tabs>
              <w:spacing w:before="40" w:after="40"/>
              <w:jc w:val="center"/>
              <w:rPr>
                <w:b/>
                <w:bCs/>
                <w:sz w:val="18"/>
                <w:szCs w:val="18"/>
                <w:lang w:eastAsia="zh-CN"/>
              </w:rPr>
            </w:pPr>
          </w:p>
        </w:tc>
      </w:tr>
    </w:tbl>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sz w:val="24"/>
          <w:lang w:val="en-GB"/>
        </w:rPr>
        <w:t>Reasons:</w:t>
      </w:r>
      <w:r w:rsidRPr="003B7CB6">
        <w:rPr>
          <w:sz w:val="24"/>
          <w:lang w:val="en-GB"/>
        </w:rPr>
        <w:t xml:space="preserve">  Limitations for antenna diameter for the frequency band 51.4-52.4 GHz is proposed in footnote RR No. </w:t>
      </w:r>
      <w:r w:rsidRPr="003B7CB6">
        <w:rPr>
          <w:b/>
          <w:bCs/>
          <w:sz w:val="24"/>
          <w:lang w:val="en-GB"/>
        </w:rPr>
        <w:t>5.A919</w:t>
      </w:r>
      <w:r w:rsidRPr="003B7CB6">
        <w:rPr>
          <w:sz w:val="24"/>
          <w:lang w:val="en-GB"/>
        </w:rPr>
        <w:t>.</w:t>
      </w:r>
    </w:p>
    <w:p w:rsidR="003B7CB6" w:rsidRPr="003B7CB6" w:rsidP="003B7CB6">
      <w:pPr>
        <w:tabs>
          <w:tab w:val="left" w:pos="1588"/>
          <w:tab w:val="left" w:pos="1985"/>
        </w:tabs>
        <w:rPr>
          <w:sz w:val="24"/>
          <w:szCs w:val="24"/>
        </w:rPr>
      </w:pPr>
    </w:p>
    <w:p w:rsidR="003B7CB6" w:rsidRPr="003B7CB6" w:rsidP="003B7CB6">
      <w:pPr>
        <w:rPr>
          <w:sz w:val="24"/>
          <w:szCs w:val="24"/>
        </w:rPr>
        <w:sectPr>
          <w:pgSz w:w="23814" w:h="16840" w:orient="landscape"/>
          <w:pgMar w:top="1134" w:right="1418" w:bottom="1134" w:left="1418" w:header="567" w:footer="720" w:gutter="0"/>
          <w:cols w:space="720"/>
        </w:sectPr>
      </w:pPr>
    </w:p>
    <w:p w:rsidR="003B7CB6" w:rsidRPr="003B7CB6" w:rsidP="003B7CB6">
      <w:pPr>
        <w:rPr>
          <w:sz w:val="24"/>
          <w:szCs w:val="24"/>
          <w:lang w:val="fr-FR"/>
        </w:rPr>
      </w:pPr>
    </w:p>
    <w:p w:rsidR="003B7CB6" w:rsidRPr="003B7CB6" w:rsidP="003B7CB6">
      <w:pPr>
        <w:keepNext/>
        <w:keepLines/>
        <w:tabs>
          <w:tab w:val="left" w:pos="1134"/>
          <w:tab w:val="left" w:pos="1871"/>
          <w:tab w:val="left" w:pos="2268"/>
        </w:tabs>
        <w:overflowPunct w:val="0"/>
        <w:autoSpaceDE w:val="0"/>
        <w:autoSpaceDN w:val="0"/>
        <w:adjustRightInd w:val="0"/>
        <w:spacing w:before="720"/>
        <w:jc w:val="center"/>
        <w:textAlignment w:val="baseline"/>
        <w:rPr>
          <w:sz w:val="28"/>
          <w:lang w:val="fr-FR"/>
        </w:rPr>
      </w:pPr>
      <w:r w:rsidRPr="003B7CB6">
        <w:rPr>
          <w:sz w:val="28"/>
          <w:lang w:val="fr-FR"/>
        </w:rPr>
        <w:t>APPENDIX 7 (REV.WRC</w:t>
      </w:r>
      <w:r w:rsidRPr="003B7CB6">
        <w:rPr>
          <w:sz w:val="28"/>
          <w:lang w:val="fr-FR"/>
        </w:rPr>
        <w:noBreakHyphen/>
        <w:t>15)</w:t>
      </w:r>
      <w:bookmarkEnd w:id="20"/>
    </w:p>
    <w:p w:rsidR="003B7CB6" w:rsidRPr="003B7CB6" w:rsidP="003B7CB6">
      <w:pPr>
        <w:keepNext/>
        <w:keepLines/>
        <w:overflowPunct w:val="0"/>
        <w:autoSpaceDE w:val="0"/>
        <w:autoSpaceDN w:val="0"/>
        <w:adjustRightInd w:val="0"/>
        <w:spacing w:before="160" w:after="80"/>
        <w:jc w:val="center"/>
        <w:textAlignment w:val="baseline"/>
        <w:rPr>
          <w:b/>
          <w:noProof/>
          <w:sz w:val="28"/>
        </w:rPr>
      </w:pPr>
      <w:bookmarkStart w:id="27" w:name="_Toc328648898"/>
      <w:bookmarkStart w:id="28" w:name="_Toc454787413"/>
      <w:r w:rsidRPr="003B7CB6">
        <w:rPr>
          <w:b/>
          <w:noProof/>
          <w:sz w:val="28"/>
        </w:rPr>
        <w:t>Methods for the determination of the coordination area around an earth</w:t>
      </w:r>
      <w:r w:rsidRPr="003B7CB6">
        <w:rPr>
          <w:b/>
          <w:noProof/>
          <w:sz w:val="28"/>
        </w:rPr>
        <w:br/>
        <w:t>station in frequency bands between 100 MHz and 105 GHz</w:t>
      </w:r>
      <w:bookmarkEnd w:id="27"/>
      <w:bookmarkEnd w:id="28"/>
    </w:p>
    <w:p w:rsidR="003B7CB6" w:rsidRPr="003B7CB6" w:rsidP="003B7CB6">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Calibri"/>
          <w:caps/>
          <w:sz w:val="28"/>
          <w:lang w:val="en-GB" w:eastAsia="ko-KR"/>
        </w:rPr>
      </w:pPr>
      <w:r w:rsidRPr="003B7CB6">
        <w:rPr>
          <w:rFonts w:eastAsia="Calibri"/>
          <w:caps/>
          <w:sz w:val="28"/>
          <w:lang w:val="en-GB" w:eastAsia="ko-KR"/>
        </w:rPr>
        <w:t>ANNEX 7</w:t>
      </w:r>
    </w:p>
    <w:p w:rsidR="003B7CB6" w:rsidRPr="003B7CB6" w:rsidP="003B7CB6">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bookmarkStart w:id="29" w:name="_Toc328648912"/>
      <w:bookmarkStart w:id="30" w:name="_Toc454787427"/>
      <w:r w:rsidRPr="003B7CB6">
        <w:rPr>
          <w:rFonts w:ascii="Times New Roman Bold" w:eastAsia="Calibri" w:hAnsi="Times New Roman Bold"/>
          <w:b/>
          <w:sz w:val="28"/>
          <w:lang w:val="en-GB"/>
        </w:rPr>
        <w:t>System parameters and predetermined coordination distances for determination of the coordination area around an earth station</w:t>
      </w:r>
      <w:bookmarkEnd w:id="29"/>
      <w:bookmarkEnd w:id="30"/>
    </w:p>
    <w:p w:rsidR="003B7CB6" w:rsidRPr="003B7CB6" w:rsidP="003B7CB6">
      <w:pPr>
        <w:rPr>
          <w:sz w:val="24"/>
          <w:szCs w:val="24"/>
          <w:lang w:eastAsia="zh-CN"/>
        </w:rPr>
      </w:pPr>
    </w:p>
    <w:p w:rsidR="003B7CB6" w:rsidRPr="003B7CB6" w:rsidP="003B7CB6">
      <w:pPr>
        <w:rPr>
          <w:sz w:val="24"/>
          <w:szCs w:val="24"/>
          <w:lang w:eastAsia="zh-CN"/>
        </w:rPr>
        <w:sectPr w:rsidSect="003B7CB6">
          <w:headerReference w:type="default" r:id="rId12"/>
          <w:pgSz w:w="11907" w:h="16834"/>
          <w:pgMar w:top="1418" w:right="1134" w:bottom="1418" w:left="1134" w:header="720" w:footer="720" w:gutter="0"/>
          <w:paperSrc w:first="15" w:other="15"/>
          <w:cols w:space="720"/>
          <w:titlePg/>
        </w:sectPr>
      </w:pP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sz w:val="24"/>
          <w:lang w:val="en-GB"/>
        </w:rPr>
      </w:pPr>
      <w:r w:rsidRPr="003B7CB6">
        <w:rPr>
          <w:sz w:val="24"/>
          <w:lang w:val="en-GB"/>
        </w:rPr>
        <w:t>MOD</w:t>
      </w:r>
      <w:r w:rsidRPr="003B7CB6">
        <w:rPr>
          <w:sz w:val="24"/>
          <w:lang w:val="en-GB"/>
        </w:rPr>
        <w:tab/>
        <w:t>USA/9.1.9/6</w:t>
      </w:r>
    </w:p>
    <w:p w:rsidR="003B7CB6" w:rsidRPr="003B7CB6" w:rsidP="003B7CB6">
      <w:pPr>
        <w:keepNext/>
        <w:tabs>
          <w:tab w:val="left" w:pos="1134"/>
          <w:tab w:val="left" w:pos="1871"/>
          <w:tab w:val="left" w:pos="2268"/>
        </w:tabs>
        <w:overflowPunct w:val="0"/>
        <w:autoSpaceDE w:val="0"/>
        <w:autoSpaceDN w:val="0"/>
        <w:adjustRightInd w:val="0"/>
        <w:spacing w:before="560" w:after="120"/>
        <w:jc w:val="center"/>
        <w:textAlignment w:val="baseline"/>
        <w:rPr>
          <w:caps/>
          <w:sz w:val="20"/>
          <w:lang w:val="en-GB" w:eastAsia="x-none"/>
        </w:rPr>
      </w:pPr>
      <w:r w:rsidRPr="003B7CB6">
        <w:rPr>
          <w:caps/>
          <w:sz w:val="20"/>
          <w:lang w:val="en-GB" w:eastAsia="x-none"/>
        </w:rPr>
        <w:t>TABLE 7</w:t>
      </w:r>
      <w:r w:rsidRPr="003B7CB6">
        <w:rPr>
          <w:sz w:val="20"/>
          <w:lang w:val="en-GB" w:eastAsia="x-none"/>
        </w:rPr>
        <w:t>c</w:t>
      </w:r>
      <w:r w:rsidRPr="003B7CB6">
        <w:rPr>
          <w:caps/>
          <w:sz w:val="16"/>
          <w:szCs w:val="16"/>
          <w:lang w:val="en-GB" w:eastAsia="x-none"/>
        </w:rPr>
        <w:t>    (</w:t>
      </w:r>
      <w:r w:rsidRPr="003B7CB6">
        <w:rPr>
          <w:sz w:val="16"/>
          <w:szCs w:val="16"/>
          <w:lang w:val="en-GB" w:eastAsia="x-none"/>
        </w:rPr>
        <w:t>Rev</w:t>
      </w:r>
      <w:r w:rsidRPr="003B7CB6">
        <w:rPr>
          <w:caps/>
          <w:sz w:val="16"/>
          <w:szCs w:val="16"/>
          <w:lang w:val="en-GB" w:eastAsia="x-none"/>
        </w:rPr>
        <w:t>.WRC</w:t>
      </w:r>
      <w:r w:rsidRPr="003B7CB6">
        <w:rPr>
          <w:caps/>
          <w:sz w:val="16"/>
          <w:szCs w:val="16"/>
          <w:lang w:val="en-GB" w:eastAsia="x-none"/>
        </w:rPr>
        <w:noBreakHyphen/>
        <w:t>1</w:t>
      </w:r>
      <w:r w:rsidRPr="003B7CB6">
        <w:rPr>
          <w:caps/>
          <w:sz w:val="16"/>
          <w:szCs w:val="16"/>
          <w:lang w:val="en-GB" w:eastAsia="x-none"/>
        </w:rPr>
        <w:t>9</w:t>
      </w:r>
      <w:r w:rsidRPr="003B7CB6">
        <w:rPr>
          <w:caps/>
          <w:sz w:val="16"/>
          <w:szCs w:val="16"/>
          <w:lang w:val="en-GB" w:eastAsia="x-none"/>
        </w:rPr>
        <w:t>)</w:t>
      </w:r>
    </w:p>
    <w:p w:rsidR="003B7CB6" w:rsidRPr="003B7CB6" w:rsidP="003B7CB6">
      <w:pPr>
        <w:keepNext/>
        <w:overflowPunct w:val="0"/>
        <w:autoSpaceDE w:val="0"/>
        <w:autoSpaceDN w:val="0"/>
        <w:adjustRightInd w:val="0"/>
        <w:spacing w:after="120"/>
        <w:jc w:val="center"/>
        <w:textAlignment w:val="baseline"/>
        <w:rPr>
          <w:b/>
          <w:sz w:val="24"/>
          <w:szCs w:val="24"/>
          <w:lang w:val="fr-FR"/>
        </w:rPr>
      </w:pPr>
      <w:r w:rsidRPr="003B7CB6">
        <w:rPr>
          <w:b/>
          <w:sz w:val="24"/>
          <w:szCs w:val="24"/>
          <w:lang w:val="fr-FR"/>
        </w:rPr>
        <w:t>Parameters required for the determination of coordination distance for a transmitting earth station</w:t>
      </w:r>
    </w:p>
    <w:tbl>
      <w:tblPr>
        <w:tblW w:w="12182" w:type="dxa"/>
        <w:jc w:val="center"/>
        <w:tblLayout w:type="fixed"/>
        <w:tblCellMar>
          <w:left w:w="0" w:type="dxa"/>
          <w:right w:w="0" w:type="dxa"/>
        </w:tblCellMar>
        <w:tblLook w:val="0000"/>
      </w:tblPr>
      <w:tblGrid>
        <w:gridCol w:w="1344"/>
        <w:gridCol w:w="1371"/>
        <w:gridCol w:w="1052"/>
        <w:gridCol w:w="947"/>
        <w:gridCol w:w="1052"/>
        <w:gridCol w:w="878"/>
        <w:gridCol w:w="1425"/>
        <w:gridCol w:w="1813"/>
        <w:gridCol w:w="1167"/>
        <w:gridCol w:w="1081"/>
        <w:gridCol w:w="52"/>
      </w:tblGrid>
      <w:tr w:rsidTr="003B7CB6">
        <w:tblPrEx>
          <w:tblW w:w="12182" w:type="dxa"/>
          <w:jc w:val="center"/>
          <w:tblLayout w:type="fixed"/>
          <w:tblCellMar>
            <w:left w:w="0" w:type="dxa"/>
            <w:right w:w="0" w:type="dxa"/>
          </w:tblCellMar>
          <w:tblLook w:val="0000"/>
        </w:tblPrEx>
        <w:trPr>
          <w:cantSplit/>
          <w:jc w:val="center"/>
        </w:trPr>
        <w:tc>
          <w:tcPr>
            <w:tcW w:w="2715" w:type="dxa"/>
            <w:gridSpan w:val="2"/>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rPr>
            </w:pPr>
            <w:r w:rsidRPr="003B7CB6">
              <w:rPr>
                <w:b/>
                <w:sz w:val="14"/>
                <w:szCs w:val="14"/>
              </w:rPr>
              <w:t>Transmitting space</w:t>
            </w:r>
            <w:r w:rsidRPr="003B7CB6">
              <w:rPr>
                <w:b/>
                <w:sz w:val="14"/>
                <w:szCs w:val="14"/>
              </w:rPr>
              <w:br/>
              <w:t>radiocommunication service designation</w:t>
            </w:r>
          </w:p>
        </w:tc>
        <w:tc>
          <w:tcPr>
            <w:tcW w:w="1052"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FR"/>
              </w:rPr>
            </w:pPr>
            <w:r w:rsidRPr="003B7CB6">
              <w:rPr>
                <w:b/>
                <w:sz w:val="14"/>
                <w:szCs w:val="14"/>
                <w:lang w:val="fr-FR"/>
              </w:rPr>
              <w:t>Fixed-</w:t>
            </w:r>
            <w:r w:rsidRPr="003B7CB6">
              <w:rPr>
                <w:b/>
                <w:sz w:val="14"/>
                <w:szCs w:val="14"/>
                <w:lang w:val="fr-FR"/>
              </w:rPr>
              <w:br/>
              <w:t>satellite</w:t>
            </w:r>
          </w:p>
        </w:tc>
        <w:tc>
          <w:tcPr>
            <w:tcW w:w="947"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FR"/>
              </w:rPr>
            </w:pPr>
            <w:r w:rsidRPr="003B7CB6">
              <w:rPr>
                <w:b/>
                <w:sz w:val="14"/>
                <w:szCs w:val="14"/>
                <w:lang w:val="fr-FR"/>
              </w:rPr>
              <w:t>Fixed-</w:t>
            </w:r>
            <w:r w:rsidRPr="003B7CB6">
              <w:rPr>
                <w:b/>
                <w:sz w:val="14"/>
                <w:szCs w:val="14"/>
                <w:lang w:val="fr-FR"/>
              </w:rPr>
              <w:br/>
              <w:t xml:space="preserve">satellite  </w:t>
            </w:r>
            <w:r w:rsidRPr="003B7CB6">
              <w:rPr>
                <w:bCs/>
                <w:position w:val="4"/>
                <w:sz w:val="12"/>
                <w:szCs w:val="12"/>
                <w:lang w:val="fr-FR"/>
              </w:rPr>
              <w:t>2</w:t>
            </w:r>
          </w:p>
        </w:tc>
        <w:tc>
          <w:tcPr>
            <w:tcW w:w="1052"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FR"/>
              </w:rPr>
            </w:pPr>
            <w:r w:rsidRPr="003B7CB6">
              <w:rPr>
                <w:b/>
                <w:sz w:val="14"/>
                <w:szCs w:val="14"/>
                <w:lang w:val="fr-FR"/>
              </w:rPr>
              <w:t>Fixed-</w:t>
            </w:r>
            <w:r w:rsidRPr="003B7CB6">
              <w:rPr>
                <w:b/>
                <w:sz w:val="14"/>
                <w:szCs w:val="14"/>
                <w:lang w:val="fr-FR"/>
              </w:rPr>
              <w:br/>
              <w:t xml:space="preserve">satellite  </w:t>
            </w:r>
            <w:r w:rsidRPr="003B7CB6">
              <w:rPr>
                <w:bCs/>
                <w:position w:val="4"/>
                <w:sz w:val="12"/>
                <w:szCs w:val="12"/>
                <w:lang w:val="fr-FR"/>
              </w:rPr>
              <w:t>3</w:t>
            </w:r>
          </w:p>
        </w:tc>
        <w:tc>
          <w:tcPr>
            <w:tcW w:w="878"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FR"/>
              </w:rPr>
            </w:pPr>
            <w:r w:rsidRPr="003B7CB6">
              <w:rPr>
                <w:b/>
                <w:sz w:val="14"/>
                <w:szCs w:val="14"/>
                <w:lang w:val="fr-FR"/>
              </w:rPr>
              <w:t>Space</w:t>
            </w:r>
            <w:r w:rsidRPr="003B7CB6">
              <w:rPr>
                <w:b/>
                <w:sz w:val="14"/>
                <w:szCs w:val="14"/>
                <w:lang w:val="fr-FR"/>
              </w:rPr>
              <w:br/>
              <w:t>research</w:t>
            </w:r>
          </w:p>
        </w:tc>
        <w:tc>
          <w:tcPr>
            <w:tcW w:w="1425"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rPr>
            </w:pPr>
            <w:r w:rsidRPr="003B7CB6">
              <w:rPr>
                <w:b/>
                <w:sz w:val="14"/>
                <w:szCs w:val="14"/>
              </w:rPr>
              <w:t xml:space="preserve">Earth </w:t>
            </w:r>
            <w:r w:rsidRPr="003B7CB6">
              <w:rPr>
                <w:b/>
                <w:sz w:val="14"/>
                <w:szCs w:val="14"/>
              </w:rPr>
              <w:br/>
              <w:t>exploration-satellite,</w:t>
            </w:r>
            <w:r w:rsidRPr="003B7CB6">
              <w:rPr>
                <w:b/>
                <w:sz w:val="14"/>
                <w:szCs w:val="14"/>
              </w:rPr>
              <w:br/>
              <w:t>space research</w:t>
            </w:r>
          </w:p>
        </w:tc>
        <w:tc>
          <w:tcPr>
            <w:tcW w:w="1813"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CH"/>
              </w:rPr>
            </w:pPr>
            <w:r w:rsidRPr="003B7CB6">
              <w:rPr>
                <w:b/>
                <w:sz w:val="14"/>
                <w:szCs w:val="14"/>
                <w:lang w:val="fr-CH"/>
              </w:rPr>
              <w:t>Fixed-satellite,</w:t>
            </w:r>
            <w:r w:rsidRPr="003B7CB6">
              <w:rPr>
                <w:b/>
                <w:sz w:val="14"/>
                <w:szCs w:val="14"/>
                <w:lang w:val="fr-CH"/>
              </w:rPr>
              <w:br/>
              <w:t>mobile-satellite,</w:t>
            </w:r>
            <w:r w:rsidRPr="003B7CB6">
              <w:rPr>
                <w:b/>
                <w:sz w:val="14"/>
                <w:szCs w:val="14"/>
                <w:lang w:val="fr-CH"/>
              </w:rPr>
              <w:br/>
              <w:t>radionavigation-satellite</w:t>
            </w:r>
          </w:p>
        </w:tc>
        <w:tc>
          <w:tcPr>
            <w:tcW w:w="1167" w:type="dxa"/>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FR"/>
              </w:rPr>
            </w:pPr>
            <w:r w:rsidRPr="003B7CB6">
              <w:rPr>
                <w:b/>
                <w:sz w:val="14"/>
                <w:szCs w:val="14"/>
                <w:lang w:val="fr-FR"/>
              </w:rPr>
              <w:t>Fixed-satellite</w:t>
            </w:r>
          </w:p>
        </w:tc>
        <w:tc>
          <w:tcPr>
            <w:tcW w:w="1133" w:type="dxa"/>
            <w:gridSpan w:val="2"/>
            <w:tcBorders>
              <w:top w:val="single" w:sz="4" w:space="0" w:color="auto"/>
              <w:left w:val="single" w:sz="6" w:space="0" w:color="auto"/>
              <w:bottom w:val="single" w:sz="4" w:space="0" w:color="auto"/>
              <w:right w:val="single" w:sz="6" w:space="0" w:color="auto"/>
            </w:tcBorders>
          </w:tcPr>
          <w:p w:rsidR="003B7CB6" w:rsidRPr="003B7CB6" w:rsidP="003B7CB6">
            <w:pPr>
              <w:overflowPunct w:val="0"/>
              <w:autoSpaceDE w:val="0"/>
              <w:autoSpaceDN w:val="0"/>
              <w:adjustRightInd w:val="0"/>
              <w:spacing w:before="80" w:after="80"/>
              <w:jc w:val="center"/>
              <w:textAlignment w:val="baseline"/>
              <w:rPr>
                <w:b/>
                <w:sz w:val="14"/>
                <w:szCs w:val="14"/>
                <w:lang w:val="fr-FR"/>
              </w:rPr>
            </w:pPr>
            <w:r w:rsidRPr="003B7CB6">
              <w:rPr>
                <w:b/>
                <w:sz w:val="14"/>
                <w:szCs w:val="14"/>
                <w:lang w:val="fr-FR"/>
              </w:rPr>
              <w:t>Fixed-</w:t>
            </w:r>
            <w:r w:rsidRPr="003B7CB6">
              <w:rPr>
                <w:b/>
                <w:sz w:val="14"/>
                <w:szCs w:val="14"/>
                <w:lang w:val="fr-FR"/>
              </w:rPr>
              <w:br/>
              <w:t xml:space="preserve">satellite  </w:t>
            </w:r>
            <w:r w:rsidRPr="003B7CB6">
              <w:rPr>
                <w:bCs/>
                <w:position w:val="4"/>
                <w:sz w:val="12"/>
                <w:szCs w:val="12"/>
                <w:lang w:val="fr-FR"/>
              </w:rPr>
              <w:t>2</w:t>
            </w:r>
          </w:p>
        </w:tc>
      </w:tr>
      <w:tr w:rsidTr="003B7CB6">
        <w:tblPrEx>
          <w:tblW w:w="12182" w:type="dxa"/>
          <w:jc w:val="center"/>
          <w:tblLayout w:type="fixed"/>
          <w:tblCellMar>
            <w:left w:w="0" w:type="dxa"/>
            <w:right w:w="0" w:type="dxa"/>
          </w:tblCellMar>
          <w:tblLook w:val="0000"/>
        </w:tblPrEx>
        <w:trPr>
          <w:cantSplit/>
          <w:jc w:val="center"/>
        </w:trPr>
        <w:tc>
          <w:tcPr>
            <w:tcW w:w="2715" w:type="dxa"/>
            <w:gridSpan w:val="2"/>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Frequency bands (GHz)</w:t>
            </w:r>
          </w:p>
        </w:tc>
        <w:tc>
          <w:tcPr>
            <w:tcW w:w="1052"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24.65-25.25</w:t>
            </w:r>
            <w:r w:rsidRPr="003B7CB6">
              <w:rPr>
                <w:sz w:val="14"/>
                <w:szCs w:val="14"/>
                <w:lang w:val="es-ES_tradnl" w:eastAsia="x-none"/>
              </w:rPr>
              <w:br/>
              <w:t>27.0-29.5</w:t>
            </w:r>
          </w:p>
        </w:tc>
        <w:tc>
          <w:tcPr>
            <w:tcW w:w="947"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28.6-29.1</w:t>
            </w:r>
          </w:p>
        </w:tc>
        <w:tc>
          <w:tcPr>
            <w:tcW w:w="1052"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29.1-29.5</w:t>
            </w:r>
          </w:p>
        </w:tc>
        <w:tc>
          <w:tcPr>
            <w:tcW w:w="878"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34.2-34.7</w:t>
            </w:r>
          </w:p>
        </w:tc>
        <w:tc>
          <w:tcPr>
            <w:tcW w:w="1425"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40.0-40.5</w:t>
            </w:r>
          </w:p>
        </w:tc>
        <w:tc>
          <w:tcPr>
            <w:tcW w:w="1813"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42.5-47</w:t>
            </w:r>
            <w:r w:rsidRPr="003B7CB6">
              <w:rPr>
                <w:sz w:val="14"/>
                <w:szCs w:val="14"/>
                <w:lang w:val="es-ES_tradnl" w:eastAsia="x-none"/>
              </w:rPr>
              <w:br/>
              <w:t>47.2-50.2</w:t>
            </w:r>
            <w:r w:rsidRPr="003B7CB6">
              <w:rPr>
                <w:sz w:val="14"/>
                <w:szCs w:val="14"/>
                <w:lang w:val="es-ES_tradnl" w:eastAsia="x-none"/>
              </w:rPr>
              <w:br/>
              <w:t>50.4-51.4</w:t>
            </w:r>
          </w:p>
        </w:tc>
        <w:tc>
          <w:tcPr>
            <w:tcW w:w="1167"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51.4-52.4</w:t>
            </w:r>
          </w:p>
        </w:tc>
        <w:tc>
          <w:tcPr>
            <w:tcW w:w="1133" w:type="dxa"/>
            <w:gridSpan w:val="2"/>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47.2-50.2</w:t>
            </w:r>
          </w:p>
        </w:tc>
      </w:tr>
      <w:tr w:rsidTr="003B7CB6">
        <w:tblPrEx>
          <w:tblW w:w="12182" w:type="dxa"/>
          <w:jc w:val="center"/>
          <w:tblLayout w:type="fixed"/>
          <w:tblCellMar>
            <w:left w:w="0" w:type="dxa"/>
            <w:right w:w="0" w:type="dxa"/>
          </w:tblCellMar>
          <w:tblLook w:val="0000"/>
        </w:tblPrEx>
        <w:trPr>
          <w:cantSplit/>
          <w:jc w:val="center"/>
        </w:trPr>
        <w:tc>
          <w:tcPr>
            <w:tcW w:w="2715" w:type="dxa"/>
            <w:gridSpan w:val="2"/>
            <w:tcBorders>
              <w:top w:val="single" w:sz="4"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 xml:space="preserve">Receiving terrestrial </w:t>
            </w:r>
            <w:r w:rsidRPr="003B7CB6">
              <w:rPr>
                <w:sz w:val="14"/>
                <w:szCs w:val="14"/>
                <w:lang w:val="en-GB" w:eastAsia="x-none"/>
              </w:rPr>
              <w:br/>
              <w:t>service designations</w:t>
            </w:r>
          </w:p>
        </w:tc>
        <w:tc>
          <w:tcPr>
            <w:tcW w:w="1052"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 mobile</w:t>
            </w:r>
          </w:p>
        </w:tc>
        <w:tc>
          <w:tcPr>
            <w:tcW w:w="947"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 mobile</w:t>
            </w:r>
          </w:p>
        </w:tc>
        <w:tc>
          <w:tcPr>
            <w:tcW w:w="1052"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 mobile</w:t>
            </w:r>
          </w:p>
        </w:tc>
        <w:tc>
          <w:tcPr>
            <w:tcW w:w="878"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 mobile, radiolocation</w:t>
            </w:r>
          </w:p>
        </w:tc>
        <w:tc>
          <w:tcPr>
            <w:tcW w:w="1425"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 mobile</w:t>
            </w:r>
          </w:p>
        </w:tc>
        <w:tc>
          <w:tcPr>
            <w:tcW w:w="1813"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 mobile,</w:t>
            </w:r>
            <w:r w:rsidRPr="003B7CB6">
              <w:rPr>
                <w:sz w:val="14"/>
                <w:szCs w:val="14"/>
                <w:lang w:val="en-GB" w:eastAsia="x-none"/>
              </w:rPr>
              <w:br/>
              <w:t>radionavigation</w:t>
            </w:r>
          </w:p>
        </w:tc>
        <w:tc>
          <w:tcPr>
            <w:tcW w:w="1167"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w:t>
            </w:r>
            <w:r w:rsidRPr="003B7CB6">
              <w:rPr>
                <w:sz w:val="14"/>
                <w:szCs w:val="14"/>
                <w:lang w:val="en-GB" w:eastAsia="x-none"/>
              </w:rPr>
              <w:br/>
              <w:t>mobile</w:t>
            </w:r>
          </w:p>
        </w:tc>
        <w:tc>
          <w:tcPr>
            <w:tcW w:w="1133" w:type="dxa"/>
            <w:gridSpan w:val="2"/>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n-GB" w:eastAsia="x-none"/>
              </w:rPr>
            </w:pPr>
            <w:r w:rsidRPr="003B7CB6">
              <w:rPr>
                <w:sz w:val="14"/>
                <w:szCs w:val="14"/>
                <w:lang w:val="en-GB" w:eastAsia="x-none"/>
              </w:rPr>
              <w:t>Fixed,</w:t>
            </w:r>
            <w:r w:rsidRPr="003B7CB6">
              <w:rPr>
                <w:sz w:val="14"/>
                <w:szCs w:val="14"/>
                <w:lang w:val="en-GB" w:eastAsia="x-none"/>
              </w:rPr>
              <w:br/>
              <w:t>mobile</w:t>
            </w:r>
          </w:p>
        </w:tc>
      </w:tr>
      <w:tr w:rsidTr="003B7CB6">
        <w:tblPrEx>
          <w:tblW w:w="12182" w:type="dxa"/>
          <w:jc w:val="center"/>
          <w:tblLayout w:type="fixed"/>
          <w:tblCellMar>
            <w:left w:w="0" w:type="dxa"/>
            <w:right w:w="0" w:type="dxa"/>
          </w:tblCellMar>
          <w:tblLook w:val="0000"/>
        </w:tblPrEx>
        <w:trPr>
          <w:cantSplit/>
          <w:jc w:val="center"/>
        </w:trPr>
        <w:tc>
          <w:tcPr>
            <w:tcW w:w="2715" w:type="dxa"/>
            <w:gridSpan w:val="2"/>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Method to be used</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2.1</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2.2</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2.2</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2.1, § 2.2</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2.1, § 2.2</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2.1</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 2.2</w:t>
            </w:r>
          </w:p>
        </w:tc>
      </w:tr>
      <w:tr w:rsidTr="003B7CB6">
        <w:tblPrEx>
          <w:tblW w:w="12182" w:type="dxa"/>
          <w:jc w:val="center"/>
          <w:tblLayout w:type="fixed"/>
          <w:tblCellMar>
            <w:left w:w="0" w:type="dxa"/>
            <w:right w:w="0" w:type="dxa"/>
          </w:tblCellMar>
          <w:tblLook w:val="0000"/>
        </w:tblPrEx>
        <w:trPr>
          <w:cantSplit/>
          <w:jc w:val="center"/>
        </w:trPr>
        <w:tc>
          <w:tcPr>
            <w:tcW w:w="2715" w:type="dxa"/>
            <w:gridSpan w:val="2"/>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 xml:space="preserve">Modulation at terrestrial station  </w:t>
            </w:r>
            <w:r w:rsidRPr="003B7CB6">
              <w:rPr>
                <w:position w:val="4"/>
                <w:sz w:val="12"/>
                <w:szCs w:val="12"/>
                <w:lang w:val="en-GB" w:eastAsia="x-none"/>
              </w:rPr>
              <w:t>1</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N</w:t>
            </w:r>
          </w:p>
        </w:tc>
      </w:tr>
      <w:tr w:rsidTr="003B7CB6">
        <w:tblPrEx>
          <w:tblW w:w="12182" w:type="dxa"/>
          <w:jc w:val="center"/>
          <w:tblLayout w:type="fixed"/>
          <w:tblCellMar>
            <w:left w:w="0" w:type="dxa"/>
            <w:right w:w="0" w:type="dxa"/>
          </w:tblCellMar>
          <w:tblLook w:val="0000"/>
        </w:tblPrEx>
        <w:trPr>
          <w:cantSplit/>
          <w:jc w:val="center"/>
        </w:trPr>
        <w:tc>
          <w:tcPr>
            <w:tcW w:w="1344" w:type="dxa"/>
            <w:vMerge w:val="restart"/>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eastAsia="x-none"/>
              </w:rPr>
            </w:pPr>
            <w:r w:rsidRPr="003B7CB6">
              <w:rPr>
                <w:sz w:val="14"/>
                <w:szCs w:val="14"/>
                <w:lang w:eastAsia="x-none"/>
              </w:rPr>
              <w:t>Terrestrial station interference parameters and criteria</w:t>
            </w: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p</w:t>
            </w:r>
            <w:r w:rsidRPr="003B7CB6">
              <w:rPr>
                <w:position w:val="-4"/>
                <w:sz w:val="12"/>
                <w:szCs w:val="12"/>
                <w:lang w:val="es-ES_tradnl" w:eastAsia="x-none"/>
              </w:rPr>
              <w:t>0</w:t>
            </w:r>
            <w:r w:rsidRPr="003B7CB6">
              <w:rPr>
                <w:sz w:val="14"/>
                <w:szCs w:val="14"/>
                <w:lang w:val="en-GB" w:eastAsia="x-none"/>
              </w:rPr>
              <w:t xml:space="preserve"> </w:t>
            </w:r>
            <w:r w:rsidRPr="003B7CB6">
              <w:rPr>
                <w:sz w:val="14"/>
                <w:szCs w:val="14"/>
                <w:lang w:val="es-ES_tradnl" w:eastAsia="x-none"/>
              </w:rPr>
              <w:t>(%)</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0.001</w:t>
            </w:r>
          </w:p>
        </w:tc>
      </w:tr>
      <w:tr w:rsidTr="003B7CB6">
        <w:tblPrEx>
          <w:tblW w:w="12182" w:type="dxa"/>
          <w:jc w:val="center"/>
          <w:tblLayout w:type="fixed"/>
          <w:tblCellMar>
            <w:left w:w="0" w:type="dxa"/>
            <w:right w:w="0" w:type="dxa"/>
          </w:tblCellMar>
          <w:tblLook w:val="0000"/>
        </w:tblPrEx>
        <w:trPr>
          <w:cantSplit/>
          <w:jc w:val="center"/>
        </w:trPr>
        <w:tc>
          <w:tcPr>
            <w:tcW w:w="1344" w:type="dxa"/>
            <w:vMerge/>
            <w:tcBorders>
              <w:top w:val="nil"/>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s-ES_tradnl" w:eastAsia="x-none"/>
              </w:rPr>
            </w:pP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s-ES_tradnl" w:eastAsia="x-none"/>
              </w:rPr>
            </w:pPr>
            <w:r w:rsidRPr="003B7CB6">
              <w:rPr>
                <w:i/>
                <w:iCs/>
                <w:sz w:val="14"/>
                <w:szCs w:val="14"/>
                <w:lang w:val="es-ES_tradnl" w:eastAsia="x-none"/>
              </w:rPr>
              <w:t>n</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w:t>
            </w:r>
          </w:p>
        </w:tc>
      </w:tr>
      <w:tr w:rsidTr="003B7CB6">
        <w:tblPrEx>
          <w:tblW w:w="12182" w:type="dxa"/>
          <w:jc w:val="center"/>
          <w:tblLayout w:type="fixed"/>
          <w:tblCellMar>
            <w:left w:w="0" w:type="dxa"/>
            <w:right w:w="0" w:type="dxa"/>
          </w:tblCellMar>
          <w:tblLook w:val="0000"/>
        </w:tblPrEx>
        <w:trPr>
          <w:cantSplit/>
          <w:jc w:val="center"/>
        </w:trPr>
        <w:tc>
          <w:tcPr>
            <w:tcW w:w="1344" w:type="dxa"/>
            <w:vMerge/>
            <w:tcBorders>
              <w:top w:val="nil"/>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s-ES_tradnl" w:eastAsia="x-none"/>
              </w:rPr>
            </w:pP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p</w:t>
            </w:r>
            <w:r w:rsidRPr="003B7CB6">
              <w:rPr>
                <w:sz w:val="14"/>
                <w:szCs w:val="14"/>
                <w:lang w:val="en-GB" w:eastAsia="x-none"/>
              </w:rPr>
              <w:t xml:space="preserve"> </w:t>
            </w:r>
            <w:r w:rsidRPr="003B7CB6">
              <w:rPr>
                <w:sz w:val="14"/>
                <w:szCs w:val="14"/>
                <w:lang w:val="es-ES_tradnl" w:eastAsia="x-none"/>
              </w:rPr>
              <w:t>(%)</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0.0025</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0.005</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0.001</w:t>
            </w:r>
          </w:p>
        </w:tc>
      </w:tr>
      <w:tr w:rsidTr="003B7CB6">
        <w:tblPrEx>
          <w:tblW w:w="12182" w:type="dxa"/>
          <w:jc w:val="center"/>
          <w:tblLayout w:type="fixed"/>
          <w:tblCellMar>
            <w:left w:w="0" w:type="dxa"/>
            <w:right w:w="0" w:type="dxa"/>
          </w:tblCellMar>
          <w:tblLook w:val="0000"/>
        </w:tblPrEx>
        <w:trPr>
          <w:cantSplit/>
          <w:jc w:val="center"/>
        </w:trPr>
        <w:tc>
          <w:tcPr>
            <w:tcW w:w="1344" w:type="dxa"/>
            <w:vMerge/>
            <w:tcBorders>
              <w:top w:val="nil"/>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s-ES_tradnl" w:eastAsia="x-none"/>
              </w:rPr>
            </w:pP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N</w:t>
            </w:r>
            <w:r w:rsidRPr="003B7CB6">
              <w:rPr>
                <w:i/>
                <w:iCs/>
                <w:position w:val="-4"/>
                <w:sz w:val="12"/>
                <w:szCs w:val="12"/>
                <w:lang w:val="en-GB" w:eastAsia="x-none"/>
              </w:rPr>
              <w:t>L</w:t>
            </w:r>
            <w:r w:rsidRPr="003B7CB6">
              <w:rPr>
                <w:sz w:val="14"/>
                <w:szCs w:val="14"/>
                <w:lang w:val="es-ES_tradnl" w:eastAsia="x-none"/>
              </w:rPr>
              <w:t xml:space="preserve"> (dB)</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r>
      <w:tr w:rsidTr="003B7CB6">
        <w:tblPrEx>
          <w:tblW w:w="12182" w:type="dxa"/>
          <w:jc w:val="center"/>
          <w:tblLayout w:type="fixed"/>
          <w:tblCellMar>
            <w:left w:w="0" w:type="dxa"/>
            <w:right w:w="0" w:type="dxa"/>
          </w:tblCellMar>
          <w:tblLook w:val="0000"/>
        </w:tblPrEx>
        <w:trPr>
          <w:cantSplit/>
          <w:jc w:val="center"/>
        </w:trPr>
        <w:tc>
          <w:tcPr>
            <w:tcW w:w="1344" w:type="dxa"/>
            <w:vMerge/>
            <w:tcBorders>
              <w:top w:val="nil"/>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s-ES_tradnl" w:eastAsia="x-none"/>
              </w:rPr>
            </w:pP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M</w:t>
            </w:r>
            <w:r w:rsidRPr="003B7CB6">
              <w:rPr>
                <w:i/>
                <w:iCs/>
                <w:position w:val="-4"/>
                <w:sz w:val="12"/>
                <w:szCs w:val="12"/>
                <w:lang w:val="en-GB" w:eastAsia="x-none"/>
              </w:rPr>
              <w:t>s</w:t>
            </w:r>
            <w:r w:rsidRPr="003B7CB6">
              <w:rPr>
                <w:sz w:val="12"/>
                <w:szCs w:val="12"/>
                <w:lang w:val="es-ES_tradnl" w:eastAsia="x-none"/>
              </w:rPr>
              <w:t xml:space="preserve"> </w:t>
            </w:r>
            <w:r w:rsidRPr="003B7CB6">
              <w:rPr>
                <w:sz w:val="14"/>
                <w:szCs w:val="14"/>
                <w:lang w:val="es-ES_tradnl" w:eastAsia="x-none"/>
              </w:rPr>
              <w:t>(dB)</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25</w:t>
            </w:r>
          </w:p>
        </w:tc>
      </w:tr>
      <w:tr w:rsidTr="003B7CB6">
        <w:tblPrEx>
          <w:tblW w:w="12182" w:type="dxa"/>
          <w:jc w:val="center"/>
          <w:tblLayout w:type="fixed"/>
          <w:tblCellMar>
            <w:left w:w="0" w:type="dxa"/>
            <w:right w:w="0" w:type="dxa"/>
          </w:tblCellMar>
          <w:tblLook w:val="0000"/>
        </w:tblPrEx>
        <w:trPr>
          <w:cantSplit/>
          <w:jc w:val="center"/>
        </w:trPr>
        <w:tc>
          <w:tcPr>
            <w:tcW w:w="1344" w:type="dxa"/>
            <w:vMerge/>
            <w:tcBorders>
              <w:top w:val="nil"/>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s-ES_tradnl" w:eastAsia="x-none"/>
              </w:rPr>
            </w:pP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W</w:t>
            </w:r>
            <w:r w:rsidRPr="003B7CB6">
              <w:rPr>
                <w:sz w:val="14"/>
                <w:szCs w:val="14"/>
                <w:lang w:val="es-ES_tradnl" w:eastAsia="x-none"/>
              </w:rPr>
              <w:t xml:space="preserve"> (dB)</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94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052"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0</w:t>
            </w:r>
          </w:p>
        </w:tc>
      </w:tr>
      <w:tr w:rsidTr="003B7CB6">
        <w:tblPrEx>
          <w:tblW w:w="12182" w:type="dxa"/>
          <w:jc w:val="center"/>
          <w:tblLayout w:type="fixed"/>
          <w:tblCellMar>
            <w:left w:w="0" w:type="dxa"/>
            <w:right w:w="0" w:type="dxa"/>
          </w:tblCellMar>
          <w:tblLook w:val="0000"/>
        </w:tblPrEx>
        <w:trPr>
          <w:cantSplit/>
          <w:jc w:val="center"/>
        </w:trPr>
        <w:tc>
          <w:tcPr>
            <w:tcW w:w="1344" w:type="dxa"/>
            <w:vMerge w:val="restart"/>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Terrestrial station parameters</w:t>
            </w:r>
          </w:p>
        </w:tc>
        <w:tc>
          <w:tcPr>
            <w:tcW w:w="1371"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fr-CH" w:eastAsia="x-none"/>
              </w:rPr>
            </w:pPr>
            <w:r w:rsidRPr="003B7CB6">
              <w:rPr>
                <w:i/>
                <w:iCs/>
                <w:sz w:val="14"/>
                <w:szCs w:val="14"/>
                <w:lang w:val="fr-CH" w:eastAsia="x-none"/>
              </w:rPr>
              <w:t>G</w:t>
            </w:r>
            <w:r w:rsidRPr="003B7CB6">
              <w:rPr>
                <w:i/>
                <w:iCs/>
                <w:position w:val="-4"/>
                <w:sz w:val="12"/>
                <w:szCs w:val="12"/>
                <w:lang w:val="fr-CH" w:eastAsia="x-none"/>
              </w:rPr>
              <w:t>x</w:t>
            </w:r>
            <w:r w:rsidRPr="003B7CB6">
              <w:rPr>
                <w:sz w:val="14"/>
                <w:szCs w:val="14"/>
                <w:lang w:val="fr-CH" w:eastAsia="x-none"/>
              </w:rPr>
              <w:t xml:space="preserve"> (dBi)  </w:t>
            </w:r>
            <w:r w:rsidRPr="003B7CB6">
              <w:rPr>
                <w:position w:val="4"/>
                <w:sz w:val="12"/>
                <w:szCs w:val="12"/>
                <w:lang w:val="fr-CH" w:eastAsia="x-none"/>
              </w:rPr>
              <w:t>4</w:t>
            </w:r>
          </w:p>
        </w:tc>
        <w:tc>
          <w:tcPr>
            <w:tcW w:w="1052" w:type="dxa"/>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50</w:t>
            </w:r>
          </w:p>
        </w:tc>
        <w:tc>
          <w:tcPr>
            <w:tcW w:w="947" w:type="dxa"/>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50</w:t>
            </w:r>
          </w:p>
        </w:tc>
        <w:tc>
          <w:tcPr>
            <w:tcW w:w="1052" w:type="dxa"/>
            <w:tcBorders>
              <w:top w:val="single" w:sz="6" w:space="0" w:color="auto"/>
              <w:left w:val="single" w:sz="6" w:space="0" w:color="auto"/>
              <w:bottom w:val="nil"/>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50</w:t>
            </w:r>
          </w:p>
        </w:tc>
        <w:tc>
          <w:tcPr>
            <w:tcW w:w="878"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p>
        </w:tc>
        <w:tc>
          <w:tcPr>
            <w:tcW w:w="1425"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42</w:t>
            </w:r>
          </w:p>
        </w:tc>
        <w:tc>
          <w:tcPr>
            <w:tcW w:w="1813"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42</w:t>
            </w:r>
          </w:p>
        </w:tc>
        <w:tc>
          <w:tcPr>
            <w:tcW w:w="1167" w:type="dxa"/>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42</w:t>
            </w:r>
          </w:p>
        </w:tc>
        <w:tc>
          <w:tcPr>
            <w:tcW w:w="1133" w:type="dxa"/>
            <w:gridSpan w:val="2"/>
            <w:tcBorders>
              <w:top w:val="single" w:sz="6"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fr-CH" w:eastAsia="x-none"/>
              </w:rPr>
            </w:pPr>
            <w:r w:rsidRPr="003B7CB6">
              <w:rPr>
                <w:sz w:val="14"/>
                <w:szCs w:val="14"/>
                <w:lang w:val="fr-CH" w:eastAsia="x-none"/>
              </w:rPr>
              <w:t>46</w:t>
            </w:r>
          </w:p>
        </w:tc>
      </w:tr>
      <w:tr w:rsidTr="003B7CB6">
        <w:tblPrEx>
          <w:tblW w:w="12182" w:type="dxa"/>
          <w:jc w:val="center"/>
          <w:tblLayout w:type="fixed"/>
          <w:tblCellMar>
            <w:left w:w="0" w:type="dxa"/>
            <w:right w:w="0" w:type="dxa"/>
          </w:tblCellMar>
          <w:tblLook w:val="0000"/>
        </w:tblPrEx>
        <w:trPr>
          <w:cantSplit/>
          <w:jc w:val="center"/>
        </w:trPr>
        <w:tc>
          <w:tcPr>
            <w:tcW w:w="1344" w:type="dxa"/>
            <w:vMerge/>
            <w:tcBorders>
              <w:top w:val="nil"/>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fr-CH" w:eastAsia="x-none"/>
              </w:rPr>
            </w:pPr>
          </w:p>
        </w:tc>
        <w:tc>
          <w:tcPr>
            <w:tcW w:w="1371"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rFonts w:ascii="Symbol" w:hAnsi="Symbol"/>
                <w:position w:val="2"/>
                <w:sz w:val="14"/>
                <w:szCs w:val="14"/>
                <w:lang w:val="es-ES_tradnl" w:eastAsia="x-none"/>
              </w:rPr>
            </w:pPr>
            <w:r w:rsidRPr="003B7CB6">
              <w:rPr>
                <w:i/>
                <w:iCs/>
                <w:sz w:val="14"/>
                <w:szCs w:val="14"/>
                <w:lang w:val="es-ES_tradnl" w:eastAsia="x-none"/>
              </w:rPr>
              <w:t>T</w:t>
            </w:r>
            <w:r w:rsidRPr="003B7CB6">
              <w:rPr>
                <w:i/>
                <w:iCs/>
                <w:position w:val="-4"/>
                <w:sz w:val="12"/>
                <w:szCs w:val="12"/>
                <w:lang w:val="fr-CH" w:eastAsia="x-none"/>
              </w:rPr>
              <w:t>e</w:t>
            </w:r>
            <w:r w:rsidRPr="003B7CB6">
              <w:rPr>
                <w:i/>
                <w:iCs/>
                <w:sz w:val="14"/>
                <w:szCs w:val="14"/>
                <w:lang w:val="es-ES_tradnl" w:eastAsia="x-none"/>
              </w:rPr>
              <w:t xml:space="preserve"> </w:t>
            </w:r>
            <w:r w:rsidRPr="003B7CB6">
              <w:rPr>
                <w:sz w:val="14"/>
                <w:szCs w:val="14"/>
                <w:lang w:val="es-ES_tradnl" w:eastAsia="x-none"/>
              </w:rPr>
              <w:t>(K)</w:t>
            </w:r>
          </w:p>
        </w:tc>
        <w:tc>
          <w:tcPr>
            <w:tcW w:w="1052"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r w:rsidRPr="003B7CB6">
              <w:rPr>
                <w:sz w:val="14"/>
                <w:szCs w:val="14"/>
                <w:lang w:val="en-GB" w:eastAsia="x-none"/>
              </w:rPr>
              <w:t> </w:t>
            </w:r>
            <w:r w:rsidRPr="003B7CB6">
              <w:rPr>
                <w:sz w:val="14"/>
                <w:szCs w:val="14"/>
                <w:lang w:val="es-ES_tradnl" w:eastAsia="x-none"/>
              </w:rPr>
              <w:t>000</w:t>
            </w:r>
          </w:p>
        </w:tc>
        <w:tc>
          <w:tcPr>
            <w:tcW w:w="947"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r w:rsidRPr="003B7CB6">
              <w:rPr>
                <w:sz w:val="14"/>
                <w:szCs w:val="14"/>
                <w:lang w:val="en-GB" w:eastAsia="x-none"/>
              </w:rPr>
              <w:t> </w:t>
            </w:r>
            <w:r w:rsidRPr="003B7CB6">
              <w:rPr>
                <w:sz w:val="14"/>
                <w:szCs w:val="14"/>
                <w:lang w:val="es-ES_tradnl" w:eastAsia="x-none"/>
              </w:rPr>
              <w:t>000</w:t>
            </w:r>
          </w:p>
        </w:tc>
        <w:tc>
          <w:tcPr>
            <w:tcW w:w="1052"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r w:rsidRPr="003B7CB6">
              <w:rPr>
                <w:sz w:val="14"/>
                <w:szCs w:val="14"/>
                <w:lang w:val="en-GB" w:eastAsia="x-none"/>
              </w:rPr>
              <w:t> </w:t>
            </w:r>
            <w:r w:rsidRPr="003B7CB6">
              <w:rPr>
                <w:sz w:val="14"/>
                <w:szCs w:val="14"/>
                <w:lang w:val="es-ES_tradnl" w:eastAsia="x-none"/>
              </w:rPr>
              <w:t>000</w:t>
            </w:r>
          </w:p>
        </w:tc>
        <w:tc>
          <w:tcPr>
            <w:tcW w:w="878"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r w:rsidRPr="003B7CB6">
              <w:rPr>
                <w:sz w:val="14"/>
                <w:szCs w:val="14"/>
                <w:lang w:val="en-GB" w:eastAsia="x-none"/>
              </w:rPr>
              <w:t> </w:t>
            </w:r>
            <w:r w:rsidRPr="003B7CB6">
              <w:rPr>
                <w:sz w:val="14"/>
                <w:szCs w:val="14"/>
                <w:lang w:val="es-ES_tradnl" w:eastAsia="x-none"/>
              </w:rPr>
              <w:t>600</w:t>
            </w:r>
          </w:p>
        </w:tc>
        <w:tc>
          <w:tcPr>
            <w:tcW w:w="1813"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r w:rsidRPr="003B7CB6">
              <w:rPr>
                <w:sz w:val="14"/>
                <w:szCs w:val="14"/>
                <w:lang w:val="en-GB" w:eastAsia="x-none"/>
              </w:rPr>
              <w:t> </w:t>
            </w:r>
            <w:r w:rsidRPr="003B7CB6">
              <w:rPr>
                <w:sz w:val="14"/>
                <w:szCs w:val="14"/>
                <w:lang w:val="es-ES_tradnl" w:eastAsia="x-none"/>
              </w:rPr>
              <w:t>600</w:t>
            </w:r>
          </w:p>
        </w:tc>
        <w:tc>
          <w:tcPr>
            <w:tcW w:w="1167" w:type="dxa"/>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2 600</w:t>
            </w:r>
          </w:p>
        </w:tc>
        <w:tc>
          <w:tcPr>
            <w:tcW w:w="1133" w:type="dxa"/>
            <w:gridSpan w:val="2"/>
            <w:tcBorders>
              <w:top w:val="single" w:sz="6" w:space="0" w:color="auto"/>
              <w:left w:val="single" w:sz="6" w:space="0" w:color="auto"/>
              <w:bottom w:val="single" w:sz="4"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2</w:t>
            </w:r>
            <w:r w:rsidRPr="003B7CB6">
              <w:rPr>
                <w:sz w:val="14"/>
                <w:szCs w:val="14"/>
                <w:lang w:val="en-GB" w:eastAsia="x-none"/>
              </w:rPr>
              <w:t> </w:t>
            </w:r>
            <w:r w:rsidRPr="003B7CB6">
              <w:rPr>
                <w:sz w:val="14"/>
                <w:szCs w:val="14"/>
                <w:lang w:val="es-ES_tradnl" w:eastAsia="x-none"/>
              </w:rPr>
              <w:t>000</w:t>
            </w:r>
          </w:p>
        </w:tc>
      </w:tr>
      <w:tr w:rsidTr="003B7CB6">
        <w:tblPrEx>
          <w:tblW w:w="12182" w:type="dxa"/>
          <w:jc w:val="center"/>
          <w:tblLayout w:type="fixed"/>
          <w:tblCellMar>
            <w:left w:w="0" w:type="dxa"/>
            <w:right w:w="0" w:type="dxa"/>
          </w:tblCellMar>
          <w:tblLook w:val="0000"/>
        </w:tblPrEx>
        <w:trPr>
          <w:cantSplit/>
          <w:jc w:val="center"/>
        </w:trPr>
        <w:tc>
          <w:tcPr>
            <w:tcW w:w="1344"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Reference bandwidth</w:t>
            </w:r>
          </w:p>
        </w:tc>
        <w:tc>
          <w:tcPr>
            <w:tcW w:w="1371"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B</w:t>
            </w:r>
            <w:r w:rsidRPr="003B7CB6">
              <w:rPr>
                <w:sz w:val="14"/>
                <w:szCs w:val="14"/>
                <w:lang w:val="es-ES_tradnl" w:eastAsia="x-none"/>
              </w:rPr>
              <w:t xml:space="preserve"> (Hz)</w:t>
            </w:r>
          </w:p>
        </w:tc>
        <w:tc>
          <w:tcPr>
            <w:tcW w:w="1052"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position w:val="4"/>
                <w:sz w:val="12"/>
                <w:szCs w:val="12"/>
                <w:lang w:val="es-ES_tradnl" w:eastAsia="x-none"/>
              </w:rPr>
              <w:t>6</w:t>
            </w:r>
          </w:p>
        </w:tc>
        <w:tc>
          <w:tcPr>
            <w:tcW w:w="947"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position w:val="4"/>
                <w:sz w:val="12"/>
                <w:szCs w:val="12"/>
                <w:lang w:val="es-ES_tradnl" w:eastAsia="x-none"/>
              </w:rPr>
              <w:t>6</w:t>
            </w:r>
          </w:p>
        </w:tc>
        <w:tc>
          <w:tcPr>
            <w:tcW w:w="1052"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position w:val="4"/>
                <w:sz w:val="12"/>
                <w:szCs w:val="12"/>
                <w:lang w:val="es-ES_tradnl" w:eastAsia="x-none"/>
              </w:rPr>
              <w:t>6</w:t>
            </w:r>
          </w:p>
        </w:tc>
        <w:tc>
          <w:tcPr>
            <w:tcW w:w="878"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position w:val="4"/>
                <w:sz w:val="12"/>
                <w:szCs w:val="12"/>
                <w:lang w:val="es-ES_tradnl" w:eastAsia="x-none"/>
              </w:rPr>
              <w:t>6</w:t>
            </w:r>
          </w:p>
        </w:tc>
        <w:tc>
          <w:tcPr>
            <w:tcW w:w="1813"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position w:val="4"/>
                <w:sz w:val="12"/>
                <w:szCs w:val="12"/>
                <w:lang w:val="es-ES_tradnl" w:eastAsia="x-none"/>
              </w:rPr>
              <w:t>6</w:t>
            </w:r>
          </w:p>
        </w:tc>
        <w:tc>
          <w:tcPr>
            <w:tcW w:w="1167" w:type="dxa"/>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sz w:val="14"/>
                <w:szCs w:val="14"/>
                <w:vertAlign w:val="superscript"/>
                <w:lang w:val="es-ES_tradnl" w:eastAsia="x-none"/>
              </w:rPr>
              <w:t>6</w:t>
            </w:r>
          </w:p>
        </w:tc>
        <w:tc>
          <w:tcPr>
            <w:tcW w:w="1133" w:type="dxa"/>
            <w:gridSpan w:val="2"/>
            <w:tcBorders>
              <w:top w:val="single" w:sz="4" w:space="0" w:color="auto"/>
              <w:left w:val="single" w:sz="4" w:space="0" w:color="auto"/>
              <w:bottom w:val="single" w:sz="4" w:space="0" w:color="auto"/>
              <w:right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4"/>
                <w:szCs w:val="14"/>
                <w:lang w:val="es-ES_tradnl" w:eastAsia="x-none"/>
              </w:rPr>
              <w:t>10</w:t>
            </w:r>
            <w:r w:rsidRPr="003B7CB6">
              <w:rPr>
                <w:position w:val="4"/>
                <w:sz w:val="12"/>
                <w:szCs w:val="12"/>
                <w:lang w:val="es-ES_tradnl" w:eastAsia="x-none"/>
              </w:rPr>
              <w:t>6</w:t>
            </w:r>
          </w:p>
        </w:tc>
      </w:tr>
      <w:tr w:rsidTr="003B7CB6">
        <w:tblPrEx>
          <w:tblW w:w="12182" w:type="dxa"/>
          <w:jc w:val="center"/>
          <w:tblLayout w:type="fixed"/>
          <w:tblCellMar>
            <w:left w:w="0" w:type="dxa"/>
            <w:right w:w="0" w:type="dxa"/>
          </w:tblCellMar>
          <w:tblLook w:val="0000"/>
        </w:tblPrEx>
        <w:trPr>
          <w:cantSplit/>
          <w:jc w:val="center"/>
        </w:trPr>
        <w:tc>
          <w:tcPr>
            <w:tcW w:w="1344"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sz w:val="14"/>
                <w:szCs w:val="14"/>
                <w:lang w:val="en-GB" w:eastAsia="x-none"/>
              </w:rPr>
            </w:pPr>
            <w:r w:rsidRPr="003B7CB6">
              <w:rPr>
                <w:sz w:val="14"/>
                <w:szCs w:val="14"/>
                <w:lang w:val="en-GB" w:eastAsia="x-none"/>
              </w:rPr>
              <w:t>Permissible interference power</w:t>
            </w:r>
          </w:p>
        </w:tc>
        <w:tc>
          <w:tcPr>
            <w:tcW w:w="1371"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57" w:right="57"/>
              <w:jc w:val="both"/>
              <w:textAlignment w:val="baseline"/>
              <w:rPr>
                <w:position w:val="2"/>
                <w:sz w:val="14"/>
                <w:szCs w:val="14"/>
                <w:lang w:val="es-ES_tradnl" w:eastAsia="x-none"/>
              </w:rPr>
            </w:pPr>
            <w:r w:rsidRPr="003B7CB6">
              <w:rPr>
                <w:i/>
                <w:iCs/>
                <w:sz w:val="14"/>
                <w:szCs w:val="14"/>
                <w:lang w:val="es-ES_tradnl" w:eastAsia="x-none"/>
              </w:rPr>
              <w:t>P</w:t>
            </w:r>
            <w:r w:rsidRPr="003B7CB6">
              <w:rPr>
                <w:i/>
                <w:iCs/>
                <w:position w:val="-4"/>
                <w:sz w:val="12"/>
                <w:szCs w:val="12"/>
                <w:lang w:val="es-ES_tradnl" w:eastAsia="x-none"/>
              </w:rPr>
              <w:t>r</w:t>
            </w:r>
            <w:r w:rsidRPr="003B7CB6">
              <w:rPr>
                <w:sz w:val="14"/>
                <w:szCs w:val="14"/>
                <w:lang w:val="es-ES_tradnl" w:eastAsia="x-none"/>
              </w:rPr>
              <w:t>( </w:t>
            </w:r>
            <w:r w:rsidRPr="003B7CB6">
              <w:rPr>
                <w:i/>
                <w:iCs/>
                <w:sz w:val="14"/>
                <w:szCs w:val="14"/>
                <w:lang w:val="es-ES_tradnl" w:eastAsia="x-none"/>
              </w:rPr>
              <w:t>p</w:t>
            </w:r>
            <w:r w:rsidRPr="003B7CB6">
              <w:rPr>
                <w:sz w:val="14"/>
                <w:szCs w:val="14"/>
                <w:lang w:val="es-ES_tradnl" w:eastAsia="x-none"/>
              </w:rPr>
              <w:t>) (dBW)</w:t>
            </w:r>
            <w:r w:rsidRPr="003B7CB6">
              <w:rPr>
                <w:sz w:val="14"/>
                <w:szCs w:val="14"/>
                <w:lang w:val="es-ES_tradnl" w:eastAsia="x-none"/>
              </w:rPr>
              <w:br/>
              <w:t xml:space="preserve">in </w:t>
            </w:r>
            <w:r w:rsidRPr="003B7CB6">
              <w:rPr>
                <w:i/>
                <w:iCs/>
                <w:sz w:val="14"/>
                <w:szCs w:val="14"/>
                <w:lang w:val="es-ES_tradnl" w:eastAsia="x-none"/>
              </w:rPr>
              <w:t>B</w:t>
            </w:r>
          </w:p>
        </w:tc>
        <w:tc>
          <w:tcPr>
            <w:tcW w:w="1052"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3"/>
                <w:szCs w:val="13"/>
                <w:lang w:val="en-GB" w:eastAsia="x-none"/>
              </w:rPr>
              <w:t>−</w:t>
            </w:r>
            <w:r w:rsidRPr="003B7CB6">
              <w:rPr>
                <w:sz w:val="14"/>
                <w:szCs w:val="14"/>
                <w:lang w:val="es-ES_tradnl" w:eastAsia="x-none"/>
              </w:rPr>
              <w:t>111</w:t>
            </w:r>
          </w:p>
        </w:tc>
        <w:tc>
          <w:tcPr>
            <w:tcW w:w="947"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3"/>
                <w:szCs w:val="13"/>
                <w:lang w:val="en-GB" w:eastAsia="x-none"/>
              </w:rPr>
              <w:t>−</w:t>
            </w:r>
            <w:r w:rsidRPr="003B7CB6">
              <w:rPr>
                <w:sz w:val="14"/>
                <w:szCs w:val="14"/>
                <w:lang w:val="es-ES_tradnl" w:eastAsia="x-none"/>
              </w:rPr>
              <w:t>111</w:t>
            </w:r>
          </w:p>
        </w:tc>
        <w:tc>
          <w:tcPr>
            <w:tcW w:w="1052"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3"/>
                <w:szCs w:val="13"/>
                <w:lang w:val="en-GB" w:eastAsia="x-none"/>
              </w:rPr>
              <w:t>−</w:t>
            </w:r>
            <w:r w:rsidRPr="003B7CB6">
              <w:rPr>
                <w:sz w:val="14"/>
                <w:szCs w:val="14"/>
                <w:lang w:val="es-ES_tradnl" w:eastAsia="x-none"/>
              </w:rPr>
              <w:t>111</w:t>
            </w:r>
          </w:p>
        </w:tc>
        <w:tc>
          <w:tcPr>
            <w:tcW w:w="878"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p>
        </w:tc>
        <w:tc>
          <w:tcPr>
            <w:tcW w:w="1425"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3"/>
                <w:szCs w:val="13"/>
                <w:lang w:val="en-GB" w:eastAsia="x-none"/>
              </w:rPr>
              <w:t>−</w:t>
            </w:r>
            <w:r w:rsidRPr="003B7CB6">
              <w:rPr>
                <w:sz w:val="14"/>
                <w:szCs w:val="14"/>
                <w:lang w:val="es-ES_tradnl" w:eastAsia="x-none"/>
              </w:rPr>
              <w:t>110</w:t>
            </w:r>
          </w:p>
        </w:tc>
        <w:tc>
          <w:tcPr>
            <w:tcW w:w="1813"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3"/>
                <w:szCs w:val="13"/>
                <w:lang w:val="en-GB" w:eastAsia="x-none"/>
              </w:rPr>
              <w:t>−</w:t>
            </w:r>
            <w:r w:rsidRPr="003B7CB6">
              <w:rPr>
                <w:sz w:val="14"/>
                <w:szCs w:val="14"/>
                <w:lang w:val="es-ES_tradnl" w:eastAsia="x-none"/>
              </w:rPr>
              <w:t>110</w:t>
            </w:r>
          </w:p>
        </w:tc>
        <w:tc>
          <w:tcPr>
            <w:tcW w:w="1167" w:type="dxa"/>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3"/>
                <w:szCs w:val="13"/>
                <w:lang w:val="en-GB" w:eastAsia="x-none"/>
              </w:rPr>
            </w:pPr>
            <w:r w:rsidRPr="003B7CB6">
              <w:rPr>
                <w:sz w:val="13"/>
                <w:szCs w:val="13"/>
                <w:lang w:val="en-GB" w:eastAsia="x-none"/>
              </w:rPr>
              <w:t>-110</w:t>
            </w:r>
          </w:p>
        </w:tc>
        <w:tc>
          <w:tcPr>
            <w:tcW w:w="1133" w:type="dxa"/>
            <w:gridSpan w:val="2"/>
            <w:tcBorders>
              <w:top w:val="single" w:sz="4" w:space="0" w:color="auto"/>
              <w:left w:val="single" w:sz="6" w:space="0" w:color="auto"/>
              <w:bottom w:val="single" w:sz="6" w:space="0" w:color="auto"/>
              <w:right w:val="single" w:sz="6"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14"/>
                <w:szCs w:val="14"/>
                <w:lang w:val="es-ES_tradnl" w:eastAsia="x-none"/>
              </w:rPr>
            </w:pPr>
            <w:r w:rsidRPr="003B7CB6">
              <w:rPr>
                <w:sz w:val="13"/>
                <w:szCs w:val="13"/>
                <w:lang w:val="en-GB" w:eastAsia="x-none"/>
              </w:rPr>
              <w:t>−</w:t>
            </w:r>
            <w:r w:rsidRPr="003B7CB6">
              <w:rPr>
                <w:sz w:val="14"/>
                <w:szCs w:val="14"/>
                <w:lang w:val="es-ES_tradnl" w:eastAsia="x-none"/>
              </w:rPr>
              <w:t>111</w:t>
            </w:r>
          </w:p>
        </w:tc>
      </w:tr>
      <w:tr w:rsidTr="003B7CB6">
        <w:tblPrEx>
          <w:tblW w:w="12182" w:type="dxa"/>
          <w:jc w:val="center"/>
          <w:tblLayout w:type="fixed"/>
          <w:tblCellMar>
            <w:left w:w="0" w:type="dxa"/>
            <w:right w:w="0" w:type="dxa"/>
          </w:tblCellMar>
          <w:tblLook w:val="0000"/>
        </w:tblPrEx>
        <w:trPr>
          <w:gridAfter w:val="1"/>
          <w:wAfter w:w="52" w:type="dxa"/>
          <w:cantSplit/>
          <w:jc w:val="center"/>
        </w:trPr>
        <w:tc>
          <w:tcPr>
            <w:tcW w:w="12130" w:type="dxa"/>
            <w:gridSpan w:val="10"/>
            <w:tcBorders>
              <w:top w:val="single" w:sz="6" w:space="0" w:color="auto"/>
              <w:left w:val="nil"/>
              <w:bottom w:val="nil"/>
              <w:right w:val="nil"/>
            </w:tcBorders>
          </w:tcPr>
          <w:p w:rsidR="003B7CB6" w:rsidRPr="003B7CB6" w:rsidP="003B7CB6">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sz w:val="14"/>
                <w:szCs w:val="14"/>
                <w:lang w:val="fr-CH" w:eastAsia="x-none"/>
              </w:rPr>
            </w:pPr>
            <w:r w:rsidRPr="003B7CB6">
              <w:rPr>
                <w:sz w:val="14"/>
                <w:szCs w:val="14"/>
                <w:vertAlign w:val="superscript"/>
                <w:lang w:val="fr-CH" w:eastAsia="x-none"/>
              </w:rPr>
              <w:t>1</w:t>
            </w:r>
            <w:r w:rsidRPr="003B7CB6">
              <w:rPr>
                <w:sz w:val="14"/>
                <w:szCs w:val="14"/>
                <w:lang w:val="fr-CH" w:eastAsia="x-none"/>
              </w:rPr>
              <w:tab/>
              <w:t>A: analogue modulation; N: digital modulation.</w:t>
            </w:r>
          </w:p>
          <w:p w:rsidR="003B7CB6" w:rsidRPr="003B7CB6" w:rsidP="003B7CB6">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sz w:val="14"/>
                <w:szCs w:val="14"/>
                <w:lang w:val="en-GB" w:eastAsia="x-none"/>
              </w:rPr>
            </w:pPr>
            <w:r w:rsidRPr="003B7CB6">
              <w:rPr>
                <w:sz w:val="14"/>
                <w:szCs w:val="14"/>
                <w:vertAlign w:val="superscript"/>
                <w:lang w:eastAsia="x-none"/>
              </w:rPr>
              <w:t>2</w:t>
            </w:r>
            <w:r w:rsidRPr="003B7CB6">
              <w:rPr>
                <w:sz w:val="14"/>
                <w:szCs w:val="14"/>
                <w:lang w:val="en-GB" w:eastAsia="x-none"/>
              </w:rPr>
              <w:tab/>
              <w:t>Non-geostationary satellites in the fixed-satellite service.</w:t>
            </w:r>
          </w:p>
          <w:p w:rsidR="003B7CB6" w:rsidRPr="003B7CB6" w:rsidP="003B7CB6">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sz w:val="14"/>
                <w:szCs w:val="14"/>
                <w:lang w:val="en-GB" w:eastAsia="x-none"/>
              </w:rPr>
            </w:pPr>
            <w:r w:rsidRPr="003B7CB6">
              <w:rPr>
                <w:sz w:val="14"/>
                <w:szCs w:val="14"/>
                <w:vertAlign w:val="superscript"/>
                <w:lang w:eastAsia="x-none"/>
              </w:rPr>
              <w:t>3</w:t>
            </w:r>
            <w:r w:rsidRPr="003B7CB6">
              <w:rPr>
                <w:sz w:val="14"/>
                <w:szCs w:val="14"/>
                <w:lang w:val="en-GB" w:eastAsia="x-none"/>
              </w:rPr>
              <w:tab/>
              <w:t>Feeder links to non-geostationary-satellite systems in the mobile-satellite service.</w:t>
            </w:r>
          </w:p>
          <w:p w:rsidR="003B7CB6" w:rsidRPr="003B7CB6" w:rsidP="003B7CB6">
            <w:pPr>
              <w:tabs>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rPr>
                <w:sz w:val="14"/>
                <w:szCs w:val="14"/>
                <w:lang w:val="en-GB" w:eastAsia="x-none"/>
              </w:rPr>
            </w:pPr>
            <w:r w:rsidRPr="003B7CB6">
              <w:rPr>
                <w:sz w:val="14"/>
                <w:szCs w:val="14"/>
                <w:vertAlign w:val="superscript"/>
                <w:lang w:eastAsia="x-none"/>
              </w:rPr>
              <w:t>4</w:t>
            </w:r>
            <w:r w:rsidRPr="003B7CB6">
              <w:rPr>
                <w:sz w:val="14"/>
                <w:szCs w:val="14"/>
                <w:lang w:val="en-GB" w:eastAsia="x-none"/>
              </w:rPr>
              <w:tab/>
              <w:t>Feeder losses are not included.</w:t>
            </w:r>
          </w:p>
        </w:tc>
      </w:tr>
    </w:tbl>
    <w:p w:rsidR="003B7CB6" w:rsidRPr="003B7CB6" w:rsidP="003B7CB6">
      <w:pPr>
        <w:tabs>
          <w:tab w:val="left" w:pos="1871"/>
          <w:tab w:val="left" w:pos="2268"/>
        </w:tabs>
        <w:overflowPunct w:val="0"/>
        <w:autoSpaceDE w:val="0"/>
        <w:autoSpaceDN w:val="0"/>
        <w:adjustRightInd w:val="0"/>
        <w:jc w:val="both"/>
        <w:textAlignment w:val="baseline"/>
        <w:rPr>
          <w:sz w:val="12"/>
          <w:lang w:val="fr-FR"/>
        </w:rPr>
      </w:pP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p>
    <w:p w:rsidR="003B7CB6" w:rsidRPr="003B7CB6" w:rsidP="003B7CB6">
      <w:pPr>
        <w:rPr>
          <w:sz w:val="24"/>
          <w:szCs w:val="24"/>
          <w:lang w:eastAsia="zh-CN"/>
        </w:rPr>
      </w:pPr>
    </w:p>
    <w:p w:rsidR="003B7CB6" w:rsidRPr="003B7CB6" w:rsidP="003B7CB6">
      <w:pPr>
        <w:rPr>
          <w:sz w:val="24"/>
          <w:szCs w:val="24"/>
          <w:lang w:eastAsia="zh-CN"/>
        </w:rPr>
        <w:sectPr w:rsidSect="003B7CB6">
          <w:headerReference w:type="first" r:id="rId13"/>
          <w:footerReference w:type="first" r:id="rId14"/>
          <w:pgSz w:w="16834" w:h="11907" w:orient="landscape"/>
          <w:pgMar w:top="1134" w:right="1418" w:bottom="1134" w:left="1418" w:header="720" w:footer="720" w:gutter="0"/>
          <w:paperSrc w:first="1262" w:other="1262"/>
          <w:cols w:space="720"/>
          <w:titlePg/>
        </w:sectPr>
      </w:pP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sz w:val="24"/>
          <w:lang w:val="en-GB"/>
        </w:rPr>
      </w:pPr>
      <w:bookmarkStart w:id="31" w:name="_Toc450048826"/>
      <w:r w:rsidRPr="003B7CB6">
        <w:rPr>
          <w:sz w:val="24"/>
          <w:lang w:val="en-GB"/>
        </w:rPr>
        <w:t>MOD</w:t>
      </w:r>
      <w:r w:rsidRPr="003B7CB6">
        <w:rPr>
          <w:sz w:val="24"/>
          <w:lang w:val="en-GB"/>
        </w:rPr>
        <w:tab/>
        <w:t>USA/9.1.9/7</w:t>
      </w:r>
    </w:p>
    <w:p w:rsidR="003B7CB6" w:rsidRPr="003B7CB6" w:rsidP="003B7CB6">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r w:rsidRPr="003B7CB6">
        <w:rPr>
          <w:caps/>
          <w:sz w:val="28"/>
          <w:lang w:val="fr-FR"/>
        </w:rPr>
        <w:t>RESOLUTION 750 (Rev.WRC</w:t>
      </w:r>
      <w:r w:rsidRPr="003B7CB6">
        <w:rPr>
          <w:caps/>
          <w:sz w:val="28"/>
          <w:lang w:val="fr-FR"/>
        </w:rPr>
        <w:noBreakHyphen/>
      </w:r>
      <w:r w:rsidRPr="003B7CB6">
        <w:rPr>
          <w:caps/>
          <w:sz w:val="28"/>
          <w:lang w:val="fr-FR"/>
        </w:rPr>
        <w:t>19</w:t>
      </w:r>
      <w:r w:rsidRPr="003B7CB6">
        <w:rPr>
          <w:caps/>
          <w:sz w:val="28"/>
          <w:lang w:val="fr-FR"/>
        </w:rPr>
        <w:t>)</w:t>
      </w:r>
      <w:bookmarkEnd w:id="31"/>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bookmarkStart w:id="32" w:name="_Toc319401906"/>
      <w:bookmarkStart w:id="33" w:name="_Toc327364569"/>
      <w:bookmarkStart w:id="34" w:name="_Toc450048827"/>
      <w:r w:rsidRPr="003B7CB6">
        <w:rPr>
          <w:rFonts w:ascii="Times New Roman Bold" w:hAnsi="Times New Roman Bold"/>
          <w:b/>
          <w:sz w:val="28"/>
          <w:lang w:val="en-GB"/>
        </w:rPr>
        <w:t>Compatibility between the Earth exploration-satellite service (passive) and relevant active services</w:t>
      </w:r>
      <w:bookmarkEnd w:id="32"/>
      <w:bookmarkEnd w:id="33"/>
      <w:bookmarkEnd w:id="34"/>
    </w:p>
    <w:p w:rsidR="003B7CB6" w:rsidRPr="003B7CB6" w:rsidP="003B7CB6">
      <w:pPr>
        <w:tabs>
          <w:tab w:val="left" w:pos="1134"/>
          <w:tab w:val="left" w:pos="1871"/>
          <w:tab w:val="left" w:pos="2268"/>
        </w:tabs>
        <w:overflowPunct w:val="0"/>
        <w:autoSpaceDE w:val="0"/>
        <w:autoSpaceDN w:val="0"/>
        <w:adjustRightInd w:val="0"/>
        <w:spacing w:before="360"/>
        <w:jc w:val="both"/>
        <w:textAlignment w:val="baseline"/>
        <w:rPr>
          <w:sz w:val="24"/>
        </w:rPr>
      </w:pPr>
      <w:r w:rsidRPr="003B7CB6">
        <w:rPr>
          <w:sz w:val="24"/>
        </w:rPr>
        <w:t>The World Radiocommunication Conference (</w:t>
      </w:r>
      <w:r w:rsidRPr="003B7CB6">
        <w:rPr>
          <w:sz w:val="24"/>
        </w:rPr>
        <w:t>Sharm el-Sheikh, 2019</w:t>
      </w:r>
      <w:r w:rsidRPr="003B7CB6">
        <w:rPr>
          <w:sz w:val="24"/>
        </w:rPr>
        <w:t xml:space="preserve">) </w:t>
      </w:r>
    </w:p>
    <w:p w:rsidR="003B7CB6" w:rsidRPr="003B7CB6" w:rsidP="003B7CB6">
      <w:pPr>
        <w:rPr>
          <w:sz w:val="24"/>
          <w:szCs w:val="24"/>
        </w:rPr>
      </w:pPr>
      <w:r w:rsidRPr="003B7CB6">
        <w:rPr>
          <w:sz w:val="24"/>
          <w:szCs w:val="24"/>
        </w:rPr>
        <w:t>…</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eastAsia="zh-CN"/>
        </w:rPr>
      </w:pPr>
      <w:r w:rsidRPr="003B7CB6">
        <w:rPr>
          <w:i/>
          <w:sz w:val="24"/>
          <w:lang w:eastAsia="zh-CN"/>
        </w:rPr>
        <w:t>noting</w:t>
      </w:r>
    </w:p>
    <w:p w:rsidR="003B7CB6" w:rsidRPr="003B7CB6" w:rsidP="003B7CB6">
      <w:pPr>
        <w:rPr>
          <w:sz w:val="24"/>
          <w:szCs w:val="24"/>
          <w:lang w:eastAsia="zh-CN"/>
        </w:rPr>
      </w:pPr>
      <w:r w:rsidRPr="003B7CB6">
        <w:rPr>
          <w:i/>
          <w:iCs/>
          <w:color w:val="231F20"/>
          <w:spacing w:val="-1"/>
          <w:sz w:val="24"/>
          <w:szCs w:val="24"/>
          <w:lang w:eastAsia="zh-CN"/>
        </w:rPr>
        <w:t>a)</w:t>
      </w:r>
      <w:r w:rsidRPr="003B7CB6">
        <w:rPr>
          <w:i/>
          <w:iCs/>
          <w:color w:val="231F20"/>
          <w:sz w:val="24"/>
          <w:szCs w:val="24"/>
          <w:lang w:eastAsia="zh-CN"/>
        </w:rPr>
        <w:tab/>
      </w:r>
      <w:r w:rsidRPr="003B7CB6">
        <w:rPr>
          <w:sz w:val="24"/>
          <w:szCs w:val="24"/>
          <w:lang w:eastAsia="zh-CN"/>
        </w:rPr>
        <w:t>that the compatibility studies between relevant active and passive services operating in adjacent and nearby frequency bands are documented in Report ITU-R SM.2092</w:t>
      </w:r>
      <w:r w:rsidRPr="003B7CB6">
        <w:rPr>
          <w:sz w:val="24"/>
          <w:szCs w:val="24"/>
          <w:lang w:eastAsia="zh-CN"/>
        </w:rPr>
        <w:t xml:space="preserve"> and in [PDN] Report ITU-R S.[SPECTRUM_SHARING]</w:t>
      </w:r>
      <w:r w:rsidRPr="003B7CB6">
        <w:rPr>
          <w:sz w:val="24"/>
          <w:szCs w:val="24"/>
          <w:lang w:eastAsia="zh-CN"/>
        </w:rPr>
        <w:t>;</w:t>
      </w:r>
    </w:p>
    <w:p w:rsidR="003B7CB6" w:rsidRPr="003B7CB6" w:rsidP="003B7CB6">
      <w:pPr>
        <w:rPr>
          <w:sz w:val="24"/>
          <w:szCs w:val="24"/>
          <w:lang w:eastAsia="zh-CN"/>
        </w:rPr>
      </w:pPr>
      <w:r w:rsidRPr="003B7CB6">
        <w:rPr>
          <w:i/>
          <w:iCs/>
          <w:sz w:val="24"/>
          <w:szCs w:val="24"/>
          <w:lang w:eastAsia="zh-CN"/>
        </w:rPr>
        <w:t>b)</w:t>
      </w:r>
      <w:r w:rsidRPr="003B7CB6">
        <w:rPr>
          <w:i/>
          <w:iCs/>
          <w:sz w:val="24"/>
          <w:szCs w:val="24"/>
          <w:lang w:eastAsia="zh-CN"/>
        </w:rPr>
        <w:tab/>
      </w:r>
      <w:r w:rsidRPr="003B7CB6">
        <w:rPr>
          <w:sz w:val="24"/>
          <w:szCs w:val="24"/>
          <w:lang w:eastAsia="zh-CN"/>
        </w:rPr>
        <w:t>that the compatibility studies between IMT systems in the frequency bands 1 375</w:t>
      </w:r>
      <w:r w:rsidRPr="003B7CB6">
        <w:rPr>
          <w:sz w:val="24"/>
          <w:szCs w:val="24"/>
          <w:lang w:eastAsia="zh-CN"/>
        </w:rPr>
        <w:noBreakHyphen/>
        <w:t>1 400 MHz and 1 427-1 452 MHz and EESS (passive) systems in the frequency band 1 400</w:t>
      </w:r>
      <w:r w:rsidRPr="003B7CB6">
        <w:rPr>
          <w:sz w:val="24"/>
          <w:szCs w:val="24"/>
          <w:lang w:eastAsia="zh-CN"/>
        </w:rPr>
        <w:noBreakHyphen/>
        <w:t>1 427 MHz are documented in Report ITU-R RS.2336;</w:t>
      </w:r>
    </w:p>
    <w:p w:rsidR="003B7CB6" w:rsidRPr="003B7CB6" w:rsidP="003B7CB6">
      <w:pPr>
        <w:rPr>
          <w:sz w:val="24"/>
          <w:szCs w:val="24"/>
          <w:lang w:eastAsia="zh-CN"/>
        </w:rPr>
      </w:pPr>
      <w:r w:rsidRPr="003B7CB6">
        <w:rPr>
          <w:i/>
          <w:iCs/>
          <w:sz w:val="24"/>
          <w:szCs w:val="24"/>
          <w:lang w:eastAsia="zh-CN"/>
        </w:rPr>
        <w:t>c)</w:t>
      </w:r>
      <w:r w:rsidRPr="003B7CB6">
        <w:rPr>
          <w:i/>
          <w:iCs/>
          <w:sz w:val="24"/>
          <w:szCs w:val="24"/>
          <w:lang w:eastAsia="zh-CN"/>
        </w:rPr>
        <w:tab/>
      </w:r>
      <w:r w:rsidRPr="003B7CB6">
        <w:rPr>
          <w:sz w:val="24"/>
          <w:szCs w:val="24"/>
          <w:lang w:eastAsia="zh-CN"/>
        </w:rPr>
        <w:t>that Report ITU-R F.2239 provides the results of studies covering various scenarios between the fixed service, operating in the frequency band 81-86 GHz and/or 92-94 GHz, and the Earth exploration-satellite service (passive), operating in the frequency band 86-92 GHz;</w:t>
      </w:r>
    </w:p>
    <w:p w:rsidR="003B7CB6" w:rsidRPr="003B7CB6" w:rsidP="003B7CB6">
      <w:pPr>
        <w:rPr>
          <w:sz w:val="24"/>
          <w:szCs w:val="24"/>
          <w:lang w:eastAsia="zh-CN"/>
        </w:rPr>
      </w:pPr>
      <w:r w:rsidRPr="003B7CB6">
        <w:rPr>
          <w:i/>
          <w:iCs/>
          <w:sz w:val="24"/>
          <w:szCs w:val="24"/>
          <w:lang w:eastAsia="zh-CN"/>
        </w:rPr>
        <w:t>d)</w:t>
      </w:r>
      <w:r w:rsidRPr="003B7CB6">
        <w:rPr>
          <w:i/>
          <w:iCs/>
          <w:sz w:val="24"/>
          <w:szCs w:val="24"/>
          <w:lang w:eastAsia="zh-CN"/>
        </w:rPr>
        <w:tab/>
      </w:r>
      <w:r w:rsidRPr="003B7CB6">
        <w:rPr>
          <w:sz w:val="24"/>
          <w:szCs w:val="24"/>
          <w:lang w:eastAsia="zh-CN"/>
        </w:rPr>
        <w:t xml:space="preserve">that Recommendation </w:t>
      </w:r>
      <w:r w:rsidRPr="003B7CB6">
        <w:rPr>
          <w:sz w:val="24"/>
          <w:szCs w:val="24"/>
          <w:lang w:eastAsia="zh-CN"/>
        </w:rPr>
        <w:t xml:space="preserve">ITU-R RS.2017 </w:t>
      </w:r>
      <w:r w:rsidRPr="003B7CB6">
        <w:rPr>
          <w:sz w:val="24"/>
          <w:szCs w:val="24"/>
          <w:lang w:eastAsia="zh-CN"/>
        </w:rPr>
        <w:t>provides the interference criteria for satellite passive remote sensing,</w:t>
      </w:r>
    </w:p>
    <w:p w:rsidR="003B7CB6" w:rsidRPr="003B7CB6" w:rsidP="003B7CB6">
      <w:pPr>
        <w:keepNext/>
        <w:tabs>
          <w:tab w:val="left" w:pos="1134"/>
          <w:tab w:val="left" w:pos="1871"/>
          <w:tab w:val="left" w:pos="2268"/>
        </w:tabs>
        <w:overflowPunct w:val="0"/>
        <w:autoSpaceDE w:val="0"/>
        <w:autoSpaceDN w:val="0"/>
        <w:adjustRightInd w:val="0"/>
        <w:spacing w:before="120" w:after="120"/>
        <w:jc w:val="center"/>
        <w:textAlignment w:val="baseline"/>
        <w:rPr>
          <w:caps/>
          <w:sz w:val="20"/>
          <w:lang w:val="en-GB" w:eastAsia="x-none"/>
        </w:rPr>
      </w:pPr>
      <w:r w:rsidRPr="003B7CB6">
        <w:rPr>
          <w:caps/>
          <w:sz w:val="20"/>
          <w:lang w:val="en-GB" w:eastAsia="x-none"/>
        </w:rPr>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701"/>
        <w:gridCol w:w="1418"/>
        <w:gridCol w:w="4881"/>
      </w:tblGrid>
      <w:tr w:rsidTr="003B7CB6">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1696" w:type="dxa"/>
            <w:vAlign w:val="center"/>
          </w:tcPr>
          <w:p w:rsidR="003B7CB6" w:rsidRPr="003B7CB6" w:rsidP="003B7CB6">
            <w:pPr>
              <w:overflowPunct w:val="0"/>
              <w:autoSpaceDE w:val="0"/>
              <w:autoSpaceDN w:val="0"/>
              <w:adjustRightInd w:val="0"/>
              <w:spacing w:before="160" w:after="160"/>
              <w:ind w:left="-57" w:right="-57"/>
              <w:jc w:val="center"/>
              <w:textAlignment w:val="baseline"/>
              <w:rPr>
                <w:b/>
                <w:sz w:val="20"/>
                <w:lang w:val="fr-FR"/>
              </w:rPr>
            </w:pPr>
            <w:r w:rsidRPr="003B7CB6">
              <w:rPr>
                <w:b/>
                <w:sz w:val="20"/>
                <w:lang w:val="fr-FR"/>
              </w:rPr>
              <w:t>EESS (passive) band</w:t>
            </w:r>
          </w:p>
        </w:tc>
        <w:tc>
          <w:tcPr>
            <w:tcW w:w="1701" w:type="dxa"/>
            <w:vAlign w:val="center"/>
          </w:tcPr>
          <w:p w:rsidR="003B7CB6" w:rsidRPr="003B7CB6" w:rsidP="003B7CB6">
            <w:pPr>
              <w:overflowPunct w:val="0"/>
              <w:autoSpaceDE w:val="0"/>
              <w:autoSpaceDN w:val="0"/>
              <w:adjustRightInd w:val="0"/>
              <w:spacing w:before="160" w:after="160"/>
              <w:jc w:val="center"/>
              <w:textAlignment w:val="baseline"/>
              <w:rPr>
                <w:b/>
                <w:sz w:val="20"/>
                <w:lang w:val="fr-FR"/>
              </w:rPr>
            </w:pPr>
            <w:r w:rsidRPr="003B7CB6">
              <w:rPr>
                <w:b/>
                <w:sz w:val="20"/>
                <w:lang w:val="fr-FR"/>
              </w:rPr>
              <w:t>Active</w:t>
            </w:r>
            <w:r w:rsidRPr="003B7CB6">
              <w:rPr>
                <w:b/>
                <w:sz w:val="20"/>
                <w:lang w:val="fr-FR"/>
              </w:rPr>
              <w:br/>
              <w:t>service band</w:t>
            </w:r>
          </w:p>
        </w:tc>
        <w:tc>
          <w:tcPr>
            <w:tcW w:w="1418" w:type="dxa"/>
            <w:vAlign w:val="center"/>
          </w:tcPr>
          <w:p w:rsidR="003B7CB6" w:rsidRPr="003B7CB6" w:rsidP="003B7CB6">
            <w:pPr>
              <w:overflowPunct w:val="0"/>
              <w:autoSpaceDE w:val="0"/>
              <w:autoSpaceDN w:val="0"/>
              <w:adjustRightInd w:val="0"/>
              <w:spacing w:before="160" w:after="160"/>
              <w:jc w:val="center"/>
              <w:textAlignment w:val="baseline"/>
              <w:rPr>
                <w:b/>
                <w:sz w:val="20"/>
                <w:lang w:val="fr-FR"/>
              </w:rPr>
            </w:pPr>
            <w:r w:rsidRPr="003B7CB6">
              <w:rPr>
                <w:b/>
                <w:sz w:val="20"/>
                <w:lang w:val="fr-FR"/>
              </w:rPr>
              <w:t>Active service</w:t>
            </w:r>
          </w:p>
        </w:tc>
        <w:tc>
          <w:tcPr>
            <w:tcW w:w="4881" w:type="dxa"/>
            <w:vAlign w:val="center"/>
          </w:tcPr>
          <w:p w:rsidR="003B7CB6" w:rsidRPr="003B7CB6" w:rsidP="003B7CB6">
            <w:pPr>
              <w:overflowPunct w:val="0"/>
              <w:autoSpaceDE w:val="0"/>
              <w:autoSpaceDN w:val="0"/>
              <w:adjustRightInd w:val="0"/>
              <w:spacing w:before="160" w:after="160"/>
              <w:jc w:val="center"/>
              <w:textAlignment w:val="baseline"/>
              <w:rPr>
                <w:b/>
                <w:sz w:val="20"/>
                <w:lang w:val="fr-FR"/>
              </w:rPr>
            </w:pPr>
            <w:r w:rsidRPr="003B7CB6">
              <w:rPr>
                <w:b/>
                <w:sz w:val="20"/>
                <w:lang w:val="fr-FR"/>
              </w:rPr>
              <w:t>Limits of unwanted emission power from</w:t>
            </w:r>
            <w:r w:rsidRPr="003B7CB6">
              <w:rPr>
                <w:b/>
                <w:sz w:val="20"/>
                <w:lang w:val="fr-FR"/>
              </w:rPr>
              <w:br/>
              <w:t>active service stations in a specified bandwidth</w:t>
            </w:r>
            <w:r w:rsidRPr="003B7CB6">
              <w:rPr>
                <w:b/>
                <w:sz w:val="20"/>
                <w:lang w:val="fr-FR"/>
              </w:rPr>
              <w:br/>
              <w:t>within the EESS (passive) band</w:t>
            </w:r>
            <w:r w:rsidRPr="003B7CB6">
              <w:rPr>
                <w:bCs/>
                <w:sz w:val="20"/>
                <w:vertAlign w:val="superscript"/>
                <w:lang w:val="fr-FR"/>
              </w:rPr>
              <w:t>1</w:t>
            </w:r>
          </w:p>
        </w:tc>
      </w:tr>
      <w:tr w:rsidTr="003B7CB6">
        <w:tblPrEx>
          <w:tblW w:w="9696" w:type="dxa"/>
          <w:jc w:val="center"/>
          <w:tblLayout w:type="fixed"/>
          <w:tblLook w:val="01E0"/>
        </w:tblPrEx>
        <w:trPr>
          <w:cantSplit/>
          <w:jc w:val="center"/>
        </w:trPr>
        <w:tc>
          <w:tcPr>
            <w:tcW w:w="1696" w:type="dxa"/>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w:t>
            </w:r>
          </w:p>
        </w:tc>
        <w:tc>
          <w:tcPr>
            <w:tcW w:w="1701" w:type="dxa"/>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w:t>
            </w:r>
          </w:p>
        </w:tc>
        <w:tc>
          <w:tcPr>
            <w:tcW w:w="1418" w:type="dxa"/>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w:t>
            </w:r>
          </w:p>
        </w:tc>
        <w:tc>
          <w:tcPr>
            <w:tcW w:w="4881" w:type="dxa"/>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n-GB" w:eastAsia="x-none"/>
              </w:rPr>
            </w:pPr>
            <w:r w:rsidRPr="003B7CB6">
              <w:rPr>
                <w:sz w:val="20"/>
                <w:lang w:val="en-GB" w:eastAsia="x-none"/>
              </w:rPr>
              <w:t>…</w:t>
            </w:r>
          </w:p>
        </w:tc>
      </w:tr>
      <w:tr w:rsidTr="003B7CB6">
        <w:tblPrEx>
          <w:tblW w:w="9696" w:type="dxa"/>
          <w:jc w:val="center"/>
          <w:tblLayout w:type="fixed"/>
          <w:tblLook w:val="01E0"/>
        </w:tblPrEx>
        <w:trPr>
          <w:cantSplit/>
          <w:jc w:val="center"/>
        </w:trPr>
        <w:tc>
          <w:tcPr>
            <w:tcW w:w="1696" w:type="dxa"/>
            <w:tcBorders>
              <w:bottom w:val="single" w:sz="4" w:space="0" w:color="auto"/>
            </w:tcBorders>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52.6-54.25 GHz</w:t>
            </w:r>
          </w:p>
        </w:tc>
        <w:tc>
          <w:tcPr>
            <w:tcW w:w="1701" w:type="dxa"/>
            <w:tcBorders>
              <w:bottom w:val="single" w:sz="4" w:space="0" w:color="auto"/>
            </w:tcBorders>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51.4-52.6 GHz</w:t>
            </w:r>
          </w:p>
        </w:tc>
        <w:tc>
          <w:tcPr>
            <w:tcW w:w="1418" w:type="dxa"/>
            <w:tcBorders>
              <w:bottom w:val="single" w:sz="4" w:space="0" w:color="auto"/>
            </w:tcBorders>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Fixed</w:t>
            </w:r>
          </w:p>
        </w:tc>
        <w:tc>
          <w:tcPr>
            <w:tcW w:w="4881" w:type="dxa"/>
            <w:tcBorders>
              <w:bottom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n-GB" w:eastAsia="x-none"/>
              </w:rPr>
            </w:pPr>
            <w:r w:rsidRPr="003B7CB6">
              <w:rPr>
                <w:sz w:val="20"/>
                <w:lang w:val="en-GB" w:eastAsia="x-none"/>
              </w:rPr>
              <w:t>For stations brought into use after the date of entry into force of the Final Acts of WRC</w:t>
            </w:r>
            <w:r w:rsidRPr="003B7CB6">
              <w:rPr>
                <w:sz w:val="20"/>
                <w:lang w:val="en-GB" w:eastAsia="x-none"/>
              </w:rPr>
              <w:noBreakHyphen/>
              <w:t>07:</w:t>
            </w:r>
          </w:p>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val="en-GB" w:eastAsia="x-none"/>
              </w:rPr>
            </w:pPr>
            <w:r w:rsidRPr="003B7CB6">
              <w:rPr>
                <w:sz w:val="20"/>
                <w:lang w:val="en-GB" w:eastAsia="x-none"/>
              </w:rPr>
              <w:t>−33 dBW in any 100 MHz of the EESS (passive) band</w:t>
            </w:r>
          </w:p>
        </w:tc>
      </w:tr>
      <w:tr w:rsidTr="003B7CB6">
        <w:tblPrEx>
          <w:tblW w:w="9696" w:type="dxa"/>
          <w:jc w:val="center"/>
          <w:tblLayout w:type="fixed"/>
          <w:tblLook w:val="01E0"/>
        </w:tblPrEx>
        <w:trPr>
          <w:cantSplit/>
          <w:jc w:val="center"/>
        </w:trPr>
        <w:tc>
          <w:tcPr>
            <w:tcW w:w="1696" w:type="dxa"/>
            <w:tcBorders>
              <w:bottom w:val="single" w:sz="4" w:space="0" w:color="auto"/>
            </w:tcBorders>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52.6-54.25 GHz</w:t>
            </w:r>
          </w:p>
        </w:tc>
        <w:tc>
          <w:tcPr>
            <w:tcW w:w="1701" w:type="dxa"/>
            <w:tcBorders>
              <w:bottom w:val="single" w:sz="4" w:space="0" w:color="auto"/>
            </w:tcBorders>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52.1-52.4 GHz</w:t>
            </w:r>
          </w:p>
        </w:tc>
        <w:tc>
          <w:tcPr>
            <w:tcW w:w="1418" w:type="dxa"/>
            <w:tcBorders>
              <w:bottom w:val="single" w:sz="4" w:space="0" w:color="auto"/>
            </w:tcBorders>
            <w:vAlign w:val="center"/>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sz w:val="20"/>
                <w:lang w:val="en-GB" w:eastAsia="x-none"/>
              </w:rPr>
            </w:pPr>
            <w:r w:rsidRPr="003B7CB6">
              <w:rPr>
                <w:sz w:val="20"/>
                <w:lang w:val="en-GB" w:eastAsia="x-none"/>
              </w:rPr>
              <w:t>Fixed-satellite (E</w:t>
            </w:r>
            <w:r w:rsidRPr="003B7CB6">
              <w:rPr>
                <w:sz w:val="20"/>
                <w:lang w:val="en-GB" w:eastAsia="x-none"/>
              </w:rPr>
              <w:noBreakHyphen/>
              <w:t>to</w:t>
            </w:r>
            <w:r w:rsidRPr="003B7CB6">
              <w:rPr>
                <w:sz w:val="20"/>
                <w:lang w:val="en-GB" w:eastAsia="x-none"/>
              </w:rPr>
              <w:noBreakHyphen/>
              <w:t>s)</w:t>
            </w:r>
          </w:p>
        </w:tc>
        <w:tc>
          <w:tcPr>
            <w:tcW w:w="4881" w:type="dxa"/>
            <w:tcBorders>
              <w:bottom w:val="single" w:sz="4" w:space="0" w:color="auto"/>
            </w:tcBorders>
          </w:tcPr>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 xml:space="preserve">For </w:t>
            </w:r>
            <w:r w:rsidRPr="003B7CB6">
              <w:rPr>
                <w:sz w:val="20"/>
                <w:lang w:val="en-GB" w:eastAsia="x-none"/>
              </w:rPr>
              <w:t>stations</w:t>
            </w:r>
            <w:r w:rsidRPr="003B7CB6">
              <w:rPr>
                <w:sz w:val="20"/>
                <w:lang w:eastAsia="x-none"/>
              </w:rPr>
              <w:t xml:space="preserve"> brought into use after the date of entry into force of the Final Acts of WRC-19:</w:t>
            </w:r>
          </w:p>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vertAlign w:val="superscript"/>
                <w:lang w:eastAsia="x-none"/>
              </w:rPr>
            </w:pPr>
            <w:r w:rsidRPr="003B7CB6">
              <w:rPr>
                <w:sz w:val="20"/>
                <w:lang w:eastAsia="x-none"/>
              </w:rPr>
              <w:t xml:space="preserve">-37 dBW in any 100 MHz of the EESS (passive) band for earth stations with antenna elevation angles lower than 75° </w:t>
            </w:r>
          </w:p>
          <w:p w:rsidR="003B7CB6" w:rsidRPr="003B7CB6" w:rsidP="003B7CB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sz w:val="20"/>
                <w:lang w:eastAsia="x-none"/>
              </w:rPr>
            </w:pPr>
            <w:r w:rsidRPr="003B7CB6">
              <w:rPr>
                <w:sz w:val="20"/>
                <w:lang w:eastAsia="x-none"/>
              </w:rPr>
              <w:t xml:space="preserve">-52 dBW in any 100 MHz of the EESS (passive) band for earth stations with antenna elevation angles equal or higher than 75° </w:t>
            </w:r>
          </w:p>
        </w:tc>
      </w:tr>
    </w:tbl>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bCs/>
          <w:sz w:val="24"/>
          <w:lang w:val="en-GB"/>
        </w:rPr>
        <w:t>Reasons:</w:t>
      </w:r>
      <w:r w:rsidRPr="003B7CB6">
        <w:rPr>
          <w:sz w:val="24"/>
          <w:lang w:val="en-GB"/>
        </w:rPr>
        <w:tab/>
        <w:t>Limit the unwanted emissions from the FSS Earth stations falling in the band 52.6</w:t>
      </w:r>
      <w:r w:rsidRPr="003B7CB6">
        <w:rPr>
          <w:sz w:val="24"/>
          <w:lang w:val="en-GB"/>
        </w:rPr>
        <w:noBreakHyphen/>
        <w:t>54.25 GHz to protect the EESS (passive) according to their elevation angle.</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p>
    <w:p w:rsidR="003B7CB6" w:rsidP="003B7CB6">
      <w:pPr>
        <w:spacing w:after="200" w:line="276" w:lineRule="auto"/>
        <w:jc w:val="center"/>
        <w:rPr>
          <w:b/>
          <w:sz w:val="24"/>
          <w:szCs w:val="24"/>
        </w:rPr>
      </w:pPr>
      <w:r>
        <w:rPr>
          <w:b/>
          <w:sz w:val="24"/>
          <w:szCs w:val="24"/>
        </w:rPr>
        <w:t>________________</w:t>
      </w:r>
    </w:p>
    <w:p w:rsidR="003B7CB6">
      <w:pPr>
        <w:spacing w:after="200" w:line="276" w:lineRule="auto"/>
        <w:rPr>
          <w:b/>
          <w:sz w:val="24"/>
          <w:szCs w:val="24"/>
        </w:rPr>
      </w:pPr>
      <w:r>
        <w:rPr>
          <w:b/>
          <w:sz w:val="24"/>
          <w:szCs w:val="24"/>
        </w:rPr>
        <w:br w:type="page"/>
      </w:r>
    </w:p>
    <w:p w:rsidR="00046568" w:rsidP="00046568">
      <w:pPr>
        <w:spacing w:after="200" w:line="276" w:lineRule="auto"/>
        <w:rPr>
          <w:b/>
          <w:sz w:val="24"/>
          <w:szCs w:val="24"/>
        </w:rPr>
      </w:pPr>
      <w:r>
        <w:rPr>
          <w:b/>
          <w:sz w:val="24"/>
          <w:szCs w:val="24"/>
        </w:rPr>
        <w:t>DOCUMENT WAC/08</w:t>
      </w:r>
      <w:r w:rsidR="003B7CB6">
        <w:rPr>
          <w:b/>
          <w:sz w:val="24"/>
          <w:szCs w:val="24"/>
        </w:rPr>
        <w:t>9</w:t>
      </w:r>
      <w:r>
        <w:rPr>
          <w:b/>
          <w:sz w:val="24"/>
          <w:szCs w:val="24"/>
        </w:rPr>
        <w:t xml:space="preserve"> (11.03.19)</w:t>
      </w:r>
    </w:p>
    <w:p w:rsidR="003B7CB6" w:rsidRPr="003B7CB6" w:rsidP="003B7CB6">
      <w:pPr>
        <w:keepNext/>
        <w:tabs>
          <w:tab w:val="left" w:pos="360"/>
          <w:tab w:val="left" w:pos="900"/>
        </w:tabs>
        <w:jc w:val="center"/>
        <w:outlineLvl w:val="0"/>
        <w:rPr>
          <w:b/>
          <w:bCs/>
          <w:sz w:val="24"/>
          <w:szCs w:val="24"/>
        </w:rPr>
      </w:pPr>
      <w:r w:rsidRPr="003B7CB6">
        <w:rPr>
          <w:b/>
          <w:bCs/>
          <w:sz w:val="24"/>
          <w:szCs w:val="24"/>
        </w:rPr>
        <w:t>UNITED STATES OF AMERICA</w:t>
      </w:r>
    </w:p>
    <w:p w:rsidR="003B7CB6" w:rsidRPr="003B7CB6" w:rsidP="003B7CB6">
      <w:pPr>
        <w:tabs>
          <w:tab w:val="left" w:pos="576"/>
          <w:tab w:val="left" w:pos="792"/>
          <w:tab w:val="left" w:pos="1008"/>
          <w:tab w:val="left" w:pos="1224"/>
          <w:tab w:val="left" w:pos="1440"/>
        </w:tabs>
        <w:jc w:val="center"/>
        <w:rPr>
          <w:rFonts w:eastAsia="Calibri"/>
          <w:sz w:val="24"/>
          <w:szCs w:val="22"/>
        </w:rPr>
      </w:pPr>
    </w:p>
    <w:p w:rsidR="003B7CB6" w:rsidRPr="003B7CB6" w:rsidP="003B7CB6">
      <w:pPr>
        <w:keepNext/>
        <w:tabs>
          <w:tab w:val="left" w:pos="360"/>
          <w:tab w:val="left" w:pos="900"/>
        </w:tabs>
        <w:jc w:val="center"/>
        <w:outlineLvl w:val="0"/>
        <w:rPr>
          <w:b/>
          <w:bCs/>
          <w:sz w:val="24"/>
          <w:szCs w:val="24"/>
        </w:rPr>
      </w:pPr>
      <w:r w:rsidRPr="003B7CB6">
        <w:rPr>
          <w:b/>
          <w:bCs/>
          <w:sz w:val="24"/>
          <w:szCs w:val="24"/>
        </w:rPr>
        <w:t xml:space="preserve">DRAFT </w:t>
      </w:r>
      <w:r w:rsidRPr="003B7CB6">
        <w:rPr>
          <w:b/>
          <w:bCs/>
          <w:sz w:val="24"/>
        </w:rPr>
        <w:t>PROPOSALS FOR THE WORK OF THE CONFERENCE</w:t>
      </w:r>
    </w:p>
    <w:p w:rsidR="003B7CB6" w:rsidRPr="003B7CB6" w:rsidP="003B7CB6">
      <w:pPr>
        <w:tabs>
          <w:tab w:val="left" w:pos="576"/>
          <w:tab w:val="left" w:pos="792"/>
          <w:tab w:val="left" w:pos="1008"/>
          <w:tab w:val="left" w:pos="1224"/>
          <w:tab w:val="left" w:pos="1440"/>
        </w:tabs>
        <w:rPr>
          <w:rFonts w:eastAsia="Calibri"/>
          <w:sz w:val="24"/>
          <w:szCs w:val="22"/>
        </w:rPr>
      </w:pPr>
    </w:p>
    <w:p w:rsidR="003B7CB6" w:rsidRPr="003B7CB6" w:rsidP="003B7CB6">
      <w:pPr>
        <w:tabs>
          <w:tab w:val="left" w:pos="576"/>
          <w:tab w:val="left" w:pos="792"/>
          <w:tab w:val="left" w:pos="1008"/>
          <w:tab w:val="left" w:pos="1224"/>
          <w:tab w:val="left" w:pos="1440"/>
        </w:tabs>
        <w:rPr>
          <w:rFonts w:eastAsia="Calibri"/>
          <w:bCs/>
          <w:sz w:val="24"/>
          <w:szCs w:val="22"/>
        </w:rPr>
      </w:pPr>
      <w:r w:rsidRPr="003B7CB6">
        <w:rPr>
          <w:rFonts w:eastAsia="Calibri"/>
          <w:b/>
          <w:bCs/>
          <w:sz w:val="24"/>
          <w:szCs w:val="22"/>
        </w:rPr>
        <w:t>AGENDA ITEM 10</w:t>
      </w:r>
      <w:r w:rsidRPr="003B7CB6">
        <w:rPr>
          <w:rFonts w:eastAsia="Calibri"/>
          <w:bCs/>
          <w:sz w:val="24"/>
          <w:szCs w:val="22"/>
        </w:rPr>
        <w:t xml:space="preserve">: </w:t>
      </w:r>
      <w:r w:rsidRPr="003B7CB6">
        <w:rPr>
          <w:rFonts w:eastAsia="Calibri"/>
          <w:bCs/>
          <w:i/>
          <w:sz w:val="24"/>
          <w:szCs w:val="22"/>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3B7CB6" w:rsidRPr="003B7CB6" w:rsidP="003B7CB6">
      <w:pPr>
        <w:tabs>
          <w:tab w:val="left" w:pos="576"/>
          <w:tab w:val="left" w:pos="792"/>
          <w:tab w:val="left" w:pos="1008"/>
          <w:tab w:val="left" w:pos="1224"/>
          <w:tab w:val="left" w:pos="1440"/>
        </w:tabs>
        <w:rPr>
          <w:rFonts w:eastAsia="Calibri"/>
          <w:bCs/>
          <w:sz w:val="24"/>
          <w:szCs w:val="22"/>
        </w:rPr>
      </w:pP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b/>
          <w:bCs/>
          <w:sz w:val="24"/>
          <w:szCs w:val="22"/>
        </w:rPr>
        <w:t>BACKGROUND INFORMATION</w:t>
      </w:r>
      <w:r w:rsidRPr="003B7CB6">
        <w:rPr>
          <w:rFonts w:eastAsia="Calibri"/>
          <w:sz w:val="24"/>
          <w:szCs w:val="22"/>
        </w:rPr>
        <w:t xml:space="preserve">: </w:t>
      </w:r>
    </w:p>
    <w:p w:rsidR="003B7CB6" w:rsidRPr="003B7CB6" w:rsidP="003B7CB6">
      <w:pPr>
        <w:tabs>
          <w:tab w:val="left" w:pos="576"/>
          <w:tab w:val="left" w:pos="792"/>
          <w:tab w:val="left" w:pos="1008"/>
          <w:tab w:val="left" w:pos="1224"/>
          <w:tab w:val="left" w:pos="1440"/>
        </w:tabs>
        <w:rPr>
          <w:rFonts w:eastAsia="Calibri"/>
          <w:sz w:val="24"/>
          <w:szCs w:val="22"/>
        </w:rPr>
      </w:pP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4"/>
          <w:lang w:eastAsia="zh-CN"/>
        </w:rPr>
      </w:pPr>
      <w:r w:rsidRPr="003B7CB6">
        <w:rPr>
          <w:rFonts w:eastAsia="Calibri"/>
          <w:sz w:val="24"/>
          <w:szCs w:val="24"/>
        </w:rPr>
        <w:t>Article</w:t>
      </w:r>
      <w:r w:rsidRPr="003B7CB6">
        <w:rPr>
          <w:rFonts w:eastAsia="Calibri"/>
          <w:sz w:val="24"/>
          <w:szCs w:val="24"/>
          <w:lang w:eastAsia="zh-CN"/>
        </w:rPr>
        <w:t xml:space="preserve"> </w:t>
      </w:r>
      <w:r w:rsidRPr="003B7CB6">
        <w:rPr>
          <w:rFonts w:eastAsia="Calibri"/>
          <w:b/>
          <w:sz w:val="24"/>
          <w:szCs w:val="24"/>
          <w:lang w:eastAsia="zh-CN"/>
        </w:rPr>
        <w:t>1.22</w:t>
      </w:r>
      <w:r w:rsidRPr="003B7CB6">
        <w:rPr>
          <w:rFonts w:eastAsia="Calibri"/>
          <w:sz w:val="24"/>
          <w:szCs w:val="24"/>
          <w:lang w:eastAsia="zh-CN"/>
        </w:rPr>
        <w:t xml:space="preserve"> of the Radio Regulations defines </w:t>
      </w:r>
      <w:r w:rsidRPr="003B7CB6">
        <w:rPr>
          <w:rFonts w:eastAsia="Calibri"/>
          <w:i/>
          <w:sz w:val="24"/>
          <w:szCs w:val="24"/>
          <w:lang w:eastAsia="zh-CN"/>
        </w:rPr>
        <w:t>fixed-satellite service</w:t>
      </w:r>
      <w:r w:rsidRPr="003B7CB6">
        <w:rPr>
          <w:rFonts w:eastAsia="Calibri"/>
          <w:sz w:val="24"/>
          <w:szCs w:val="24"/>
          <w:lang w:eastAsia="zh-CN"/>
        </w:rPr>
        <w:t xml:space="preserve"> (FSS) as follows:</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4"/>
          <w:lang w:eastAsia="zh-CN"/>
        </w:rPr>
      </w:pP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ind w:left="720" w:right="720"/>
        <w:jc w:val="both"/>
        <w:textAlignment w:val="baseline"/>
        <w:rPr>
          <w:rFonts w:eastAsia="Calibri"/>
          <w:sz w:val="24"/>
          <w:szCs w:val="24"/>
          <w:lang w:val="en-GB"/>
        </w:rPr>
      </w:pPr>
      <w:r w:rsidRPr="003B7CB6">
        <w:rPr>
          <w:rFonts w:eastAsia="Calibri"/>
          <w:sz w:val="24"/>
          <w:szCs w:val="24"/>
          <w:lang w:eastAsia="zh-CN"/>
        </w:rPr>
        <w:t xml:space="preserve">A </w:t>
      </w:r>
      <w:r w:rsidRPr="003B7CB6">
        <w:rPr>
          <w:rFonts w:eastAsia="Calibri"/>
          <w:i/>
          <w:sz w:val="24"/>
          <w:szCs w:val="24"/>
          <w:lang w:eastAsia="zh-CN"/>
        </w:rPr>
        <w:t>radiocommunication service</w:t>
      </w:r>
      <w:r w:rsidRPr="003B7CB6">
        <w:rPr>
          <w:rFonts w:eastAsia="Calibri"/>
          <w:sz w:val="24"/>
          <w:szCs w:val="24"/>
          <w:lang w:eastAsia="zh-CN"/>
        </w:rPr>
        <w:t xml:space="preserve"> between </w:t>
      </w:r>
      <w:r w:rsidRPr="003B7CB6">
        <w:rPr>
          <w:rFonts w:eastAsia="Calibri"/>
          <w:i/>
          <w:sz w:val="24"/>
          <w:szCs w:val="24"/>
          <w:lang w:eastAsia="zh-CN"/>
        </w:rPr>
        <w:t>earth stations</w:t>
      </w:r>
      <w:r w:rsidRPr="003B7CB6">
        <w:rPr>
          <w:rFonts w:eastAsia="Calibri"/>
          <w:sz w:val="24"/>
          <w:szCs w:val="24"/>
          <w:lang w:eastAsia="zh-CN"/>
        </w:rPr>
        <w:t xml:space="preserve"> at given positions, when one or more </w:t>
      </w:r>
      <w:r w:rsidRPr="003B7CB6">
        <w:rPr>
          <w:rFonts w:eastAsia="Calibri"/>
          <w:i/>
          <w:sz w:val="24"/>
          <w:szCs w:val="24"/>
          <w:lang w:eastAsia="zh-CN"/>
        </w:rPr>
        <w:t>satellites</w:t>
      </w:r>
      <w:r w:rsidRPr="003B7CB6">
        <w:rPr>
          <w:rFonts w:eastAsia="Calibri"/>
          <w:sz w:val="24"/>
          <w:szCs w:val="24"/>
          <w:lang w:eastAsia="zh-CN"/>
        </w:rPr>
        <w:t xml:space="preserve"> are used; the given position may be a specified fixed point or any fixed point within specified areas; in some cases this service includes satellite-to-satellite links, which may also be operated in the </w:t>
      </w:r>
      <w:r w:rsidRPr="003B7CB6">
        <w:rPr>
          <w:rFonts w:eastAsia="Calibri"/>
          <w:i/>
          <w:sz w:val="24"/>
          <w:szCs w:val="24"/>
          <w:lang w:eastAsia="zh-CN"/>
        </w:rPr>
        <w:t>inter-satellite service</w:t>
      </w:r>
      <w:r w:rsidRPr="003B7CB6">
        <w:rPr>
          <w:rFonts w:eastAsia="Calibri"/>
          <w:sz w:val="24"/>
          <w:szCs w:val="24"/>
          <w:lang w:eastAsia="zh-CN"/>
        </w:rPr>
        <w:t xml:space="preserve">; the fixed-satellite service may also include </w:t>
      </w:r>
      <w:r w:rsidRPr="003B7CB6">
        <w:rPr>
          <w:rFonts w:eastAsia="Calibri"/>
          <w:i/>
          <w:sz w:val="24"/>
          <w:szCs w:val="24"/>
          <w:lang w:eastAsia="zh-CN"/>
        </w:rPr>
        <w:t>feeder links</w:t>
      </w:r>
      <w:r w:rsidRPr="003B7CB6">
        <w:rPr>
          <w:rFonts w:eastAsia="Calibri"/>
          <w:sz w:val="24"/>
          <w:szCs w:val="24"/>
          <w:lang w:eastAsia="zh-CN"/>
        </w:rPr>
        <w:t xml:space="preserve"> for other </w:t>
      </w:r>
      <w:r w:rsidRPr="003B7CB6">
        <w:rPr>
          <w:rFonts w:eastAsia="Calibri"/>
          <w:i/>
          <w:sz w:val="24"/>
          <w:szCs w:val="24"/>
          <w:lang w:eastAsia="zh-CN"/>
        </w:rPr>
        <w:t>space radiocommunication services</w:t>
      </w:r>
      <w:r w:rsidRPr="003B7CB6">
        <w:rPr>
          <w:rFonts w:eastAsia="Calibri"/>
          <w:sz w:val="24"/>
          <w:szCs w:val="24"/>
          <w:lang w:val="en-GB"/>
        </w:rPr>
        <w:t xml:space="preserve">. </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4"/>
          <w:lang w:val="en-GB"/>
        </w:rPr>
      </w:pPr>
    </w:p>
    <w:p w:rsidR="003B7CB6" w:rsidRPr="003B7CB6" w:rsidP="003B7CB6">
      <w:pPr>
        <w:tabs>
          <w:tab w:val="left" w:pos="576"/>
          <w:tab w:val="left" w:pos="792"/>
          <w:tab w:val="left" w:pos="1008"/>
          <w:tab w:val="left" w:pos="1224"/>
          <w:tab w:val="left" w:pos="1440"/>
        </w:tabs>
        <w:jc w:val="both"/>
        <w:rPr>
          <w:rFonts w:eastAsia="Calibri"/>
          <w:bCs/>
          <w:sz w:val="24"/>
          <w:szCs w:val="24"/>
        </w:rPr>
      </w:pPr>
      <w:r w:rsidRPr="003B7CB6">
        <w:rPr>
          <w:rFonts w:eastAsia="Calibri"/>
          <w:sz w:val="24"/>
          <w:szCs w:val="24"/>
          <w:lang w:val="en-GB"/>
        </w:rPr>
        <w:t xml:space="preserve">The “some cases” in which satellite-to-satellite links are included in the FSS are not elaborated in either the Radio Regulations or associated ITU publications.  Nevertheless, the possibility for satellite-to-satellite links within the FSS exists.  This possibility seems particularly reasonable in cases where a link from a space station in non-geostationary satellite orbit (non-GSO) is being transmitted in the same general direction (e.g., Earth-to-space) within the receive beam of a higher-altitude geostationary-orbit (GSO) space station using technical parameters identical or substantially similar to transmitting FSS ground stations within that GSO space station receive beam.  </w:t>
      </w:r>
      <w:r w:rsidRPr="003B7CB6">
        <w:rPr>
          <w:rFonts w:eastAsia="Calibri"/>
          <w:bCs/>
          <w:sz w:val="24"/>
          <w:szCs w:val="24"/>
        </w:rPr>
        <w:t xml:space="preserve"> </w:t>
      </w:r>
    </w:p>
    <w:p w:rsidR="003B7CB6" w:rsidRPr="003B7CB6" w:rsidP="003B7CB6">
      <w:pPr>
        <w:tabs>
          <w:tab w:val="left" w:pos="576"/>
          <w:tab w:val="left" w:pos="792"/>
          <w:tab w:val="left" w:pos="1008"/>
          <w:tab w:val="left" w:pos="1224"/>
          <w:tab w:val="left" w:pos="1440"/>
        </w:tabs>
        <w:jc w:val="both"/>
        <w:rPr>
          <w:rFonts w:eastAsia="Calibri"/>
          <w:bCs/>
          <w:sz w:val="24"/>
          <w:szCs w:val="24"/>
        </w:rPr>
      </w:pPr>
    </w:p>
    <w:p w:rsidR="003B7CB6" w:rsidRPr="003B7CB6" w:rsidP="003B7CB6">
      <w:pPr>
        <w:tabs>
          <w:tab w:val="left" w:pos="576"/>
          <w:tab w:val="left" w:pos="792"/>
          <w:tab w:val="left" w:pos="1008"/>
          <w:tab w:val="left" w:pos="1224"/>
          <w:tab w:val="left" w:pos="1440"/>
        </w:tabs>
        <w:jc w:val="both"/>
        <w:rPr>
          <w:rFonts w:eastAsia="Calibri"/>
          <w:bCs/>
          <w:sz w:val="24"/>
          <w:szCs w:val="24"/>
        </w:rPr>
      </w:pPr>
      <w:r w:rsidRPr="003B7CB6">
        <w:rPr>
          <w:rFonts w:eastAsia="Calibri"/>
          <w:bCs/>
          <w:sz w:val="24"/>
          <w:szCs w:val="24"/>
        </w:rPr>
        <w:t xml:space="preserve">As reported by the Director of the Radiocommunication Bureau to the final CPM for WRC-19, since 2014, there have been 27 submissions of advance publication information for non-GSO satellite systems under No. </w:t>
      </w:r>
      <w:r w:rsidRPr="003B7CB6">
        <w:rPr>
          <w:rFonts w:eastAsia="Calibri"/>
          <w:b/>
          <w:bCs/>
          <w:sz w:val="24"/>
          <w:szCs w:val="24"/>
        </w:rPr>
        <w:t>4.4</w:t>
      </w:r>
      <w:r w:rsidRPr="003B7CB6">
        <w:rPr>
          <w:rFonts w:eastAsia="Calibri"/>
          <w:bCs/>
          <w:sz w:val="24"/>
          <w:szCs w:val="24"/>
        </w:rPr>
        <w:t xml:space="preserve"> of the Radio Regulations specifying use by a non-allocated space service of frequency bands allocated to another space service.  </w:t>
      </w:r>
      <w:r w:rsidRPr="003B7CB6">
        <w:rPr>
          <w:rFonts w:eastAsia="Calibri"/>
          <w:bCs/>
          <w:i/>
          <w:sz w:val="24"/>
          <w:szCs w:val="24"/>
        </w:rPr>
        <w:t xml:space="preserve">See </w:t>
      </w:r>
      <w:r w:rsidRPr="003B7CB6">
        <w:rPr>
          <w:rFonts w:eastAsia="Calibri"/>
          <w:bCs/>
          <w:sz w:val="24"/>
          <w:szCs w:val="24"/>
        </w:rPr>
        <w:t xml:space="preserve">Document CPM19-2/017, at Section 3.1.3.2 (Preliminary Draft Report of the Director to WRC-19 on Activities of the Radiocommunication Sector).   Notification information was subsequently filed for frequency assignments to 3 of these systems.  The Director’s draft report states that </w:t>
      </w:r>
      <w:r w:rsidRPr="003B7CB6">
        <w:rPr>
          <w:rFonts w:eastAsia="Calibri"/>
          <w:sz w:val="24"/>
          <w:szCs w:val="24"/>
        </w:rPr>
        <w:t xml:space="preserve">“[n]one of these frequency assignments was reported to the BR as causing harmful interference to any service of another administration.”  </w:t>
      </w:r>
      <w:r w:rsidRPr="003B7CB6">
        <w:rPr>
          <w:rFonts w:eastAsia="Calibri"/>
          <w:bCs/>
          <w:sz w:val="24"/>
          <w:szCs w:val="24"/>
        </w:rPr>
        <w:t>Document CPM19-2/017, at Section 3.1.3.2</w:t>
      </w:r>
    </w:p>
    <w:p w:rsidR="003B7CB6" w:rsidRPr="003B7CB6" w:rsidP="003B7CB6">
      <w:pPr>
        <w:tabs>
          <w:tab w:val="left" w:pos="576"/>
          <w:tab w:val="left" w:pos="792"/>
          <w:tab w:val="left" w:pos="1008"/>
          <w:tab w:val="left" w:pos="1224"/>
          <w:tab w:val="left" w:pos="1440"/>
        </w:tabs>
        <w:jc w:val="both"/>
        <w:rPr>
          <w:rFonts w:eastAsia="Calibri"/>
          <w:bCs/>
          <w:sz w:val="24"/>
          <w:szCs w:val="24"/>
        </w:rPr>
      </w:pPr>
    </w:p>
    <w:p w:rsidR="003B7CB6" w:rsidRPr="003B7CB6" w:rsidP="003B7CB6">
      <w:pPr>
        <w:tabs>
          <w:tab w:val="left" w:pos="576"/>
          <w:tab w:val="left" w:pos="792"/>
          <w:tab w:val="left" w:pos="1008"/>
          <w:tab w:val="left" w:pos="1224"/>
          <w:tab w:val="left" w:pos="1440"/>
        </w:tabs>
        <w:jc w:val="both"/>
        <w:rPr>
          <w:rFonts w:eastAsia="Calibri"/>
          <w:bCs/>
          <w:sz w:val="24"/>
          <w:szCs w:val="24"/>
        </w:rPr>
      </w:pPr>
      <w:r w:rsidRPr="003B7CB6">
        <w:rPr>
          <w:rFonts w:eastAsia="Calibri"/>
          <w:bCs/>
          <w:sz w:val="24"/>
          <w:szCs w:val="24"/>
        </w:rPr>
        <w:t>The challenge comes, as the Director of the Radiocommunication Bureau has acknowledged, in finding a path to recognition in the Radio Regulations for such uses, where possible, based on the technical conditions derived from ITU-R studies. Because frequency bands allocated to the fixed-satellite service are used for links between space stations and earth stations, it is necessary to analyze the use of the same bands for satellite-to-satellite links to ensure compatibility and avoid harmful interference. The sharing scenario is likely to differ as the orbital characteristics of the linked satellites vary.</w:t>
      </w:r>
    </w:p>
    <w:p w:rsidR="003B7CB6" w:rsidRPr="003B7CB6" w:rsidP="003B7CB6">
      <w:pPr>
        <w:tabs>
          <w:tab w:val="left" w:pos="576"/>
          <w:tab w:val="left" w:pos="792"/>
          <w:tab w:val="left" w:pos="1008"/>
          <w:tab w:val="left" w:pos="1224"/>
          <w:tab w:val="left" w:pos="1440"/>
        </w:tabs>
        <w:jc w:val="both"/>
        <w:rPr>
          <w:rFonts w:eastAsia="Calibri"/>
          <w:bCs/>
          <w:sz w:val="24"/>
          <w:szCs w:val="24"/>
        </w:rPr>
      </w:pPr>
    </w:p>
    <w:p w:rsidR="003B7CB6" w:rsidRPr="003B7CB6" w:rsidP="003B7CB6">
      <w:pPr>
        <w:tabs>
          <w:tab w:val="left" w:pos="576"/>
          <w:tab w:val="left" w:pos="792"/>
          <w:tab w:val="left" w:pos="1008"/>
          <w:tab w:val="left" w:pos="1224"/>
          <w:tab w:val="left" w:pos="1440"/>
        </w:tabs>
        <w:jc w:val="both"/>
        <w:rPr>
          <w:rFonts w:eastAsia="Calibri"/>
          <w:sz w:val="24"/>
          <w:szCs w:val="24"/>
        </w:rPr>
      </w:pPr>
      <w:r w:rsidRPr="003B7CB6">
        <w:rPr>
          <w:rFonts w:eastAsia="Calibri"/>
          <w:bCs/>
          <w:sz w:val="24"/>
          <w:szCs w:val="24"/>
        </w:rPr>
        <w:t xml:space="preserve">Preliminary ITU-R studies have identified factors to be considered in assessing the compatibility of non-GSO satellite-to-GSO satellite links, in the Earth-to-space direction, with other FSS operations and other services in the 27.5 – 30 GHz frequency band. Continued development and completion of </w:t>
      </w:r>
      <w:r w:rsidRPr="003B7CB6">
        <w:rPr>
          <w:rFonts w:eastAsia="Calibri"/>
          <w:bCs/>
          <w:sz w:val="24"/>
          <w:szCs w:val="24"/>
        </w:rPr>
        <w:t>these studies will permit the development of appropriate ITU-R regulatory text to define the cases in which such transmissions may be provided within the fixed-satellite service and/or the inter-satellite service, and allow for a determination of whether the recognition of compatible links can be made via appropriate modifications to the studied FSS allocations in Article 5.</w:t>
      </w:r>
    </w:p>
    <w:p w:rsidR="003B7CB6" w:rsidRPr="003B7CB6" w:rsidP="003B7CB6">
      <w:pPr>
        <w:tabs>
          <w:tab w:val="left" w:pos="576"/>
          <w:tab w:val="left" w:pos="792"/>
          <w:tab w:val="left" w:pos="1008"/>
          <w:tab w:val="left" w:pos="1224"/>
          <w:tab w:val="left" w:pos="1440"/>
        </w:tabs>
        <w:jc w:val="both"/>
        <w:rPr>
          <w:rFonts w:eastAsia="Calibri"/>
          <w:sz w:val="24"/>
          <w:szCs w:val="24"/>
        </w:rPr>
      </w:pPr>
    </w:p>
    <w:p w:rsidR="003B7CB6" w:rsidRPr="003B7CB6" w:rsidP="003B7CB6">
      <w:pPr>
        <w:tabs>
          <w:tab w:val="left" w:pos="576"/>
          <w:tab w:val="left" w:pos="792"/>
          <w:tab w:val="left" w:pos="1008"/>
          <w:tab w:val="left" w:pos="1224"/>
          <w:tab w:val="left" w:pos="1440"/>
        </w:tabs>
        <w:jc w:val="both"/>
        <w:rPr>
          <w:rFonts w:eastAsia="Calibri"/>
          <w:sz w:val="24"/>
          <w:szCs w:val="24"/>
        </w:rPr>
      </w:pPr>
      <w:r w:rsidRPr="003B7CB6">
        <w:rPr>
          <w:rFonts w:eastAsia="Calibri"/>
          <w:sz w:val="24"/>
          <w:szCs w:val="24"/>
        </w:rPr>
        <w:br w:type="page"/>
      </w:r>
    </w:p>
    <w:p w:rsidR="003B7CB6" w:rsidRPr="003B7CB6" w:rsidP="003B7CB6">
      <w:pPr>
        <w:tabs>
          <w:tab w:val="left" w:pos="576"/>
          <w:tab w:val="left" w:pos="792"/>
          <w:tab w:val="left" w:pos="1008"/>
          <w:tab w:val="left" w:pos="1224"/>
          <w:tab w:val="left" w:pos="1440"/>
        </w:tabs>
        <w:jc w:val="both"/>
        <w:rPr>
          <w:rFonts w:eastAsia="Calibri"/>
          <w:sz w:val="24"/>
          <w:szCs w:val="24"/>
        </w:rPr>
      </w:pPr>
    </w:p>
    <w:p w:rsidR="003B7CB6" w:rsidRPr="003B7CB6" w:rsidP="003B7CB6">
      <w:pPr>
        <w:tabs>
          <w:tab w:val="left" w:pos="576"/>
          <w:tab w:val="left" w:pos="792"/>
          <w:tab w:val="left" w:pos="1008"/>
          <w:tab w:val="left" w:pos="1224"/>
          <w:tab w:val="left" w:pos="1440"/>
        </w:tabs>
        <w:autoSpaceDE w:val="0"/>
        <w:autoSpaceDN w:val="0"/>
        <w:adjustRightInd w:val="0"/>
        <w:rPr>
          <w:rFonts w:eastAsia="Calibri"/>
          <w:b/>
          <w:sz w:val="24"/>
          <w:szCs w:val="24"/>
          <w:lang w:eastAsia="x-none"/>
        </w:rPr>
      </w:pPr>
      <w:r w:rsidRPr="003B7CB6">
        <w:rPr>
          <w:rFonts w:eastAsia="Calibri"/>
          <w:b/>
          <w:sz w:val="24"/>
          <w:szCs w:val="24"/>
          <w:lang w:eastAsia="x-none"/>
        </w:rPr>
        <w:t>Proposals:</w:t>
      </w:r>
    </w:p>
    <w:p w:rsidR="003B7CB6" w:rsidRPr="003B7CB6" w:rsidP="003B7CB6">
      <w:pPr>
        <w:tabs>
          <w:tab w:val="left" w:pos="576"/>
          <w:tab w:val="left" w:pos="792"/>
          <w:tab w:val="left" w:pos="1008"/>
          <w:tab w:val="left" w:pos="1224"/>
          <w:tab w:val="left" w:pos="1440"/>
        </w:tabs>
        <w:autoSpaceDE w:val="0"/>
        <w:autoSpaceDN w:val="0"/>
        <w:adjustRightInd w:val="0"/>
        <w:rPr>
          <w:rFonts w:eastAsia="Calibri"/>
          <w:b/>
          <w:sz w:val="24"/>
          <w:szCs w:val="24"/>
          <w:lang w:eastAsia="x-none"/>
        </w:rPr>
      </w:pPr>
    </w:p>
    <w:p w:rsidR="003B7CB6" w:rsidRPr="003B7CB6" w:rsidP="003B7CB6">
      <w:pPr>
        <w:tabs>
          <w:tab w:val="left" w:pos="576"/>
          <w:tab w:val="left" w:pos="792"/>
          <w:tab w:val="left" w:pos="1008"/>
          <w:tab w:val="left" w:pos="1224"/>
          <w:tab w:val="left" w:pos="1440"/>
        </w:tabs>
        <w:autoSpaceDE w:val="0"/>
        <w:autoSpaceDN w:val="0"/>
        <w:adjustRightInd w:val="0"/>
        <w:rPr>
          <w:rFonts w:eastAsia="Calibri"/>
          <w:b/>
          <w:sz w:val="24"/>
          <w:szCs w:val="24"/>
          <w:lang w:eastAsia="x-none"/>
        </w:rPr>
      </w:pPr>
    </w:p>
    <w:p w:rsidR="003B7CB6" w:rsidRPr="003B7CB6" w:rsidP="003B7CB6">
      <w:pPr>
        <w:tabs>
          <w:tab w:val="left" w:pos="576"/>
          <w:tab w:val="left" w:pos="792"/>
          <w:tab w:val="left" w:pos="1008"/>
          <w:tab w:val="left" w:pos="1224"/>
          <w:tab w:val="left" w:pos="1440"/>
        </w:tabs>
        <w:autoSpaceDE w:val="0"/>
        <w:autoSpaceDN w:val="0"/>
        <w:adjustRightInd w:val="0"/>
        <w:jc w:val="center"/>
        <w:rPr>
          <w:rFonts w:eastAsia="Calibri"/>
          <w:b/>
          <w:sz w:val="24"/>
          <w:szCs w:val="22"/>
        </w:rPr>
      </w:pPr>
    </w:p>
    <w:p w:rsidR="003B7CB6" w:rsidRPr="003B7CB6" w:rsidP="003B7CB6">
      <w:pPr>
        <w:tabs>
          <w:tab w:val="left" w:pos="576"/>
          <w:tab w:val="left" w:pos="792"/>
          <w:tab w:val="left" w:pos="1008"/>
          <w:tab w:val="left" w:pos="1224"/>
          <w:tab w:val="left" w:pos="1440"/>
        </w:tabs>
        <w:rPr>
          <w:rFonts w:eastAsia="Calibri"/>
          <w:b/>
          <w:sz w:val="24"/>
          <w:szCs w:val="22"/>
        </w:rPr>
      </w:pPr>
      <w:r w:rsidRPr="003B7CB6">
        <w:rPr>
          <w:rFonts w:eastAsia="Calibri"/>
          <w:b/>
          <w:sz w:val="24"/>
          <w:szCs w:val="22"/>
        </w:rPr>
        <w:t>MOD</w:t>
      </w:r>
      <w:r w:rsidRPr="003B7CB6">
        <w:rPr>
          <w:rFonts w:eastAsia="Calibri"/>
          <w:b/>
          <w:sz w:val="24"/>
          <w:szCs w:val="22"/>
        </w:rPr>
        <w:tab/>
      </w:r>
      <w:r w:rsidRPr="003B7CB6">
        <w:rPr>
          <w:rFonts w:eastAsia="Calibri"/>
          <w:b/>
          <w:sz w:val="24"/>
          <w:szCs w:val="22"/>
        </w:rPr>
        <w:tab/>
        <w:t>USA/10/[SAT-TO-SAT-1]</w:t>
      </w:r>
    </w:p>
    <w:p w:rsidR="003B7CB6" w:rsidRPr="003B7CB6" w:rsidP="003B7CB6">
      <w:pPr>
        <w:tabs>
          <w:tab w:val="left" w:pos="576"/>
          <w:tab w:val="left" w:pos="792"/>
          <w:tab w:val="left" w:pos="1008"/>
          <w:tab w:val="left" w:pos="1224"/>
          <w:tab w:val="left" w:pos="1440"/>
        </w:tabs>
        <w:rPr>
          <w:rFonts w:eastAsia="Calibri"/>
          <w:b/>
          <w:sz w:val="24"/>
          <w:szCs w:val="22"/>
        </w:rPr>
      </w:pPr>
    </w:p>
    <w:p w:rsidR="003B7CB6" w:rsidRPr="003B7CB6" w:rsidP="003B7CB6">
      <w:pPr>
        <w:tabs>
          <w:tab w:val="left" w:pos="1134"/>
          <w:tab w:val="left" w:pos="1871"/>
          <w:tab w:val="left" w:pos="2268"/>
        </w:tabs>
        <w:overflowPunct w:val="0"/>
        <w:autoSpaceDE w:val="0"/>
        <w:autoSpaceDN w:val="0"/>
        <w:adjustRightInd w:val="0"/>
        <w:spacing w:before="120"/>
        <w:jc w:val="center"/>
        <w:rPr>
          <w:bCs/>
          <w:sz w:val="28"/>
          <w:szCs w:val="28"/>
          <w:lang w:val="en-GB"/>
        </w:rPr>
      </w:pPr>
      <w:r w:rsidRPr="003B7CB6">
        <w:rPr>
          <w:bCs/>
          <w:sz w:val="28"/>
          <w:szCs w:val="28"/>
          <w:lang w:val="en-GB"/>
        </w:rPr>
        <w:t>RESOLUTION 810  (WRC</w:t>
      </w:r>
      <w:r w:rsidRPr="003B7CB6">
        <w:rPr>
          <w:bCs/>
          <w:sz w:val="28"/>
          <w:szCs w:val="28"/>
          <w:lang w:val="en-GB"/>
        </w:rPr>
        <w:noBreakHyphen/>
        <w:t>19)</w:t>
      </w:r>
    </w:p>
    <w:p w:rsidR="003B7CB6" w:rsidRPr="003B7CB6" w:rsidP="003B7CB6">
      <w:pPr>
        <w:tabs>
          <w:tab w:val="left" w:pos="1134"/>
          <w:tab w:val="left" w:pos="1871"/>
          <w:tab w:val="left" w:pos="2268"/>
        </w:tabs>
        <w:overflowPunct w:val="0"/>
        <w:autoSpaceDE w:val="0"/>
        <w:autoSpaceDN w:val="0"/>
        <w:adjustRightInd w:val="0"/>
        <w:spacing w:before="120"/>
        <w:rPr>
          <w:sz w:val="2"/>
          <w:lang w:val="en-GB"/>
        </w:rPr>
      </w:pPr>
    </w:p>
    <w:p w:rsidR="003B7CB6" w:rsidRPr="003B7CB6" w:rsidP="003B7CB6">
      <w:pPr>
        <w:keepNext/>
        <w:keepLines/>
        <w:tabs>
          <w:tab w:val="left" w:pos="1134"/>
          <w:tab w:val="left" w:pos="1871"/>
          <w:tab w:val="left" w:pos="2268"/>
        </w:tabs>
        <w:overflowPunct w:val="0"/>
        <w:autoSpaceDE w:val="0"/>
        <w:autoSpaceDN w:val="0"/>
        <w:adjustRightInd w:val="0"/>
        <w:spacing w:before="240"/>
        <w:jc w:val="center"/>
        <w:rPr>
          <w:rFonts w:ascii="Times New Roman Bold" w:eastAsia="Calibri" w:hAnsi="Times New Roman Bold" w:cs="Times New Roman Bold"/>
          <w:b/>
          <w:sz w:val="28"/>
          <w:szCs w:val="22"/>
          <w:lang w:val="en-GB"/>
        </w:rPr>
      </w:pPr>
      <w:r w:rsidRPr="003B7CB6">
        <w:rPr>
          <w:rFonts w:ascii="Times New Roman Bold" w:eastAsia="Calibri" w:hAnsi="Times New Roman Bold" w:cs="Times New Roman Bold"/>
          <w:b/>
          <w:sz w:val="28"/>
          <w:szCs w:val="22"/>
          <w:lang w:val="en-GB"/>
        </w:rPr>
        <w:t>Agenda for the 2023 World Radiocommunication Conference</w:t>
      </w:r>
    </w:p>
    <w:p w:rsidR="003B7CB6" w:rsidRPr="003B7CB6" w:rsidP="003B7CB6">
      <w:pPr>
        <w:tabs>
          <w:tab w:val="left" w:pos="720"/>
          <w:tab w:val="left" w:pos="1134"/>
          <w:tab w:val="left" w:pos="1871"/>
          <w:tab w:val="left" w:pos="2268"/>
        </w:tabs>
        <w:autoSpaceDN w:val="0"/>
        <w:spacing w:after="147" w:line="247" w:lineRule="auto"/>
        <w:ind w:left="-5" w:hanging="10"/>
        <w:jc w:val="both"/>
        <w:rPr>
          <w:color w:val="000000"/>
          <w:sz w:val="24"/>
          <w:szCs w:val="22"/>
        </w:rPr>
      </w:pPr>
    </w:p>
    <w:p w:rsidR="003B7CB6" w:rsidRPr="003B7CB6" w:rsidP="003B7CB6">
      <w:pPr>
        <w:tabs>
          <w:tab w:val="left" w:pos="720"/>
          <w:tab w:val="left" w:pos="1134"/>
          <w:tab w:val="left" w:pos="1871"/>
          <w:tab w:val="left" w:pos="2268"/>
        </w:tabs>
        <w:autoSpaceDN w:val="0"/>
        <w:spacing w:after="147" w:line="247" w:lineRule="auto"/>
        <w:ind w:left="-5" w:hanging="10"/>
        <w:jc w:val="both"/>
        <w:rPr>
          <w:color w:val="000000"/>
          <w:sz w:val="24"/>
          <w:szCs w:val="22"/>
        </w:rPr>
      </w:pPr>
      <w:r w:rsidRPr="003B7CB6">
        <w:rPr>
          <w:color w:val="000000"/>
          <w:sz w:val="24"/>
          <w:szCs w:val="22"/>
        </w:rPr>
        <w:t xml:space="preserve">The World Radiocommunication Conference (Sharm-el-Sheikh, 2019), </w:t>
      </w:r>
    </w:p>
    <w:p w:rsidR="003B7CB6" w:rsidRPr="003B7CB6" w:rsidP="003B7CB6">
      <w:pPr>
        <w:tabs>
          <w:tab w:val="left" w:pos="576"/>
          <w:tab w:val="left" w:pos="720"/>
          <w:tab w:val="left" w:pos="792"/>
          <w:tab w:val="left" w:pos="1008"/>
          <w:tab w:val="left" w:pos="1224"/>
          <w:tab w:val="left" w:pos="1440"/>
        </w:tabs>
        <w:spacing w:after="147" w:line="247" w:lineRule="auto"/>
        <w:jc w:val="both"/>
        <w:rPr>
          <w:rFonts w:eastAsia="Calibri"/>
          <w:color w:val="000000"/>
          <w:sz w:val="24"/>
          <w:szCs w:val="22"/>
        </w:rPr>
      </w:pPr>
      <w:r w:rsidRPr="003B7CB6">
        <w:rPr>
          <w:rFonts w:eastAsia="Calibri"/>
          <w:color w:val="000000"/>
          <w:sz w:val="24"/>
          <w:szCs w:val="22"/>
        </w:rPr>
        <w:t>* * *</w:t>
      </w:r>
    </w:p>
    <w:p w:rsidR="003B7CB6" w:rsidRPr="003B7CB6" w:rsidP="003B7CB6">
      <w:pPr>
        <w:keepNext/>
        <w:keepLines/>
        <w:tabs>
          <w:tab w:val="left" w:pos="720"/>
          <w:tab w:val="left" w:pos="1134"/>
          <w:tab w:val="left" w:pos="1871"/>
          <w:tab w:val="left" w:pos="2268"/>
        </w:tabs>
        <w:autoSpaceDN w:val="0"/>
        <w:spacing w:after="95" w:line="256" w:lineRule="auto"/>
        <w:ind w:left="1128" w:hanging="10"/>
        <w:outlineLvl w:val="0"/>
        <w:rPr>
          <w:i/>
          <w:color w:val="000000"/>
          <w:sz w:val="24"/>
          <w:szCs w:val="22"/>
        </w:rPr>
      </w:pPr>
      <w:r w:rsidRPr="003B7CB6">
        <w:rPr>
          <w:i/>
          <w:color w:val="000000"/>
          <w:sz w:val="24"/>
          <w:szCs w:val="22"/>
        </w:rPr>
        <w:t xml:space="preserve">resolves to give the view </w:t>
      </w:r>
    </w:p>
    <w:p w:rsidR="003B7CB6" w:rsidRPr="003B7CB6" w:rsidP="003B7CB6">
      <w:pPr>
        <w:tabs>
          <w:tab w:val="left" w:pos="720"/>
          <w:tab w:val="left" w:pos="1134"/>
          <w:tab w:val="left" w:pos="1871"/>
          <w:tab w:val="left" w:pos="2268"/>
        </w:tabs>
        <w:autoSpaceDN w:val="0"/>
        <w:spacing w:after="109" w:line="247" w:lineRule="auto"/>
        <w:ind w:left="-5" w:hanging="10"/>
        <w:jc w:val="both"/>
        <w:rPr>
          <w:color w:val="000000"/>
          <w:sz w:val="24"/>
          <w:szCs w:val="22"/>
        </w:rPr>
      </w:pPr>
      <w:r w:rsidRPr="003B7CB6">
        <w:rPr>
          <w:color w:val="000000"/>
          <w:sz w:val="24"/>
          <w:szCs w:val="22"/>
        </w:rPr>
        <w:t xml:space="preserve">that the following items should be included in the agenda for WRC-23: </w:t>
      </w:r>
    </w:p>
    <w:p w:rsidR="003B7CB6" w:rsidRPr="003B7CB6" w:rsidP="003B7CB6">
      <w:pPr>
        <w:tabs>
          <w:tab w:val="left" w:pos="720"/>
          <w:tab w:val="left" w:pos="1134"/>
          <w:tab w:val="left" w:pos="1871"/>
          <w:tab w:val="left" w:pos="2268"/>
        </w:tabs>
        <w:overflowPunct w:val="0"/>
        <w:autoSpaceDE w:val="0"/>
        <w:autoSpaceDN w:val="0"/>
        <w:adjustRightInd w:val="0"/>
        <w:spacing w:before="120" w:after="147" w:line="247" w:lineRule="auto"/>
        <w:ind w:left="10"/>
        <w:contextualSpacing/>
        <w:jc w:val="both"/>
        <w:textAlignment w:val="baseline"/>
        <w:rPr>
          <w:color w:val="000000"/>
          <w:sz w:val="24"/>
          <w:lang w:val="en-GB"/>
        </w:rPr>
      </w:pPr>
      <w:r w:rsidRPr="003B7CB6">
        <w:rPr>
          <w:color w:val="000000"/>
          <w:sz w:val="24"/>
          <w:lang w:val="en-GB"/>
        </w:rPr>
        <w:t>* * *</w:t>
      </w:r>
    </w:p>
    <w:p w:rsidR="003B7CB6" w:rsidRPr="003B7CB6" w:rsidP="003B7CB6">
      <w:pPr>
        <w:tabs>
          <w:tab w:val="left" w:pos="720"/>
          <w:tab w:val="left" w:pos="1134"/>
          <w:tab w:val="left" w:pos="1871"/>
          <w:tab w:val="left" w:pos="2268"/>
        </w:tabs>
        <w:autoSpaceDN w:val="0"/>
        <w:spacing w:after="109" w:line="247" w:lineRule="auto"/>
        <w:ind w:left="-5" w:hanging="10"/>
        <w:jc w:val="both"/>
        <w:rPr>
          <w:color w:val="000000"/>
          <w:sz w:val="24"/>
          <w:szCs w:val="22"/>
        </w:rPr>
      </w:pPr>
      <w:r w:rsidRPr="003B7CB6">
        <w:rPr>
          <w:color w:val="000000"/>
          <w:sz w:val="24"/>
          <w:szCs w:val="22"/>
        </w:rPr>
        <w:t>2</w:t>
      </w:r>
      <w:r w:rsidRPr="003B7CB6">
        <w:rPr>
          <w:color w:val="000000"/>
          <w:sz w:val="24"/>
          <w:szCs w:val="22"/>
        </w:rPr>
        <w:tab/>
        <w:t xml:space="preserve">on the basis of proposals from administrations and the Report of the Conference Preparatory Meeting, and taking account of the results of WRC-19, to consider and take appropriate action in respect of the following items: </w:t>
      </w:r>
    </w:p>
    <w:p w:rsidR="003B7CB6" w:rsidRPr="003B7CB6" w:rsidP="003B7CB6">
      <w:pPr>
        <w:tabs>
          <w:tab w:val="left" w:pos="720"/>
          <w:tab w:val="left" w:pos="1134"/>
          <w:tab w:val="left" w:pos="1871"/>
          <w:tab w:val="left" w:pos="2268"/>
        </w:tabs>
        <w:overflowPunct w:val="0"/>
        <w:autoSpaceDE w:val="0"/>
        <w:autoSpaceDN w:val="0"/>
        <w:adjustRightInd w:val="0"/>
        <w:spacing w:before="120" w:after="147" w:line="247" w:lineRule="auto"/>
        <w:ind w:left="10"/>
        <w:contextualSpacing/>
        <w:jc w:val="both"/>
        <w:textAlignment w:val="baseline"/>
        <w:rPr>
          <w:color w:val="000000"/>
          <w:sz w:val="24"/>
          <w:lang w:val="en-GB"/>
        </w:rPr>
      </w:pPr>
      <w:r w:rsidRPr="003B7CB6">
        <w:rPr>
          <w:color w:val="000000"/>
          <w:sz w:val="24"/>
          <w:lang w:val="en-GB"/>
        </w:rPr>
        <w:t>* * *</w:t>
      </w:r>
    </w:p>
    <w:p w:rsidR="003B7CB6" w:rsidRPr="003B7CB6" w:rsidP="003B7CB6">
      <w:pPr>
        <w:numPr>
          <w:ilvl w:val="1"/>
          <w:numId w:val="26"/>
        </w:numPr>
        <w:tabs>
          <w:tab w:val="left" w:pos="576"/>
          <w:tab w:val="left" w:pos="720"/>
          <w:tab w:val="left" w:pos="792"/>
          <w:tab w:val="left" w:pos="1008"/>
          <w:tab w:val="left" w:pos="1134"/>
          <w:tab w:val="left" w:pos="1224"/>
          <w:tab w:val="left" w:pos="1440"/>
          <w:tab w:val="left" w:pos="1871"/>
          <w:tab w:val="left" w:pos="2268"/>
        </w:tabs>
        <w:overflowPunct w:val="0"/>
        <w:autoSpaceDE w:val="0"/>
        <w:autoSpaceDN w:val="0"/>
        <w:adjustRightInd w:val="0"/>
        <w:spacing w:before="120" w:after="109" w:line="247" w:lineRule="auto"/>
        <w:jc w:val="both"/>
        <w:rPr>
          <w:color w:val="000000"/>
          <w:sz w:val="24"/>
          <w:szCs w:val="22"/>
        </w:rPr>
      </w:pPr>
      <w:r w:rsidRPr="003B7CB6">
        <w:rPr>
          <w:color w:val="000000"/>
          <w:sz w:val="24"/>
          <w:szCs w:val="22"/>
        </w:rPr>
        <w:t xml:space="preserve">to identify the cases and conditions under which transmissions in the Earth-to-space direction from non-geostationary orbit space stations to geostationary-orbit space stations may be accommodated </w:t>
      </w:r>
      <w:r w:rsidRPr="003B7CB6">
        <w:rPr>
          <w:rFonts w:eastAsia="Calibri"/>
          <w:color w:val="000000"/>
          <w:sz w:val="24"/>
          <w:szCs w:val="22"/>
        </w:rPr>
        <w:t>on a basis other than under No. 4.4 of the Radio Regulations</w:t>
      </w:r>
      <w:r w:rsidRPr="003B7CB6">
        <w:rPr>
          <w:color w:val="000000"/>
          <w:sz w:val="24"/>
          <w:szCs w:val="22"/>
        </w:rPr>
        <w:t xml:space="preserve"> in the 27.5 – 30 GHz, 47.2 – 50.2 GHz, and 50.4 – 51.4 GHz frequency bands, taking into account the necessary protection of existing services, in accordance with Resolution </w:t>
      </w:r>
      <w:r w:rsidRPr="003B7CB6">
        <w:rPr>
          <w:b/>
          <w:color w:val="000000"/>
          <w:sz w:val="24"/>
          <w:szCs w:val="22"/>
        </w:rPr>
        <w:t>[A10-SAT-TO-SAT] (WRC-19)</w:t>
      </w:r>
      <w:r w:rsidRPr="003B7CB6">
        <w:rPr>
          <w:color w:val="000000"/>
          <w:sz w:val="24"/>
          <w:szCs w:val="22"/>
        </w:rPr>
        <w:t xml:space="preserve">; </w:t>
      </w:r>
    </w:p>
    <w:p w:rsidR="003B7CB6" w:rsidRPr="003B7CB6" w:rsidP="003B7CB6">
      <w:pPr>
        <w:tabs>
          <w:tab w:val="left" w:pos="720"/>
          <w:tab w:val="left" w:pos="1134"/>
          <w:tab w:val="left" w:pos="1871"/>
          <w:tab w:val="left" w:pos="2268"/>
        </w:tabs>
        <w:overflowPunct w:val="0"/>
        <w:autoSpaceDE w:val="0"/>
        <w:autoSpaceDN w:val="0"/>
        <w:adjustRightInd w:val="0"/>
        <w:spacing w:before="120" w:after="147" w:line="247" w:lineRule="auto"/>
        <w:ind w:left="10"/>
        <w:contextualSpacing/>
        <w:jc w:val="both"/>
        <w:textAlignment w:val="baseline"/>
        <w:rPr>
          <w:color w:val="000000"/>
          <w:sz w:val="24"/>
          <w:lang w:val="en-GB"/>
        </w:rPr>
      </w:pPr>
      <w:r w:rsidRPr="003B7CB6">
        <w:rPr>
          <w:color w:val="000000"/>
          <w:sz w:val="24"/>
          <w:lang w:val="en-GB"/>
        </w:rPr>
        <w:t>* * *</w:t>
      </w:r>
    </w:p>
    <w:p w:rsidR="003B7CB6" w:rsidRPr="003B7CB6" w:rsidP="003B7CB6">
      <w:pPr>
        <w:tabs>
          <w:tab w:val="left" w:pos="576"/>
          <w:tab w:val="left" w:pos="792"/>
          <w:tab w:val="left" w:pos="1008"/>
          <w:tab w:val="left" w:pos="1224"/>
          <w:tab w:val="left" w:pos="1440"/>
        </w:tabs>
        <w:rPr>
          <w:rFonts w:eastAsia="Calibri"/>
          <w:b/>
          <w:sz w:val="24"/>
          <w:szCs w:val="22"/>
        </w:rPr>
      </w:pPr>
    </w:p>
    <w:p w:rsidR="003B7CB6" w:rsidRPr="003B7CB6" w:rsidP="003B7CB6">
      <w:pPr>
        <w:tabs>
          <w:tab w:val="left" w:pos="576"/>
          <w:tab w:val="left" w:pos="792"/>
          <w:tab w:val="left" w:pos="1008"/>
          <w:tab w:val="left" w:pos="1224"/>
          <w:tab w:val="left" w:pos="1440"/>
        </w:tabs>
        <w:rPr>
          <w:rFonts w:eastAsia="Calibri"/>
          <w:b/>
          <w:sz w:val="24"/>
          <w:szCs w:val="22"/>
        </w:rPr>
      </w:pPr>
    </w:p>
    <w:p w:rsidR="003B7CB6" w:rsidRPr="003B7CB6" w:rsidP="003B7CB6">
      <w:pPr>
        <w:tabs>
          <w:tab w:val="left" w:pos="576"/>
          <w:tab w:val="left" w:pos="792"/>
          <w:tab w:val="left" w:pos="1008"/>
          <w:tab w:val="left" w:pos="1224"/>
          <w:tab w:val="left" w:pos="1440"/>
        </w:tabs>
        <w:jc w:val="both"/>
        <w:rPr>
          <w:rFonts w:eastAsia="Calibri"/>
          <w:sz w:val="24"/>
          <w:szCs w:val="24"/>
        </w:rPr>
      </w:pPr>
      <w:r w:rsidRPr="003B7CB6">
        <w:rPr>
          <w:rFonts w:eastAsia="Calibri"/>
          <w:sz w:val="24"/>
          <w:szCs w:val="24"/>
        </w:rPr>
        <w:br w:type="page"/>
      </w:r>
    </w:p>
    <w:p w:rsidR="003B7CB6" w:rsidRPr="003B7CB6" w:rsidP="003B7CB6">
      <w:pPr>
        <w:tabs>
          <w:tab w:val="left" w:pos="576"/>
          <w:tab w:val="left" w:pos="792"/>
          <w:tab w:val="left" w:pos="1008"/>
          <w:tab w:val="left" w:pos="1224"/>
          <w:tab w:val="left" w:pos="1440"/>
        </w:tabs>
        <w:rPr>
          <w:rFonts w:eastAsia="Calibri"/>
          <w:b/>
          <w:sz w:val="24"/>
          <w:szCs w:val="22"/>
        </w:rPr>
      </w:pPr>
      <w:r w:rsidRPr="003B7CB6">
        <w:rPr>
          <w:rFonts w:eastAsia="Calibri"/>
          <w:b/>
          <w:sz w:val="24"/>
          <w:szCs w:val="22"/>
        </w:rPr>
        <w:t>ADD</w:t>
      </w:r>
      <w:r w:rsidRPr="003B7CB6">
        <w:rPr>
          <w:rFonts w:eastAsia="Calibri"/>
          <w:b/>
          <w:sz w:val="24"/>
          <w:szCs w:val="22"/>
        </w:rPr>
        <w:tab/>
      </w:r>
      <w:r w:rsidRPr="003B7CB6">
        <w:rPr>
          <w:rFonts w:eastAsia="Calibri"/>
          <w:b/>
          <w:sz w:val="24"/>
          <w:szCs w:val="22"/>
        </w:rPr>
        <w:tab/>
      </w:r>
      <w:r w:rsidRPr="003B7CB6">
        <w:rPr>
          <w:rFonts w:eastAsia="Calibri"/>
          <w:b/>
          <w:sz w:val="24"/>
          <w:szCs w:val="22"/>
        </w:rPr>
        <w:tab/>
        <w:t>USA/10/[SAT-TO-SAT-2]</w:t>
      </w:r>
    </w:p>
    <w:p w:rsidR="003B7CB6" w:rsidRPr="003B7CB6" w:rsidP="003B7CB6">
      <w:pPr>
        <w:tabs>
          <w:tab w:val="left" w:pos="576"/>
          <w:tab w:val="left" w:pos="792"/>
          <w:tab w:val="left" w:pos="1008"/>
          <w:tab w:val="left" w:pos="1224"/>
          <w:tab w:val="left" w:pos="1440"/>
        </w:tabs>
        <w:rPr>
          <w:rFonts w:eastAsia="Calibri"/>
          <w:b/>
          <w:sz w:val="24"/>
          <w:szCs w:val="22"/>
        </w:rPr>
      </w:pP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bookmarkStart w:id="35" w:name="a"/>
      <w:bookmarkEnd w:id="35"/>
      <w:r w:rsidRPr="003B7CB6">
        <w:rPr>
          <w:caps/>
          <w:sz w:val="28"/>
          <w:lang w:val="en-GB"/>
        </w:rPr>
        <w:t>draft new RESOLUTION [A10-SAT-TO-SAT] (WRC</w:t>
      </w:r>
      <w:r w:rsidRPr="003B7CB6">
        <w:rPr>
          <w:caps/>
          <w:sz w:val="28"/>
          <w:lang w:val="en-GB"/>
        </w:rPr>
        <w:noBreakHyphen/>
        <w:t>19)</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3B7CB6">
        <w:rPr>
          <w:rFonts w:ascii="Times New Roman Bold" w:hAnsi="Times New Roman Bold"/>
          <w:b/>
          <w:sz w:val="28"/>
          <w:lang w:val="en-GB"/>
        </w:rPr>
        <w:t>Study of technical, operational issues, and regulatory provisions for transmissions in the Earth-to-space direction from non-geostationary satellites in the Earth-to-space direction to geostationary satellites in the fixed-satellite service in the 27.5 – 30 GHz, 47.2 – 50.2 GHz, and 50.4 – 51.4 GHz frequency bands</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lang w:val="en-GB"/>
        </w:rPr>
      </w:pPr>
      <w:r w:rsidRPr="003B7CB6">
        <w:rPr>
          <w:sz w:val="24"/>
          <w:lang w:val="en-GB"/>
        </w:rPr>
        <w:t>The World Radiocommunication Conference (Sharm-el-Sheikh, 2019),</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considering</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color w:val="000000"/>
          <w:sz w:val="24"/>
          <w:lang w:val="en-GB"/>
        </w:rPr>
      </w:pPr>
      <w:r w:rsidRPr="003B7CB6">
        <w:rPr>
          <w:i/>
          <w:color w:val="000000"/>
          <w:sz w:val="24"/>
          <w:lang w:val="en-GB"/>
        </w:rPr>
        <w:t>a)</w:t>
      </w:r>
      <w:r w:rsidRPr="003B7CB6">
        <w:rPr>
          <w:color w:val="000000"/>
          <w:sz w:val="24"/>
          <w:lang w:val="en-GB"/>
        </w:rPr>
        <w:tab/>
        <w:t xml:space="preserve">that the definition of fixed-satellite service (FSS) in No. </w:t>
      </w:r>
      <w:r w:rsidRPr="003B7CB6">
        <w:rPr>
          <w:b/>
          <w:color w:val="000000"/>
          <w:sz w:val="24"/>
          <w:lang w:val="en-GB"/>
        </w:rPr>
        <w:t>1.22</w:t>
      </w:r>
      <w:r w:rsidRPr="003B7CB6">
        <w:rPr>
          <w:color w:val="000000"/>
          <w:sz w:val="24"/>
          <w:lang w:val="en-GB"/>
        </w:rPr>
        <w:t xml:space="preserve"> of the Radio Regulations includes the possibility, in some cases, of satellite-to-satellite links, which may also be operated in the inter-satellite service;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color w:val="000000"/>
          <w:sz w:val="24"/>
          <w:lang w:val="en-GB"/>
        </w:rPr>
      </w:pPr>
      <w:r w:rsidRPr="003B7CB6">
        <w:rPr>
          <w:i/>
          <w:color w:val="000000"/>
          <w:sz w:val="24"/>
          <w:lang w:val="en-GB"/>
        </w:rPr>
        <w:t>b)</w:t>
      </w:r>
      <w:r w:rsidRPr="003B7CB6">
        <w:rPr>
          <w:color w:val="000000"/>
          <w:sz w:val="24"/>
          <w:lang w:val="en-GB"/>
        </w:rPr>
        <w:tab/>
        <w:t xml:space="preserve">that there have been expressions of interest by some administrations of using the FSS (Earth-to-space) band at 27.5-30 GHz, </w:t>
      </w:r>
      <w:r w:rsidRPr="003B7CB6">
        <w:rPr>
          <w:color w:val="000000"/>
          <w:sz w:val="24"/>
          <w:szCs w:val="22"/>
        </w:rPr>
        <w:t>47.2 – 50.2 GHz, and 50.4 – 51.4 GHz frequency bands</w:t>
      </w:r>
      <w:r w:rsidRPr="003B7CB6">
        <w:rPr>
          <w:color w:val="000000"/>
          <w:sz w:val="24"/>
          <w:lang w:val="en-GB"/>
        </w:rPr>
        <w:t xml:space="preserve"> for transmissions in the Earth-to-space direction from non-geostationary orbit (non-GSO) satellites toward FSS satellites operating in geostationary orbit (GSO);</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color w:val="000000"/>
          <w:sz w:val="24"/>
          <w:lang w:val="en-GB"/>
        </w:rPr>
      </w:pPr>
      <w:r w:rsidRPr="003B7CB6">
        <w:rPr>
          <w:i/>
          <w:color w:val="000000"/>
          <w:sz w:val="24"/>
          <w:lang w:val="en-GB"/>
        </w:rPr>
        <w:t>c)</w:t>
      </w:r>
      <w:r w:rsidRPr="003B7CB6">
        <w:rPr>
          <w:color w:val="000000"/>
          <w:sz w:val="24"/>
          <w:lang w:val="en-GB"/>
        </w:rPr>
        <w:tab/>
        <w:t>that frequency bands allocated to the fixed-satellite service are used for links between earth stations and space stations, and that such links may not be operated in the inter-satellite service;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d)</w:t>
      </w:r>
      <w:r w:rsidRPr="003B7CB6">
        <w:rPr>
          <w:sz w:val="24"/>
          <w:lang w:val="en-GB"/>
        </w:rPr>
        <w:tab/>
        <w:t xml:space="preserve">that the ITU-R has begun preliminary studies on the technical and operational issues associated with the use of non-GSO satellites transmitting toward the GSO in the 27.5-30 GHz FSS band, and that such studies are expected to continue in this band and other bands after WRC-19;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sz w:val="24"/>
          <w:lang w:val="en-GB"/>
        </w:rPr>
        <w:t>e)</w:t>
      </w:r>
      <w:r w:rsidRPr="003B7CB6">
        <w:rPr>
          <w:sz w:val="24"/>
          <w:lang w:val="en-GB"/>
        </w:rPr>
        <w:tab/>
        <w:t xml:space="preserve">that all allocations to the </w:t>
      </w:r>
      <w:r w:rsidRPr="003B7CB6">
        <w:rPr>
          <w:rFonts w:eastAsia="Calibri"/>
          <w:bCs/>
          <w:sz w:val="24"/>
          <w:szCs w:val="24"/>
        </w:rPr>
        <w:t>fixed-satellite service include a direction indicator,</w:t>
      </w:r>
      <w:r w:rsidRPr="003B7CB6">
        <w:rPr>
          <w:sz w:val="24"/>
          <w:lang w:val="en-GB"/>
        </w:rPr>
        <w:t xml:space="preserve"> </w:t>
      </w:r>
    </w:p>
    <w:p w:rsidR="003B7CB6" w:rsidRPr="003B7CB6" w:rsidP="003B7CB6">
      <w:pPr>
        <w:autoSpaceDE w:val="0"/>
        <w:autoSpaceDN w:val="0"/>
        <w:adjustRightInd w:val="0"/>
        <w:rPr>
          <w:sz w:val="24"/>
          <w:szCs w:val="24"/>
          <w:lang w:eastAsia="zh-CN"/>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recognizing</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sz w:val="24"/>
          <w:lang w:val="en-GB"/>
        </w:rPr>
        <w:t>a)</w:t>
      </w:r>
      <w:r w:rsidRPr="003B7CB6">
        <w:rPr>
          <w:sz w:val="24"/>
          <w:lang w:val="en-GB"/>
        </w:rPr>
        <w:tab/>
        <w:t xml:space="preserve">that it is necessary to analyse the use of </w:t>
      </w:r>
      <w:r w:rsidRPr="003B7CB6">
        <w:rPr>
          <w:color w:val="000000"/>
          <w:sz w:val="24"/>
          <w:lang w:val="en-GB"/>
        </w:rPr>
        <w:t xml:space="preserve">the FSS (Earth-to-space) band at 27.5-30 GHz, </w:t>
      </w:r>
      <w:r w:rsidRPr="003B7CB6">
        <w:rPr>
          <w:color w:val="000000"/>
          <w:sz w:val="24"/>
          <w:szCs w:val="22"/>
        </w:rPr>
        <w:t>47.2 – 50.2 GHz, and 50.4 – 51.4 GHz frequency bands</w:t>
      </w:r>
      <w:r w:rsidRPr="003B7CB6">
        <w:rPr>
          <w:color w:val="000000"/>
          <w:sz w:val="24"/>
          <w:lang w:val="en-GB"/>
        </w:rPr>
        <w:t xml:space="preserve"> for transmissions in the Earth-to-space direction from non-GSO satellites toward GSO FSS satellites </w:t>
      </w:r>
      <w:r w:rsidRPr="003B7CB6">
        <w:rPr>
          <w:sz w:val="24"/>
          <w:lang w:val="en-GB"/>
        </w:rPr>
        <w:t>to ensure compatibility with all allocated services in this band and avoid harmful interference;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sz w:val="24"/>
          <w:lang w:val="en-GB"/>
        </w:rPr>
        <w:t>b)</w:t>
      </w:r>
      <w:r w:rsidRPr="003B7CB6">
        <w:rPr>
          <w:sz w:val="24"/>
          <w:lang w:val="en-GB"/>
        </w:rPr>
        <w:tab/>
        <w:t>that the sharing scenario is likely to differ as the orbital characteristics of the non-GSO satellites vary;</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sz w:val="24"/>
          <w:lang w:val="en-GB"/>
        </w:rPr>
        <w:t>c)</w:t>
      </w:r>
      <w:r w:rsidRPr="003B7CB6">
        <w:rPr>
          <w:sz w:val="24"/>
          <w:lang w:val="en-GB"/>
        </w:rPr>
        <w:tab/>
        <w:t xml:space="preserve">that the </w:t>
      </w:r>
      <w:r w:rsidRPr="003B7CB6">
        <w:rPr>
          <w:rFonts w:eastAsia="Calibri"/>
          <w:bCs/>
          <w:sz w:val="24"/>
          <w:szCs w:val="24"/>
        </w:rPr>
        <w:t xml:space="preserve">use by a non-allocated space service of frequency bands allocated to another space service under No. </w:t>
      </w:r>
      <w:r w:rsidRPr="003B7CB6">
        <w:rPr>
          <w:rFonts w:eastAsia="Calibri"/>
          <w:b/>
          <w:bCs/>
          <w:sz w:val="24"/>
          <w:szCs w:val="24"/>
        </w:rPr>
        <w:t>4.4</w:t>
      </w:r>
      <w:r w:rsidRPr="003B7CB6">
        <w:rPr>
          <w:rFonts w:eastAsia="Calibri"/>
          <w:bCs/>
          <w:sz w:val="24"/>
          <w:szCs w:val="24"/>
        </w:rPr>
        <w:t xml:space="preserve"> of the Radio Regulations, without recognition and on a non-harmful interference/non-protected basis, is being made today,</w:t>
      </w:r>
      <w:r w:rsidRPr="003B7CB6">
        <w:rPr>
          <w:sz w:val="24"/>
          <w:lang w:val="en-GB"/>
        </w:rPr>
        <w:t xml:space="preserve">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noting</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sz w:val="24"/>
          <w:lang w:val="en-GB"/>
        </w:rPr>
        <w:t>a)</w:t>
      </w:r>
      <w:r w:rsidRPr="003B7CB6">
        <w:rPr>
          <w:sz w:val="24"/>
          <w:lang w:val="en-GB"/>
        </w:rPr>
        <w:tab/>
        <w:t>that preliminary ITU-R studies have identified factors to be considered in assessing the compatibility of non-geostationary satellite to-geostationary FSS satellite links in the Earth-to-space direction with existing services in the 27.5</w:t>
      </w:r>
      <w:r w:rsidRPr="003B7CB6">
        <w:rPr>
          <w:color w:val="000000"/>
          <w:sz w:val="24"/>
          <w:szCs w:val="22"/>
        </w:rPr>
        <w:t xml:space="preserve"> – </w:t>
      </w:r>
      <w:r w:rsidRPr="003B7CB6">
        <w:rPr>
          <w:sz w:val="24"/>
          <w:lang w:val="en-GB"/>
        </w:rPr>
        <w:t>30 GHz frequency band;</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i/>
          <w:sz w:val="24"/>
          <w:lang w:val="en-GB"/>
        </w:rPr>
        <w:t>b)</w:t>
      </w:r>
      <w:r w:rsidRPr="003B7CB6">
        <w:rPr>
          <w:sz w:val="24"/>
          <w:lang w:val="en-GB"/>
        </w:rPr>
        <w:tab/>
        <w:t xml:space="preserve">that further development of these studies, may identify and define the cases in which transmissions in the Earth-to-space direction from non-GSO satellites to GSO FSS satellites in the 27.5-30 GHz, </w:t>
      </w:r>
      <w:r w:rsidRPr="003B7CB6">
        <w:rPr>
          <w:color w:val="000000"/>
          <w:sz w:val="24"/>
          <w:szCs w:val="22"/>
        </w:rPr>
        <w:t xml:space="preserve">47.2 – 50.2 GHz, and 50.4 – 51.4 GHz frequency bands, </w:t>
      </w:r>
      <w:r w:rsidRPr="003B7CB6">
        <w:rPr>
          <w:sz w:val="24"/>
          <w:lang w:val="en-GB"/>
        </w:rPr>
        <w:t xml:space="preserve"> band can be made without causing unacceptable or harmful interference to existing services,</w:t>
      </w:r>
      <w:r w:rsidRPr="003B7CB6">
        <w:rPr>
          <w:rFonts w:eastAsia="Calibri"/>
          <w:sz w:val="24"/>
          <w:szCs w:val="24"/>
        </w:rPr>
        <w:t xml:space="preserve">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i/>
          <w:sz w:val="24"/>
          <w:szCs w:val="24"/>
        </w:rPr>
      </w:pPr>
      <w:r w:rsidRPr="003B7CB6">
        <w:rPr>
          <w:rFonts w:eastAsia="Calibri"/>
          <w:i/>
          <w:sz w:val="24"/>
          <w:szCs w:val="24"/>
        </w:rPr>
        <w:tab/>
        <w:t>recognizing further</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a)</w:t>
      </w:r>
      <w:r w:rsidRPr="003B7CB6">
        <w:rPr>
          <w:rFonts w:eastAsia="Calibri"/>
          <w:sz w:val="24"/>
          <w:szCs w:val="24"/>
        </w:rPr>
        <w:t xml:space="preserve"> </w:t>
      </w:r>
      <w:r w:rsidRPr="003B7CB6">
        <w:rPr>
          <w:rFonts w:eastAsia="Calibri"/>
          <w:sz w:val="24"/>
          <w:szCs w:val="24"/>
        </w:rPr>
        <w:tab/>
        <w:t xml:space="preserve">that the use of the frequency bands 27.5-28.6 GHz and 29.5-30 GHz by non-geostationary fixed-satellite service systems is subject to the application of the provisions of Nos. </w:t>
      </w:r>
      <w:r w:rsidRPr="003B7CB6">
        <w:rPr>
          <w:rFonts w:eastAsia="Calibri"/>
          <w:b/>
          <w:sz w:val="24"/>
          <w:szCs w:val="24"/>
        </w:rPr>
        <w:t>5.484A</w:t>
      </w:r>
      <w:r w:rsidRPr="003B7CB6">
        <w:rPr>
          <w:rFonts w:eastAsia="Calibri"/>
          <w:sz w:val="24"/>
          <w:szCs w:val="24"/>
        </w:rPr>
        <w:t xml:space="preserve">, </w:t>
      </w:r>
      <w:r w:rsidRPr="003B7CB6">
        <w:rPr>
          <w:rFonts w:eastAsia="Calibri"/>
          <w:b/>
          <w:sz w:val="24"/>
          <w:szCs w:val="24"/>
        </w:rPr>
        <w:t>22.5C</w:t>
      </w:r>
      <w:r w:rsidRPr="003B7CB6">
        <w:rPr>
          <w:rFonts w:eastAsia="Calibri"/>
          <w:sz w:val="24"/>
          <w:szCs w:val="24"/>
        </w:rPr>
        <w:t xml:space="preserve"> and </w:t>
      </w:r>
      <w:r w:rsidRPr="003B7CB6">
        <w:rPr>
          <w:rFonts w:eastAsia="Calibri"/>
          <w:b/>
          <w:sz w:val="24"/>
          <w:szCs w:val="24"/>
        </w:rPr>
        <w:t>22.5I</w:t>
      </w:r>
      <w:r w:rsidRPr="003B7CB6">
        <w:rPr>
          <w:rFonts w:eastAsia="Calibri"/>
          <w:sz w:val="24"/>
          <w:szCs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b)</w:t>
      </w:r>
      <w:r w:rsidRPr="003B7CB6">
        <w:rPr>
          <w:rFonts w:eastAsia="Calibri"/>
          <w:i/>
          <w:sz w:val="24"/>
          <w:szCs w:val="24"/>
        </w:rPr>
        <w:tab/>
      </w:r>
      <w:r w:rsidRPr="003B7CB6">
        <w:rPr>
          <w:rFonts w:eastAsia="Calibri"/>
          <w:sz w:val="24"/>
          <w:szCs w:val="24"/>
        </w:rPr>
        <w:t xml:space="preserve">that use of the frequency band 28.6-29.1 GHz by geostationary and non-geostationary fixed-satellite service networks is subject to the application of the provisions of No. </w:t>
      </w:r>
      <w:r w:rsidRPr="003B7CB6">
        <w:rPr>
          <w:rFonts w:eastAsia="Calibri"/>
          <w:b/>
          <w:sz w:val="24"/>
          <w:szCs w:val="24"/>
        </w:rPr>
        <w:t>9.11A</w:t>
      </w:r>
      <w:r w:rsidRPr="003B7CB6">
        <w:rPr>
          <w:rFonts w:eastAsia="Calibri"/>
          <w:sz w:val="24"/>
          <w:szCs w:val="24"/>
        </w:rPr>
        <w:t xml:space="preserve">, and No. </w:t>
      </w:r>
      <w:r w:rsidRPr="003B7CB6">
        <w:rPr>
          <w:rFonts w:eastAsia="Calibri"/>
          <w:b/>
          <w:sz w:val="24"/>
          <w:szCs w:val="24"/>
        </w:rPr>
        <w:t>22.2</w:t>
      </w:r>
      <w:r w:rsidRPr="003B7CB6">
        <w:rPr>
          <w:rFonts w:eastAsia="Calibri"/>
          <w:sz w:val="24"/>
          <w:szCs w:val="24"/>
        </w:rPr>
        <w:t xml:space="preserve"> does not apply (No. </w:t>
      </w:r>
      <w:r w:rsidRPr="003B7CB6">
        <w:rPr>
          <w:rFonts w:eastAsia="Calibri"/>
          <w:b/>
          <w:sz w:val="24"/>
          <w:szCs w:val="24"/>
        </w:rPr>
        <w:t>5.523A</w:t>
      </w:r>
      <w:r w:rsidRPr="003B7CB6">
        <w:rPr>
          <w:rFonts w:eastAsia="Calibri"/>
          <w:sz w:val="24"/>
          <w:szCs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c)</w:t>
      </w:r>
      <w:r w:rsidRPr="003B7CB6">
        <w:rPr>
          <w:rFonts w:eastAsia="Calibri"/>
          <w:i/>
          <w:sz w:val="24"/>
          <w:szCs w:val="24"/>
        </w:rPr>
        <w:tab/>
      </w:r>
      <w:r w:rsidRPr="003B7CB6">
        <w:rPr>
          <w:rFonts w:eastAsia="Calibri"/>
          <w:sz w:val="24"/>
          <w:szCs w:val="24"/>
        </w:rPr>
        <w:t>that use of the frequency band 29.1-29.5 GHz (Earth-to-space) by the fixed-satellite</w:t>
      </w:r>
    </w:p>
    <w:p w:rsidR="003B7CB6" w:rsidRPr="003B7CB6" w:rsidP="003B7CB6">
      <w:pPr>
        <w:autoSpaceDE w:val="0"/>
        <w:autoSpaceDN w:val="0"/>
        <w:adjustRightInd w:val="0"/>
        <w:rPr>
          <w:rFonts w:eastAsia="Calibri"/>
          <w:sz w:val="24"/>
          <w:szCs w:val="24"/>
        </w:rPr>
      </w:pPr>
      <w:r w:rsidRPr="003B7CB6">
        <w:rPr>
          <w:rFonts w:eastAsia="Calibri"/>
          <w:sz w:val="24"/>
          <w:szCs w:val="24"/>
        </w:rPr>
        <w:t>service is limited to geostationary-satellite systems and feeder links to non-geostationary satellite</w:t>
      </w:r>
    </w:p>
    <w:p w:rsidR="003B7CB6" w:rsidRPr="003B7CB6" w:rsidP="003B7CB6">
      <w:pPr>
        <w:autoSpaceDE w:val="0"/>
        <w:autoSpaceDN w:val="0"/>
        <w:adjustRightInd w:val="0"/>
        <w:rPr>
          <w:rFonts w:eastAsia="Calibri"/>
          <w:sz w:val="24"/>
          <w:szCs w:val="24"/>
        </w:rPr>
      </w:pPr>
      <w:r w:rsidRPr="003B7CB6">
        <w:rPr>
          <w:rFonts w:eastAsia="Calibri"/>
          <w:sz w:val="24"/>
          <w:szCs w:val="24"/>
        </w:rPr>
        <w:t xml:space="preserve">systems in the mobile-satellite service, and that such use is subject to the application of the provisions of No. </w:t>
      </w:r>
      <w:r w:rsidRPr="003B7CB6">
        <w:rPr>
          <w:rFonts w:eastAsia="Calibri"/>
          <w:b/>
          <w:sz w:val="24"/>
          <w:szCs w:val="24"/>
        </w:rPr>
        <w:t>9.11A</w:t>
      </w:r>
      <w:r w:rsidRPr="003B7CB6">
        <w:rPr>
          <w:rFonts w:eastAsia="Calibri"/>
          <w:sz w:val="24"/>
          <w:szCs w:val="24"/>
        </w:rPr>
        <w:t xml:space="preserve">, but not subject to the provisions of No. 22.2, except as indicated in Nos. </w:t>
      </w:r>
      <w:r w:rsidRPr="003B7CB6">
        <w:rPr>
          <w:rFonts w:eastAsia="Calibri"/>
          <w:b/>
          <w:sz w:val="24"/>
          <w:szCs w:val="24"/>
        </w:rPr>
        <w:t>5.523C</w:t>
      </w:r>
      <w:r w:rsidRPr="003B7CB6">
        <w:rPr>
          <w:rFonts w:eastAsia="Calibri"/>
          <w:sz w:val="24"/>
          <w:szCs w:val="24"/>
        </w:rPr>
        <w:t xml:space="preserve"> and </w:t>
      </w:r>
      <w:r w:rsidRPr="003B7CB6">
        <w:rPr>
          <w:rFonts w:eastAsia="Calibri"/>
          <w:b/>
          <w:sz w:val="24"/>
          <w:szCs w:val="24"/>
        </w:rPr>
        <w:t>5.523E</w:t>
      </w:r>
      <w:r w:rsidRPr="003B7CB6">
        <w:rPr>
          <w:rFonts w:eastAsia="Calibri"/>
          <w:sz w:val="24"/>
          <w:szCs w:val="24"/>
        </w:rPr>
        <w:t xml:space="preserve">, where such use is not subject to the provisions of No. </w:t>
      </w:r>
      <w:r w:rsidRPr="003B7CB6">
        <w:rPr>
          <w:rFonts w:eastAsia="Calibri"/>
          <w:b/>
          <w:sz w:val="24"/>
          <w:szCs w:val="24"/>
        </w:rPr>
        <w:t>9.11A</w:t>
      </w:r>
      <w:r w:rsidRPr="003B7CB6">
        <w:rPr>
          <w:rFonts w:eastAsia="Calibri"/>
          <w:sz w:val="24"/>
          <w:szCs w:val="24"/>
        </w:rPr>
        <w:t xml:space="preserve"> and shall continue to be subject to Articles </w:t>
      </w:r>
      <w:r w:rsidRPr="003B7CB6">
        <w:rPr>
          <w:rFonts w:eastAsia="Calibri"/>
          <w:b/>
          <w:sz w:val="24"/>
          <w:szCs w:val="24"/>
        </w:rPr>
        <w:t>9</w:t>
      </w:r>
      <w:r w:rsidRPr="003B7CB6">
        <w:rPr>
          <w:rFonts w:eastAsia="Calibri"/>
          <w:sz w:val="24"/>
          <w:szCs w:val="24"/>
        </w:rPr>
        <w:t xml:space="preserve"> (except No. </w:t>
      </w:r>
      <w:r w:rsidRPr="003B7CB6">
        <w:rPr>
          <w:rFonts w:eastAsia="Calibri"/>
          <w:b/>
          <w:sz w:val="24"/>
          <w:szCs w:val="24"/>
        </w:rPr>
        <w:t>9.11A</w:t>
      </w:r>
      <w:r w:rsidRPr="003B7CB6">
        <w:rPr>
          <w:rFonts w:eastAsia="Calibri"/>
          <w:sz w:val="24"/>
          <w:szCs w:val="24"/>
        </w:rPr>
        <w:t xml:space="preserve">) and </w:t>
      </w:r>
      <w:r w:rsidRPr="003B7CB6">
        <w:rPr>
          <w:rFonts w:eastAsia="Calibri"/>
          <w:b/>
          <w:sz w:val="24"/>
          <w:szCs w:val="24"/>
        </w:rPr>
        <w:t>11</w:t>
      </w:r>
      <w:r w:rsidRPr="003B7CB6">
        <w:rPr>
          <w:rFonts w:eastAsia="Calibri"/>
          <w:sz w:val="24"/>
          <w:szCs w:val="24"/>
        </w:rPr>
        <w:t xml:space="preserve"> procedures, and to the provisions of No. </w:t>
      </w:r>
      <w:r w:rsidRPr="003B7CB6">
        <w:rPr>
          <w:rFonts w:eastAsia="Calibri"/>
          <w:b/>
          <w:sz w:val="24"/>
          <w:szCs w:val="24"/>
        </w:rPr>
        <w:t>22.2</w:t>
      </w:r>
      <w:r w:rsidRPr="003B7CB6">
        <w:rPr>
          <w:rFonts w:eastAsia="Calibri"/>
          <w:sz w:val="24"/>
          <w:szCs w:val="24"/>
        </w:rPr>
        <w:t xml:space="preserve"> (No. </w:t>
      </w:r>
      <w:r w:rsidRPr="003B7CB6">
        <w:rPr>
          <w:rFonts w:eastAsia="Calibri"/>
          <w:b/>
          <w:sz w:val="24"/>
          <w:szCs w:val="24"/>
        </w:rPr>
        <w:t>5.535A</w:t>
      </w:r>
      <w:r w:rsidRPr="003B7CB6">
        <w:rPr>
          <w:rFonts w:eastAsia="Calibri"/>
          <w:sz w:val="24"/>
          <w:szCs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d)</w:t>
      </w:r>
      <w:r w:rsidRPr="003B7CB6">
        <w:rPr>
          <w:rFonts w:eastAsia="Calibri"/>
          <w:i/>
          <w:sz w:val="24"/>
          <w:szCs w:val="24"/>
        </w:rPr>
        <w:tab/>
      </w:r>
      <w:r w:rsidRPr="003B7CB6">
        <w:rPr>
          <w:rFonts w:eastAsia="Calibri"/>
          <w:sz w:val="24"/>
          <w:szCs w:val="24"/>
        </w:rPr>
        <w:t xml:space="preserve">that the frequency band 27.5-30 GHz may be used by the fixed-satellite service (Earth-to-space) for the provision of feeder links for the broadcasting-satellite service (No. </w:t>
      </w:r>
      <w:r w:rsidRPr="003B7CB6">
        <w:rPr>
          <w:rFonts w:eastAsia="Calibri"/>
          <w:b/>
          <w:sz w:val="24"/>
          <w:szCs w:val="24"/>
        </w:rPr>
        <w:t>5.539</w:t>
      </w:r>
      <w:r w:rsidRPr="003B7CB6">
        <w:rPr>
          <w:rFonts w:eastAsia="Calibri"/>
          <w:sz w:val="24"/>
          <w:szCs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e)</w:t>
      </w:r>
      <w:r w:rsidRPr="003B7CB6">
        <w:rPr>
          <w:rFonts w:eastAsia="Calibri"/>
          <w:i/>
          <w:sz w:val="24"/>
          <w:szCs w:val="24"/>
        </w:rPr>
        <w:tab/>
      </w:r>
      <w:r w:rsidRPr="003B7CB6">
        <w:rPr>
          <w:rFonts w:eastAsia="Calibri"/>
          <w:sz w:val="24"/>
          <w:szCs w:val="24"/>
        </w:rPr>
        <w:t>that feeder links of non-geostationary networks in the mobile-satellite service and</w:t>
      </w:r>
    </w:p>
    <w:p w:rsidR="003B7CB6" w:rsidRPr="003B7CB6" w:rsidP="003B7CB6">
      <w:pPr>
        <w:autoSpaceDE w:val="0"/>
        <w:autoSpaceDN w:val="0"/>
        <w:adjustRightInd w:val="0"/>
        <w:rPr>
          <w:rFonts w:eastAsia="Calibri"/>
          <w:sz w:val="24"/>
          <w:szCs w:val="24"/>
        </w:rPr>
      </w:pPr>
      <w:r w:rsidRPr="003B7CB6">
        <w:rPr>
          <w:rFonts w:eastAsia="Calibri"/>
          <w:sz w:val="24"/>
          <w:szCs w:val="24"/>
        </w:rPr>
        <w:t xml:space="preserve">geostationary networks in the fixed-satellite service operating in the frequency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(No. </w:t>
      </w:r>
      <w:r w:rsidRPr="003B7CB6">
        <w:rPr>
          <w:rFonts w:eastAsia="Calibri"/>
          <w:b/>
          <w:sz w:val="24"/>
          <w:szCs w:val="24"/>
        </w:rPr>
        <w:t>5.541A</w:t>
      </w:r>
      <w:r w:rsidRPr="003B7CB6">
        <w:rPr>
          <w:rFonts w:eastAsia="Calibri"/>
          <w:sz w:val="24"/>
          <w:szCs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f)</w:t>
      </w:r>
      <w:r w:rsidRPr="003B7CB6">
        <w:rPr>
          <w:rFonts w:eastAsia="Calibri"/>
          <w:sz w:val="24"/>
          <w:szCs w:val="24"/>
        </w:rPr>
        <w:t xml:space="preserve"> </w:t>
      </w:r>
      <w:r w:rsidRPr="003B7CB6">
        <w:rPr>
          <w:rFonts w:eastAsia="Calibri"/>
          <w:sz w:val="24"/>
          <w:szCs w:val="24"/>
        </w:rPr>
        <w:tab/>
        <w:t xml:space="preserve">that the fixed and mobile services are allocated on a primary basis in the frequency bands 27.5-30 GHz, </w:t>
      </w:r>
      <w:r w:rsidRPr="003B7CB6">
        <w:rPr>
          <w:color w:val="000000"/>
          <w:sz w:val="24"/>
          <w:szCs w:val="22"/>
        </w:rPr>
        <w:t>47.2 – 50.2 GHz, and 50.4 – 51.4 GHz frequency bands</w:t>
      </w:r>
      <w:r w:rsidRPr="003B7CB6">
        <w:rPr>
          <w:rFonts w:eastAsia="Calibri"/>
          <w:sz w:val="24"/>
          <w:szCs w:val="24"/>
        </w:rPr>
        <w:t xml:space="preserve"> on a global basis;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i/>
          <w:sz w:val="24"/>
          <w:szCs w:val="24"/>
        </w:rPr>
      </w:pPr>
      <w:r w:rsidRPr="003B7CB6">
        <w:rPr>
          <w:rFonts w:eastAsia="Calibri"/>
          <w:i/>
          <w:sz w:val="24"/>
          <w:szCs w:val="24"/>
        </w:rPr>
        <w:t>g)</w:t>
      </w:r>
      <w:r w:rsidRPr="003B7CB6">
        <w:rPr>
          <w:rFonts w:eastAsia="Calibri"/>
          <w:i/>
          <w:sz w:val="24"/>
          <w:szCs w:val="24"/>
        </w:rPr>
        <w:tab/>
      </w:r>
      <w:r w:rsidRPr="003B7CB6">
        <w:rPr>
          <w:rFonts w:eastAsia="Calibri"/>
          <w:sz w:val="24"/>
          <w:szCs w:val="24"/>
        </w:rPr>
        <w:t xml:space="preserve">that the frequency band 28.5-29.5 GHz (Earth-to-space) is also allocated to the Earth exploration-satellite service on a secondary basis, and no additional constraints should be imposed on the EESS, and that the frequency band 50.2-50.4 GHz is allocated to the Earth exploration-satellite service (passive), and the conditions of fixed-satellite service operation are described in Resolution </w:t>
      </w:r>
      <w:r w:rsidRPr="003B7CB6">
        <w:rPr>
          <w:rFonts w:eastAsia="Calibri"/>
          <w:b/>
          <w:sz w:val="24"/>
          <w:szCs w:val="24"/>
        </w:rPr>
        <w:t>750</w:t>
      </w:r>
      <w:r w:rsidRPr="003B7CB6">
        <w:rPr>
          <w:rFonts w:eastAsia="Calibri"/>
          <w:sz w:val="24"/>
          <w:szCs w:val="24"/>
        </w:rPr>
        <w:t xml:space="preserve"> (Rev. WRC-15;</w:t>
      </w:r>
      <w:r w:rsidRPr="003B7CB6">
        <w:rPr>
          <w:rFonts w:eastAsia="Calibri"/>
          <w:i/>
          <w:sz w:val="24"/>
          <w:szCs w:val="24"/>
        </w:rPr>
        <w:t xml:space="preserve">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h)</w:t>
      </w:r>
      <w:r w:rsidRPr="003B7CB6">
        <w:rPr>
          <w:rFonts w:eastAsia="Calibri"/>
          <w:i/>
          <w:sz w:val="24"/>
          <w:szCs w:val="24"/>
        </w:rPr>
        <w:tab/>
      </w:r>
      <w:r w:rsidRPr="003B7CB6">
        <w:rPr>
          <w:rFonts w:eastAsia="Calibri"/>
          <w:sz w:val="24"/>
          <w:szCs w:val="24"/>
        </w:rPr>
        <w:t>that the frequency band 29.5-30 GHz (Earth-to-space) is also allocated to the mobile-satellite service on a primary basis in 29.5-30 GHz in Region 2, on a primary basis in 29.9-30 GHz in Regions 1 and 3, and on a secondary basis in Regions 1 and 3 in 29.5-29.9 GHz,</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 to invite ITU-R</w:t>
      </w:r>
    </w:p>
    <w:p w:rsidR="003B7CB6" w:rsidRPr="003B7CB6" w:rsidP="003B7CB6">
      <w:pPr>
        <w:autoSpaceDE w:val="0"/>
        <w:autoSpaceDN w:val="0"/>
        <w:adjustRightInd w:val="0"/>
        <w:rPr>
          <w:rFonts w:eastAsia="Calibri"/>
          <w:sz w:val="24"/>
          <w:szCs w:val="24"/>
        </w:rPr>
      </w:pPr>
      <w:r w:rsidRPr="003B7CB6">
        <w:rPr>
          <w:sz w:val="24"/>
          <w:lang w:val="en-GB"/>
        </w:rPr>
        <w:t>1</w:t>
      </w:r>
      <w:r w:rsidRPr="003B7CB6">
        <w:rPr>
          <w:sz w:val="24"/>
          <w:lang w:val="en-GB"/>
        </w:rPr>
        <w:tab/>
        <w:t xml:space="preserve">to </w:t>
      </w:r>
      <w:r w:rsidRPr="003B7CB6">
        <w:rPr>
          <w:rFonts w:eastAsia="Calibri"/>
          <w:sz w:val="24"/>
          <w:szCs w:val="24"/>
        </w:rPr>
        <w:t>study the technical and operational characteristics and user requirements of different</w:t>
      </w:r>
    </w:p>
    <w:p w:rsidR="003B7CB6" w:rsidRPr="003B7CB6" w:rsidP="003B7CB6">
      <w:pPr>
        <w:autoSpaceDE w:val="0"/>
        <w:autoSpaceDN w:val="0"/>
        <w:adjustRightInd w:val="0"/>
        <w:rPr>
          <w:rFonts w:eastAsia="Calibri"/>
          <w:sz w:val="24"/>
          <w:szCs w:val="24"/>
        </w:rPr>
      </w:pPr>
      <w:r w:rsidRPr="003B7CB6">
        <w:rPr>
          <w:rFonts w:eastAsia="Calibri"/>
          <w:sz w:val="24"/>
          <w:szCs w:val="24"/>
        </w:rPr>
        <w:t xml:space="preserve">types of non-GSO space stations that plan transmissions in the general Earth-to-space direction to GSO FSS space stations in the frequency band 27.5-30 GHz, </w:t>
      </w:r>
      <w:r w:rsidRPr="003B7CB6">
        <w:rPr>
          <w:color w:val="000000"/>
          <w:sz w:val="24"/>
          <w:szCs w:val="22"/>
        </w:rPr>
        <w:t>47.2-50.2 GHz, and 50.4-51.4 GHz frequency bands</w:t>
      </w:r>
      <w:r w:rsidRPr="003B7CB6">
        <w:rPr>
          <w:rFonts w:eastAsia="Calibri"/>
          <w:sz w:val="24"/>
          <w:szCs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p>
    <w:p w:rsidR="003B7CB6" w:rsidRPr="003B7CB6" w:rsidP="003B7CB6">
      <w:pPr>
        <w:autoSpaceDE w:val="0"/>
        <w:autoSpaceDN w:val="0"/>
        <w:adjustRightInd w:val="0"/>
        <w:rPr>
          <w:sz w:val="24"/>
          <w:lang w:val="en-GB"/>
        </w:rPr>
      </w:pPr>
      <w:r w:rsidRPr="003B7CB6">
        <w:rPr>
          <w:sz w:val="24"/>
          <w:lang w:val="en-GB"/>
        </w:rPr>
        <w:t>2</w:t>
      </w:r>
      <w:r w:rsidRPr="003B7CB6">
        <w:rPr>
          <w:sz w:val="24"/>
          <w:lang w:val="en-GB"/>
        </w:rPr>
        <w:tab/>
        <w:t xml:space="preserve">to </w:t>
      </w:r>
      <w:r w:rsidRPr="003B7CB6">
        <w:rPr>
          <w:rFonts w:eastAsia="Calibri"/>
          <w:sz w:val="24"/>
          <w:szCs w:val="24"/>
        </w:rPr>
        <w:t xml:space="preserve">study sharing and compatibility between non-GSO space stations transmitting in the general Earth-to-space direction to GSO FSS space stations in the 27.5-30 GHz, </w:t>
      </w:r>
      <w:r w:rsidRPr="003B7CB6">
        <w:rPr>
          <w:color w:val="000000"/>
          <w:sz w:val="24"/>
          <w:szCs w:val="22"/>
        </w:rPr>
        <w:t>47.2-50.2 GHz, and 50.4-51.4 GHz frequency bands,</w:t>
      </w:r>
      <w:r w:rsidRPr="003B7CB6">
        <w:rPr>
          <w:rFonts w:eastAsia="Calibri"/>
          <w:sz w:val="24"/>
          <w:szCs w:val="24"/>
        </w:rPr>
        <w:t xml:space="preserve"> and current and planned stations of the FSS and other existing services allocated in same frequency bands, to ensure protection of, and not impose undue constraints on, other FSS operations and other services allocated in those frequency bands, and taking into account </w:t>
      </w:r>
      <w:r w:rsidRPr="003B7CB6">
        <w:rPr>
          <w:rFonts w:eastAsia="Calibri"/>
          <w:i/>
          <w:sz w:val="24"/>
          <w:szCs w:val="24"/>
        </w:rPr>
        <w:t>recognizings further</w:t>
      </w:r>
      <w:r w:rsidRPr="003B7CB6">
        <w:rPr>
          <w:rFonts w:eastAsia="Calibri"/>
          <w:sz w:val="24"/>
          <w:szCs w:val="24"/>
        </w:rPr>
        <w:t xml:space="preserve"> a) to h)</w:t>
      </w:r>
      <w:r w:rsidRPr="003B7CB6">
        <w:rPr>
          <w:sz w:val="24"/>
          <w:lang w:val="en-GB"/>
        </w:rPr>
        <w:t>;</w:t>
      </w:r>
    </w:p>
    <w:p w:rsidR="003B7CB6" w:rsidRPr="003B7CB6" w:rsidP="003B7CB6">
      <w:pPr>
        <w:autoSpaceDE w:val="0"/>
        <w:autoSpaceDN w:val="0"/>
        <w:adjustRightInd w:val="0"/>
        <w:rPr>
          <w:sz w:val="24"/>
          <w:lang w:val="en-GB"/>
        </w:rPr>
      </w:pPr>
    </w:p>
    <w:p w:rsidR="003B7CB6" w:rsidRPr="003B7CB6" w:rsidP="003B7CB6">
      <w:pPr>
        <w:autoSpaceDE w:val="0"/>
        <w:autoSpaceDN w:val="0"/>
        <w:adjustRightInd w:val="0"/>
        <w:rPr>
          <w:rFonts w:eastAsia="Calibri"/>
          <w:sz w:val="24"/>
          <w:szCs w:val="24"/>
        </w:rPr>
      </w:pPr>
      <w:r w:rsidRPr="003B7CB6">
        <w:rPr>
          <w:sz w:val="24"/>
          <w:lang w:val="en-GB"/>
        </w:rPr>
        <w:t>3</w:t>
      </w:r>
      <w:r w:rsidRPr="003B7CB6">
        <w:rPr>
          <w:sz w:val="24"/>
          <w:lang w:val="en-GB"/>
        </w:rPr>
        <w:tab/>
        <w:t xml:space="preserve">to </w:t>
      </w:r>
      <w:r w:rsidRPr="003B7CB6">
        <w:rPr>
          <w:rFonts w:eastAsia="Calibri"/>
          <w:sz w:val="24"/>
          <w:szCs w:val="24"/>
        </w:rPr>
        <w:t>develop, for different types of non-GSO space stations and different portions of the</w:t>
      </w:r>
    </w:p>
    <w:p w:rsidR="003B7CB6" w:rsidRPr="003B7CB6" w:rsidP="003B7CB6">
      <w:pPr>
        <w:autoSpaceDE w:val="0"/>
        <w:autoSpaceDN w:val="0"/>
        <w:adjustRightInd w:val="0"/>
        <w:rPr>
          <w:rFonts w:eastAsia="Calibri"/>
          <w:sz w:val="24"/>
          <w:szCs w:val="24"/>
        </w:rPr>
      </w:pPr>
      <w:r w:rsidRPr="003B7CB6">
        <w:rPr>
          <w:rFonts w:eastAsia="Calibri"/>
          <w:sz w:val="24"/>
          <w:szCs w:val="24"/>
        </w:rPr>
        <w:t>frequency bands studied, technical conditions and regulatory provisions for their operation, including new or revised allocations as appropriate, taking into account the results of the studies above;</w:t>
      </w:r>
    </w:p>
    <w:p w:rsidR="003B7CB6" w:rsidRPr="003B7CB6" w:rsidP="003B7CB6">
      <w:pPr>
        <w:autoSpaceDE w:val="0"/>
        <w:autoSpaceDN w:val="0"/>
        <w:adjustRightInd w:val="0"/>
        <w:rPr>
          <w:rFonts w:eastAsia="Calibri"/>
          <w:sz w:val="24"/>
          <w:szCs w:val="24"/>
        </w:rPr>
      </w:pPr>
    </w:p>
    <w:p w:rsidR="003B7CB6" w:rsidRPr="003B7CB6" w:rsidP="003B7CB6">
      <w:pPr>
        <w:autoSpaceDE w:val="0"/>
        <w:autoSpaceDN w:val="0"/>
        <w:adjustRightInd w:val="0"/>
        <w:rPr>
          <w:i/>
          <w:sz w:val="24"/>
          <w:lang w:val="en-GB"/>
        </w:rPr>
      </w:pPr>
      <w:r w:rsidRPr="003B7CB6">
        <w:rPr>
          <w:rFonts w:eastAsia="Calibri"/>
          <w:sz w:val="24"/>
          <w:szCs w:val="24"/>
        </w:rPr>
        <w:t>4</w:t>
      </w:r>
      <w:r w:rsidRPr="003B7CB6">
        <w:rPr>
          <w:rFonts w:eastAsia="Calibri"/>
          <w:sz w:val="24"/>
          <w:szCs w:val="24"/>
        </w:rPr>
        <w:tab/>
        <w:t xml:space="preserve">to </w:t>
      </w:r>
      <w:r w:rsidRPr="003B7CB6">
        <w:rPr>
          <w:sz w:val="24"/>
          <w:lang w:val="en-GB"/>
        </w:rPr>
        <w:t>complete these studies by the 2023 World Radiocommunication Conference,</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invites administrations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eastAsia="Calibri"/>
          <w:sz w:val="23"/>
          <w:szCs w:val="23"/>
        </w:rPr>
      </w:pPr>
      <w:r w:rsidRPr="003B7CB6">
        <w:rPr>
          <w:rFonts w:eastAsia="Calibri"/>
          <w:sz w:val="23"/>
          <w:szCs w:val="23"/>
        </w:rPr>
        <w:t>to participate in the studies and to provide input contributions,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 to invite the 2023 World Radiocommunication Conference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consider the results of the above studies and take necessary regulatory actions, as appropriate.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p>
    <w:p w:rsidR="003B7CB6" w:rsidRPr="003B7CB6" w:rsidP="003B7CB6">
      <w:pPr>
        <w:tabs>
          <w:tab w:val="left" w:pos="576"/>
          <w:tab w:val="left" w:pos="792"/>
          <w:tab w:val="left" w:pos="1008"/>
          <w:tab w:val="left" w:pos="1224"/>
          <w:tab w:val="left" w:pos="1440"/>
        </w:tabs>
        <w:jc w:val="center"/>
        <w:rPr>
          <w:rFonts w:eastAsia="Calibri"/>
          <w:sz w:val="24"/>
          <w:szCs w:val="22"/>
        </w:rPr>
      </w:pPr>
      <w:r w:rsidRPr="003B7CB6">
        <w:rPr>
          <w:rFonts w:eastAsia="Calibri"/>
          <w:sz w:val="24"/>
          <w:szCs w:val="22"/>
        </w:rPr>
        <w:t>_____________</w:t>
      </w:r>
    </w:p>
    <w:p w:rsidR="003B7CB6" w:rsidRPr="003B7CB6" w:rsidP="003B7CB6">
      <w:pPr>
        <w:spacing w:after="160" w:line="259" w:lineRule="auto"/>
        <w:rPr>
          <w:caps/>
          <w:sz w:val="28"/>
          <w:lang w:val="en-GB"/>
        </w:rPr>
      </w:pPr>
      <w:r w:rsidRPr="003B7CB6">
        <w:rPr>
          <w:rFonts w:eastAsia="Calibri"/>
          <w:sz w:val="24"/>
          <w:szCs w:val="22"/>
        </w:rPr>
        <w:br w:type="page"/>
      </w:r>
    </w:p>
    <w:p w:rsidR="003B7CB6" w:rsidRPr="003B7CB6" w:rsidP="003B7CB6">
      <w:pPr>
        <w:tabs>
          <w:tab w:val="left" w:pos="576"/>
          <w:tab w:val="left" w:pos="792"/>
          <w:tab w:val="left" w:pos="1008"/>
          <w:tab w:val="left" w:pos="1224"/>
          <w:tab w:val="left" w:pos="1440"/>
        </w:tabs>
        <w:jc w:val="center"/>
        <w:rPr>
          <w:rFonts w:ascii="TimesNewRomanPS-BoldMT" w:eastAsia="Calibri" w:hAnsi="TimesNewRomanPS-BoldMT" w:cs="TimesNewRomanPS-BoldMT"/>
          <w:b/>
          <w:bCs/>
          <w:sz w:val="24"/>
          <w:szCs w:val="24"/>
        </w:rPr>
      </w:pPr>
      <w:r w:rsidRPr="003B7CB6">
        <w:rPr>
          <w:rFonts w:ascii="TimesNewRomanPS-BoldMT" w:eastAsia="Calibri" w:hAnsi="TimesNewRomanPS-BoldMT" w:cs="TimesNewRomanPS-BoldMT"/>
          <w:b/>
          <w:bCs/>
          <w:sz w:val="24"/>
          <w:szCs w:val="24"/>
        </w:rPr>
        <w:t>ATTACHMENT</w:t>
      </w:r>
    </w:p>
    <w:p w:rsidR="003B7CB6" w:rsidRPr="003B7CB6" w:rsidP="003B7CB6">
      <w:pPr>
        <w:tabs>
          <w:tab w:val="left" w:pos="576"/>
          <w:tab w:val="left" w:pos="792"/>
          <w:tab w:val="left" w:pos="1008"/>
          <w:tab w:val="left" w:pos="1224"/>
          <w:tab w:val="left" w:pos="1440"/>
        </w:tabs>
        <w:rPr>
          <w:rFonts w:ascii="TimesNewRomanPS-BoldMT" w:eastAsia="Calibri" w:hAnsi="TimesNewRomanPS-BoldMT" w:cs="TimesNewRomanPS-BoldMT"/>
          <w:b/>
          <w:bCs/>
          <w:sz w:val="24"/>
          <w:szCs w:val="24"/>
        </w:rPr>
      </w:pPr>
    </w:p>
    <w:p w:rsidR="003B7CB6" w:rsidRPr="003B7CB6" w:rsidP="003B7CB6">
      <w:pPr>
        <w:tabs>
          <w:tab w:val="left" w:pos="576"/>
          <w:tab w:val="left" w:pos="792"/>
          <w:tab w:val="left" w:pos="1008"/>
          <w:tab w:val="left" w:pos="1224"/>
          <w:tab w:val="left" w:pos="1440"/>
        </w:tabs>
        <w:jc w:val="center"/>
        <w:rPr>
          <w:rFonts w:ascii="TimesNewRomanPS-BoldMT" w:eastAsia="Calibri" w:hAnsi="TimesNewRomanPS-BoldMT" w:cs="TimesNewRomanPS-BoldMT"/>
          <w:b/>
          <w:bCs/>
          <w:sz w:val="24"/>
          <w:szCs w:val="24"/>
        </w:rPr>
      </w:pPr>
      <w:r w:rsidRPr="003B7CB6">
        <w:rPr>
          <w:rFonts w:ascii="TimesNewRomanPS-BoldMT" w:eastAsia="Calibri" w:hAnsi="TimesNewRomanPS-BoldMT" w:cs="TimesNewRomanPS-BoldMT"/>
          <w:b/>
          <w:bCs/>
          <w:sz w:val="24"/>
          <w:szCs w:val="24"/>
        </w:rPr>
        <w:t>PROPOSAL FOR FUTURE AGENDA ITEM FOR WRC-23</w:t>
      </w: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p>
    <w:p w:rsidR="003B7CB6" w:rsidRPr="003B7CB6" w:rsidP="003B7CB6">
      <w:pPr>
        <w:tabs>
          <w:tab w:val="left" w:pos="576"/>
          <w:tab w:val="left" w:pos="792"/>
          <w:tab w:val="left" w:pos="1008"/>
          <w:tab w:val="left" w:pos="1224"/>
          <w:tab w:val="left" w:pos="1440"/>
        </w:tabs>
        <w:rPr>
          <w:rFonts w:eastAsia="Calibri"/>
          <w:bCs/>
          <w:sz w:val="24"/>
          <w:szCs w:val="24"/>
        </w:rPr>
      </w:pPr>
      <w:r w:rsidRPr="003B7CB6">
        <w:rPr>
          <w:rFonts w:ascii="TimesNewRomanPSMT" w:eastAsia="Calibri" w:hAnsi="TimesNewRomanPSMT" w:cs="TimesNewRomanPSMT"/>
          <w:b/>
          <w:sz w:val="24"/>
          <w:szCs w:val="24"/>
        </w:rPr>
        <w:t>Subject:</w:t>
      </w:r>
      <w:r w:rsidRPr="003B7CB6">
        <w:rPr>
          <w:rFonts w:ascii="TimesNewRomanPSMT" w:eastAsia="Calibri" w:hAnsi="TimesNewRomanPSMT" w:cs="TimesNewRomanPSMT"/>
          <w:sz w:val="24"/>
          <w:szCs w:val="24"/>
        </w:rPr>
        <w:t xml:space="preserve"> Proposed Future WRC Agenda Item for WRC-2023 to consider the results of studies on the </w:t>
      </w:r>
      <w:r w:rsidRPr="003B7CB6">
        <w:rPr>
          <w:rFonts w:eastAsia="Calibri"/>
          <w:bCs/>
          <w:sz w:val="24"/>
          <w:szCs w:val="24"/>
        </w:rPr>
        <w:t>compatibility of non-GSO satellite-to-GSO satellite links, in the Earth-to-space direction, with other FSS operations and other services in the 27.5 – 30 GHz</w:t>
      </w:r>
      <w:r w:rsidRPr="003B7CB6">
        <w:rPr>
          <w:sz w:val="24"/>
          <w:lang w:val="en-GB"/>
        </w:rPr>
        <w:t xml:space="preserve">, </w:t>
      </w:r>
      <w:r w:rsidRPr="003B7CB6">
        <w:rPr>
          <w:color w:val="000000"/>
          <w:sz w:val="24"/>
          <w:szCs w:val="22"/>
        </w:rPr>
        <w:t>47.2 – 50.2 GHz, and 50.4 – 51.4 GHz frequency bands</w:t>
      </w:r>
      <w:r w:rsidRPr="003B7CB6">
        <w:rPr>
          <w:rFonts w:eastAsia="Calibri"/>
          <w:bCs/>
          <w:sz w:val="24"/>
          <w:szCs w:val="24"/>
        </w:rPr>
        <w:t>.</w:t>
      </w:r>
    </w:p>
    <w:p w:rsidR="003B7CB6" w:rsidRPr="003B7CB6" w:rsidP="003B7CB6">
      <w:pPr>
        <w:tabs>
          <w:tab w:val="left" w:pos="576"/>
          <w:tab w:val="left" w:pos="792"/>
          <w:tab w:val="left" w:pos="1008"/>
          <w:tab w:val="left" w:pos="1224"/>
          <w:tab w:val="left" w:pos="1440"/>
        </w:tabs>
        <w:rPr>
          <w:rFonts w:ascii="TimesNewRomanPS-BoldMT" w:eastAsia="Calibri" w:hAnsi="TimesNewRomanPS-BoldMT" w:cs="TimesNewRomanPS-BoldMT"/>
          <w:b/>
          <w:bCs/>
          <w:sz w:val="24"/>
          <w:szCs w:val="24"/>
        </w:rPr>
      </w:pP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ascii="TimesNewRomanPS-BoldMT" w:eastAsia="Calibri" w:hAnsi="TimesNewRomanPS-BoldMT" w:cs="TimesNewRomanPS-BoldMT"/>
          <w:b/>
          <w:bCs/>
          <w:sz w:val="24"/>
          <w:szCs w:val="24"/>
        </w:rPr>
        <w:t>Origin</w:t>
      </w:r>
      <w:r w:rsidRPr="003B7CB6">
        <w:rPr>
          <w:rFonts w:ascii="TimesNewRomanPSMT" w:eastAsia="Calibri" w:hAnsi="TimesNewRomanPSMT" w:cs="TimesNewRomanPSMT"/>
          <w:sz w:val="24"/>
          <w:szCs w:val="24"/>
        </w:rPr>
        <w:t>: United States of America</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ascii="TimesNewRomanPS-ItalicMT" w:eastAsia="Calibri" w:hAnsi="TimesNewRomanPS-ItalicMT" w:cs="TimesNewRomanPS-ItalicMT"/>
          <w:i/>
          <w:iCs/>
          <w:sz w:val="24"/>
          <w:szCs w:val="24"/>
        </w:rPr>
        <w:t xml:space="preserve">Proposal: </w:t>
      </w:r>
      <w:r w:rsidRPr="003B7CB6">
        <w:rPr>
          <w:rFonts w:ascii="TimesNewRomanPSMT" w:eastAsia="Calibri" w:hAnsi="TimesNewRomanPSMT" w:cs="TimesNewRomanPSMT"/>
          <w:sz w:val="24"/>
          <w:szCs w:val="24"/>
        </w:rPr>
        <w:t xml:space="preserve">to </w:t>
      </w:r>
      <w:r w:rsidRPr="003B7CB6">
        <w:rPr>
          <w:rFonts w:eastAsia="Calibri"/>
          <w:color w:val="000000"/>
          <w:sz w:val="24"/>
          <w:szCs w:val="22"/>
        </w:rPr>
        <w:t xml:space="preserve">identify the cases and conditions under which transmissions in the Earth-to-space direction from non-geostationary orbit space stations to geostationary-orbit space stations may be accommodated on a basis other than under No. 4.4 of the Radio Regulations in the 27.5 – 30 GHz, 47.2 – 50.2 GHz, and 50.4 – 51.4 GHz frequency bands, taking into account the necessary protection of existing services, in accordance with Resolution </w:t>
      </w:r>
      <w:r w:rsidRPr="003B7CB6">
        <w:rPr>
          <w:rFonts w:eastAsia="Calibri"/>
          <w:b/>
          <w:color w:val="000000"/>
          <w:sz w:val="24"/>
          <w:szCs w:val="22"/>
        </w:rPr>
        <w:t>[A10-SAT-TO-SAT] (WRC-19)</w:t>
      </w:r>
      <w:r w:rsidRPr="003B7CB6">
        <w:rPr>
          <w:rFonts w:eastAsia="Calibri"/>
          <w:color w:val="000000"/>
          <w:sz w:val="24"/>
          <w:szCs w:val="22"/>
        </w:rPr>
        <w:t>;</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eastAsia="Calibri"/>
          <w:b/>
          <w:bCs/>
          <w:i/>
          <w:iCs/>
          <w:sz w:val="24"/>
          <w:szCs w:val="24"/>
        </w:rPr>
      </w:pPr>
      <w:r w:rsidRPr="003B7CB6">
        <w:rPr>
          <w:rFonts w:eastAsia="Calibri"/>
          <w:b/>
          <w:bCs/>
          <w:i/>
          <w:iCs/>
          <w:sz w:val="24"/>
          <w:szCs w:val="24"/>
        </w:rPr>
        <w:t>Background/reason:</w:t>
      </w:r>
    </w:p>
    <w:p w:rsidR="003B7CB6" w:rsidRPr="003B7CB6" w:rsidP="003B7CB6">
      <w:pPr>
        <w:tabs>
          <w:tab w:val="left" w:pos="576"/>
          <w:tab w:val="left" w:pos="792"/>
          <w:tab w:val="left" w:pos="1008"/>
          <w:tab w:val="left" w:pos="1224"/>
          <w:tab w:val="left" w:pos="1440"/>
        </w:tabs>
        <w:rPr>
          <w:rFonts w:ascii="TimesNewRomanPS-ItalicMT" w:eastAsia="Calibri" w:hAnsi="TimesNewRomanPS-ItalicMT" w:cs="TimesNewRomanPS-ItalicMT"/>
          <w:iCs/>
          <w:sz w:val="24"/>
          <w:szCs w:val="24"/>
        </w:rPr>
      </w:pPr>
      <w:r w:rsidRPr="003B7CB6">
        <w:rPr>
          <w:rFonts w:ascii="TimesNewRomanPS-ItalicMT" w:eastAsia="Calibri" w:hAnsi="TimesNewRomanPS-ItalicMT" w:cs="TimesNewRomanPS-ItalicMT"/>
          <w:iCs/>
          <w:sz w:val="24"/>
          <w:szCs w:val="24"/>
        </w:rPr>
        <w:t>To provide a means for recognizing in the Radio Regulations transmissions in the Earth-to-space direction from non-GSO to GSO space stations in the 27.5-30 GHz</w:t>
      </w:r>
      <w:r w:rsidRPr="003B7CB6">
        <w:rPr>
          <w:sz w:val="24"/>
          <w:lang w:val="en-GB"/>
        </w:rPr>
        <w:t xml:space="preserve">, </w:t>
      </w:r>
      <w:r w:rsidRPr="003B7CB6">
        <w:rPr>
          <w:color w:val="000000"/>
          <w:sz w:val="24"/>
          <w:szCs w:val="22"/>
        </w:rPr>
        <w:t xml:space="preserve">47.2 – 50.2 GHz, and 50.4 – 51.4 GHz frequency bands </w:t>
      </w:r>
      <w:r w:rsidRPr="003B7CB6">
        <w:rPr>
          <w:rFonts w:ascii="TimesNewRomanPS-ItalicMT" w:eastAsia="Calibri" w:hAnsi="TimesNewRomanPS-ItalicMT" w:cs="TimesNewRomanPS-ItalicMT"/>
          <w:iCs/>
          <w:sz w:val="24"/>
          <w:szCs w:val="24"/>
        </w:rPr>
        <w:t>where conditions of avoiding interference with existing systems are met.</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eastAsia="Calibri"/>
          <w:b/>
          <w:bCs/>
          <w:i/>
          <w:iCs/>
          <w:sz w:val="24"/>
          <w:szCs w:val="24"/>
        </w:rPr>
      </w:pPr>
      <w:r w:rsidRPr="003B7CB6">
        <w:rPr>
          <w:rFonts w:eastAsia="Calibri"/>
          <w:b/>
          <w:bCs/>
          <w:i/>
          <w:iCs/>
          <w:sz w:val="24"/>
          <w:szCs w:val="24"/>
        </w:rPr>
        <w:t xml:space="preserve">Radiocommunication services concerned: </w:t>
      </w: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ascii="TimesNewRomanPSMT" w:eastAsia="Calibri" w:hAnsi="TimesNewRomanPSMT" w:cs="TimesNewRomanPSMT"/>
          <w:sz w:val="24"/>
          <w:szCs w:val="24"/>
        </w:rPr>
        <w:t>Broadcasting-Satellite, Earth Exploration Satellite, Fixed, Fixed-Satellite, Mobile, Mobile Satellite.</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eastAsia="Calibri"/>
          <w:b/>
          <w:bCs/>
          <w:i/>
          <w:iCs/>
          <w:sz w:val="24"/>
          <w:szCs w:val="24"/>
        </w:rPr>
        <w:t xml:space="preserve">Indication of possible difficulties: </w:t>
      </w:r>
      <w:r w:rsidRPr="003B7CB6">
        <w:rPr>
          <w:rFonts w:ascii="TimesNewRomanPSMT" w:eastAsia="Calibri" w:hAnsi="TimesNewRomanPSMT" w:cs="TimesNewRomanPSMT"/>
          <w:sz w:val="24"/>
          <w:szCs w:val="24"/>
        </w:rPr>
        <w:t xml:space="preserve"> None foreseen</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eastAsia="Calibri"/>
          <w:b/>
          <w:bCs/>
          <w:i/>
          <w:iCs/>
          <w:sz w:val="24"/>
          <w:szCs w:val="24"/>
        </w:rPr>
        <w:t xml:space="preserve">Previous/ongoing studies on the issue: </w:t>
      </w:r>
      <w:r w:rsidRPr="003B7CB6">
        <w:rPr>
          <w:rFonts w:ascii="TimesNewRomanPSMT" w:eastAsia="Calibri" w:hAnsi="TimesNewRomanPSMT" w:cs="TimesNewRomanPSMT"/>
          <w:sz w:val="24"/>
          <w:szCs w:val="24"/>
        </w:rPr>
        <w:t>Studies have been initiated in Working Party 4A during the 2016-2019 ITU-R Study Cycle</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tblPr>
      <w:tblGrid>
        <w:gridCol w:w="3979"/>
        <w:gridCol w:w="5357"/>
      </w:tblGrid>
      <w:tr w:rsidTr="003B7CB6">
        <w:tblPrEx>
          <w:tblW w:w="0" w:type="auto"/>
          <w:tblBorders>
            <w:bottom w:val="single" w:sz="12" w:space="0" w:color="auto"/>
            <w:insideH w:val="single" w:sz="12" w:space="0" w:color="auto"/>
            <w:insideV w:val="single" w:sz="12" w:space="0" w:color="auto"/>
          </w:tblBorders>
          <w:tblCellMar>
            <w:left w:w="0" w:type="dxa"/>
            <w:right w:w="0" w:type="dxa"/>
          </w:tblCellMar>
          <w:tblLook w:val="04A0"/>
        </w:tblPrEx>
        <w:tc>
          <w:tcPr>
            <w:tcW w:w="3979" w:type="dxa"/>
            <w:tcBorders>
              <w:top w:val="nil"/>
              <w:left w:val="nil"/>
              <w:bottom w:val="single" w:sz="12" w:space="0" w:color="auto"/>
              <w:right w:val="single" w:sz="12" w:space="0" w:color="auto"/>
            </w:tcBorders>
            <w:hideMark/>
          </w:tcPr>
          <w:p w:rsidR="003B7CB6" w:rsidRPr="003B7CB6" w:rsidP="003B7CB6">
            <w:pPr>
              <w:framePr w:hSpace="181" w:wrap="notBeside" w:vAnchor="text" w:hAnchor="text" w:xAlign="center" w:y="1"/>
              <w:tabs>
                <w:tab w:val="left" w:pos="576"/>
                <w:tab w:val="left" w:pos="792"/>
                <w:tab w:val="left" w:pos="1008"/>
                <w:tab w:val="left" w:pos="1224"/>
                <w:tab w:val="left" w:pos="1440"/>
                <w:tab w:val="left" w:pos="4366"/>
              </w:tabs>
              <w:rPr>
                <w:rFonts w:eastAsia="Calibri"/>
                <w:bCs/>
                <w:iCs/>
                <w:color w:val="000000"/>
                <w:sz w:val="24"/>
                <w:szCs w:val="24"/>
              </w:rPr>
            </w:pPr>
            <w:r w:rsidRPr="003B7CB6">
              <w:rPr>
                <w:rFonts w:eastAsia="Calibri"/>
                <w:b/>
                <w:i/>
                <w:color w:val="000000"/>
                <w:sz w:val="24"/>
                <w:szCs w:val="24"/>
              </w:rPr>
              <w:t>Studies to be carried out by</w:t>
            </w:r>
            <w:r w:rsidRPr="003B7CB6">
              <w:rPr>
                <w:rFonts w:eastAsia="Calibri"/>
                <w:b/>
                <w:bCs/>
                <w:i/>
                <w:iCs/>
                <w:color w:val="000000"/>
                <w:sz w:val="24"/>
                <w:szCs w:val="24"/>
              </w:rPr>
              <w:t xml:space="preserve">: </w:t>
            </w:r>
            <w:r w:rsidRPr="003B7CB6">
              <w:rPr>
                <w:rFonts w:eastAsia="Calibri"/>
                <w:bCs/>
                <w:iCs/>
                <w:color w:val="000000"/>
                <w:sz w:val="24"/>
                <w:szCs w:val="24"/>
              </w:rPr>
              <w:t>ITU-R Study Group 4</w:t>
            </w:r>
          </w:p>
          <w:p w:rsidR="003B7CB6" w:rsidRPr="003B7CB6" w:rsidP="003B7CB6">
            <w:pPr>
              <w:framePr w:hSpace="181" w:wrap="notBeside" w:vAnchor="text" w:hAnchor="text" w:xAlign="center" w:y="1"/>
              <w:tabs>
                <w:tab w:val="left" w:pos="576"/>
                <w:tab w:val="left" w:pos="792"/>
                <w:tab w:val="left" w:pos="1008"/>
                <w:tab w:val="left" w:pos="1224"/>
                <w:tab w:val="left" w:pos="1440"/>
                <w:tab w:val="left" w:pos="4366"/>
              </w:tabs>
              <w:rPr>
                <w:rFonts w:eastAsia="Calibri"/>
                <w:b/>
                <w:bCs/>
                <w:i/>
                <w:iCs/>
                <w:color w:val="000000"/>
                <w:sz w:val="24"/>
                <w:szCs w:val="24"/>
              </w:rPr>
            </w:pPr>
          </w:p>
        </w:tc>
        <w:tc>
          <w:tcPr>
            <w:tcW w:w="5357" w:type="dxa"/>
            <w:tcBorders>
              <w:top w:val="nil"/>
              <w:left w:val="single" w:sz="12" w:space="0" w:color="auto"/>
              <w:bottom w:val="single" w:sz="12" w:space="0" w:color="auto"/>
              <w:right w:val="nil"/>
            </w:tcBorders>
          </w:tcPr>
          <w:p w:rsidR="003B7CB6" w:rsidRPr="003B7CB6" w:rsidP="003B7CB6">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bCs/>
                <w:i/>
                <w:color w:val="000000"/>
                <w:sz w:val="24"/>
                <w:szCs w:val="24"/>
              </w:rPr>
            </w:pPr>
            <w:r w:rsidRPr="003B7CB6">
              <w:rPr>
                <w:rFonts w:eastAsia="Calibri"/>
                <w:bCs/>
                <w:i/>
                <w:color w:val="000000"/>
                <w:sz w:val="24"/>
                <w:szCs w:val="24"/>
              </w:rPr>
              <w:t xml:space="preserve">with the participation of: </w:t>
            </w:r>
          </w:p>
          <w:p w:rsidR="003B7CB6" w:rsidRPr="003B7CB6" w:rsidP="003B7CB6">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iCs/>
                <w:color w:val="000000"/>
                <w:sz w:val="24"/>
                <w:szCs w:val="24"/>
              </w:rPr>
            </w:pPr>
            <w:r w:rsidRPr="003B7CB6">
              <w:rPr>
                <w:rFonts w:eastAsia="Calibri"/>
                <w:bCs/>
                <w:color w:val="000000"/>
                <w:sz w:val="24"/>
                <w:szCs w:val="24"/>
              </w:rPr>
              <w:t xml:space="preserve">SGs 5 and 7   </w:t>
            </w:r>
            <w:r w:rsidRPr="003B7CB6">
              <w:rPr>
                <w:rFonts w:eastAsia="Calibri"/>
                <w:i/>
                <w:iCs/>
                <w:color w:val="000000"/>
                <w:sz w:val="24"/>
                <w:szCs w:val="24"/>
              </w:rPr>
              <w:t xml:space="preserve"> </w:t>
            </w:r>
          </w:p>
          <w:p w:rsidR="003B7CB6" w:rsidRPr="003B7CB6" w:rsidP="003B7CB6">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b/>
                <w:bCs/>
                <w:iCs/>
                <w:color w:val="000000"/>
                <w:sz w:val="24"/>
                <w:szCs w:val="24"/>
              </w:rPr>
            </w:pPr>
          </w:p>
        </w:tc>
      </w:tr>
    </w:tbl>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eastAsia="Calibri"/>
          <w:b/>
          <w:bCs/>
          <w:i/>
          <w:iCs/>
          <w:sz w:val="24"/>
          <w:szCs w:val="24"/>
        </w:rPr>
        <w:t xml:space="preserve">ITU-R Study Groups concerned: </w:t>
      </w:r>
      <w:r w:rsidRPr="003B7CB6">
        <w:rPr>
          <w:rFonts w:ascii="TimesNewRomanPSMT" w:eastAsia="Calibri" w:hAnsi="TimesNewRomanPSMT" w:cs="TimesNewRomanPSMT"/>
          <w:sz w:val="24"/>
          <w:szCs w:val="24"/>
        </w:rPr>
        <w:t>SG 5 and SG 7</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eastAsia="Calibri"/>
          <w:b/>
          <w:bCs/>
          <w:i/>
          <w:iCs/>
          <w:sz w:val="24"/>
          <w:szCs w:val="24"/>
        </w:rPr>
        <w:t>ITU resource implications, including financial implications (refer to CV126):</w:t>
      </w:r>
      <w:r w:rsidRPr="003B7CB6">
        <w:rPr>
          <w:rFonts w:ascii="TimesNewRomanPSMT" w:eastAsia="Calibri" w:hAnsi="TimesNewRomanPSMT" w:cs="TimesNewRomanPSMT"/>
          <w:sz w:val="24"/>
          <w:szCs w:val="24"/>
        </w:rPr>
        <w:t xml:space="preserve">  Minimal</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ascii="TimesNewRomanPSMT" w:eastAsia="Calibri" w:hAnsi="TimesNewRomanPSMT" w:cs="TimesNewRomanPSMT"/>
          <w:sz w:val="24"/>
          <w:szCs w:val="24"/>
        </w:rPr>
      </w:pPr>
      <w:r w:rsidRPr="003B7CB6">
        <w:rPr>
          <w:rFonts w:eastAsia="Calibri"/>
          <w:b/>
          <w:bCs/>
          <w:i/>
          <w:iCs/>
          <w:sz w:val="24"/>
          <w:szCs w:val="24"/>
        </w:rPr>
        <w:t xml:space="preserve">Common regional proposal: </w:t>
      </w:r>
      <w:r w:rsidRPr="003B7CB6">
        <w:rPr>
          <w:rFonts w:ascii="TimesNewRomanPSMT" w:eastAsia="Calibri" w:hAnsi="TimesNewRomanPSMT" w:cs="TimesNewRomanPSMT"/>
          <w:sz w:val="24"/>
          <w:szCs w:val="24"/>
        </w:rPr>
        <w:t xml:space="preserve">Yes/No </w:t>
      </w:r>
      <w:r w:rsidRPr="003B7CB6">
        <w:rPr>
          <w:rFonts w:ascii="TimesNewRomanPSMT" w:eastAsia="Calibri" w:hAnsi="TimesNewRomanPSMT" w:cs="TimesNewRomanPSMT"/>
          <w:sz w:val="24"/>
          <w:szCs w:val="24"/>
        </w:rPr>
        <w:tab/>
      </w:r>
      <w:r w:rsidRPr="003B7CB6">
        <w:rPr>
          <w:rFonts w:ascii="TimesNewRomanPSMT" w:eastAsia="Calibri" w:hAnsi="TimesNewRomanPSMT" w:cs="TimesNewRomanPSMT"/>
          <w:sz w:val="24"/>
          <w:szCs w:val="24"/>
        </w:rPr>
        <w:tab/>
      </w:r>
      <w:r w:rsidRPr="003B7CB6">
        <w:rPr>
          <w:rFonts w:eastAsia="Calibri"/>
          <w:b/>
          <w:bCs/>
          <w:i/>
          <w:iCs/>
          <w:sz w:val="24"/>
          <w:szCs w:val="24"/>
        </w:rPr>
        <w:t xml:space="preserve">Multicountry proposal: </w:t>
      </w:r>
      <w:r w:rsidRPr="003B7CB6">
        <w:rPr>
          <w:rFonts w:ascii="TimesNewRomanPSMT" w:eastAsia="Calibri" w:hAnsi="TimesNewRomanPSMT" w:cs="TimesNewRomanPSMT"/>
          <w:sz w:val="24"/>
          <w:szCs w:val="24"/>
        </w:rPr>
        <w:t>Yes/No</w:t>
      </w:r>
    </w:p>
    <w:p w:rsidR="003B7CB6" w:rsidRPr="003B7CB6" w:rsidP="003B7CB6">
      <w:pPr>
        <w:tabs>
          <w:tab w:val="left" w:pos="576"/>
          <w:tab w:val="left" w:pos="792"/>
          <w:tab w:val="left" w:pos="1008"/>
          <w:tab w:val="left" w:pos="1224"/>
          <w:tab w:val="left" w:pos="1440"/>
        </w:tabs>
        <w:ind w:firstLine="720"/>
        <w:rPr>
          <w:rFonts w:ascii="TimesNewRomanPS-ItalicMT" w:eastAsia="Calibri" w:hAnsi="TimesNewRomanPS-ItalicMT" w:cs="TimesNewRomanPS-ItalicMT"/>
          <w:i/>
          <w:iCs/>
          <w:sz w:val="24"/>
          <w:szCs w:val="24"/>
        </w:rPr>
      </w:pPr>
      <w:r w:rsidRPr="003B7CB6">
        <w:rPr>
          <w:rFonts w:ascii="TimesNewRomanPS-ItalicMT" w:eastAsia="Calibri" w:hAnsi="TimesNewRomanPS-ItalicMT" w:cs="TimesNewRomanPS-ItalicMT"/>
          <w:i/>
          <w:iCs/>
          <w:sz w:val="24"/>
          <w:szCs w:val="24"/>
        </w:rPr>
        <w:t>Number of countries:</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b/>
          <w:bCs/>
          <w:i/>
          <w:iCs/>
          <w:sz w:val="24"/>
          <w:szCs w:val="24"/>
        </w:rPr>
        <w:t>Remarks</w:t>
      </w:r>
    </w:p>
    <w:p w:rsidR="003B7CB6" w:rsidP="00046568">
      <w:pPr>
        <w:spacing w:after="200" w:line="276" w:lineRule="auto"/>
        <w:rPr>
          <w:b/>
          <w:sz w:val="24"/>
          <w:szCs w:val="24"/>
        </w:rPr>
      </w:pPr>
    </w:p>
    <w:p w:rsidR="003B7CB6" w:rsidP="003B7CB6">
      <w:pPr>
        <w:spacing w:after="200" w:line="276" w:lineRule="auto"/>
        <w:jc w:val="center"/>
        <w:rPr>
          <w:b/>
          <w:sz w:val="24"/>
          <w:szCs w:val="24"/>
        </w:rPr>
      </w:pPr>
      <w:r>
        <w:rPr>
          <w:b/>
          <w:sz w:val="24"/>
          <w:szCs w:val="24"/>
        </w:rPr>
        <w:t>_______________________</w:t>
      </w:r>
    </w:p>
    <w:p w:rsidR="003B7CB6">
      <w:pPr>
        <w:spacing w:after="200" w:line="276" w:lineRule="auto"/>
        <w:rPr>
          <w:b/>
          <w:sz w:val="24"/>
          <w:szCs w:val="24"/>
        </w:rPr>
      </w:pPr>
      <w:r>
        <w:rPr>
          <w:b/>
          <w:sz w:val="24"/>
          <w:szCs w:val="24"/>
        </w:rPr>
        <w:br w:type="page"/>
      </w:r>
    </w:p>
    <w:p w:rsidR="00046568" w:rsidP="00046568">
      <w:pPr>
        <w:spacing w:after="200" w:line="276" w:lineRule="auto"/>
        <w:rPr>
          <w:b/>
          <w:sz w:val="24"/>
          <w:szCs w:val="24"/>
        </w:rPr>
      </w:pPr>
      <w:r>
        <w:rPr>
          <w:b/>
          <w:sz w:val="24"/>
          <w:szCs w:val="24"/>
        </w:rPr>
        <w:t>DOCUMENT WAC/0</w:t>
      </w:r>
      <w:r w:rsidR="003B7CB6">
        <w:rPr>
          <w:b/>
          <w:sz w:val="24"/>
          <w:szCs w:val="24"/>
        </w:rPr>
        <w:t>90</w:t>
      </w:r>
      <w:r>
        <w:rPr>
          <w:b/>
          <w:sz w:val="24"/>
          <w:szCs w:val="24"/>
        </w:rPr>
        <w:t xml:space="preserve"> (11.03.19)</w:t>
      </w:r>
    </w:p>
    <w:p w:rsidR="003B7CB6" w:rsidRPr="008052CB" w:rsidP="003B7CB6">
      <w:pPr>
        <w:pStyle w:val="Heading1"/>
        <w:jc w:val="center"/>
        <w:rPr>
          <w:szCs w:val="24"/>
          <w:u w:val="none"/>
        </w:rPr>
      </w:pPr>
      <w:r w:rsidRPr="008052CB">
        <w:rPr>
          <w:szCs w:val="24"/>
          <w:u w:val="none"/>
        </w:rPr>
        <w:t>UNITED STATES OF AMERICA</w:t>
      </w:r>
    </w:p>
    <w:p w:rsidR="003B7CB6" w:rsidRPr="008052CB" w:rsidP="003B7CB6">
      <w:pPr>
        <w:jc w:val="center"/>
      </w:pPr>
    </w:p>
    <w:p w:rsidR="003B7CB6" w:rsidRPr="00E11F4B" w:rsidP="003B7CB6">
      <w:pPr>
        <w:pStyle w:val="Heading1"/>
        <w:jc w:val="center"/>
        <w:rPr>
          <w:szCs w:val="24"/>
          <w:u w:val="none"/>
        </w:rPr>
      </w:pPr>
      <w:r w:rsidRPr="008052CB">
        <w:rPr>
          <w:szCs w:val="24"/>
          <w:u w:val="none"/>
        </w:rPr>
        <w:t xml:space="preserve">DRAFT </w:t>
      </w:r>
      <w:r w:rsidRPr="00E11F4B">
        <w:rPr>
          <w:u w:val="none"/>
        </w:rPr>
        <w:t>PROPOSALS FOR THE WORK OF THE CONFERENCE</w:t>
      </w:r>
    </w:p>
    <w:p w:rsidR="003B7CB6" w:rsidRPr="00241F98" w:rsidP="003B7CB6"/>
    <w:p w:rsidR="003B7CB6" w:rsidP="003B7CB6">
      <w:pPr>
        <w:rPr>
          <w:bCs/>
        </w:rPr>
      </w:pPr>
      <w:r>
        <w:rPr>
          <w:b/>
          <w:bCs/>
        </w:rPr>
        <w:t>AGENDA ITEM</w:t>
      </w:r>
      <w:r w:rsidRPr="00241F98">
        <w:rPr>
          <w:b/>
          <w:bCs/>
        </w:rPr>
        <w:t xml:space="preserve"> </w:t>
      </w:r>
      <w:r>
        <w:rPr>
          <w:b/>
          <w:bCs/>
        </w:rPr>
        <w:t>10</w:t>
      </w:r>
      <w:r w:rsidRPr="00241F98">
        <w:rPr>
          <w:bCs/>
        </w:rPr>
        <w:t>:</w:t>
      </w:r>
      <w:r w:rsidRPr="000B186B">
        <w:rPr>
          <w:bCs/>
        </w:rPr>
        <w:t xml:space="preserve"> </w:t>
      </w:r>
      <w:r w:rsidRPr="003265E7">
        <w:rPr>
          <w:bCs/>
          <w:i/>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3B7CB6" w:rsidRPr="00B40899" w:rsidP="003B7CB6">
      <w:pPr>
        <w:rPr>
          <w:bCs/>
        </w:rPr>
      </w:pPr>
    </w:p>
    <w:p w:rsidR="003B7CB6" w:rsidP="003B7CB6">
      <w:r w:rsidRPr="00241F98">
        <w:rPr>
          <w:b/>
          <w:bCs/>
        </w:rPr>
        <w:t>BACKGROUND</w:t>
      </w:r>
      <w:r>
        <w:rPr>
          <w:b/>
          <w:bCs/>
        </w:rPr>
        <w:t xml:space="preserve"> INFORMATION</w:t>
      </w:r>
      <w:r w:rsidRPr="00241F98">
        <w:t xml:space="preserve">: </w:t>
      </w:r>
    </w:p>
    <w:p w:rsidR="003B7CB6" w:rsidP="003B7CB6"/>
    <w:p w:rsidR="003B7CB6" w:rsidRPr="007A6E94" w:rsidP="003B7CB6">
      <w:pPr>
        <w:tabs>
          <w:tab w:val="left" w:pos="1134"/>
          <w:tab w:val="left" w:pos="1871"/>
          <w:tab w:val="left" w:pos="2268"/>
        </w:tabs>
        <w:overflowPunct w:val="0"/>
        <w:autoSpaceDE w:val="0"/>
        <w:autoSpaceDN w:val="0"/>
        <w:adjustRightInd w:val="0"/>
        <w:spacing w:before="120"/>
        <w:jc w:val="both"/>
        <w:textAlignment w:val="baseline"/>
        <w:rPr>
          <w:szCs w:val="24"/>
        </w:rPr>
      </w:pPr>
      <w:r w:rsidRPr="007A6E94">
        <w:rPr>
          <w:szCs w:val="24"/>
        </w:rPr>
        <w:t>Today satellite operators provide a wide range of broadband services to a rapidly growing customer base, with more systems to come before 20</w:t>
      </w:r>
      <w:r>
        <w:rPr>
          <w:szCs w:val="24"/>
        </w:rPr>
        <w:t>23</w:t>
      </w:r>
      <w:r w:rsidRPr="007A6E94">
        <w:rPr>
          <w:szCs w:val="24"/>
        </w:rPr>
        <w:t>.  Advances in satellite technologies are allowing a variety of new services including innovative broadband, video and mobile services covering all corners of the globe and providing service to places and regions not covered by traditional terrestrial services and that, accordingly, are missing out on the benefits of new and innovative telecommunications services. The fixed-satellite service can support a number of important public interest initiatives including tele-health, tele-education and public protection and disaster relief.    Just to name a few examples, high throughput satellites are bringing broadband connectivity to rural and remote areas, thereby advancing countries’ broadband objectives.   New state of the art satellites that provide next generation satellite broadband, high quality video programming (including 3D and 4K programming), or the mobile-satellite service using Ka-band frequencies have recently been launched or will be launched shortly.</w:t>
      </w:r>
    </w:p>
    <w:p w:rsidR="003B7CB6" w:rsidRPr="007A6E94" w:rsidP="003B7CB6">
      <w:pPr>
        <w:tabs>
          <w:tab w:val="left" w:pos="1134"/>
          <w:tab w:val="left" w:pos="1871"/>
          <w:tab w:val="left" w:pos="2268"/>
        </w:tabs>
        <w:overflowPunct w:val="0"/>
        <w:autoSpaceDE w:val="0"/>
        <w:autoSpaceDN w:val="0"/>
        <w:adjustRightInd w:val="0"/>
        <w:spacing w:before="120"/>
        <w:jc w:val="both"/>
        <w:textAlignment w:val="baseline"/>
        <w:rPr>
          <w:szCs w:val="24"/>
        </w:rPr>
      </w:pPr>
    </w:p>
    <w:p w:rsidR="003B7CB6" w:rsidRPr="007A6E94" w:rsidP="003B7CB6">
      <w:pPr>
        <w:tabs>
          <w:tab w:val="left" w:pos="1134"/>
          <w:tab w:val="left" w:pos="1871"/>
          <w:tab w:val="left" w:pos="2268"/>
        </w:tabs>
        <w:overflowPunct w:val="0"/>
        <w:autoSpaceDE w:val="0"/>
        <w:autoSpaceDN w:val="0"/>
        <w:adjustRightInd w:val="0"/>
        <w:spacing w:before="120"/>
        <w:jc w:val="both"/>
        <w:textAlignment w:val="baseline"/>
        <w:rPr>
          <w:szCs w:val="24"/>
        </w:rPr>
      </w:pPr>
      <w:r w:rsidRPr="007A6E94">
        <w:rPr>
          <w:szCs w:val="24"/>
        </w:rPr>
        <w:t>This is not by chance; the technological progress in radio communication enables the satellite industry to offer much more capacity today with much less spectrum. This applies to the fixed-satellite service whether operating in the geostationary or non-geostationary orbits.  The satellite industry takes this development into account by using the most spectrum efficient technologies, including advances in spot-beam technologies and frequency re-use.  In addition, for some satellite applications, such as gateways, sharing with Radiocommunication services could be more easily accomplished.  However, even with this efficiency, demand for fixed-satellite service outpaces the spectrum available for this service today.</w:t>
      </w:r>
    </w:p>
    <w:p w:rsidR="003B7CB6" w:rsidRPr="007A6E94" w:rsidP="003B7CB6">
      <w:pPr>
        <w:tabs>
          <w:tab w:val="left" w:pos="1134"/>
          <w:tab w:val="left" w:pos="1871"/>
          <w:tab w:val="left" w:pos="2268"/>
        </w:tabs>
        <w:overflowPunct w:val="0"/>
        <w:autoSpaceDE w:val="0"/>
        <w:autoSpaceDN w:val="0"/>
        <w:adjustRightInd w:val="0"/>
        <w:spacing w:before="120"/>
        <w:jc w:val="both"/>
        <w:textAlignment w:val="baseline"/>
        <w:rPr>
          <w:szCs w:val="24"/>
        </w:rPr>
      </w:pPr>
    </w:p>
    <w:p w:rsidR="003B7CB6" w:rsidRPr="007A6E94" w:rsidP="003B7CB6">
      <w:pPr>
        <w:tabs>
          <w:tab w:val="left" w:pos="1134"/>
          <w:tab w:val="left" w:pos="1871"/>
          <w:tab w:val="left" w:pos="2268"/>
        </w:tabs>
        <w:overflowPunct w:val="0"/>
        <w:autoSpaceDE w:val="0"/>
        <w:autoSpaceDN w:val="0"/>
        <w:adjustRightInd w:val="0"/>
        <w:spacing w:before="120"/>
        <w:jc w:val="both"/>
        <w:textAlignment w:val="baseline"/>
        <w:rPr>
          <w:szCs w:val="24"/>
        </w:rPr>
      </w:pPr>
      <w:r w:rsidRPr="007A6E94">
        <w:rPr>
          <w:szCs w:val="24"/>
        </w:rPr>
        <w:t xml:space="preserve">Nonetheless, there is growing demand for fixed-satellite service, including broadband and data services which in many rural and remote locations are the only ways of receiving these important communication services,.  Today, with C, Ku and Ka bands reaching capacity, satellite frequencies are heavily used and are nearing saturation for many applications.  Therefore, Satellite operators are seeking access to additional fixed-satellite service spectrum to satisfy existing and anticipated requirements for existing and new services, including broadband services.  In the North America, for instance, over one million and a half customers currently rely on satellite broadband services and that number is growing each day.   </w:t>
      </w:r>
    </w:p>
    <w:p w:rsidR="003B7CB6" w:rsidRPr="007A6E94" w:rsidP="003B7CB6">
      <w:pPr>
        <w:tabs>
          <w:tab w:val="left" w:pos="1134"/>
          <w:tab w:val="left" w:pos="1871"/>
          <w:tab w:val="left" w:pos="2268"/>
        </w:tabs>
        <w:overflowPunct w:val="0"/>
        <w:autoSpaceDE w:val="0"/>
        <w:autoSpaceDN w:val="0"/>
        <w:adjustRightInd w:val="0"/>
        <w:spacing w:before="120"/>
        <w:jc w:val="both"/>
        <w:textAlignment w:val="baseline"/>
        <w:rPr>
          <w:szCs w:val="24"/>
        </w:rPr>
      </w:pPr>
    </w:p>
    <w:p w:rsidR="003B7CB6" w:rsidP="003B7CB6">
      <w:pPr>
        <w:jc w:val="both"/>
        <w:rPr>
          <w:szCs w:val="24"/>
        </w:rPr>
      </w:pPr>
      <w:r w:rsidRPr="007A6E94">
        <w:rPr>
          <w:szCs w:val="24"/>
        </w:rPr>
        <w:t xml:space="preserve">The </w:t>
      </w:r>
      <w:r>
        <w:rPr>
          <w:szCs w:val="24"/>
        </w:rPr>
        <w:t>United States</w:t>
      </w:r>
      <w:r w:rsidRPr="007A6E94">
        <w:rPr>
          <w:szCs w:val="24"/>
        </w:rPr>
        <w:t xml:space="preserve"> proposes the 37.5-39.5 GHz frequency band for reverse direction operations for gateway earth stations. Other services shall be taken into account and this analysis shall include the possibility of sharing with existing uses of the bands.</w:t>
      </w:r>
    </w:p>
    <w:p w:rsidR="003B7CB6" w:rsidP="003B7CB6">
      <w:pPr>
        <w:jc w:val="both"/>
        <w:rPr>
          <w:szCs w:val="24"/>
        </w:rPr>
      </w:pPr>
    </w:p>
    <w:p w:rsidR="003B7CB6" w:rsidRPr="00344EE5" w:rsidP="003B7CB6">
      <w:pPr>
        <w:jc w:val="both"/>
        <w:rPr>
          <w:szCs w:val="24"/>
        </w:rPr>
      </w:pPr>
      <w:r w:rsidRPr="00344EE5">
        <w:rPr>
          <w:szCs w:val="24"/>
        </w:rPr>
        <w:br w:type="page"/>
      </w:r>
    </w:p>
    <w:p w:rsidR="003B7CB6" w:rsidRPr="00344EE5" w:rsidP="003B7CB6">
      <w:pPr>
        <w:jc w:val="both"/>
        <w:rPr>
          <w:szCs w:val="24"/>
        </w:rPr>
      </w:pPr>
    </w:p>
    <w:p w:rsidR="003B7CB6" w:rsidP="003B7CB6">
      <w:pPr>
        <w:autoSpaceDE w:val="0"/>
        <w:autoSpaceDN w:val="0"/>
        <w:adjustRightInd w:val="0"/>
        <w:rPr>
          <w:b/>
          <w:szCs w:val="24"/>
          <w:lang w:eastAsia="x-none"/>
        </w:rPr>
      </w:pPr>
      <w:r w:rsidRPr="00111421">
        <w:rPr>
          <w:b/>
          <w:szCs w:val="24"/>
          <w:lang w:eastAsia="x-none"/>
        </w:rPr>
        <w:t>Proposal</w:t>
      </w:r>
      <w:r>
        <w:rPr>
          <w:b/>
          <w:szCs w:val="24"/>
          <w:lang w:eastAsia="x-none"/>
        </w:rPr>
        <w:t>s</w:t>
      </w:r>
      <w:r w:rsidRPr="00111421">
        <w:rPr>
          <w:b/>
          <w:szCs w:val="24"/>
          <w:lang w:eastAsia="x-none"/>
        </w:rPr>
        <w:t>:</w:t>
      </w:r>
    </w:p>
    <w:p w:rsidR="003B7CB6" w:rsidP="003B7CB6">
      <w:pPr>
        <w:autoSpaceDE w:val="0"/>
        <w:autoSpaceDN w:val="0"/>
        <w:adjustRightInd w:val="0"/>
        <w:rPr>
          <w:b/>
          <w:szCs w:val="24"/>
          <w:lang w:eastAsia="x-none"/>
        </w:rPr>
      </w:pPr>
    </w:p>
    <w:p w:rsidR="003B7CB6" w:rsidP="003B7CB6">
      <w:pPr>
        <w:autoSpaceDE w:val="0"/>
        <w:autoSpaceDN w:val="0"/>
        <w:adjustRightInd w:val="0"/>
        <w:rPr>
          <w:b/>
          <w:szCs w:val="24"/>
          <w:lang w:eastAsia="x-none"/>
        </w:rPr>
      </w:pPr>
    </w:p>
    <w:p w:rsidR="003B7CB6" w:rsidRPr="00606072" w:rsidP="003B7CB6">
      <w:pPr>
        <w:autoSpaceDE w:val="0"/>
        <w:autoSpaceDN w:val="0"/>
        <w:adjustRightInd w:val="0"/>
        <w:jc w:val="center"/>
        <w:rPr>
          <w:b/>
        </w:rPr>
      </w:pPr>
    </w:p>
    <w:p w:rsidR="003B7CB6" w:rsidP="003B7CB6">
      <w:pPr>
        <w:rPr>
          <w:b/>
        </w:rPr>
      </w:pPr>
      <w:r w:rsidRPr="003265E7">
        <w:rPr>
          <w:b/>
        </w:rPr>
        <w:t>MOD</w:t>
      </w:r>
      <w:r w:rsidRPr="00606072">
        <w:rPr>
          <w:b/>
        </w:rPr>
        <w:tab/>
      </w:r>
      <w:r w:rsidRPr="00606072">
        <w:rPr>
          <w:b/>
        </w:rPr>
        <w:tab/>
        <w:t>USA/</w:t>
      </w:r>
      <w:r>
        <w:rPr>
          <w:b/>
        </w:rPr>
        <w:t>10</w:t>
      </w:r>
      <w:r w:rsidRPr="00606072">
        <w:rPr>
          <w:b/>
        </w:rPr>
        <w:t>/</w:t>
      </w:r>
      <w:r>
        <w:rPr>
          <w:b/>
        </w:rPr>
        <w:t>[38 GHZ FSS-</w:t>
      </w:r>
      <w:r w:rsidRPr="00606072">
        <w:rPr>
          <w:b/>
        </w:rPr>
        <w:t>1</w:t>
      </w:r>
      <w:r>
        <w:rPr>
          <w:b/>
        </w:rPr>
        <w:t>]</w:t>
      </w:r>
    </w:p>
    <w:p w:rsidR="003B7CB6" w:rsidP="003B7CB6">
      <w:pPr>
        <w:rPr>
          <w:b/>
        </w:rPr>
      </w:pPr>
    </w:p>
    <w:p w:rsidR="003B7CB6" w:rsidRPr="00FD31A2" w:rsidP="003B7CB6">
      <w:pPr>
        <w:tabs>
          <w:tab w:val="left" w:pos="1134"/>
          <w:tab w:val="left" w:pos="1871"/>
          <w:tab w:val="left" w:pos="2268"/>
        </w:tabs>
        <w:overflowPunct w:val="0"/>
        <w:autoSpaceDE w:val="0"/>
        <w:autoSpaceDN w:val="0"/>
        <w:adjustRightInd w:val="0"/>
        <w:spacing w:before="120"/>
        <w:jc w:val="center"/>
        <w:rPr>
          <w:bCs/>
          <w:sz w:val="28"/>
          <w:szCs w:val="28"/>
          <w:lang w:val="en-GB"/>
        </w:rPr>
      </w:pPr>
      <w:r w:rsidRPr="00FD31A2">
        <w:rPr>
          <w:bCs/>
          <w:sz w:val="28"/>
          <w:szCs w:val="28"/>
          <w:lang w:val="en-GB"/>
        </w:rPr>
        <w:t>RESOLUTION 810  (WRC</w:t>
      </w:r>
      <w:r w:rsidRPr="00FD31A2">
        <w:rPr>
          <w:bCs/>
          <w:sz w:val="28"/>
          <w:szCs w:val="28"/>
          <w:lang w:val="en-GB"/>
        </w:rPr>
        <w:noBreakHyphen/>
      </w:r>
      <w:r w:rsidRPr="00FD31A2">
        <w:rPr>
          <w:bCs/>
          <w:sz w:val="28"/>
          <w:szCs w:val="28"/>
          <w:lang w:val="en-GB"/>
        </w:rPr>
        <w:t>1</w:t>
      </w:r>
      <w:r>
        <w:rPr>
          <w:bCs/>
          <w:sz w:val="28"/>
          <w:szCs w:val="28"/>
          <w:lang w:val="en-GB"/>
        </w:rPr>
        <w:t>9</w:t>
      </w:r>
      <w:r w:rsidRPr="00FD31A2">
        <w:rPr>
          <w:bCs/>
          <w:sz w:val="28"/>
          <w:szCs w:val="28"/>
          <w:lang w:val="en-GB"/>
        </w:rPr>
        <w:t>)</w:t>
      </w:r>
    </w:p>
    <w:p w:rsidR="003B7CB6" w:rsidRPr="00FD31A2" w:rsidP="003B7CB6">
      <w:pPr>
        <w:tabs>
          <w:tab w:val="left" w:pos="1134"/>
          <w:tab w:val="left" w:pos="1871"/>
          <w:tab w:val="left" w:pos="2268"/>
        </w:tabs>
        <w:overflowPunct w:val="0"/>
        <w:autoSpaceDE w:val="0"/>
        <w:autoSpaceDN w:val="0"/>
        <w:adjustRightInd w:val="0"/>
        <w:spacing w:before="120"/>
        <w:rPr>
          <w:sz w:val="2"/>
          <w:lang w:val="en-GB"/>
        </w:rPr>
      </w:pPr>
    </w:p>
    <w:p w:rsidR="003B7CB6" w:rsidRPr="00FD31A2" w:rsidP="003B7CB6">
      <w:pPr>
        <w:keepNext/>
        <w:keepLines/>
        <w:tabs>
          <w:tab w:val="left" w:pos="1134"/>
          <w:tab w:val="left" w:pos="1871"/>
          <w:tab w:val="left" w:pos="2268"/>
        </w:tabs>
        <w:overflowPunct w:val="0"/>
        <w:autoSpaceDE w:val="0"/>
        <w:autoSpaceDN w:val="0"/>
        <w:adjustRightInd w:val="0"/>
        <w:spacing w:before="240"/>
        <w:jc w:val="center"/>
        <w:rPr>
          <w:rFonts w:ascii="Times New Roman Bold" w:hAnsi="Times New Roman Bold" w:eastAsiaTheme="minorHAnsi" w:cs="Times New Roman Bold"/>
          <w:b/>
          <w:sz w:val="28"/>
          <w:lang w:val="en-GB"/>
        </w:rPr>
      </w:pPr>
      <w:r>
        <w:rPr>
          <w:rFonts w:ascii="Times New Roman Bold" w:hAnsi="Times New Roman Bold" w:eastAsiaTheme="minorHAnsi" w:cs="Times New Roman Bold"/>
          <w:b/>
          <w:sz w:val="28"/>
          <w:lang w:val="en-GB"/>
        </w:rPr>
        <w:t>A</w:t>
      </w:r>
      <w:r w:rsidRPr="00FD31A2">
        <w:rPr>
          <w:rFonts w:ascii="Times New Roman Bold" w:hAnsi="Times New Roman Bold" w:eastAsiaTheme="minorHAnsi" w:cs="Times New Roman Bold"/>
          <w:b/>
          <w:sz w:val="28"/>
          <w:lang w:val="en-GB"/>
        </w:rPr>
        <w:t>genda for the 2023 World Radiocommunication Conference</w:t>
      </w:r>
    </w:p>
    <w:p w:rsidR="003B7CB6" w:rsidRPr="00FD31A2" w:rsidP="003B7CB6">
      <w:pPr>
        <w:tabs>
          <w:tab w:val="left" w:pos="720"/>
          <w:tab w:val="left" w:pos="1134"/>
          <w:tab w:val="left" w:pos="1871"/>
          <w:tab w:val="left" w:pos="2268"/>
        </w:tabs>
        <w:autoSpaceDN w:val="0"/>
        <w:spacing w:after="147" w:line="247" w:lineRule="auto"/>
        <w:ind w:left="-5" w:hanging="10"/>
        <w:jc w:val="both"/>
        <w:rPr>
          <w:color w:val="000000"/>
        </w:rPr>
      </w:pPr>
    </w:p>
    <w:p w:rsidR="003B7CB6" w:rsidP="003B7CB6">
      <w:pPr>
        <w:tabs>
          <w:tab w:val="left" w:pos="720"/>
          <w:tab w:val="left" w:pos="1134"/>
          <w:tab w:val="left" w:pos="1871"/>
          <w:tab w:val="left" w:pos="2268"/>
        </w:tabs>
        <w:autoSpaceDN w:val="0"/>
        <w:spacing w:after="147" w:line="247" w:lineRule="auto"/>
        <w:ind w:left="-5" w:hanging="10"/>
        <w:jc w:val="both"/>
        <w:rPr>
          <w:color w:val="000000"/>
        </w:rPr>
      </w:pPr>
      <w:r w:rsidRPr="00FD31A2">
        <w:rPr>
          <w:color w:val="000000"/>
        </w:rPr>
        <w:t>The World Radiocommunication Conference (</w:t>
      </w:r>
      <w:r>
        <w:rPr>
          <w:color w:val="000000"/>
        </w:rPr>
        <w:t>Sharm-el-Sheikh</w:t>
      </w:r>
      <w:r w:rsidRPr="00FD31A2">
        <w:rPr>
          <w:color w:val="000000"/>
        </w:rPr>
        <w:t xml:space="preserve">, </w:t>
      </w:r>
      <w:r w:rsidRPr="00FD31A2">
        <w:rPr>
          <w:color w:val="000000"/>
        </w:rPr>
        <w:t>201</w:t>
      </w:r>
      <w:r>
        <w:rPr>
          <w:color w:val="000000"/>
        </w:rPr>
        <w:t>9</w:t>
      </w:r>
      <w:r w:rsidRPr="00FD31A2">
        <w:rPr>
          <w:color w:val="000000"/>
        </w:rPr>
        <w:t xml:space="preserve">), </w:t>
      </w:r>
    </w:p>
    <w:p w:rsidR="003B7CB6" w:rsidP="003B7CB6">
      <w:pPr>
        <w:tabs>
          <w:tab w:val="left" w:pos="720"/>
        </w:tabs>
        <w:spacing w:after="147" w:line="247" w:lineRule="auto"/>
        <w:jc w:val="both"/>
        <w:rPr>
          <w:color w:val="000000"/>
        </w:rPr>
      </w:pPr>
      <w:r>
        <w:rPr>
          <w:color w:val="000000"/>
        </w:rPr>
        <w:t>* * *</w:t>
      </w:r>
    </w:p>
    <w:p w:rsidR="003B7CB6" w:rsidRPr="00FD31A2" w:rsidP="003B7CB6">
      <w:pPr>
        <w:keepNext/>
        <w:keepLines/>
        <w:tabs>
          <w:tab w:val="left" w:pos="720"/>
          <w:tab w:val="left" w:pos="1134"/>
          <w:tab w:val="left" w:pos="1871"/>
          <w:tab w:val="left" w:pos="2268"/>
        </w:tabs>
        <w:autoSpaceDN w:val="0"/>
        <w:spacing w:after="95" w:line="256" w:lineRule="auto"/>
        <w:ind w:left="1128" w:hanging="10"/>
        <w:outlineLvl w:val="0"/>
        <w:rPr>
          <w:i/>
          <w:color w:val="000000"/>
        </w:rPr>
      </w:pPr>
      <w:r w:rsidRPr="00FD31A2">
        <w:rPr>
          <w:i/>
          <w:color w:val="000000"/>
        </w:rPr>
        <w:t xml:space="preserve">resolves to give the view </w:t>
      </w:r>
    </w:p>
    <w:p w:rsidR="003B7CB6" w:rsidRPr="00FD31A2" w:rsidP="003B7CB6">
      <w:pPr>
        <w:tabs>
          <w:tab w:val="left" w:pos="720"/>
          <w:tab w:val="left" w:pos="1134"/>
          <w:tab w:val="left" w:pos="1871"/>
          <w:tab w:val="left" w:pos="2268"/>
        </w:tabs>
        <w:autoSpaceDN w:val="0"/>
        <w:spacing w:after="109" w:line="247" w:lineRule="auto"/>
        <w:ind w:left="-5" w:hanging="10"/>
        <w:jc w:val="both"/>
        <w:rPr>
          <w:color w:val="000000"/>
        </w:rPr>
      </w:pPr>
      <w:r w:rsidRPr="00FD31A2">
        <w:rPr>
          <w:color w:val="000000"/>
        </w:rPr>
        <w:t xml:space="preserve">that the following items should be included in the </w:t>
      </w:r>
      <w:r w:rsidRPr="00FD31A2">
        <w:rPr>
          <w:color w:val="000000"/>
        </w:rPr>
        <w:t xml:space="preserve">agenda for WRC-23: </w:t>
      </w:r>
    </w:p>
    <w:p w:rsidR="003B7CB6" w:rsidRPr="00FD31A2" w:rsidP="003B7CB6">
      <w:pPr>
        <w:pStyle w:val="ListParagraph"/>
        <w:tabs>
          <w:tab w:val="left" w:pos="720"/>
        </w:tabs>
        <w:spacing w:after="147" w:line="247" w:lineRule="auto"/>
        <w:ind w:left="10"/>
        <w:jc w:val="both"/>
        <w:rPr>
          <w:color w:val="000000"/>
        </w:rPr>
      </w:pPr>
      <w:r w:rsidRPr="00FD31A2">
        <w:rPr>
          <w:color w:val="000000"/>
        </w:rPr>
        <w:t>* * *</w:t>
      </w:r>
    </w:p>
    <w:p w:rsidR="003B7CB6" w:rsidRPr="00FD31A2" w:rsidP="003B7CB6">
      <w:pPr>
        <w:tabs>
          <w:tab w:val="left" w:pos="720"/>
          <w:tab w:val="left" w:pos="1134"/>
          <w:tab w:val="left" w:pos="1871"/>
          <w:tab w:val="left" w:pos="2268"/>
        </w:tabs>
        <w:autoSpaceDN w:val="0"/>
        <w:spacing w:after="109" w:line="247" w:lineRule="auto"/>
        <w:ind w:left="-5" w:hanging="10"/>
        <w:jc w:val="both"/>
        <w:rPr>
          <w:color w:val="000000"/>
        </w:rPr>
      </w:pPr>
      <w:r>
        <w:rPr>
          <w:color w:val="000000"/>
        </w:rPr>
        <w:t>2</w:t>
      </w:r>
      <w:r>
        <w:rPr>
          <w:color w:val="000000"/>
        </w:rPr>
        <w:tab/>
      </w:r>
      <w:r w:rsidRPr="00FD31A2">
        <w:rPr>
          <w:color w:val="000000"/>
        </w:rPr>
        <w:t xml:space="preserve">on the basis of proposals from administrations and the Report of the Conference Preparatory Meeting, and taking account of the results of WRC-19, to consider and take appropriate action in respect of the following items: </w:t>
      </w:r>
    </w:p>
    <w:p w:rsidR="003B7CB6" w:rsidRPr="00FD31A2" w:rsidP="003B7CB6">
      <w:pPr>
        <w:pStyle w:val="ListParagraph"/>
        <w:tabs>
          <w:tab w:val="left" w:pos="720"/>
        </w:tabs>
        <w:spacing w:after="147" w:line="247" w:lineRule="auto"/>
        <w:ind w:left="10"/>
        <w:jc w:val="both"/>
        <w:rPr>
          <w:color w:val="000000"/>
        </w:rPr>
      </w:pPr>
      <w:r w:rsidRPr="00FD31A2">
        <w:rPr>
          <w:color w:val="000000"/>
        </w:rPr>
        <w:t xml:space="preserve">* </w:t>
      </w:r>
      <w:r>
        <w:rPr>
          <w:color w:val="000000"/>
        </w:rPr>
        <w:t>* *</w:t>
      </w:r>
    </w:p>
    <w:p w:rsidR="003B7CB6" w:rsidRPr="00FD31A2" w:rsidP="003B7CB6">
      <w:pPr>
        <w:numPr>
          <w:ilvl w:val="1"/>
          <w:numId w:val="27"/>
        </w:numPr>
        <w:tabs>
          <w:tab w:val="left" w:pos="720"/>
          <w:tab w:val="left" w:pos="1134"/>
          <w:tab w:val="left" w:pos="1871"/>
          <w:tab w:val="left" w:pos="2268"/>
        </w:tabs>
        <w:overflowPunct w:val="0"/>
        <w:autoSpaceDE w:val="0"/>
        <w:autoSpaceDN w:val="0"/>
        <w:adjustRightInd w:val="0"/>
        <w:spacing w:before="120" w:after="109" w:line="247" w:lineRule="auto"/>
        <w:jc w:val="both"/>
        <w:rPr>
          <w:color w:val="000000"/>
        </w:rPr>
      </w:pPr>
      <w:r>
        <w:t xml:space="preserve"> </w:t>
      </w:r>
      <w:r>
        <w:rPr>
          <w:sz w:val="23"/>
          <w:szCs w:val="23"/>
        </w:rPr>
        <w:t xml:space="preserve">study of spectrum needs and possible new allocations to the fixed-satellite service in the frequency band 37.5-39.5 GHz (Earth-to-space), in accordance with Resolution </w:t>
      </w:r>
      <w:r>
        <w:rPr>
          <w:b/>
          <w:bCs/>
          <w:sz w:val="23"/>
          <w:szCs w:val="23"/>
        </w:rPr>
        <w:t>161 (WRC-15)</w:t>
      </w:r>
      <w:r>
        <w:rPr>
          <w:sz w:val="23"/>
          <w:szCs w:val="23"/>
        </w:rPr>
        <w:t xml:space="preserve">; </w:t>
      </w:r>
    </w:p>
    <w:p w:rsidR="003B7CB6" w:rsidRPr="00FD31A2" w:rsidP="003B7CB6">
      <w:pPr>
        <w:pStyle w:val="ListParagraph"/>
        <w:tabs>
          <w:tab w:val="left" w:pos="720"/>
        </w:tabs>
        <w:spacing w:after="147" w:line="247" w:lineRule="auto"/>
        <w:ind w:left="10"/>
        <w:jc w:val="both"/>
        <w:rPr>
          <w:color w:val="000000"/>
        </w:rPr>
      </w:pPr>
      <w:r w:rsidRPr="00FD31A2">
        <w:rPr>
          <w:color w:val="000000"/>
        </w:rPr>
        <w:t xml:space="preserve">* </w:t>
      </w:r>
      <w:r>
        <w:rPr>
          <w:color w:val="000000"/>
        </w:rPr>
        <w:t>* *</w:t>
      </w:r>
    </w:p>
    <w:p w:rsidR="003B7CB6" w:rsidP="003B7CB6">
      <w:pPr>
        <w:rPr>
          <w:b/>
        </w:rPr>
      </w:pPr>
    </w:p>
    <w:p w:rsidR="003B7CB6" w:rsidP="003B7CB6">
      <w:pPr>
        <w:jc w:val="both"/>
        <w:rPr>
          <w:b/>
        </w:rPr>
      </w:pPr>
      <w:r>
        <w:rPr>
          <w:b/>
        </w:rPr>
        <w:t>NOC</w:t>
      </w:r>
      <w:r>
        <w:rPr>
          <w:b/>
        </w:rPr>
        <w:tab/>
      </w:r>
      <w:r w:rsidRPr="00606072">
        <w:rPr>
          <w:b/>
        </w:rPr>
        <w:tab/>
      </w:r>
      <w:r w:rsidRPr="00606072">
        <w:rPr>
          <w:b/>
        </w:rPr>
        <w:tab/>
        <w:t>USA/</w:t>
      </w:r>
      <w:r>
        <w:rPr>
          <w:b/>
        </w:rPr>
        <w:t>10</w:t>
      </w:r>
      <w:r w:rsidRPr="00606072">
        <w:rPr>
          <w:b/>
        </w:rPr>
        <w:t>/</w:t>
      </w:r>
      <w:r>
        <w:rPr>
          <w:b/>
        </w:rPr>
        <w:t>[38 GHZ FSS-2]</w:t>
      </w:r>
    </w:p>
    <w:p w:rsidR="003B7CB6" w:rsidP="003B7CB6">
      <w:pPr>
        <w:rPr>
          <w:b/>
        </w:rPr>
      </w:pPr>
    </w:p>
    <w:p w:rsidR="003B7CB6" w:rsidP="003B7CB6">
      <w:pPr>
        <w:pStyle w:val="ResNo"/>
        <w:rPr>
          <w:lang w:val="en-US"/>
        </w:rPr>
      </w:pPr>
      <w:r w:rsidRPr="002D2C87">
        <w:rPr>
          <w:lang w:val="en-US"/>
        </w:rPr>
        <w:t>RESOLUTION 161 (WRC-15)</w:t>
      </w:r>
    </w:p>
    <w:p w:rsidR="003B7CB6" w:rsidRPr="002D2C87" w:rsidP="003B7CB6">
      <w:pPr>
        <w:pStyle w:val="Restitle"/>
        <w:rPr>
          <w:lang w:val="en-US"/>
        </w:rPr>
      </w:pPr>
    </w:p>
    <w:p w:rsidR="003B7CB6" w:rsidP="003B7CB6">
      <w:pPr>
        <w:pStyle w:val="Heading1"/>
        <w:jc w:val="center"/>
        <w:rPr>
          <w:b w:val="0"/>
          <w:bCs w:val="0"/>
          <w:sz w:val="28"/>
          <w:szCs w:val="28"/>
        </w:rPr>
      </w:pPr>
      <w:r w:rsidRPr="002D2C87">
        <w:rPr>
          <w:sz w:val="28"/>
          <w:szCs w:val="28"/>
          <w:u w:val="none"/>
        </w:rPr>
        <w:t>Studies relating to spectrum needs and possible allocation of the</w:t>
      </w:r>
    </w:p>
    <w:p w:rsidR="003B7CB6" w:rsidP="003B7CB6">
      <w:pPr>
        <w:pStyle w:val="Heading1"/>
        <w:jc w:val="center"/>
        <w:rPr>
          <w:sz w:val="28"/>
          <w:szCs w:val="28"/>
          <w:u w:val="none"/>
        </w:rPr>
      </w:pPr>
      <w:r w:rsidRPr="002D2C87">
        <w:rPr>
          <w:sz w:val="28"/>
          <w:szCs w:val="28"/>
          <w:u w:val="none"/>
        </w:rPr>
        <w:t xml:space="preserve"> </w:t>
      </w:r>
      <w:r>
        <w:rPr>
          <w:sz w:val="28"/>
          <w:szCs w:val="28"/>
          <w:u w:val="none"/>
        </w:rPr>
        <w:t xml:space="preserve">frequency </w:t>
      </w:r>
      <w:r w:rsidRPr="002D2C87">
        <w:rPr>
          <w:sz w:val="28"/>
          <w:szCs w:val="28"/>
          <w:u w:val="none"/>
        </w:rPr>
        <w:t>band 37.5-39.5 GHz to the fixed-satellite service</w:t>
      </w:r>
    </w:p>
    <w:p w:rsidR="003B7CB6" w:rsidRPr="002D2C87" w:rsidP="003B7CB6"/>
    <w:p w:rsidR="003B7CB6" w:rsidRPr="00241F98" w:rsidP="003B7CB6">
      <w:pPr>
        <w:jc w:val="center"/>
      </w:pPr>
      <w:r>
        <w:t>_____________</w:t>
      </w:r>
    </w:p>
    <w:p w:rsidR="003B7CB6" w:rsidP="003B7CB6"/>
    <w:p w:rsidR="003B7CB6" w:rsidP="003B7CB6">
      <w:pPr>
        <w:spacing w:after="160" w:line="259" w:lineRule="auto"/>
      </w:pPr>
      <w:r>
        <w:br w:type="page"/>
      </w:r>
    </w:p>
    <w:p w:rsidR="003B7CB6" w:rsidRPr="00B56654" w:rsidP="003B7CB6">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ind w:right="2"/>
        <w:jc w:val="center"/>
        <w:textAlignment w:val="baseline"/>
        <w:rPr>
          <w:b/>
          <w:szCs w:val="24"/>
          <w:lang w:val="en-GB"/>
        </w:rPr>
      </w:pPr>
      <w:r w:rsidRPr="00B56654">
        <w:rPr>
          <w:b/>
          <w:szCs w:val="24"/>
          <w:lang w:val="en-GB"/>
        </w:rPr>
        <w:t>ATTACHMENT</w:t>
      </w:r>
    </w:p>
    <w:p w:rsidR="003B7CB6" w:rsidRPr="00B56654" w:rsidP="003B7CB6">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ind w:right="2"/>
        <w:jc w:val="center"/>
        <w:textAlignment w:val="baseline"/>
        <w:outlineLvl w:val="0"/>
        <w:rPr>
          <w:b/>
          <w:szCs w:val="24"/>
          <w:lang w:val="en-GB"/>
        </w:rPr>
      </w:pPr>
    </w:p>
    <w:p w:rsidR="003B7CB6" w:rsidRPr="00B56654" w:rsidP="003B7CB6">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ind w:right="2"/>
        <w:jc w:val="center"/>
        <w:textAlignment w:val="baseline"/>
        <w:rPr>
          <w:b/>
          <w:color w:val="000000"/>
          <w:szCs w:val="24"/>
          <w:lang w:val="en-GB"/>
        </w:rPr>
      </w:pPr>
      <w:r w:rsidRPr="00B56654">
        <w:rPr>
          <w:b/>
          <w:szCs w:val="24"/>
          <w:lang w:val="en-GB"/>
        </w:rPr>
        <w:t xml:space="preserve">PROPOSAL FOR </w:t>
      </w:r>
      <w:r>
        <w:rPr>
          <w:rFonts w:ascii="TimesNewRomanPS-BoldMT" w:hAnsi="TimesNewRomanPS-BoldMT" w:cs="TimesNewRomanPS-BoldMT"/>
          <w:b/>
          <w:bCs/>
          <w:szCs w:val="24"/>
        </w:rPr>
        <w:t>FOR FUTURE AGENDA ITEM FOR WRC-23</w:t>
      </w:r>
      <w:r w:rsidRPr="00B56654">
        <w:rPr>
          <w:b/>
          <w:caps/>
          <w:szCs w:val="24"/>
          <w:lang w:val="en-GB"/>
        </w:rPr>
        <w:t xml:space="preserve"> </w:t>
      </w:r>
    </w:p>
    <w:p w:rsidR="003B7CB6" w:rsidRPr="00B56654" w:rsidP="003B7CB6">
      <w:pPr>
        <w:keepNext/>
        <w:tabs>
          <w:tab w:val="left" w:pos="1134"/>
          <w:tab w:val="left" w:pos="1871"/>
          <w:tab w:val="left" w:pos="2268"/>
        </w:tabs>
        <w:overflowPunct w:val="0"/>
        <w:autoSpaceDE w:val="0"/>
        <w:autoSpaceDN w:val="0"/>
        <w:adjustRightInd w:val="0"/>
        <w:spacing w:before="160"/>
        <w:jc w:val="both"/>
        <w:textAlignment w:val="baseline"/>
        <w:rPr>
          <w:b/>
          <w:color w:val="000000"/>
          <w:szCs w:val="24"/>
          <w:lang w:val="en-GB"/>
        </w:rPr>
      </w:pPr>
    </w:p>
    <w:p w:rsidR="003B7CB6" w:rsidRPr="00B56654" w:rsidP="003B7CB6">
      <w:pPr>
        <w:keepNext/>
        <w:tabs>
          <w:tab w:val="left" w:pos="1134"/>
          <w:tab w:val="left" w:pos="1871"/>
          <w:tab w:val="left" w:pos="2268"/>
        </w:tabs>
        <w:overflowPunct w:val="0"/>
        <w:autoSpaceDE w:val="0"/>
        <w:autoSpaceDN w:val="0"/>
        <w:adjustRightInd w:val="0"/>
        <w:textAlignment w:val="baseline"/>
        <w:rPr>
          <w:b/>
          <w:color w:val="000000"/>
          <w:szCs w:val="24"/>
          <w:lang w:val="en-GB"/>
        </w:rPr>
      </w:pPr>
      <w:r w:rsidRPr="00B56654">
        <w:rPr>
          <w:b/>
          <w:bCs/>
          <w:i/>
          <w:color w:val="000000"/>
          <w:szCs w:val="24"/>
          <w:lang w:val="x-none" w:eastAsia="x-none"/>
        </w:rPr>
        <w:t>Subject:</w:t>
      </w:r>
      <w:r w:rsidRPr="00B56654">
        <w:rPr>
          <w:b/>
          <w:color w:val="000000"/>
          <w:szCs w:val="24"/>
          <w:lang w:val="en-GB"/>
        </w:rPr>
        <w:t xml:space="preserve"> </w:t>
      </w:r>
      <w:r w:rsidRPr="00B56654">
        <w:rPr>
          <w:szCs w:val="24"/>
          <w:lang w:val="en-GB"/>
        </w:rPr>
        <w:t>Proposes the adoption of an Agenda item for WRC-19 aiming at the consideration of spectrum requirements for the development of the fixed-satellite service, and possible regulatory actions, including additional allocations to the fixed-satellite service for reverse direction operations for gateway earth stations in the 37.5-39.5 GHz frequency band.</w:t>
      </w:r>
    </w:p>
    <w:p w:rsidR="003B7CB6" w:rsidRPr="00B56654" w:rsidP="003B7CB6">
      <w:pPr>
        <w:pBdr>
          <w:bottom w:val="single" w:sz="12" w:space="1" w:color="auto"/>
        </w:pBdr>
        <w:tabs>
          <w:tab w:val="left" w:pos="1134"/>
          <w:tab w:val="left" w:pos="1191"/>
          <w:tab w:val="left" w:pos="1588"/>
          <w:tab w:val="left" w:pos="1871"/>
          <w:tab w:val="left" w:pos="1985"/>
          <w:tab w:val="left" w:pos="2268"/>
        </w:tabs>
        <w:overflowPunct w:val="0"/>
        <w:autoSpaceDE w:val="0"/>
        <w:autoSpaceDN w:val="0"/>
        <w:adjustRightInd w:val="0"/>
        <w:textAlignment w:val="baseline"/>
        <w:rPr>
          <w:color w:val="000000"/>
          <w:lang w:val="es-AR"/>
        </w:rPr>
      </w:pPr>
    </w:p>
    <w:p w:rsidR="003B7CB6" w:rsidRPr="00B56654" w:rsidP="003B7CB6">
      <w:pPr>
        <w:tabs>
          <w:tab w:val="left" w:pos="1134"/>
          <w:tab w:val="left" w:pos="1871"/>
          <w:tab w:val="left" w:pos="2268"/>
        </w:tabs>
        <w:overflowPunct w:val="0"/>
        <w:autoSpaceDE w:val="0"/>
        <w:autoSpaceDN w:val="0"/>
        <w:adjustRightInd w:val="0"/>
        <w:textAlignment w:val="baseline"/>
        <w:rPr>
          <w:color w:val="000000"/>
          <w:szCs w:val="24"/>
          <w:lang w:val="en-GB"/>
        </w:rPr>
      </w:pPr>
      <w:r w:rsidRPr="00B56654">
        <w:rPr>
          <w:b/>
          <w:bCs/>
          <w:i/>
          <w:color w:val="000000"/>
          <w:szCs w:val="24"/>
          <w:lang w:val="x-none" w:eastAsia="x-none"/>
        </w:rPr>
        <w:t>Origin:</w:t>
      </w:r>
      <w:r w:rsidRPr="00B56654">
        <w:rPr>
          <w:color w:val="000000"/>
          <w:szCs w:val="24"/>
          <w:lang w:val="en-GB"/>
        </w:rPr>
        <w:t xml:space="preserve"> </w:t>
      </w:r>
      <w:r w:rsidRPr="00B56654">
        <w:rPr>
          <w:lang w:val="en-GB"/>
        </w:rPr>
        <w:t xml:space="preserve"> Member States of the Inter-American Telecommunication Commission (CITEL)</w:t>
      </w:r>
      <w:r>
        <w:rPr>
          <w:lang w:val="en-GB"/>
        </w:rPr>
        <w:t>; WRC-19 Preliminary Agenda item 2.4</w:t>
      </w:r>
    </w:p>
    <w:p w:rsidR="003B7CB6" w:rsidRPr="00B56654" w:rsidP="003B7CB6">
      <w:pPr>
        <w:pBdr>
          <w:bottom w:val="single" w:sz="12" w:space="1" w:color="auto"/>
        </w:pBdr>
        <w:tabs>
          <w:tab w:val="left" w:pos="1134"/>
          <w:tab w:val="left" w:pos="1191"/>
          <w:tab w:val="left" w:pos="1588"/>
          <w:tab w:val="left" w:pos="1871"/>
          <w:tab w:val="left" w:pos="1985"/>
          <w:tab w:val="left" w:pos="2268"/>
        </w:tabs>
        <w:overflowPunct w:val="0"/>
        <w:autoSpaceDE w:val="0"/>
        <w:autoSpaceDN w:val="0"/>
        <w:adjustRightInd w:val="0"/>
        <w:textAlignment w:val="baseline"/>
        <w:rPr>
          <w:color w:val="000000"/>
          <w:szCs w:val="24"/>
          <w:lang w:val="en-GB"/>
        </w:rPr>
      </w:pPr>
    </w:p>
    <w:p w:rsidR="003B7CB6" w:rsidRPr="00B56654" w:rsidP="003B7CB6">
      <w:pPr>
        <w:tabs>
          <w:tab w:val="left" w:pos="360"/>
          <w:tab w:val="left" w:pos="900"/>
          <w:tab w:val="left" w:pos="1134"/>
          <w:tab w:val="left" w:pos="1871"/>
          <w:tab w:val="left" w:pos="2268"/>
        </w:tabs>
        <w:overflowPunct w:val="0"/>
        <w:autoSpaceDE w:val="0"/>
        <w:autoSpaceDN w:val="0"/>
        <w:adjustRightInd w:val="0"/>
        <w:textAlignment w:val="baseline"/>
        <w:rPr>
          <w:b/>
          <w:iCs/>
          <w:color w:val="000000"/>
          <w:szCs w:val="24"/>
          <w:lang w:val="en-GB" w:eastAsia="x-none"/>
        </w:rPr>
      </w:pPr>
      <w:r w:rsidRPr="00B56654">
        <w:rPr>
          <w:b/>
          <w:bCs/>
          <w:i/>
          <w:color w:val="000000"/>
          <w:szCs w:val="24"/>
          <w:lang w:val="x-none" w:eastAsia="x-none"/>
        </w:rPr>
        <w:t>Proposal</w:t>
      </w:r>
      <w:r w:rsidRPr="00B56654">
        <w:rPr>
          <w:b/>
          <w:i/>
          <w:iCs/>
          <w:color w:val="000000"/>
          <w:szCs w:val="24"/>
          <w:lang w:val="x-none" w:eastAsia="x-none"/>
        </w:rPr>
        <w:t>:</w:t>
      </w:r>
      <w:r w:rsidRPr="00B56654">
        <w:rPr>
          <w:i/>
          <w:iCs/>
          <w:color w:val="000000"/>
          <w:szCs w:val="24"/>
          <w:lang w:val="x-none" w:eastAsia="x-none"/>
        </w:rPr>
        <w:t xml:space="preserve"> </w:t>
      </w:r>
      <w:r w:rsidRPr="00B56654">
        <w:rPr>
          <w:iCs/>
          <w:color w:val="000000"/>
          <w:szCs w:val="24"/>
          <w:lang w:val="en-GB" w:eastAsia="x-none"/>
        </w:rPr>
        <w:t>To develop a</w:t>
      </w:r>
      <w:r>
        <w:rPr>
          <w:iCs/>
          <w:color w:val="000000"/>
          <w:szCs w:val="24"/>
          <w:lang w:val="en-GB" w:eastAsia="x-none"/>
        </w:rPr>
        <w:t xml:space="preserve">n </w:t>
      </w:r>
      <w:r w:rsidRPr="00B56654">
        <w:rPr>
          <w:iCs/>
          <w:color w:val="000000"/>
          <w:szCs w:val="24"/>
          <w:lang w:val="en-GB" w:eastAsia="x-none"/>
        </w:rPr>
        <w:t xml:space="preserve">Agenda item aiming at the consideration of spectrum requirements for the development of the fixed-satellite service and possible regulatory actions, including </w:t>
      </w:r>
      <w:r w:rsidRPr="00B56654">
        <w:rPr>
          <w:szCs w:val="24"/>
          <w:lang w:val="en-GB"/>
        </w:rPr>
        <w:t>additional allocations for reverse direction operations for gateway earth stations in the 37.5-39.5 GHz frequency band</w:t>
      </w:r>
      <w:r w:rsidRPr="00B56654">
        <w:rPr>
          <w:iCs/>
          <w:color w:val="000000"/>
          <w:szCs w:val="24"/>
          <w:lang w:val="en-GB" w:eastAsia="x-none"/>
        </w:rPr>
        <w:t>.</w:t>
      </w:r>
    </w:p>
    <w:p w:rsidR="003B7CB6" w:rsidRPr="00B56654" w:rsidP="003B7CB6">
      <w:pPr>
        <w:pBdr>
          <w:bottom w:val="single" w:sz="12" w:space="1" w:color="auto"/>
        </w:pBdr>
        <w:tabs>
          <w:tab w:val="left" w:pos="1134"/>
          <w:tab w:val="left" w:pos="1191"/>
          <w:tab w:val="left" w:pos="1588"/>
          <w:tab w:val="left" w:pos="1871"/>
          <w:tab w:val="left" w:pos="1985"/>
          <w:tab w:val="left" w:pos="2268"/>
        </w:tabs>
        <w:overflowPunct w:val="0"/>
        <w:autoSpaceDE w:val="0"/>
        <w:autoSpaceDN w:val="0"/>
        <w:adjustRightInd w:val="0"/>
        <w:textAlignment w:val="baseline"/>
        <w:rPr>
          <w:color w:val="000000"/>
          <w:szCs w:val="24"/>
          <w:lang w:val="en-GB"/>
        </w:rPr>
      </w:pPr>
    </w:p>
    <w:p w:rsidR="003B7CB6" w:rsidRPr="00B56654" w:rsidP="003B7CB6">
      <w:pPr>
        <w:rPr>
          <w:szCs w:val="24"/>
        </w:rPr>
      </w:pPr>
      <w:r w:rsidRPr="00B56654">
        <w:rPr>
          <w:b/>
          <w:i/>
          <w:color w:val="000000"/>
          <w:szCs w:val="24"/>
        </w:rPr>
        <w:t>Background/reason</w:t>
      </w:r>
      <w:r w:rsidRPr="00B56654">
        <w:rPr>
          <w:b/>
          <w:bCs/>
          <w:i/>
          <w:iCs/>
          <w:color w:val="000000"/>
          <w:szCs w:val="24"/>
        </w:rPr>
        <w:t>:</w:t>
      </w:r>
      <w:r w:rsidRPr="00B56654">
        <w:rPr>
          <w:szCs w:val="24"/>
        </w:rPr>
        <w:t xml:space="preserve"> Today satellite operators provide a wide range of broadband services to a rapidly growing customer base, with more systems to come before 20</w:t>
      </w:r>
      <w:r>
        <w:rPr>
          <w:szCs w:val="24"/>
        </w:rPr>
        <w:t>23</w:t>
      </w:r>
      <w:r w:rsidRPr="00B56654">
        <w:rPr>
          <w:szCs w:val="24"/>
        </w:rPr>
        <w:t xml:space="preserve">.  Advances in satellite technologies are allowing a variety of new services including innovative broadband, video and mobile services covering all corners of the globe and providing service to places and regions not covered by traditional terrestrial services and that, accordingly, are missing out on the benefits of new and innovative telecommunications services. The fixed-satellite service can support a number of important public interest initiatives including tele-health, tele-education and public protection and disaster relief.    Just to name a few examples, high throughput satellites are bringing broadband connectivity to rural and remote areas, thereby advancing countries’ broadband objectives.   </w:t>
      </w:r>
    </w:p>
    <w:p w:rsidR="003B7CB6" w:rsidRPr="00B56654" w:rsidP="003B7CB6">
      <w:pPr>
        <w:rPr>
          <w:szCs w:val="24"/>
        </w:rPr>
      </w:pPr>
    </w:p>
    <w:p w:rsidR="003B7CB6" w:rsidRPr="00B56654" w:rsidP="003B7CB6">
      <w:pPr>
        <w:rPr>
          <w:szCs w:val="24"/>
        </w:rPr>
      </w:pPr>
      <w:r w:rsidRPr="00B56654">
        <w:rPr>
          <w:szCs w:val="24"/>
        </w:rPr>
        <w:t>This is not by chance; the technological progress in radio communication enables the satellite industry to offer much more capacity today with much less spectrum. This applies to the fixed-satellite service whether operating in the geostationary or non-geostationary orbits.  The satellite industry takes this development into account by using the most spectrum efficient technologies, including advances in spot-beam technologies and frequency re-use.  In addition, for some satellite applications, such as gateways, sharing with Radiocommunication services could be more easily accomplished.  However, even with this efficiency, demand for fixed-satellite service outpaces the spectrum available for this service today.</w:t>
      </w:r>
    </w:p>
    <w:p w:rsidR="003B7CB6" w:rsidRPr="00B56654" w:rsidP="003B7CB6">
      <w:pPr>
        <w:rPr>
          <w:szCs w:val="24"/>
        </w:rPr>
      </w:pPr>
    </w:p>
    <w:p w:rsidR="003B7CB6" w:rsidRPr="00B56654" w:rsidP="003B7CB6">
      <w:pPr>
        <w:tabs>
          <w:tab w:val="left" w:pos="1134"/>
          <w:tab w:val="left" w:pos="1871"/>
          <w:tab w:val="left" w:pos="2268"/>
        </w:tabs>
        <w:overflowPunct w:val="0"/>
        <w:autoSpaceDE w:val="0"/>
        <w:autoSpaceDN w:val="0"/>
        <w:adjustRightInd w:val="0"/>
        <w:textAlignment w:val="baseline"/>
        <w:rPr>
          <w:szCs w:val="24"/>
          <w:lang w:val="en-GB"/>
        </w:rPr>
      </w:pPr>
      <w:r w:rsidRPr="00B56654">
        <w:rPr>
          <w:szCs w:val="24"/>
          <w:lang w:val="en-GB"/>
        </w:rPr>
        <w:t xml:space="preserve">Nonetheless, there is growing demand for fixed-satellite service, including broadband and data services which in many rural and remote locations are the only ways of receiving these important communication services,.  Today, with C, Ku and Ka bands reaching capacity, satellite frequencies are heavily used and are nearing saturation for many applications. Therefore, Satellite operators are seeking access to additional fixed-satellite service spectrum to satisfy existing and anticipated requirements for existing and new services, including broadband services.  In the North America, for instance, over one million and a half customers currently rely on satellite broadband services and that number is growing each day.   </w:t>
      </w:r>
    </w:p>
    <w:p w:rsidR="003B7CB6" w:rsidRPr="00B56654" w:rsidP="003B7CB6">
      <w:pPr>
        <w:tabs>
          <w:tab w:val="left" w:pos="1134"/>
          <w:tab w:val="left" w:pos="1871"/>
          <w:tab w:val="left" w:pos="2268"/>
        </w:tabs>
        <w:overflowPunct w:val="0"/>
        <w:autoSpaceDE w:val="0"/>
        <w:autoSpaceDN w:val="0"/>
        <w:adjustRightInd w:val="0"/>
        <w:textAlignment w:val="baseline"/>
        <w:rPr>
          <w:szCs w:val="24"/>
          <w:lang w:val="en-GB"/>
        </w:rPr>
      </w:pPr>
    </w:p>
    <w:p w:rsidR="003B7CB6" w:rsidRPr="00B56654" w:rsidP="003B7CB6">
      <w:pPr>
        <w:pBdr>
          <w:bottom w:val="single" w:sz="12" w:space="1" w:color="auto"/>
        </w:pBdr>
        <w:rPr>
          <w:szCs w:val="24"/>
        </w:rPr>
      </w:pPr>
    </w:p>
    <w:p w:rsidR="003B7CB6" w:rsidRPr="00B56654" w:rsidP="003B7CB6">
      <w:pPr>
        <w:tabs>
          <w:tab w:val="left" w:pos="1134"/>
          <w:tab w:val="left" w:pos="1871"/>
          <w:tab w:val="left" w:pos="2268"/>
        </w:tabs>
        <w:overflowPunct w:val="0"/>
        <w:autoSpaceDE w:val="0"/>
        <w:autoSpaceDN w:val="0"/>
        <w:adjustRightInd w:val="0"/>
        <w:textAlignment w:val="baseline"/>
        <w:rPr>
          <w:bCs/>
          <w:color w:val="000000"/>
          <w:szCs w:val="24"/>
          <w:lang w:val="en-GB"/>
        </w:rPr>
      </w:pPr>
      <w:r w:rsidRPr="00B56654">
        <w:rPr>
          <w:b/>
          <w:i/>
          <w:color w:val="000000"/>
          <w:szCs w:val="24"/>
          <w:lang w:val="en-GB"/>
        </w:rPr>
        <w:t>Radiocommunication services concerned</w:t>
      </w:r>
      <w:r w:rsidRPr="00B56654">
        <w:rPr>
          <w:b/>
          <w:bCs/>
          <w:i/>
          <w:iCs/>
          <w:color w:val="000000"/>
          <w:szCs w:val="24"/>
          <w:lang w:val="en-GB"/>
        </w:rPr>
        <w:t xml:space="preserve">: </w:t>
      </w:r>
      <w:r w:rsidRPr="00B56654">
        <w:rPr>
          <w:bCs/>
          <w:iCs/>
          <w:color w:val="000000"/>
          <w:szCs w:val="24"/>
          <w:lang w:val="en-GB"/>
        </w:rPr>
        <w:t>FSS</w:t>
      </w:r>
    </w:p>
    <w:p w:rsidR="003B7CB6" w:rsidRPr="00B56654" w:rsidP="003B7CB6">
      <w:pPr>
        <w:pBdr>
          <w:bottom w:val="single" w:sz="12" w:space="1" w:color="auto"/>
        </w:pBdr>
        <w:tabs>
          <w:tab w:val="left" w:pos="1134"/>
          <w:tab w:val="left" w:pos="1871"/>
          <w:tab w:val="left" w:pos="2268"/>
        </w:tabs>
        <w:overflowPunct w:val="0"/>
        <w:autoSpaceDE w:val="0"/>
        <w:autoSpaceDN w:val="0"/>
        <w:adjustRightInd w:val="0"/>
        <w:textAlignment w:val="baseline"/>
        <w:rPr>
          <w:color w:val="000000"/>
          <w:szCs w:val="24"/>
          <w:lang w:val="en-GB"/>
        </w:rPr>
      </w:pPr>
    </w:p>
    <w:p w:rsidR="003B7CB6" w:rsidRPr="00B56654" w:rsidP="003B7CB6">
      <w:pPr>
        <w:tabs>
          <w:tab w:val="left" w:pos="1134"/>
          <w:tab w:val="left" w:pos="1871"/>
          <w:tab w:val="left" w:pos="2268"/>
        </w:tabs>
        <w:overflowPunct w:val="0"/>
        <w:autoSpaceDE w:val="0"/>
        <w:autoSpaceDN w:val="0"/>
        <w:adjustRightInd w:val="0"/>
        <w:textAlignment w:val="baseline"/>
        <w:rPr>
          <w:b/>
          <w:bCs/>
          <w:i/>
          <w:color w:val="000000"/>
          <w:szCs w:val="24"/>
          <w:lang w:val="en-GB"/>
        </w:rPr>
      </w:pPr>
      <w:r w:rsidRPr="00B56654">
        <w:rPr>
          <w:b/>
          <w:i/>
          <w:color w:val="000000"/>
          <w:szCs w:val="24"/>
          <w:lang w:val="en-GB"/>
        </w:rPr>
        <w:t>Indication of possible difficulties</w:t>
      </w:r>
      <w:r w:rsidRPr="00B56654">
        <w:rPr>
          <w:b/>
          <w:bCs/>
          <w:i/>
          <w:iCs/>
          <w:color w:val="000000"/>
          <w:szCs w:val="24"/>
          <w:lang w:val="en-GB"/>
        </w:rPr>
        <w:t>:</w:t>
      </w:r>
      <w:r w:rsidRPr="00B56654">
        <w:rPr>
          <w:bCs/>
          <w:iCs/>
          <w:color w:val="000000"/>
          <w:szCs w:val="24"/>
          <w:lang w:val="en-GB"/>
        </w:rPr>
        <w:t xml:space="preserve"> None foreseen</w:t>
      </w:r>
    </w:p>
    <w:p w:rsidR="003B7CB6" w:rsidRPr="00B56654" w:rsidP="003B7CB6">
      <w:pPr>
        <w:pBdr>
          <w:bottom w:val="single" w:sz="12" w:space="1" w:color="auto"/>
        </w:pBdr>
        <w:tabs>
          <w:tab w:val="left" w:pos="1134"/>
          <w:tab w:val="left" w:pos="1871"/>
          <w:tab w:val="left" w:pos="2268"/>
        </w:tabs>
        <w:overflowPunct w:val="0"/>
        <w:autoSpaceDE w:val="0"/>
        <w:autoSpaceDN w:val="0"/>
        <w:adjustRightInd w:val="0"/>
        <w:textAlignment w:val="baseline"/>
        <w:rPr>
          <w:color w:val="000000"/>
          <w:szCs w:val="24"/>
          <w:lang w:val="en-GB"/>
        </w:rPr>
      </w:pPr>
    </w:p>
    <w:p w:rsidR="003B7CB6" w:rsidRPr="00B56654" w:rsidP="003B7CB6">
      <w:pPr>
        <w:tabs>
          <w:tab w:val="left" w:pos="1134"/>
          <w:tab w:val="left" w:pos="1871"/>
          <w:tab w:val="left" w:pos="2268"/>
        </w:tabs>
        <w:overflowPunct w:val="0"/>
        <w:autoSpaceDE w:val="0"/>
        <w:autoSpaceDN w:val="0"/>
        <w:adjustRightInd w:val="0"/>
        <w:textAlignment w:val="baseline"/>
        <w:rPr>
          <w:b/>
          <w:bCs/>
          <w:i/>
          <w:color w:val="000000"/>
          <w:szCs w:val="24"/>
          <w:lang w:val="en-GB"/>
        </w:rPr>
      </w:pPr>
      <w:r w:rsidRPr="00B56654">
        <w:rPr>
          <w:b/>
          <w:i/>
          <w:color w:val="000000"/>
          <w:szCs w:val="24"/>
          <w:lang w:val="en-GB"/>
        </w:rPr>
        <w:t>Previous/ongoing studies on the issue</w:t>
      </w:r>
      <w:r w:rsidRPr="00B56654">
        <w:rPr>
          <w:b/>
          <w:bCs/>
          <w:i/>
          <w:iCs/>
          <w:color w:val="000000"/>
          <w:szCs w:val="24"/>
          <w:lang w:val="en-GB"/>
        </w:rPr>
        <w:t>:</w:t>
      </w:r>
      <w:r w:rsidRPr="00B56654">
        <w:rPr>
          <w:bCs/>
          <w:iCs/>
          <w:color w:val="000000"/>
          <w:szCs w:val="24"/>
          <w:lang w:val="en-GB"/>
        </w:rPr>
        <w:t xml:space="preserve"> Previous WRCs addressed similar issues in the 11/12/13/14 and 20/30 GHz bands.</w:t>
      </w:r>
    </w:p>
    <w:p w:rsidR="003B7CB6" w:rsidRPr="00B56654" w:rsidP="003B7CB6">
      <w:pPr>
        <w:pBdr>
          <w:bottom w:val="single" w:sz="12" w:space="1" w:color="auto"/>
        </w:pBdr>
        <w:tabs>
          <w:tab w:val="left" w:pos="1134"/>
          <w:tab w:val="left" w:pos="1871"/>
          <w:tab w:val="left" w:pos="2268"/>
        </w:tabs>
        <w:overflowPunct w:val="0"/>
        <w:autoSpaceDE w:val="0"/>
        <w:autoSpaceDN w:val="0"/>
        <w:adjustRightInd w:val="0"/>
        <w:textAlignment w:val="baseline"/>
        <w:rPr>
          <w:color w:val="000000"/>
          <w:szCs w:val="24"/>
          <w:lang w:val="en-GB"/>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tblPr>
      <w:tblGrid>
        <w:gridCol w:w="3979"/>
        <w:gridCol w:w="5357"/>
      </w:tblGrid>
      <w:tr w:rsidTr="003B7CB6">
        <w:tblPrEx>
          <w:tblW w:w="0" w:type="auto"/>
          <w:jc w:val="center"/>
          <w:tblBorders>
            <w:bottom w:val="single" w:sz="12" w:space="0" w:color="auto"/>
            <w:insideH w:val="single" w:sz="12" w:space="0" w:color="auto"/>
            <w:insideV w:val="single" w:sz="12" w:space="0" w:color="auto"/>
          </w:tblBorders>
          <w:tblCellMar>
            <w:left w:w="0" w:type="dxa"/>
            <w:right w:w="0" w:type="dxa"/>
          </w:tblCellMar>
          <w:tblLook w:val="0000"/>
        </w:tblPrEx>
        <w:trPr>
          <w:jc w:val="center"/>
        </w:trPr>
        <w:tc>
          <w:tcPr>
            <w:tcW w:w="3979" w:type="dxa"/>
          </w:tcPr>
          <w:p w:rsidR="003B7CB6" w:rsidRPr="00B56654" w:rsidP="003B7CB6">
            <w:pPr>
              <w:framePr w:hSpace="181" w:wrap="notBeside" w:vAnchor="text" w:hAnchor="text" w:xAlign="center" w:y="1"/>
              <w:tabs>
                <w:tab w:val="left" w:pos="1134"/>
                <w:tab w:val="left" w:pos="1871"/>
                <w:tab w:val="left" w:pos="2268"/>
                <w:tab w:val="left" w:pos="4366"/>
              </w:tabs>
              <w:overflowPunct w:val="0"/>
              <w:autoSpaceDE w:val="0"/>
              <w:autoSpaceDN w:val="0"/>
              <w:adjustRightInd w:val="0"/>
              <w:textAlignment w:val="baseline"/>
              <w:rPr>
                <w:b/>
                <w:bCs/>
                <w:i/>
                <w:iCs/>
                <w:color w:val="000000"/>
                <w:szCs w:val="24"/>
                <w:lang w:val="en-GB"/>
              </w:rPr>
            </w:pPr>
            <w:r w:rsidRPr="00B56654">
              <w:rPr>
                <w:b/>
                <w:i/>
                <w:color w:val="000000"/>
                <w:szCs w:val="24"/>
                <w:lang w:val="en-GB"/>
              </w:rPr>
              <w:t>Studies to be carried out by</w:t>
            </w:r>
            <w:r w:rsidRPr="00B56654">
              <w:rPr>
                <w:b/>
                <w:bCs/>
                <w:i/>
                <w:iCs/>
                <w:color w:val="000000"/>
                <w:szCs w:val="24"/>
                <w:lang w:val="en-GB"/>
              </w:rPr>
              <w:t xml:space="preserve">: </w:t>
            </w:r>
            <w:r w:rsidRPr="00B56654">
              <w:rPr>
                <w:bCs/>
                <w:iCs/>
                <w:color w:val="000000"/>
                <w:szCs w:val="24"/>
                <w:lang w:val="en-GB"/>
              </w:rPr>
              <w:t>SG4</w:t>
            </w:r>
          </w:p>
        </w:tc>
        <w:tc>
          <w:tcPr>
            <w:tcW w:w="5357" w:type="dxa"/>
          </w:tcPr>
          <w:p w:rsidR="003B7CB6" w:rsidRPr="00B56654" w:rsidP="003B7CB6">
            <w:pPr>
              <w:framePr w:hSpace="181" w:wrap="notBeside" w:vAnchor="text" w:hAnchor="text" w:xAlign="center" w:y="1"/>
              <w:tabs>
                <w:tab w:val="left" w:pos="360"/>
                <w:tab w:val="left" w:pos="900"/>
                <w:tab w:val="left" w:pos="1134"/>
                <w:tab w:val="left" w:pos="1871"/>
                <w:tab w:val="left" w:pos="2268"/>
                <w:tab w:val="left" w:pos="4366"/>
              </w:tabs>
              <w:overflowPunct w:val="0"/>
              <w:autoSpaceDE w:val="0"/>
              <w:autoSpaceDN w:val="0"/>
              <w:adjustRightInd w:val="0"/>
              <w:ind w:left="113"/>
              <w:textAlignment w:val="baseline"/>
              <w:rPr>
                <w:b/>
                <w:i/>
                <w:iCs/>
                <w:color w:val="000000"/>
                <w:szCs w:val="24"/>
                <w:lang w:val="en-GB" w:eastAsia="x-none"/>
              </w:rPr>
            </w:pPr>
            <w:r w:rsidRPr="00B56654">
              <w:rPr>
                <w:b/>
                <w:bCs/>
                <w:i/>
                <w:color w:val="000000"/>
                <w:szCs w:val="24"/>
                <w:lang w:val="x-none" w:eastAsia="x-none"/>
              </w:rPr>
              <w:t>with the participation of</w:t>
            </w:r>
            <w:r w:rsidRPr="00B56654">
              <w:rPr>
                <w:b/>
                <w:i/>
                <w:iCs/>
                <w:color w:val="000000"/>
                <w:szCs w:val="24"/>
                <w:lang w:val="x-none" w:eastAsia="x-none"/>
              </w:rPr>
              <w:t xml:space="preserve">: </w:t>
            </w:r>
            <w:r w:rsidRPr="00B56654">
              <w:rPr>
                <w:b/>
                <w:i/>
                <w:iCs/>
                <w:color w:val="000000"/>
                <w:szCs w:val="24"/>
                <w:lang w:val="en-GB" w:eastAsia="x-none"/>
              </w:rPr>
              <w:t>SG7</w:t>
            </w:r>
          </w:p>
          <w:p w:rsidR="003B7CB6" w:rsidRPr="00B56654" w:rsidP="003B7CB6">
            <w:pPr>
              <w:framePr w:hSpace="181" w:wrap="notBeside" w:vAnchor="text" w:hAnchor="text" w:xAlign="center" w:y="1"/>
              <w:tabs>
                <w:tab w:val="left" w:pos="1134"/>
                <w:tab w:val="left" w:pos="1871"/>
                <w:tab w:val="left" w:pos="2268"/>
                <w:tab w:val="left" w:pos="4366"/>
              </w:tabs>
              <w:overflowPunct w:val="0"/>
              <w:autoSpaceDE w:val="0"/>
              <w:autoSpaceDN w:val="0"/>
              <w:adjustRightInd w:val="0"/>
              <w:textAlignment w:val="baseline"/>
              <w:rPr>
                <w:b/>
                <w:bCs/>
                <w:i/>
                <w:iCs/>
                <w:color w:val="000000"/>
                <w:szCs w:val="24"/>
                <w:lang w:val="en-GB"/>
              </w:rPr>
            </w:pPr>
          </w:p>
        </w:tc>
      </w:tr>
    </w:tbl>
    <w:p w:rsidR="003B7CB6" w:rsidRPr="00B56654" w:rsidP="003B7CB6">
      <w:pPr>
        <w:tabs>
          <w:tab w:val="left" w:pos="1134"/>
          <w:tab w:val="left" w:pos="1871"/>
          <w:tab w:val="left" w:pos="2268"/>
        </w:tabs>
        <w:overflowPunct w:val="0"/>
        <w:autoSpaceDE w:val="0"/>
        <w:autoSpaceDN w:val="0"/>
        <w:adjustRightInd w:val="0"/>
        <w:textAlignment w:val="baseline"/>
        <w:rPr>
          <w:bCs/>
          <w:color w:val="000000"/>
          <w:szCs w:val="24"/>
          <w:lang w:val="en-GB"/>
        </w:rPr>
      </w:pPr>
      <w:r w:rsidRPr="00B56654">
        <w:rPr>
          <w:b/>
          <w:i/>
          <w:color w:val="000000"/>
          <w:szCs w:val="24"/>
          <w:lang w:val="en-GB"/>
        </w:rPr>
        <w:t>ITU-R Study Groups concerned</w:t>
      </w:r>
      <w:r w:rsidRPr="00B56654">
        <w:rPr>
          <w:b/>
          <w:bCs/>
          <w:i/>
          <w:iCs/>
          <w:color w:val="000000"/>
          <w:szCs w:val="24"/>
          <w:lang w:val="en-GB"/>
        </w:rPr>
        <w:t xml:space="preserve">: </w:t>
      </w:r>
      <w:r w:rsidRPr="00B56654">
        <w:rPr>
          <w:bCs/>
          <w:iCs/>
          <w:color w:val="000000"/>
          <w:szCs w:val="24"/>
          <w:lang w:val="en-GB"/>
        </w:rPr>
        <w:t xml:space="preserve">SG4, SG7 </w:t>
      </w:r>
    </w:p>
    <w:p w:rsidR="003B7CB6" w:rsidRPr="00B56654" w:rsidP="003B7CB6">
      <w:pPr>
        <w:pBdr>
          <w:bottom w:val="single" w:sz="12" w:space="1" w:color="auto"/>
        </w:pBdr>
        <w:tabs>
          <w:tab w:val="left" w:pos="1134"/>
          <w:tab w:val="left" w:pos="1871"/>
          <w:tab w:val="left" w:pos="2268"/>
        </w:tabs>
        <w:overflowPunct w:val="0"/>
        <w:autoSpaceDE w:val="0"/>
        <w:autoSpaceDN w:val="0"/>
        <w:adjustRightInd w:val="0"/>
        <w:textAlignment w:val="baseline"/>
        <w:rPr>
          <w:color w:val="000000"/>
          <w:szCs w:val="24"/>
          <w:lang w:val="en-GB"/>
        </w:rPr>
      </w:pPr>
    </w:p>
    <w:p w:rsidR="003B7CB6" w:rsidRPr="00B56654" w:rsidP="003B7CB6">
      <w:pPr>
        <w:tabs>
          <w:tab w:val="left" w:pos="360"/>
          <w:tab w:val="left" w:pos="900"/>
          <w:tab w:val="left" w:pos="1134"/>
          <w:tab w:val="left" w:pos="1871"/>
          <w:tab w:val="left" w:pos="2268"/>
        </w:tabs>
        <w:overflowPunct w:val="0"/>
        <w:autoSpaceDE w:val="0"/>
        <w:autoSpaceDN w:val="0"/>
        <w:adjustRightInd w:val="0"/>
        <w:textAlignment w:val="baseline"/>
        <w:rPr>
          <w:i/>
          <w:iCs/>
          <w:color w:val="000000"/>
          <w:szCs w:val="24"/>
          <w:lang w:val="x-none" w:eastAsia="x-none"/>
        </w:rPr>
      </w:pPr>
      <w:r w:rsidRPr="00B56654">
        <w:rPr>
          <w:b/>
          <w:bCs/>
          <w:i/>
          <w:color w:val="000000"/>
          <w:szCs w:val="24"/>
          <w:lang w:val="x-none" w:eastAsia="x-none"/>
        </w:rPr>
        <w:t>ITU resource implications, including financial implications (refer to CV126)</w:t>
      </w:r>
      <w:r w:rsidRPr="00B56654">
        <w:rPr>
          <w:b/>
          <w:i/>
          <w:iCs/>
          <w:color w:val="000000"/>
          <w:szCs w:val="24"/>
          <w:lang w:val="x-none" w:eastAsia="x-none"/>
        </w:rPr>
        <w:t>:</w:t>
      </w:r>
      <w:r w:rsidRPr="00B56654">
        <w:rPr>
          <w:i/>
          <w:iCs/>
          <w:color w:val="000000"/>
          <w:szCs w:val="24"/>
          <w:lang w:val="x-none" w:eastAsia="x-none"/>
        </w:rPr>
        <w:t xml:space="preserve"> </w:t>
      </w:r>
      <w:r w:rsidRPr="00B56654">
        <w:rPr>
          <w:iCs/>
          <w:color w:val="000000"/>
          <w:szCs w:val="24"/>
          <w:lang w:val="x-none" w:eastAsia="x-none"/>
        </w:rPr>
        <w:t>Minimal</w:t>
      </w:r>
    </w:p>
    <w:p w:rsidR="003B7CB6" w:rsidRPr="00B56654" w:rsidP="003B7CB6">
      <w:pPr>
        <w:pBdr>
          <w:bottom w:val="single" w:sz="12" w:space="1" w:color="auto"/>
        </w:pBdr>
        <w:tabs>
          <w:tab w:val="left" w:pos="1134"/>
          <w:tab w:val="left" w:pos="1871"/>
          <w:tab w:val="left" w:pos="2268"/>
        </w:tabs>
        <w:overflowPunct w:val="0"/>
        <w:autoSpaceDE w:val="0"/>
        <w:autoSpaceDN w:val="0"/>
        <w:adjustRightInd w:val="0"/>
        <w:textAlignment w:val="baseline"/>
        <w:rPr>
          <w:color w:val="000000"/>
          <w:szCs w:val="24"/>
          <w:lang w:val="en-GB"/>
        </w:rPr>
      </w:pPr>
    </w:p>
    <w:p w:rsidR="003B7CB6" w:rsidRPr="00B56654" w:rsidP="003B7CB6">
      <w:pPr>
        <w:tabs>
          <w:tab w:val="left" w:pos="1134"/>
          <w:tab w:val="left" w:pos="1871"/>
          <w:tab w:val="left" w:pos="2268"/>
          <w:tab w:val="left" w:pos="4366"/>
        </w:tabs>
        <w:overflowPunct w:val="0"/>
        <w:autoSpaceDE w:val="0"/>
        <w:autoSpaceDN w:val="0"/>
        <w:adjustRightInd w:val="0"/>
        <w:textAlignment w:val="baseline"/>
        <w:rPr>
          <w:color w:val="000000"/>
          <w:szCs w:val="24"/>
          <w:lang w:val="en-GB"/>
        </w:rPr>
      </w:pPr>
      <w:r w:rsidRPr="00B56654">
        <w:rPr>
          <w:b/>
          <w:i/>
          <w:color w:val="000000"/>
          <w:szCs w:val="24"/>
          <w:lang w:val="en-GB"/>
        </w:rPr>
        <w:t>Common regional proposal</w:t>
      </w:r>
      <w:r w:rsidRPr="00B56654">
        <w:rPr>
          <w:b/>
          <w:bCs/>
          <w:i/>
          <w:iCs/>
          <w:color w:val="000000"/>
          <w:szCs w:val="24"/>
          <w:lang w:val="en-GB"/>
        </w:rPr>
        <w:t>:</w:t>
      </w:r>
      <w:r w:rsidRPr="00B56654">
        <w:rPr>
          <w:color w:val="000000"/>
          <w:szCs w:val="24"/>
          <w:lang w:val="en-GB"/>
        </w:rPr>
        <w:t xml:space="preserve">  Yes/No</w:t>
      </w:r>
      <w:r w:rsidRPr="00B56654">
        <w:rPr>
          <w:color w:val="000000"/>
          <w:szCs w:val="24"/>
          <w:lang w:val="en-GB"/>
        </w:rPr>
        <w:tab/>
      </w:r>
      <w:r w:rsidRPr="00B56654">
        <w:rPr>
          <w:b/>
          <w:i/>
          <w:color w:val="000000"/>
          <w:szCs w:val="24"/>
          <w:lang w:val="en-GB"/>
        </w:rPr>
        <w:t>Multicountry proposal</w:t>
      </w:r>
      <w:r w:rsidRPr="00B56654">
        <w:rPr>
          <w:b/>
          <w:bCs/>
          <w:i/>
          <w:iCs/>
          <w:color w:val="000000"/>
          <w:szCs w:val="24"/>
          <w:lang w:val="en-GB"/>
        </w:rPr>
        <w:t xml:space="preserve">:  </w:t>
      </w:r>
      <w:r w:rsidRPr="00B56654">
        <w:rPr>
          <w:color w:val="000000"/>
          <w:szCs w:val="24"/>
          <w:lang w:val="en-GB"/>
        </w:rPr>
        <w:t>Yes/No</w:t>
      </w:r>
    </w:p>
    <w:p w:rsidR="003B7CB6" w:rsidRPr="00B56654" w:rsidP="003B7CB6">
      <w:pPr>
        <w:tabs>
          <w:tab w:val="left" w:pos="360"/>
          <w:tab w:val="left" w:pos="900"/>
          <w:tab w:val="left" w:pos="1134"/>
          <w:tab w:val="left" w:pos="1871"/>
          <w:tab w:val="left" w:pos="2268"/>
          <w:tab w:val="left" w:pos="4366"/>
        </w:tabs>
        <w:overflowPunct w:val="0"/>
        <w:autoSpaceDE w:val="0"/>
        <w:autoSpaceDN w:val="0"/>
        <w:adjustRightInd w:val="0"/>
        <w:textAlignment w:val="baseline"/>
        <w:rPr>
          <w:b/>
          <w:i/>
          <w:color w:val="000000"/>
          <w:szCs w:val="24"/>
          <w:lang w:val="en-GB"/>
        </w:rPr>
      </w:pPr>
      <w:r w:rsidRPr="00B56654">
        <w:rPr>
          <w:i/>
          <w:iCs/>
          <w:color w:val="000000"/>
          <w:szCs w:val="24"/>
          <w:lang w:val="x-none" w:eastAsia="x-none"/>
        </w:rPr>
        <w:tab/>
      </w:r>
      <w:r w:rsidRPr="00B56654">
        <w:rPr>
          <w:i/>
          <w:iCs/>
          <w:color w:val="000000"/>
          <w:szCs w:val="24"/>
          <w:lang w:val="x-none" w:eastAsia="x-none"/>
        </w:rPr>
        <w:tab/>
      </w:r>
      <w:r w:rsidRPr="00B56654">
        <w:rPr>
          <w:i/>
          <w:iCs/>
          <w:color w:val="000000"/>
          <w:szCs w:val="24"/>
          <w:lang w:val="x-none" w:eastAsia="x-none"/>
        </w:rPr>
        <w:tab/>
      </w:r>
      <w:r w:rsidRPr="00B56654">
        <w:rPr>
          <w:b/>
          <w:i/>
          <w:color w:val="000000"/>
          <w:szCs w:val="24"/>
          <w:lang w:val="en-GB"/>
        </w:rPr>
        <w:t>Number of countries:</w:t>
      </w:r>
    </w:p>
    <w:p w:rsidR="003B7CB6" w:rsidRPr="00B56654" w:rsidP="003B7CB6">
      <w:pPr>
        <w:pBdr>
          <w:bottom w:val="single" w:sz="12" w:space="1" w:color="auto"/>
        </w:pBdr>
        <w:tabs>
          <w:tab w:val="left" w:pos="1134"/>
          <w:tab w:val="left" w:pos="1871"/>
          <w:tab w:val="left" w:pos="2268"/>
        </w:tabs>
        <w:overflowPunct w:val="0"/>
        <w:autoSpaceDE w:val="0"/>
        <w:autoSpaceDN w:val="0"/>
        <w:adjustRightInd w:val="0"/>
        <w:textAlignment w:val="baseline"/>
        <w:rPr>
          <w:color w:val="000000"/>
          <w:szCs w:val="24"/>
          <w:lang w:val="en-GB"/>
        </w:rPr>
      </w:pPr>
    </w:p>
    <w:p w:rsidR="003B7CB6" w:rsidRPr="00B56654" w:rsidP="003B7CB6">
      <w:pPr>
        <w:tabs>
          <w:tab w:val="left" w:pos="1134"/>
          <w:tab w:val="left" w:pos="1871"/>
          <w:tab w:val="left" w:pos="2268"/>
        </w:tabs>
        <w:overflowPunct w:val="0"/>
        <w:autoSpaceDE w:val="0"/>
        <w:autoSpaceDN w:val="0"/>
        <w:adjustRightInd w:val="0"/>
        <w:textAlignment w:val="baseline"/>
        <w:rPr>
          <w:color w:val="000000"/>
          <w:szCs w:val="24"/>
          <w:lang w:val="en-GB"/>
        </w:rPr>
      </w:pPr>
      <w:r w:rsidRPr="00B56654">
        <w:rPr>
          <w:b/>
          <w:bCs/>
          <w:i/>
          <w:iCs/>
          <w:color w:val="000000"/>
          <w:szCs w:val="24"/>
          <w:lang w:val="en-GB"/>
        </w:rPr>
        <w:t>Remarks</w:t>
      </w:r>
    </w:p>
    <w:p w:rsidR="003B7CB6" w:rsidRPr="00B56654" w:rsidP="003B7CB6">
      <w:pPr>
        <w:tabs>
          <w:tab w:val="left" w:pos="1134"/>
          <w:tab w:val="left" w:pos="1871"/>
          <w:tab w:val="left" w:pos="2268"/>
        </w:tabs>
        <w:overflowPunct w:val="0"/>
        <w:autoSpaceDE w:val="0"/>
        <w:autoSpaceDN w:val="0"/>
        <w:adjustRightInd w:val="0"/>
        <w:textAlignment w:val="baseline"/>
        <w:rPr>
          <w:szCs w:val="24"/>
          <w:lang w:val="en-GB"/>
        </w:rPr>
      </w:pPr>
    </w:p>
    <w:p w:rsidR="003B7CB6" w:rsidRPr="00B56654" w:rsidP="003B7CB6">
      <w:pPr>
        <w:keepNext/>
        <w:keepLines/>
        <w:tabs>
          <w:tab w:val="left" w:pos="1134"/>
          <w:tab w:val="left" w:pos="1871"/>
          <w:tab w:val="left" w:pos="2268"/>
        </w:tabs>
        <w:overflowPunct w:val="0"/>
        <w:autoSpaceDE w:val="0"/>
        <w:autoSpaceDN w:val="0"/>
        <w:adjustRightInd w:val="0"/>
        <w:spacing w:before="160" w:line="276" w:lineRule="auto"/>
        <w:textAlignment w:val="baseline"/>
        <w:rPr>
          <w:szCs w:val="24"/>
          <w:lang w:val="en-GB"/>
        </w:rPr>
      </w:pPr>
    </w:p>
    <w:p w:rsidR="003B7CB6" w:rsidP="003B7CB6">
      <w:pPr>
        <w:jc w:val="center"/>
      </w:pPr>
      <w:r>
        <w:t>__________________________</w:t>
      </w:r>
    </w:p>
    <w:p w:rsidR="003B7CB6" w:rsidP="003B7CB6"/>
    <w:p w:rsidR="003B7CB6" w:rsidP="00046568">
      <w:pPr>
        <w:spacing w:after="200" w:line="276" w:lineRule="auto"/>
        <w:rPr>
          <w:b/>
          <w:sz w:val="24"/>
          <w:szCs w:val="24"/>
        </w:rPr>
      </w:pPr>
    </w:p>
    <w:p w:rsidR="003B7CB6">
      <w:pPr>
        <w:spacing w:after="200" w:line="276" w:lineRule="auto"/>
        <w:rPr>
          <w:b/>
          <w:sz w:val="24"/>
          <w:szCs w:val="24"/>
        </w:rPr>
      </w:pPr>
      <w:r>
        <w:rPr>
          <w:b/>
          <w:sz w:val="24"/>
          <w:szCs w:val="24"/>
        </w:rPr>
        <w:br w:type="page"/>
      </w:r>
    </w:p>
    <w:p w:rsidR="00046568" w:rsidP="00046568">
      <w:pPr>
        <w:spacing w:after="200" w:line="276" w:lineRule="auto"/>
        <w:rPr>
          <w:b/>
          <w:sz w:val="24"/>
          <w:szCs w:val="24"/>
        </w:rPr>
      </w:pPr>
      <w:r>
        <w:rPr>
          <w:b/>
          <w:sz w:val="24"/>
          <w:szCs w:val="24"/>
        </w:rPr>
        <w:t>DOCUMENT WAC/0</w:t>
      </w:r>
      <w:r w:rsidR="003B7CB6">
        <w:rPr>
          <w:b/>
          <w:sz w:val="24"/>
          <w:szCs w:val="24"/>
        </w:rPr>
        <w:t>9</w:t>
      </w:r>
      <w:r>
        <w:rPr>
          <w:b/>
          <w:sz w:val="24"/>
          <w:szCs w:val="24"/>
        </w:rPr>
        <w:t>1 (11.03.19)</w:t>
      </w:r>
    </w:p>
    <w:p w:rsidR="003B7CB6" w:rsidRPr="003B7CB6" w:rsidP="003B7CB6">
      <w:pPr>
        <w:keepNext/>
        <w:tabs>
          <w:tab w:val="left" w:pos="360"/>
          <w:tab w:val="left" w:pos="900"/>
        </w:tabs>
        <w:jc w:val="center"/>
        <w:outlineLvl w:val="0"/>
        <w:rPr>
          <w:b/>
          <w:bCs/>
          <w:sz w:val="24"/>
          <w:szCs w:val="24"/>
        </w:rPr>
      </w:pPr>
      <w:r w:rsidRPr="003B7CB6">
        <w:rPr>
          <w:b/>
          <w:bCs/>
          <w:sz w:val="24"/>
          <w:szCs w:val="24"/>
        </w:rPr>
        <w:t>UNITED STATES OF AMERICA</w:t>
      </w:r>
    </w:p>
    <w:p w:rsidR="003B7CB6" w:rsidRPr="003B7CB6" w:rsidP="003B7CB6">
      <w:pPr>
        <w:tabs>
          <w:tab w:val="left" w:pos="576"/>
          <w:tab w:val="left" w:pos="792"/>
          <w:tab w:val="left" w:pos="1008"/>
          <w:tab w:val="left" w:pos="1224"/>
          <w:tab w:val="left" w:pos="1440"/>
        </w:tabs>
        <w:jc w:val="center"/>
        <w:rPr>
          <w:rFonts w:eastAsia="Calibri"/>
          <w:sz w:val="24"/>
          <w:szCs w:val="22"/>
        </w:rPr>
      </w:pPr>
    </w:p>
    <w:p w:rsidR="003B7CB6" w:rsidRPr="003B7CB6" w:rsidP="003B7CB6">
      <w:pPr>
        <w:keepNext/>
        <w:tabs>
          <w:tab w:val="left" w:pos="360"/>
          <w:tab w:val="left" w:pos="900"/>
        </w:tabs>
        <w:jc w:val="center"/>
        <w:outlineLvl w:val="0"/>
        <w:rPr>
          <w:b/>
          <w:bCs/>
          <w:sz w:val="24"/>
          <w:szCs w:val="24"/>
        </w:rPr>
      </w:pPr>
      <w:r w:rsidRPr="003B7CB6">
        <w:rPr>
          <w:bCs/>
          <w:sz w:val="24"/>
        </w:rPr>
        <w:t>PROPOSALS FOR THE WORK OF THE CONFERENCE</w:t>
      </w:r>
    </w:p>
    <w:p w:rsidR="003B7CB6" w:rsidRPr="003B7CB6" w:rsidP="003B7CB6">
      <w:pPr>
        <w:tabs>
          <w:tab w:val="left" w:pos="576"/>
          <w:tab w:val="left" w:pos="792"/>
          <w:tab w:val="left" w:pos="1008"/>
          <w:tab w:val="left" w:pos="1224"/>
          <w:tab w:val="left" w:pos="1440"/>
        </w:tabs>
        <w:rPr>
          <w:rFonts w:eastAsia="Calibri"/>
          <w:sz w:val="24"/>
          <w:szCs w:val="22"/>
        </w:rPr>
      </w:pPr>
    </w:p>
    <w:p w:rsidR="003B7CB6" w:rsidRPr="003B7CB6" w:rsidP="003B7CB6">
      <w:pPr>
        <w:tabs>
          <w:tab w:val="left" w:pos="576"/>
          <w:tab w:val="left" w:pos="792"/>
          <w:tab w:val="left" w:pos="1008"/>
          <w:tab w:val="left" w:pos="1224"/>
          <w:tab w:val="left" w:pos="1440"/>
        </w:tabs>
        <w:rPr>
          <w:rFonts w:eastAsia="Calibri"/>
          <w:sz w:val="24"/>
          <w:szCs w:val="22"/>
        </w:rPr>
      </w:pPr>
    </w:p>
    <w:p w:rsidR="003B7CB6" w:rsidRPr="003B7CB6" w:rsidP="003B7CB6">
      <w:pPr>
        <w:tabs>
          <w:tab w:val="left" w:pos="576"/>
          <w:tab w:val="left" w:pos="792"/>
          <w:tab w:val="left" w:pos="1008"/>
          <w:tab w:val="left" w:pos="1224"/>
          <w:tab w:val="left" w:pos="1440"/>
        </w:tabs>
        <w:jc w:val="center"/>
        <w:rPr>
          <w:rFonts w:eastAsia="Calibri"/>
          <w:sz w:val="24"/>
          <w:szCs w:val="22"/>
        </w:rPr>
      </w:pPr>
      <w:r w:rsidRPr="003B7CB6">
        <w:rPr>
          <w:rFonts w:eastAsia="Calibri"/>
          <w:sz w:val="24"/>
          <w:szCs w:val="22"/>
        </w:rPr>
        <w:t>Agenda item 10</w:t>
      </w:r>
    </w:p>
    <w:tbl>
      <w:tblPr>
        <w:tblpPr w:leftFromText="180" w:rightFromText="180" w:horzAnchor="margin" w:tblpY="-675"/>
        <w:tblW w:w="10035" w:type="dxa"/>
        <w:tblLayout w:type="fixed"/>
        <w:tblLook w:val="04A0"/>
      </w:tblPr>
      <w:tblGrid>
        <w:gridCol w:w="10035"/>
      </w:tblGrid>
      <w:tr w:rsidTr="003B7CB6">
        <w:tblPrEx>
          <w:tblW w:w="10035" w:type="dxa"/>
          <w:tblLayout w:type="fixed"/>
          <w:tblLook w:val="04A0"/>
        </w:tblPrEx>
        <w:trPr>
          <w:cantSplit/>
          <w:trHeight w:val="23"/>
        </w:trPr>
        <w:tc>
          <w:tcPr>
            <w:tcW w:w="10031" w:type="dxa"/>
            <w:hideMark/>
          </w:tcPr>
          <w:p w:rsidR="003B7CB6" w:rsidRPr="003B7CB6" w:rsidP="003B7CB6">
            <w:pPr>
              <w:tabs>
                <w:tab w:val="left" w:pos="1134"/>
                <w:tab w:val="left" w:pos="1871"/>
                <w:tab w:val="left" w:pos="2268"/>
              </w:tabs>
              <w:spacing w:before="240"/>
              <w:jc w:val="center"/>
              <w:rPr>
                <w:sz w:val="28"/>
                <w:lang w:val="es-ES_tradnl"/>
              </w:rPr>
            </w:pPr>
          </w:p>
        </w:tc>
      </w:tr>
    </w:tbl>
    <w:p w:rsidR="003B7CB6" w:rsidRPr="003B7CB6" w:rsidP="003B7CB6">
      <w:pPr>
        <w:tabs>
          <w:tab w:val="left" w:pos="576"/>
          <w:tab w:val="left" w:pos="792"/>
          <w:tab w:val="left" w:pos="1008"/>
          <w:tab w:val="left" w:pos="1224"/>
          <w:tab w:val="left" w:pos="1440"/>
        </w:tabs>
        <w:rPr>
          <w:rFonts w:eastAsia="Calibri"/>
          <w:sz w:val="24"/>
          <w:lang w:val="en-GB"/>
        </w:rPr>
      </w:pPr>
      <w:r w:rsidRPr="003B7CB6">
        <w:rPr>
          <w:rFonts w:eastAsia="Calibri"/>
          <w:sz w:val="24"/>
          <w:szCs w:val="22"/>
        </w:rPr>
        <w:t>10</w:t>
      </w:r>
      <w:r w:rsidRPr="003B7CB6">
        <w:rPr>
          <w:rFonts w:eastAsia="Calibri"/>
          <w:b/>
          <w:bCs/>
          <w:sz w:val="24"/>
          <w:szCs w:val="22"/>
        </w:rPr>
        <w:tab/>
      </w:r>
      <w:r w:rsidRPr="003B7CB6">
        <w:rPr>
          <w:rFonts w:eastAsia="Calibri"/>
          <w:sz w:val="24"/>
          <w:szCs w:val="22"/>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3B7CB6" w:rsidRPr="003B7CB6" w:rsidP="003B7CB6">
      <w:pPr>
        <w:tabs>
          <w:tab w:val="left" w:pos="576"/>
          <w:tab w:val="left" w:pos="792"/>
          <w:tab w:val="left" w:pos="1008"/>
          <w:tab w:val="left" w:pos="1224"/>
          <w:tab w:val="left" w:pos="1440"/>
        </w:tabs>
        <w:rPr>
          <w:rFonts w:eastAsia="Calibri"/>
          <w:bCs/>
          <w:sz w:val="24"/>
          <w:szCs w:val="22"/>
        </w:rPr>
      </w:pP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b/>
          <w:bCs/>
          <w:sz w:val="24"/>
          <w:szCs w:val="22"/>
        </w:rPr>
        <w:t>Background information</w:t>
      </w:r>
      <w:r w:rsidRPr="003B7CB6">
        <w:rPr>
          <w:rFonts w:eastAsia="Calibri"/>
          <w:sz w:val="24"/>
          <w:szCs w:val="22"/>
        </w:rPr>
        <w:t xml:space="preserve">: </w:t>
      </w:r>
    </w:p>
    <w:p w:rsidR="003B7CB6" w:rsidRPr="003B7CB6" w:rsidP="003B7CB6">
      <w:pPr>
        <w:tabs>
          <w:tab w:val="left" w:pos="576"/>
          <w:tab w:val="left" w:pos="792"/>
          <w:tab w:val="left" w:pos="1008"/>
          <w:tab w:val="left" w:pos="1224"/>
          <w:tab w:val="left" w:pos="1440"/>
        </w:tabs>
        <w:rPr>
          <w:rFonts w:eastAsia="Calibri"/>
          <w:sz w:val="24"/>
          <w:szCs w:val="24"/>
        </w:rPr>
      </w:pP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2"/>
        </w:rPr>
      </w:pPr>
      <w:r w:rsidRPr="003B7CB6">
        <w:rPr>
          <w:rFonts w:eastAsia="Calibri"/>
          <w:sz w:val="24"/>
          <w:szCs w:val="22"/>
        </w:rPr>
        <w:t xml:space="preserve">The need for broadband services to passengers on aircraft and ships continues to grow with the increasing demand for internet-based applications for the aviation and shipping industry and their passengers. This need can be provided by aeronautical and maritime earth stations in motion (ESIM), communicating with GSO space stations in the Fixed Satellite Service (FSS).   The availability of the bands 10.7-10.95 GHz, 11.2-11.45 GHz, and 12.75-13.25 GHz, allocated to the FSS, for the use by aeronautical and maritime ESIM would allow satellite network operators to provide additional capacity for the growing needs in this sector. </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2"/>
        </w:rPr>
      </w:pPr>
      <w:r w:rsidRPr="003B7CB6">
        <w:rPr>
          <w:rFonts w:eastAsia="Calibri"/>
          <w:sz w:val="24"/>
          <w:szCs w:val="22"/>
        </w:rPr>
        <w:t xml:space="preserve">The frequency band </w:t>
      </w:r>
      <w:r w:rsidRPr="003B7CB6">
        <w:rPr>
          <w:rFonts w:eastAsia="Calibri"/>
          <w:sz w:val="24"/>
          <w:szCs w:val="24"/>
        </w:rPr>
        <w:t>12.75-13.25 GHz is  allocated on a primary basis to the fixed, fixed-satellite (Earth-to-space)</w:t>
      </w:r>
      <w:r>
        <w:rPr>
          <w:rFonts w:eastAsia="Calibri"/>
          <w:sz w:val="24"/>
          <w:szCs w:val="24"/>
          <w:vertAlign w:val="superscript"/>
        </w:rPr>
        <w:footnoteReference w:id="7"/>
      </w:r>
      <w:r w:rsidRPr="003B7CB6">
        <w:rPr>
          <w:rFonts w:eastAsia="Calibri"/>
          <w:sz w:val="24"/>
          <w:szCs w:val="24"/>
        </w:rPr>
        <w:t xml:space="preserve">, and mobile services, and on a secondary basis to the Space research (deep space) (space-to-Earth) services. </w:t>
      </w:r>
      <w:r w:rsidRPr="003B7CB6">
        <w:rPr>
          <w:rFonts w:eastAsia="Calibri"/>
          <w:sz w:val="24"/>
          <w:szCs w:val="22"/>
        </w:rPr>
        <w:t xml:space="preserve">The frequency bands 10.7-10.95 GHz (space-to-Earth) and 11.2-11.45 GHz (space-to-Earth) are allocated on </w:t>
      </w:r>
      <w:r w:rsidRPr="003B7CB6">
        <w:rPr>
          <w:rFonts w:eastAsia="Calibri"/>
          <w:sz w:val="24"/>
          <w:szCs w:val="24"/>
        </w:rPr>
        <w:t>a primary basis to the fixed, fixed-satellite (space-to-Earth)</w:t>
      </w:r>
      <w:r>
        <w:rPr>
          <w:rFonts w:eastAsia="Calibri"/>
          <w:sz w:val="24"/>
          <w:szCs w:val="24"/>
          <w:vertAlign w:val="superscript"/>
        </w:rPr>
        <w:footnoteReference w:id="8"/>
      </w:r>
      <w:r w:rsidRPr="003B7CB6">
        <w:rPr>
          <w:rFonts w:eastAsia="Calibri"/>
          <w:sz w:val="24"/>
          <w:szCs w:val="24"/>
        </w:rPr>
        <w:t>, and mobile services except aeronautical mobile.</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4"/>
        </w:rPr>
      </w:pP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2"/>
        </w:rPr>
      </w:pPr>
      <w:r w:rsidRPr="003B7CB6">
        <w:rPr>
          <w:rFonts w:eastAsia="Calibri"/>
          <w:sz w:val="24"/>
          <w:szCs w:val="22"/>
        </w:rPr>
        <w:t xml:space="preserve">Currently, satellite networks operating in this frequency band can provide services with aeronautical and maritime ESIM only under No. </w:t>
      </w:r>
      <w:r w:rsidRPr="003B7CB6">
        <w:rPr>
          <w:rFonts w:eastAsia="Calibri"/>
          <w:b/>
          <w:sz w:val="24"/>
          <w:szCs w:val="22"/>
        </w:rPr>
        <w:t>4.4</w:t>
      </w:r>
      <w:r w:rsidRPr="003B7CB6">
        <w:rPr>
          <w:rFonts w:eastAsia="Calibri"/>
          <w:sz w:val="24"/>
          <w:szCs w:val="22"/>
        </w:rPr>
        <w:t>, which requires the associated transmissions not to cause harmful interference to, and not to claim protection from harmful interference caused by, a station operating in accordance with the  Radio Regulations.</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2"/>
        </w:rPr>
      </w:pPr>
      <w:r w:rsidRPr="003B7CB6">
        <w:rPr>
          <w:rFonts w:eastAsia="Calibri"/>
          <w:sz w:val="24"/>
          <w:szCs w:val="24"/>
        </w:rPr>
        <w:t xml:space="preserve">Given the growing need for connectivity for aviation and maritime, it is proposed to study the viability of allowing the operation of </w:t>
      </w:r>
      <w:bookmarkStart w:id="36" w:name="_Hlk535485755"/>
      <w:r w:rsidRPr="003B7CB6">
        <w:rPr>
          <w:rFonts w:eastAsia="Calibri"/>
          <w:sz w:val="24"/>
          <w:szCs w:val="22"/>
        </w:rPr>
        <w:t xml:space="preserve">aeronautical and maritime ESIM </w:t>
      </w:r>
      <w:r w:rsidRPr="003B7CB6">
        <w:rPr>
          <w:rFonts w:eastAsia="Calibri"/>
          <w:sz w:val="24"/>
          <w:szCs w:val="24"/>
        </w:rPr>
        <w:t>communicating with GSO space stations in the FSS</w:t>
      </w:r>
      <w:bookmarkEnd w:id="36"/>
      <w:r w:rsidRPr="003B7CB6">
        <w:rPr>
          <w:rFonts w:eastAsia="Calibri"/>
          <w:sz w:val="24"/>
          <w:szCs w:val="24"/>
        </w:rPr>
        <w:t xml:space="preserve"> in the </w:t>
      </w:r>
      <w:r w:rsidRPr="003B7CB6">
        <w:rPr>
          <w:rFonts w:eastAsia="Calibri"/>
          <w:sz w:val="24"/>
          <w:szCs w:val="22"/>
        </w:rPr>
        <w:t xml:space="preserve">10.7-10.95 GHz (space-to-Earth), 11.2-11.45 GHz (space-to-Earth), and </w:t>
      </w:r>
      <w:r w:rsidRPr="003B7CB6">
        <w:rPr>
          <w:rFonts w:eastAsia="Calibri"/>
          <w:sz w:val="24"/>
          <w:szCs w:val="24"/>
        </w:rPr>
        <w:t>12.75-13.25 GHz (Earth-to-space),</w:t>
      </w:r>
      <w:r w:rsidRPr="003B7CB6">
        <w:rPr>
          <w:rFonts w:eastAsia="Calibri"/>
          <w:sz w:val="24"/>
          <w:szCs w:val="22"/>
        </w:rPr>
        <w:t xml:space="preserve"> </w:t>
      </w:r>
      <w:r w:rsidRPr="003B7CB6">
        <w:rPr>
          <w:rFonts w:eastAsia="Calibri"/>
          <w:sz w:val="24"/>
          <w:szCs w:val="24"/>
        </w:rPr>
        <w:t>frequency bands, with the aim of developing regulatory means and associated conditions for this type of application.</w:t>
      </w:r>
    </w:p>
    <w:p w:rsidR="003B7CB6" w:rsidRPr="003B7CB6" w:rsidP="003B7CB6">
      <w:pPr>
        <w:tabs>
          <w:tab w:val="left" w:pos="576"/>
          <w:tab w:val="left" w:pos="792"/>
          <w:tab w:val="left" w:pos="1008"/>
          <w:tab w:val="left" w:pos="1224"/>
          <w:tab w:val="left" w:pos="1440"/>
        </w:tabs>
        <w:jc w:val="both"/>
        <w:rPr>
          <w:rFonts w:eastAsia="Calibri"/>
          <w:sz w:val="24"/>
          <w:szCs w:val="24"/>
        </w:rPr>
      </w:pPr>
    </w:p>
    <w:p w:rsidR="003B7CB6" w:rsidRPr="003B7CB6" w:rsidP="003B7CB6">
      <w:pPr>
        <w:tabs>
          <w:tab w:val="left" w:pos="576"/>
          <w:tab w:val="left" w:pos="792"/>
          <w:tab w:val="left" w:pos="1008"/>
          <w:tab w:val="left" w:pos="1224"/>
          <w:tab w:val="left" w:pos="1440"/>
        </w:tabs>
        <w:jc w:val="both"/>
        <w:rPr>
          <w:rFonts w:eastAsia="Calibri"/>
          <w:sz w:val="24"/>
          <w:szCs w:val="24"/>
        </w:rPr>
      </w:pPr>
      <w:r w:rsidRPr="003B7CB6">
        <w:rPr>
          <w:rFonts w:eastAsia="Calibri"/>
          <w:sz w:val="24"/>
          <w:szCs w:val="24"/>
        </w:rPr>
        <w:br w:type="page"/>
      </w:r>
    </w:p>
    <w:p w:rsidR="003B7CB6" w:rsidRPr="003B7CB6" w:rsidP="003B7CB6">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rPr>
      </w:pPr>
      <w:bookmarkStart w:id="37" w:name="_Toc319341089"/>
      <w:bookmarkStart w:id="38" w:name="_Toc319401925"/>
      <w:bookmarkStart w:id="39" w:name="_Toc320520027"/>
      <w:bookmarkStart w:id="40" w:name="_Toc320862128"/>
      <w:bookmarkStart w:id="41" w:name="_Toc320862288"/>
      <w:bookmarkStart w:id="42" w:name="_Toc324918385"/>
      <w:r w:rsidRPr="003B7CB6">
        <w:rPr>
          <w:rFonts w:ascii="Times New Roman Bold" w:hAnsi="Times New Roman Bold" w:cs="Times New Roman Bold"/>
          <w:b/>
          <w:sz w:val="24"/>
        </w:rPr>
        <w:t>Proposals</w:t>
      </w:r>
      <w:bookmarkStart w:id="43" w:name="dgohere"/>
      <w:bookmarkEnd w:id="43"/>
    </w:p>
    <w:p w:rsidR="003B7CB6" w:rsidRPr="003B7CB6" w:rsidP="003B7CB6">
      <w:pPr>
        <w:tabs>
          <w:tab w:val="left" w:pos="576"/>
          <w:tab w:val="left" w:pos="792"/>
          <w:tab w:val="left" w:pos="1008"/>
          <w:tab w:val="left" w:pos="1224"/>
          <w:tab w:val="left" w:pos="1440"/>
        </w:tabs>
        <w:rPr>
          <w:rFonts w:ascii="Times New Roman Bold" w:eastAsia="Calibri" w:hAnsi="Times New Roman Bold" w:cs="Times New Roman Bold"/>
          <w:b/>
          <w:bCs/>
          <w:sz w:val="24"/>
          <w:szCs w:val="22"/>
        </w:rPr>
      </w:pPr>
    </w:p>
    <w:p w:rsidR="003B7CB6" w:rsidRPr="003B7CB6" w:rsidP="003B7CB6">
      <w:pPr>
        <w:tabs>
          <w:tab w:val="left" w:pos="1134"/>
          <w:tab w:val="left" w:pos="1871"/>
          <w:tab w:val="left" w:pos="2268"/>
        </w:tabs>
        <w:overflowPunct w:val="0"/>
        <w:autoSpaceDE w:val="0"/>
        <w:autoSpaceDN w:val="0"/>
        <w:adjustRightInd w:val="0"/>
        <w:spacing w:before="160"/>
        <w:textAlignment w:val="baseline"/>
        <w:rPr>
          <w:rFonts w:ascii="Times New Roman Bold" w:hAnsi="Times New Roman Bold" w:cs="Times New Roman Bold"/>
          <w:b/>
          <w:sz w:val="24"/>
        </w:rPr>
      </w:pPr>
      <w:r w:rsidRPr="003B7CB6">
        <w:rPr>
          <w:rFonts w:ascii="Times New Roman Bold" w:hAnsi="Times New Roman Bold" w:cs="Times New Roman Bold"/>
          <w:b/>
          <w:bCs/>
          <w:sz w:val="24"/>
        </w:rPr>
        <w:t>SUP</w:t>
      </w:r>
      <w:r w:rsidRPr="003B7CB6">
        <w:rPr>
          <w:rFonts w:ascii="Times New Roman Bold" w:hAnsi="Times New Roman Bold" w:cs="Times New Roman Bold"/>
          <w:b/>
          <w:bCs/>
          <w:sz w:val="24"/>
        </w:rPr>
        <w:tab/>
      </w:r>
      <w:r w:rsidRPr="003B7CB6">
        <w:rPr>
          <w:rFonts w:cs="Times New Roman Bold"/>
          <w:sz w:val="24"/>
        </w:rPr>
        <w:t>USA/10/1</w:t>
      </w:r>
    </w:p>
    <w:p w:rsidR="003B7CB6" w:rsidRPr="003B7CB6" w:rsidP="003B7CB6">
      <w:pPr>
        <w:tabs>
          <w:tab w:val="left" w:pos="1134"/>
          <w:tab w:val="left" w:pos="1871"/>
          <w:tab w:val="left" w:pos="2268"/>
        </w:tabs>
        <w:overflowPunct w:val="0"/>
        <w:autoSpaceDE w:val="0"/>
        <w:autoSpaceDN w:val="0"/>
        <w:adjustRightInd w:val="0"/>
        <w:spacing w:before="160"/>
        <w:jc w:val="center"/>
        <w:textAlignment w:val="baseline"/>
        <w:rPr>
          <w:rFonts w:cs="Times New Roman Bold"/>
          <w:b/>
          <w:caps/>
          <w:sz w:val="28"/>
        </w:rPr>
      </w:pPr>
      <w:r w:rsidRPr="003B7CB6">
        <w:rPr>
          <w:rFonts w:cs="Times New Roman Bold"/>
          <w:b/>
          <w:caps/>
          <w:sz w:val="28"/>
        </w:rPr>
        <w:t>RESOLUTION 810 (WRC</w:t>
      </w:r>
      <w:r w:rsidRPr="003B7CB6">
        <w:rPr>
          <w:rFonts w:cs="Times New Roman Bold"/>
          <w:b/>
          <w:caps/>
          <w:sz w:val="28"/>
        </w:rPr>
        <w:noBreakHyphen/>
        <w:t>15)</w:t>
      </w:r>
      <w:bookmarkEnd w:id="37"/>
      <w:bookmarkEnd w:id="38"/>
      <w:bookmarkEnd w:id="39"/>
      <w:bookmarkEnd w:id="40"/>
      <w:bookmarkEnd w:id="41"/>
      <w:bookmarkEnd w:id="42"/>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240"/>
        <w:jc w:val="center"/>
        <w:textAlignment w:val="baseline"/>
        <w:rPr>
          <w:rFonts w:ascii="Times New Roman Bold" w:eastAsia="Calibri" w:hAnsi="Times New Roman Bold"/>
          <w:b/>
          <w:sz w:val="28"/>
          <w:szCs w:val="22"/>
        </w:rPr>
      </w:pPr>
      <w:bookmarkStart w:id="44" w:name="_Toc319401926"/>
      <w:r w:rsidRPr="003B7CB6">
        <w:rPr>
          <w:rFonts w:ascii="Times New Roman Bold" w:eastAsia="Calibri" w:hAnsi="Times New Roman Bold"/>
          <w:b/>
          <w:sz w:val="28"/>
          <w:szCs w:val="22"/>
        </w:rPr>
        <w:t>Preliminary agenda for the 2023 World Radiocommunication Conference</w:t>
      </w:r>
      <w:bookmarkEnd w:id="44"/>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280"/>
        <w:jc w:val="both"/>
        <w:textAlignment w:val="baseline"/>
        <w:rPr>
          <w:rFonts w:eastAsia="Calibri"/>
          <w:sz w:val="24"/>
          <w:szCs w:val="22"/>
        </w:rPr>
      </w:pPr>
      <w:r w:rsidRPr="003B7CB6">
        <w:rPr>
          <w:rFonts w:eastAsia="Calibri"/>
          <w:sz w:val="24"/>
          <w:szCs w:val="22"/>
        </w:rPr>
        <w:t>The World Radiocommunication Conference (Geneva, 2015),</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sz w:val="24"/>
          <w:lang w:val="en-GB"/>
        </w:rPr>
        <w:t>Reasons:</w:t>
      </w:r>
      <w:r w:rsidRPr="003B7CB6">
        <w:rPr>
          <w:sz w:val="24"/>
          <w:lang w:val="en-GB"/>
        </w:rPr>
        <w:tab/>
        <w:t>This Resolution must be suppressed, as WRC-19 will create a new Resolution that will include the agenda for WRC-23.</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ADD</w:t>
      </w:r>
      <w:r w:rsidRPr="003B7CB6">
        <w:rPr>
          <w:rFonts w:hAnsi="Times New Roman Bold"/>
          <w:b/>
          <w:sz w:val="24"/>
          <w:lang w:val="en-GB"/>
        </w:rPr>
        <w:tab/>
        <w:t>USA/10(XXX)/2</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3B7CB6">
        <w:rPr>
          <w:caps/>
          <w:sz w:val="28"/>
          <w:lang w:val="en-GB"/>
        </w:rPr>
        <w:t>Draft New Resolution [USA-2023]</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3B7CB6">
        <w:rPr>
          <w:rFonts w:ascii="Times New Roman Bold" w:hAnsi="Times New Roman Bold"/>
          <w:b/>
          <w:sz w:val="28"/>
          <w:lang w:val="en-GB"/>
        </w:rPr>
        <w:t>Agenda for the 2023 World Radiocommunication Conference</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lang w:val="en-GB"/>
        </w:rPr>
      </w:pPr>
      <w:r w:rsidRPr="003B7CB6">
        <w:rPr>
          <w:sz w:val="24"/>
          <w:lang w:val="en-GB"/>
        </w:rPr>
        <w:t>The World Radiocommunication Conference (Geneva, 2015),</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considering</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i/>
          <w:iCs/>
          <w:sz w:val="24"/>
          <w:szCs w:val="22"/>
        </w:rPr>
        <w:t>a)</w:t>
      </w:r>
      <w:r w:rsidRPr="003B7CB6">
        <w:rPr>
          <w:rFonts w:eastAsia="Calibri"/>
          <w:sz w:val="24"/>
          <w:szCs w:val="22"/>
        </w:rPr>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i/>
          <w:iCs/>
          <w:sz w:val="24"/>
          <w:szCs w:val="22"/>
        </w:rPr>
        <w:t>b)</w:t>
      </w:r>
      <w:r w:rsidRPr="003B7CB6">
        <w:rPr>
          <w:rFonts w:eastAsia="Calibri"/>
          <w:sz w:val="24"/>
          <w:szCs w:val="22"/>
        </w:rPr>
        <w:tab/>
        <w:t>Article 13 of the ITU Constitution relating to the competence and scheduling of world radiocommunication conferences and Article 7 of the Convention relating to their agendas;</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i/>
          <w:iCs/>
          <w:sz w:val="24"/>
          <w:szCs w:val="22"/>
        </w:rPr>
        <w:t>c)</w:t>
      </w:r>
      <w:r w:rsidRPr="003B7CB6">
        <w:rPr>
          <w:rFonts w:eastAsia="Calibri"/>
          <w:sz w:val="24"/>
          <w:szCs w:val="22"/>
        </w:rPr>
        <w:tab/>
        <w:t>the relevant resolutions and recommendations of previous world administrative radio conferences (WARCs) and world radiocommunication conferences (WRCs),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to recommend to the Council that a world radiocommunication conference be held in 2023 for a maximum period of four weeks, with the following agenda:</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1</w:t>
      </w:r>
      <w:r w:rsidRPr="003B7CB6">
        <w:rPr>
          <w:rFonts w:eastAsia="Calibri"/>
          <w:sz w:val="24"/>
          <w:szCs w:val="22"/>
        </w:rPr>
        <w:tab/>
        <w:t>on the basis of proposals from administrations, taking account of the results of WRC</w:t>
      </w:r>
      <w:r w:rsidRPr="003B7CB6">
        <w:rPr>
          <w:rFonts w:eastAsia="Calibri"/>
          <w:sz w:val="24"/>
          <w:szCs w:val="22"/>
        </w:rPr>
        <w:noBreakHyphen/>
        <w:t>15 and the Report of the Conference Preparatory Meeting, and with due regard to the requirements of existing and future services in the bands under consideration, to consider and take appropriate action in respect of the following items:</w:t>
      </w:r>
    </w:p>
    <w:p w:rsidR="003B7CB6" w:rsidRPr="003B7CB6" w:rsidP="003B7CB6">
      <w:pPr>
        <w:tabs>
          <w:tab w:val="left" w:pos="576"/>
          <w:tab w:val="left" w:pos="792"/>
          <w:tab w:val="left" w:pos="1008"/>
          <w:tab w:val="left" w:pos="1224"/>
          <w:tab w:val="left" w:pos="1440"/>
        </w:tabs>
        <w:rPr>
          <w:rFonts w:eastAsia="Calibri"/>
          <w:sz w:val="24"/>
          <w:szCs w:val="24"/>
        </w:rPr>
      </w:pPr>
      <w:r w:rsidRPr="003B7CB6">
        <w:rPr>
          <w:rFonts w:eastAsia="Calibri"/>
          <w:bCs/>
          <w:sz w:val="24"/>
          <w:szCs w:val="22"/>
        </w:rPr>
        <w:t>1.[FSS-12.75-13.25 GHZ]</w:t>
      </w:r>
      <w:r w:rsidRPr="003B7CB6">
        <w:rPr>
          <w:rFonts w:eastAsia="Calibri"/>
          <w:bCs/>
          <w:sz w:val="24"/>
          <w:szCs w:val="22"/>
        </w:rPr>
        <w:tab/>
      </w:r>
      <w:r w:rsidRPr="003B7CB6">
        <w:rPr>
          <w:rFonts w:ascii="TimesNewRomanPSMT" w:eastAsia="Calibri" w:hAnsi="TimesNewRomanPSMT" w:cs="TimesNewRomanPSMT"/>
          <w:sz w:val="24"/>
          <w:szCs w:val="24"/>
        </w:rPr>
        <w:t xml:space="preserve">to consider, on the basis of ITU-R studies in accordance with Resolution </w:t>
      </w:r>
      <w:r w:rsidRPr="003B7CB6">
        <w:rPr>
          <w:rFonts w:ascii="TimesNewRomanPSMT" w:eastAsia="Calibri" w:hAnsi="TimesNewRomanPSMT" w:cs="TimesNewRomanPSMT"/>
          <w:b/>
          <w:sz w:val="24"/>
          <w:szCs w:val="24"/>
        </w:rPr>
        <w:t>[USA/10/FSS 12.75-13.25 GHZ] (WRC-19)</w:t>
      </w:r>
      <w:r w:rsidRPr="003B7CB6">
        <w:rPr>
          <w:rFonts w:ascii="TimesNewRomanPSMT" w:eastAsia="Calibri" w:hAnsi="TimesNewRomanPSMT" w:cs="TimesNewRomanPSMT"/>
          <w:sz w:val="24"/>
          <w:szCs w:val="24"/>
        </w:rPr>
        <w:t>, appropriate regulatory and technical provisions for</w:t>
      </w:r>
      <w:bookmarkStart w:id="45" w:name="_Hlk535313265"/>
      <w:r w:rsidRPr="003B7CB6">
        <w:rPr>
          <w:rFonts w:ascii="TimesNewRomanPSMT" w:eastAsia="Calibri" w:hAnsi="TimesNewRomanPSMT" w:cs="TimesNewRomanPSMT"/>
          <w:sz w:val="24"/>
          <w:szCs w:val="24"/>
        </w:rPr>
        <w:t xml:space="preserve"> </w:t>
      </w:r>
      <w:r w:rsidRPr="003B7CB6">
        <w:rPr>
          <w:rFonts w:eastAsia="Calibri"/>
          <w:sz w:val="24"/>
          <w:szCs w:val="24"/>
        </w:rPr>
        <w:t xml:space="preserve">the use of the frequency bands </w:t>
      </w:r>
      <w:r w:rsidRPr="003B7CB6">
        <w:rPr>
          <w:rFonts w:eastAsia="Calibri"/>
          <w:sz w:val="24"/>
          <w:szCs w:val="22"/>
        </w:rPr>
        <w:t xml:space="preserve">10.7-10.95 GHz (space-to-Earth), 11.2-11.45 GHz (space-to-Earth), and </w:t>
      </w:r>
      <w:r w:rsidRPr="003B7CB6">
        <w:rPr>
          <w:rFonts w:eastAsia="Calibri"/>
          <w:sz w:val="24"/>
          <w:szCs w:val="24"/>
        </w:rPr>
        <w:t>12.75-13.25 GHz (Earth-to-space), by aeronautical and maritime ESIM communicating with geostationary space stations in the fixed-satellite service</w:t>
      </w:r>
      <w:bookmarkEnd w:id="45"/>
      <w:r w:rsidRPr="003B7CB6">
        <w:rPr>
          <w:rFonts w:eastAsia="Calibri"/>
          <w:sz w:val="24"/>
          <w:szCs w:val="24"/>
        </w:rPr>
        <w:t>;</w:t>
      </w:r>
    </w:p>
    <w:p w:rsidR="003B7CB6" w:rsidRPr="003B7CB6" w:rsidP="003B7CB6">
      <w:pPr>
        <w:tabs>
          <w:tab w:val="left" w:pos="576"/>
          <w:tab w:val="left" w:pos="792"/>
          <w:tab w:val="left" w:pos="1008"/>
          <w:tab w:val="left" w:pos="1224"/>
          <w:tab w:val="left" w:pos="1440"/>
        </w:tabs>
        <w:rPr>
          <w:rFonts w:eastAsia="Calibri"/>
          <w:sz w:val="24"/>
          <w:szCs w:val="22"/>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 further</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to activate the Conference Preparatory Meeting,</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invites the Council</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to finalize the agenda and arrange for the convening of WRC</w:t>
      </w:r>
      <w:r w:rsidRPr="003B7CB6">
        <w:rPr>
          <w:rFonts w:eastAsia="Calibri"/>
          <w:sz w:val="24"/>
          <w:szCs w:val="22"/>
        </w:rPr>
        <w:noBreakHyphen/>
        <w:t>23, and to initiate as soon as possible the necessary consultations with Member States,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instructs the Director of the Radiocommunication Bureau</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to make the necessary arrangements to convene meetings of the Conference Preparatory Meeting and to prepare a report to WRC</w:t>
      </w:r>
      <w:r w:rsidRPr="003B7CB6">
        <w:rPr>
          <w:rFonts w:eastAsia="Calibri"/>
          <w:sz w:val="24"/>
          <w:szCs w:val="22"/>
        </w:rPr>
        <w:noBreakHyphen/>
        <w:t>23,</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instructs the Secretary-General</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to communicate this Resolution to international and regional organizations concerned.</w:t>
      </w:r>
    </w:p>
    <w:p w:rsidR="003B7CB6" w:rsidRPr="003B7CB6" w:rsidP="003B7CB6">
      <w:pPr>
        <w:tabs>
          <w:tab w:val="left" w:pos="576"/>
          <w:tab w:val="left" w:pos="792"/>
          <w:tab w:val="left" w:pos="1008"/>
          <w:tab w:val="left" w:pos="1134"/>
          <w:tab w:val="left" w:pos="1224"/>
          <w:tab w:val="left" w:pos="1440"/>
          <w:tab w:val="left" w:pos="1588"/>
          <w:tab w:val="left" w:pos="1985"/>
        </w:tabs>
        <w:overflowPunct w:val="0"/>
        <w:autoSpaceDE w:val="0"/>
        <w:autoSpaceDN w:val="0"/>
        <w:adjustRightInd w:val="0"/>
        <w:spacing w:before="120"/>
        <w:textAlignment w:val="baseline"/>
        <w:rPr>
          <w:rFonts w:eastAsia="Calibri"/>
          <w:sz w:val="24"/>
          <w:szCs w:val="22"/>
        </w:rPr>
      </w:pPr>
      <w:r w:rsidRPr="003B7CB6">
        <w:rPr>
          <w:rFonts w:eastAsia="Calibri"/>
          <w:b/>
          <w:sz w:val="24"/>
          <w:szCs w:val="22"/>
        </w:rPr>
        <w:t>Reasons</w:t>
      </w:r>
      <w:r w:rsidRPr="003B7CB6">
        <w:rPr>
          <w:rFonts w:eastAsia="Calibri"/>
          <w:b/>
          <w:bCs/>
          <w:sz w:val="24"/>
          <w:szCs w:val="22"/>
        </w:rPr>
        <w:t>:</w:t>
      </w:r>
      <w:r w:rsidRPr="003B7CB6">
        <w:rPr>
          <w:rFonts w:eastAsia="Calibri"/>
          <w:sz w:val="24"/>
          <w:szCs w:val="22"/>
        </w:rPr>
        <w:tab/>
      </w:r>
      <w:r w:rsidRPr="003B7CB6">
        <w:rPr>
          <w:rFonts w:eastAsia="Calibri"/>
          <w:bCs/>
          <w:sz w:val="24"/>
          <w:szCs w:val="24"/>
        </w:rPr>
        <w:t xml:space="preserve">To allow additional uses of </w:t>
      </w:r>
      <w:r w:rsidRPr="003B7CB6">
        <w:rPr>
          <w:rFonts w:eastAsia="Calibri"/>
          <w:sz w:val="24"/>
          <w:szCs w:val="24"/>
        </w:rPr>
        <w:t>the FSS frequency bands</w:t>
      </w:r>
      <w:r w:rsidRPr="003B7CB6">
        <w:rPr>
          <w:rFonts w:eastAsia="Calibri"/>
          <w:bCs/>
          <w:sz w:val="24"/>
          <w:szCs w:val="24"/>
        </w:rPr>
        <w:t xml:space="preserve"> </w:t>
      </w:r>
      <w:r w:rsidRPr="003B7CB6">
        <w:rPr>
          <w:rFonts w:eastAsia="Calibri"/>
          <w:sz w:val="24"/>
          <w:szCs w:val="22"/>
        </w:rPr>
        <w:t xml:space="preserve">10.7-10.95 GHz, 11.2-11.45 GHz, and </w:t>
      </w:r>
      <w:r w:rsidRPr="003B7CB6">
        <w:rPr>
          <w:rFonts w:eastAsia="Calibri"/>
          <w:sz w:val="24"/>
          <w:szCs w:val="24"/>
        </w:rPr>
        <w:t>12.75-13.25 GHz</w:t>
      </w:r>
      <w:r w:rsidRPr="003B7CB6">
        <w:rPr>
          <w:rFonts w:eastAsia="Calibri"/>
          <w:bCs/>
          <w:sz w:val="24"/>
          <w:szCs w:val="24"/>
        </w:rPr>
        <w:t xml:space="preserve"> </w:t>
      </w:r>
      <w:r w:rsidRPr="003B7CB6">
        <w:rPr>
          <w:rFonts w:eastAsia="Calibri"/>
          <w:sz w:val="24"/>
          <w:szCs w:val="22"/>
        </w:rPr>
        <w:t>to meet growing demand for spectrum for aeronautical and maritime ESIM.</w:t>
      </w:r>
    </w:p>
    <w:p w:rsidR="003B7CB6" w:rsidRPr="003B7CB6" w:rsidP="003B7CB6">
      <w:pPr>
        <w:tabs>
          <w:tab w:val="left" w:pos="576"/>
          <w:tab w:val="left" w:pos="792"/>
          <w:tab w:val="left" w:pos="1008"/>
          <w:tab w:val="left" w:pos="1224"/>
          <w:tab w:val="left" w:pos="1440"/>
        </w:tabs>
        <w:rPr>
          <w:rFonts w:eastAsia="Calibri"/>
          <w:sz w:val="24"/>
          <w:szCs w:val="22"/>
        </w:rPr>
      </w:pPr>
    </w:p>
    <w:p w:rsidR="003B7CB6" w:rsidRPr="003B7CB6" w:rsidP="003B7CB6">
      <w:pPr>
        <w:keepNext/>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240"/>
        <w:textAlignment w:val="baseline"/>
        <w:rPr>
          <w:rFonts w:eastAsia="Calibri" w:hAnsi="Times New Roman Bold"/>
          <w:b/>
          <w:sz w:val="24"/>
          <w:szCs w:val="22"/>
        </w:rPr>
      </w:pPr>
      <w:r w:rsidRPr="003B7CB6">
        <w:rPr>
          <w:rFonts w:eastAsia="Calibri" w:hAnsi="Times New Roman Bold"/>
          <w:b/>
          <w:sz w:val="24"/>
          <w:szCs w:val="22"/>
        </w:rPr>
        <w:t xml:space="preserve"> </w:t>
      </w:r>
    </w:p>
    <w:p w:rsidR="003B7CB6" w:rsidRPr="003B7CB6" w:rsidP="003B7CB6">
      <w:pPr>
        <w:keepNext/>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240"/>
        <w:textAlignment w:val="baseline"/>
        <w:rPr>
          <w:rFonts w:eastAsia="Calibri" w:hAnsi="Times New Roman Bold"/>
          <w:b/>
          <w:sz w:val="24"/>
          <w:szCs w:val="22"/>
        </w:rPr>
      </w:pPr>
      <w:r w:rsidRPr="003B7CB6">
        <w:rPr>
          <w:rFonts w:eastAsia="Calibri" w:hAnsi="Times New Roman Bold"/>
          <w:b/>
          <w:sz w:val="24"/>
          <w:szCs w:val="22"/>
        </w:rPr>
        <w:t>ADD</w:t>
      </w:r>
      <w:r w:rsidRPr="003B7CB6">
        <w:rPr>
          <w:rFonts w:eastAsia="Calibri" w:hAnsi="Times New Roman Bold"/>
          <w:b/>
          <w:sz w:val="24"/>
          <w:szCs w:val="22"/>
        </w:rPr>
        <w:tab/>
      </w:r>
      <w:r w:rsidRPr="003B7CB6">
        <w:rPr>
          <w:rFonts w:eastAsia="Calibri" w:hAnsi="Times New Roman Bold"/>
          <w:sz w:val="24"/>
          <w:szCs w:val="22"/>
        </w:rPr>
        <w:t>USA/10/3</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480"/>
        <w:jc w:val="center"/>
        <w:textAlignment w:val="baseline"/>
        <w:rPr>
          <w:rFonts w:eastAsia="Calibri"/>
          <w:caps/>
          <w:sz w:val="28"/>
          <w:szCs w:val="22"/>
        </w:rPr>
      </w:pPr>
      <w:r w:rsidRPr="003B7CB6">
        <w:rPr>
          <w:rFonts w:eastAsia="Calibri"/>
          <w:caps/>
          <w:sz w:val="28"/>
          <w:szCs w:val="22"/>
        </w:rPr>
        <w:t>DRAFT RESOLUTION [USA/10/FSS 12.75-13.25 ghZ] (WRC-19)</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jc w:val="center"/>
        <w:textAlignment w:val="baseline"/>
        <w:rPr>
          <w:rFonts w:ascii="Times New Roman Bold" w:eastAsia="Calibri" w:hAnsi="Times New Roman Bold"/>
          <w:b/>
          <w:sz w:val="28"/>
          <w:szCs w:val="22"/>
        </w:rPr>
      </w:pP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jc w:val="center"/>
        <w:textAlignment w:val="baseline"/>
        <w:rPr>
          <w:rFonts w:ascii="Times New Roman Bold" w:eastAsia="Calibri" w:hAnsi="Times New Roman Bold"/>
          <w:b/>
          <w:sz w:val="28"/>
          <w:szCs w:val="22"/>
        </w:rPr>
      </w:pPr>
      <w:r w:rsidRPr="003B7CB6">
        <w:rPr>
          <w:rFonts w:ascii="Times New Roman Bold" w:eastAsia="Calibri" w:hAnsi="Times New Roman Bold"/>
          <w:b/>
          <w:sz w:val="28"/>
          <w:szCs w:val="22"/>
        </w:rPr>
        <w:t>Operation of aeronautical and maritime ESIM communicating with geostationary space stations in the fixed-satellite service in the frequency bands 10.7-10.95 GHz (space-to-Earth), 11.2-11.45 GHz (space-to-Earth), and 12.75-13.25 GHz (Earth-to-space)</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360"/>
        <w:jc w:val="both"/>
        <w:textAlignment w:val="baseline"/>
        <w:rPr>
          <w:rFonts w:eastAsia="Calibri"/>
          <w:sz w:val="24"/>
          <w:szCs w:val="22"/>
        </w:rPr>
      </w:pPr>
      <w:r w:rsidRPr="003B7CB6">
        <w:rPr>
          <w:rFonts w:eastAsia="Calibri"/>
          <w:sz w:val="24"/>
          <w:szCs w:val="22"/>
        </w:rPr>
        <w:t>The World Radiocommunication Conference (</w:t>
      </w:r>
      <w:r w:rsidRPr="003B7CB6">
        <w:rPr>
          <w:rFonts w:ascii="TimesNewRomanPSMT" w:eastAsia="Calibri" w:hAnsi="TimesNewRomanPSMT" w:cs="TimesNewRomanPSMT"/>
          <w:sz w:val="24"/>
          <w:szCs w:val="24"/>
        </w:rPr>
        <w:t>Sharm el-Sheik Egypt</w:t>
      </w:r>
      <w:r w:rsidRPr="003B7CB6">
        <w:rPr>
          <w:rFonts w:eastAsia="Calibri"/>
          <w:sz w:val="24"/>
          <w:szCs w:val="22"/>
        </w:rPr>
        <w:t>, 2019),</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60"/>
        <w:ind w:left="1134"/>
        <w:jc w:val="both"/>
        <w:textAlignment w:val="baseline"/>
        <w:rPr>
          <w:rFonts w:eastAsia="Calibri"/>
          <w:i/>
          <w:sz w:val="24"/>
          <w:szCs w:val="22"/>
        </w:rPr>
      </w:pPr>
      <w:r w:rsidRPr="003B7CB6">
        <w:rPr>
          <w:rFonts w:eastAsia="Calibri"/>
          <w:i/>
          <w:sz w:val="24"/>
          <w:szCs w:val="22"/>
        </w:rPr>
        <w:t>considering</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2"/>
        </w:rPr>
      </w:pPr>
      <w:r w:rsidRPr="003B7CB6">
        <w:rPr>
          <w:rFonts w:eastAsia="Calibri"/>
          <w:i/>
          <w:iCs/>
          <w:sz w:val="24"/>
          <w:szCs w:val="22"/>
        </w:rPr>
        <w:t>a)</w:t>
      </w:r>
      <w:r w:rsidRPr="003B7CB6">
        <w:rPr>
          <w:rFonts w:eastAsia="Calibri"/>
          <w:sz w:val="24"/>
          <w:szCs w:val="22"/>
        </w:rPr>
        <w:tab/>
        <w:t>that the frequency band 12.75-13.25 GHz is allocated on a primary basis to the fixed, mobile and fixed-satellite (Earth-to-space) services, and on a secondary basis to the space research (deep space) (space-to-Earth) services globally;</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2"/>
        </w:rPr>
      </w:pPr>
      <w:r w:rsidRPr="003B7CB6">
        <w:rPr>
          <w:rFonts w:eastAsia="Calibri"/>
          <w:i/>
          <w:sz w:val="24"/>
          <w:szCs w:val="22"/>
        </w:rPr>
        <w:t>b</w:t>
      </w:r>
      <w:r w:rsidRPr="003B7CB6">
        <w:rPr>
          <w:rFonts w:eastAsia="Calibri"/>
          <w:sz w:val="24"/>
          <w:szCs w:val="22"/>
        </w:rPr>
        <w:t>)</w:t>
      </w:r>
      <w:r w:rsidRPr="003B7CB6">
        <w:rPr>
          <w:rFonts w:eastAsia="Calibri"/>
          <w:sz w:val="24"/>
          <w:szCs w:val="22"/>
        </w:rPr>
        <w:tab/>
        <w:t xml:space="preserve">that the frequency bands 10.7-10.95 GHz and 11.2-11.45 GHz are allocated on </w:t>
      </w:r>
      <w:r w:rsidRPr="003B7CB6">
        <w:rPr>
          <w:rFonts w:eastAsia="Calibri"/>
          <w:sz w:val="24"/>
          <w:szCs w:val="24"/>
        </w:rPr>
        <w:t>a primary basis to the fixed, fixed-satellite (space-to-Earth), and mobile services except aeronautical mobile services globally;</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2"/>
        </w:rPr>
      </w:pPr>
      <w:r w:rsidRPr="003B7CB6">
        <w:rPr>
          <w:rFonts w:eastAsia="Calibri"/>
          <w:i/>
          <w:sz w:val="24"/>
          <w:szCs w:val="22"/>
        </w:rPr>
        <w:t>c)</w:t>
      </w:r>
      <w:r w:rsidRPr="003B7CB6">
        <w:rPr>
          <w:rFonts w:eastAsia="Calibri"/>
          <w:sz w:val="24"/>
          <w:szCs w:val="22"/>
        </w:rPr>
        <w:tab/>
        <w:t xml:space="preserve">that the use of the fixed-satellite service (FSS) in this band is subject to Appendix </w:t>
      </w:r>
      <w:r w:rsidRPr="003B7CB6">
        <w:rPr>
          <w:rFonts w:eastAsia="Calibri"/>
          <w:b/>
          <w:sz w:val="24"/>
          <w:szCs w:val="22"/>
        </w:rPr>
        <w:t>30B</w:t>
      </w:r>
      <w:r w:rsidRPr="003B7CB6">
        <w:rPr>
          <w:rFonts w:eastAsia="Calibri"/>
          <w:sz w:val="24"/>
          <w:szCs w:val="22"/>
        </w:rPr>
        <w:t xml:space="preserve"> and that any actions under this agenda item should not impact the integrity of the Appendix </w:t>
      </w:r>
      <w:r w:rsidRPr="003B7CB6">
        <w:rPr>
          <w:rFonts w:eastAsia="Calibri"/>
          <w:b/>
          <w:sz w:val="24"/>
          <w:szCs w:val="22"/>
        </w:rPr>
        <w:t>30B</w:t>
      </w:r>
      <w:r w:rsidRPr="003B7CB6">
        <w:rPr>
          <w:rFonts w:eastAsia="Calibri"/>
          <w:sz w:val="24"/>
          <w:szCs w:val="22"/>
        </w:rPr>
        <w:t xml:space="preserve"> Plan;</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2"/>
        </w:rPr>
      </w:pPr>
      <w:r w:rsidRPr="003B7CB6">
        <w:rPr>
          <w:rFonts w:eastAsia="Calibri"/>
          <w:i/>
          <w:sz w:val="24"/>
          <w:szCs w:val="22"/>
        </w:rPr>
        <w:t>d)</w:t>
      </w:r>
      <w:r w:rsidRPr="003B7CB6">
        <w:rPr>
          <w:rFonts w:eastAsia="Calibri"/>
          <w:i/>
          <w:sz w:val="24"/>
          <w:szCs w:val="22"/>
        </w:rPr>
        <w:tab/>
      </w:r>
      <w:r w:rsidRPr="003B7CB6">
        <w:rPr>
          <w:rFonts w:eastAsia="Calibri"/>
          <w:sz w:val="24"/>
          <w:szCs w:val="22"/>
        </w:rPr>
        <w:t xml:space="preserve">that in order to meet the growing demand for connectivity on aircraft and vessels, networks operating in this frequency band may already be providing services to earth stations on aircraft and vessels under No. </w:t>
      </w:r>
      <w:r w:rsidRPr="003B7CB6">
        <w:rPr>
          <w:rFonts w:eastAsia="Calibri"/>
          <w:b/>
          <w:sz w:val="24"/>
          <w:szCs w:val="22"/>
        </w:rPr>
        <w:t>4.4</w:t>
      </w:r>
      <w:r w:rsidRPr="003B7CB6">
        <w:rPr>
          <w:rFonts w:eastAsia="Calibri"/>
          <w:sz w:val="24"/>
          <w:szCs w:val="22"/>
        </w:rPr>
        <w:t>;</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2"/>
        </w:rPr>
      </w:pPr>
      <w:r w:rsidRPr="003B7CB6">
        <w:rPr>
          <w:rFonts w:eastAsia="Calibri"/>
          <w:i/>
          <w:iCs/>
          <w:sz w:val="24"/>
          <w:szCs w:val="22"/>
        </w:rPr>
        <w:t>e)</w:t>
      </w:r>
      <w:r w:rsidRPr="003B7CB6">
        <w:rPr>
          <w:rFonts w:eastAsia="Calibri"/>
          <w:iCs/>
          <w:sz w:val="24"/>
          <w:szCs w:val="22"/>
        </w:rPr>
        <w:tab/>
        <w:t xml:space="preserve">that the advances in earth station technology, including the use of tracking techniques, allow </w:t>
      </w:r>
      <w:r w:rsidRPr="003B7CB6">
        <w:rPr>
          <w:rFonts w:eastAsia="Calibri"/>
          <w:sz w:val="24"/>
          <w:szCs w:val="22"/>
        </w:rPr>
        <w:t xml:space="preserve">aeronautical and maritime earth stations </w:t>
      </w:r>
      <w:r w:rsidRPr="003B7CB6">
        <w:rPr>
          <w:rFonts w:eastAsia="Calibri"/>
          <w:iCs/>
          <w:sz w:val="24"/>
          <w:szCs w:val="22"/>
        </w:rPr>
        <w:t xml:space="preserve">to operate within the characteristics of fixed earth stations in the FSS; </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2"/>
        </w:rPr>
      </w:pPr>
      <w:r w:rsidRPr="003B7CB6">
        <w:rPr>
          <w:rFonts w:eastAsia="Calibri"/>
          <w:i/>
          <w:sz w:val="24"/>
          <w:szCs w:val="22"/>
        </w:rPr>
        <w:t>f)</w:t>
      </w:r>
      <w:r w:rsidRPr="003B7CB6">
        <w:rPr>
          <w:rFonts w:eastAsia="Calibri"/>
          <w:sz w:val="24"/>
          <w:szCs w:val="22"/>
        </w:rPr>
        <w:tab/>
        <w:t xml:space="preserve">that the availability of the band 10.7-10.95 GHz (space-to-Earth), 11.2-11.45 GHz (space-to-Earth) and 12.75-13.25 GHz (Earth-to-space) for aeronautical and maritime ESIM will provide administrations with more flexibility to use their allotments in the Appendix </w:t>
      </w:r>
      <w:r w:rsidRPr="003B7CB6">
        <w:rPr>
          <w:rFonts w:eastAsia="Calibri"/>
          <w:b/>
          <w:sz w:val="24"/>
          <w:szCs w:val="22"/>
        </w:rPr>
        <w:t>30B</w:t>
      </w:r>
      <w:r w:rsidRPr="003B7CB6">
        <w:rPr>
          <w:rFonts w:eastAsia="Calibri"/>
          <w:sz w:val="24"/>
          <w:szCs w:val="22"/>
        </w:rPr>
        <w:t xml:space="preserve"> Plan; </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sz w:val="24"/>
          <w:szCs w:val="24"/>
        </w:rPr>
      </w:pPr>
      <w:r w:rsidRPr="003B7CB6">
        <w:rPr>
          <w:rFonts w:eastAsia="Calibri"/>
          <w:i/>
          <w:sz w:val="24"/>
          <w:szCs w:val="22"/>
        </w:rPr>
        <w:t>g)</w:t>
      </w:r>
      <w:r w:rsidRPr="003B7CB6">
        <w:rPr>
          <w:rFonts w:eastAsia="Calibri"/>
          <w:sz w:val="24"/>
          <w:szCs w:val="22"/>
        </w:rPr>
        <w:tab/>
        <w:t>that operations of aeronautical and maritime ESIM should</w:t>
      </w:r>
      <w:r w:rsidRPr="003B7CB6">
        <w:rPr>
          <w:rFonts w:eastAsia="Calibri"/>
          <w:sz w:val="24"/>
          <w:szCs w:val="24"/>
        </w:rPr>
        <w:t xml:space="preserve"> protect stations of allocated services and not constrain their future development;</w:t>
      </w:r>
    </w:p>
    <w:p w:rsidR="003B7CB6" w:rsidRPr="003B7CB6" w:rsidP="003B7CB6">
      <w:pPr>
        <w:tabs>
          <w:tab w:val="left" w:pos="576"/>
          <w:tab w:val="left" w:pos="792"/>
          <w:tab w:val="left" w:pos="1008"/>
          <w:tab w:val="left" w:pos="1224"/>
          <w:tab w:val="left" w:pos="1440"/>
        </w:tabs>
        <w:spacing w:before="120"/>
        <w:rPr>
          <w:rFonts w:eastAsia="Calibri"/>
          <w:sz w:val="24"/>
          <w:szCs w:val="24"/>
        </w:rPr>
      </w:pPr>
      <w:r w:rsidRPr="003B7CB6">
        <w:rPr>
          <w:rFonts w:eastAsia="Calibri"/>
          <w:i/>
          <w:sz w:val="24"/>
          <w:szCs w:val="24"/>
        </w:rPr>
        <w:t>h)</w:t>
      </w:r>
      <w:r w:rsidRPr="003B7CB6">
        <w:rPr>
          <w:rFonts w:eastAsia="Calibri"/>
          <w:sz w:val="24"/>
          <w:szCs w:val="24"/>
        </w:rPr>
        <w:tab/>
        <w:t xml:space="preserve">that a consistent approach to the use of the </w:t>
      </w:r>
      <w:r w:rsidRPr="003B7CB6">
        <w:rPr>
          <w:rFonts w:eastAsia="Calibri"/>
          <w:sz w:val="24"/>
          <w:szCs w:val="22"/>
        </w:rPr>
        <w:t xml:space="preserve">10.7-10.95 GHz (space-to-Earth), 11.2-11.45 GHz (space-to-Earth) and </w:t>
      </w:r>
      <w:r w:rsidRPr="003B7CB6">
        <w:rPr>
          <w:rFonts w:eastAsia="Calibri"/>
          <w:sz w:val="24"/>
          <w:szCs w:val="24"/>
        </w:rPr>
        <w:t xml:space="preserve">12.75-13.25 GHz (Earth-to-space) by </w:t>
      </w:r>
      <w:r w:rsidRPr="003B7CB6">
        <w:rPr>
          <w:rFonts w:eastAsia="Calibri"/>
          <w:sz w:val="24"/>
          <w:szCs w:val="22"/>
        </w:rPr>
        <w:t xml:space="preserve">aeronautical and maritime ESIM </w:t>
      </w:r>
      <w:r w:rsidRPr="003B7CB6">
        <w:rPr>
          <w:rFonts w:eastAsia="Calibri"/>
          <w:sz w:val="24"/>
          <w:szCs w:val="24"/>
        </w:rPr>
        <w:t xml:space="preserve">will </w:t>
      </w:r>
      <w:r w:rsidRPr="003B7CB6">
        <w:rPr>
          <w:rFonts w:eastAsia="Calibri"/>
          <w:sz w:val="24"/>
          <w:szCs w:val="24"/>
        </w:rPr>
        <w:t>provide regulatory certainty and support the growing need for inflight and maritime connectivity globally;</w:t>
      </w:r>
    </w:p>
    <w:p w:rsidR="003B7CB6" w:rsidRPr="003B7CB6" w:rsidP="003B7CB6">
      <w:pPr>
        <w:tabs>
          <w:tab w:val="left" w:pos="576"/>
          <w:tab w:val="left" w:pos="792"/>
          <w:tab w:val="left" w:pos="1008"/>
          <w:tab w:val="left" w:pos="1224"/>
          <w:tab w:val="left" w:pos="1440"/>
        </w:tabs>
        <w:spacing w:before="120"/>
        <w:rPr>
          <w:rFonts w:eastAsia="Calibri"/>
          <w:sz w:val="24"/>
          <w:szCs w:val="24"/>
        </w:rPr>
      </w:pPr>
      <w:r w:rsidRPr="003B7CB6">
        <w:rPr>
          <w:rFonts w:eastAsia="Calibri"/>
          <w:i/>
          <w:iCs/>
          <w:sz w:val="24"/>
          <w:szCs w:val="24"/>
        </w:rPr>
        <w:t>i)</w:t>
      </w:r>
      <w:r w:rsidRPr="003B7CB6">
        <w:rPr>
          <w:rFonts w:eastAsia="Calibri"/>
          <w:i/>
          <w:iCs/>
          <w:sz w:val="24"/>
          <w:szCs w:val="24"/>
        </w:rPr>
        <w:tab/>
      </w:r>
      <w:r w:rsidRPr="003B7CB6">
        <w:rPr>
          <w:rFonts w:eastAsia="Calibri"/>
          <w:sz w:val="24"/>
          <w:szCs w:val="24"/>
        </w:rPr>
        <w:t xml:space="preserve">that </w:t>
      </w:r>
      <w:r w:rsidRPr="003B7CB6">
        <w:rPr>
          <w:rFonts w:eastAsia="Calibri"/>
          <w:sz w:val="24"/>
          <w:szCs w:val="22"/>
        </w:rPr>
        <w:t xml:space="preserve">aeronautical and maritime ESIM </w:t>
      </w:r>
      <w:r w:rsidRPr="003B7CB6">
        <w:rPr>
          <w:rFonts w:eastAsia="Calibri"/>
          <w:sz w:val="24"/>
          <w:szCs w:val="24"/>
        </w:rPr>
        <w:t>must comply and operate within the envelope of the emission characteristics of the associated earth stations in the GSO satellite network,</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60"/>
        <w:ind w:left="1134"/>
        <w:jc w:val="both"/>
        <w:textAlignment w:val="baseline"/>
        <w:rPr>
          <w:rFonts w:eastAsia="Calibri"/>
          <w:i/>
          <w:sz w:val="24"/>
          <w:szCs w:val="22"/>
        </w:rPr>
      </w:pPr>
      <w:r w:rsidRPr="003B7CB6">
        <w:rPr>
          <w:rFonts w:eastAsia="Calibri"/>
          <w:i/>
          <w:sz w:val="24"/>
          <w:szCs w:val="22"/>
        </w:rPr>
        <w:t>recognizing</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a)</w:t>
      </w:r>
      <w:r w:rsidRPr="003B7CB6">
        <w:rPr>
          <w:rFonts w:eastAsia="Calibri"/>
          <w:sz w:val="24"/>
          <w:szCs w:val="24"/>
        </w:rPr>
        <w:tab/>
        <w:t xml:space="preserve">that the use of the bands </w:t>
      </w:r>
      <w:r w:rsidRPr="003B7CB6">
        <w:rPr>
          <w:rFonts w:eastAsia="Calibri"/>
          <w:sz w:val="24"/>
          <w:szCs w:val="22"/>
        </w:rPr>
        <w:t>10.7-10.95 GHz (space-to-Earth), 11.2-11.45 GHz (space-to-Earth), and</w:t>
      </w:r>
      <w:r w:rsidRPr="003B7CB6">
        <w:rPr>
          <w:rFonts w:eastAsia="Calibri"/>
          <w:sz w:val="24"/>
          <w:szCs w:val="24"/>
        </w:rPr>
        <w:t xml:space="preserve"> 12.75-13.25 GHz (Earth-to-space) by geostationary-satellite networks in the fixed-satellite service is in accordance with the provisions of Appendix </w:t>
      </w:r>
      <w:r w:rsidRPr="003B7CB6">
        <w:rPr>
          <w:rFonts w:eastAsia="Calibri"/>
          <w:b/>
          <w:sz w:val="24"/>
          <w:szCs w:val="24"/>
        </w:rPr>
        <w:t>30B</w:t>
      </w:r>
      <w:r w:rsidRPr="003B7CB6">
        <w:rPr>
          <w:rFonts w:eastAsia="Calibri"/>
          <w:sz w:val="24"/>
          <w:szCs w:val="24"/>
        </w:rPr>
        <w:t xml:space="preserve"> according to No. </w:t>
      </w:r>
      <w:r w:rsidRPr="003B7CB6">
        <w:rPr>
          <w:rFonts w:eastAsia="Calibri"/>
          <w:b/>
          <w:sz w:val="24"/>
          <w:szCs w:val="24"/>
        </w:rPr>
        <w:t>5.441</w:t>
      </w:r>
      <w:r w:rsidRPr="003B7CB6">
        <w:rPr>
          <w:rFonts w:eastAsia="Calibri"/>
          <w:sz w:val="24"/>
          <w:szCs w:val="24"/>
        </w:rPr>
        <w:t>;</w:t>
      </w:r>
    </w:p>
    <w:p w:rsidR="003B7CB6" w:rsidRPr="003B7CB6" w:rsidP="003B7CB6">
      <w:pPr>
        <w:tabs>
          <w:tab w:val="left" w:pos="576"/>
          <w:tab w:val="left" w:pos="792"/>
          <w:tab w:val="left" w:pos="1008"/>
          <w:tab w:val="left" w:pos="1224"/>
          <w:tab w:val="left" w:pos="1440"/>
        </w:tabs>
        <w:spacing w:before="120"/>
        <w:rPr>
          <w:rFonts w:eastAsia="Calibri"/>
          <w:i/>
          <w:sz w:val="24"/>
          <w:szCs w:val="22"/>
        </w:rPr>
      </w:pPr>
      <w:r w:rsidRPr="003B7CB6">
        <w:rPr>
          <w:rFonts w:eastAsia="Calibri"/>
          <w:i/>
          <w:sz w:val="24"/>
          <w:szCs w:val="24"/>
        </w:rPr>
        <w:t>b</w:t>
      </w:r>
      <w:r w:rsidRPr="003B7CB6">
        <w:rPr>
          <w:rFonts w:eastAsia="Calibri"/>
          <w:sz w:val="24"/>
          <w:szCs w:val="24"/>
        </w:rPr>
        <w:t>)</w:t>
      </w:r>
      <w:r w:rsidRPr="003B7CB6">
        <w:rPr>
          <w:rFonts w:eastAsia="Calibri"/>
          <w:sz w:val="24"/>
          <w:szCs w:val="24"/>
        </w:rPr>
        <w:tab/>
        <w:t xml:space="preserve">that </w:t>
      </w:r>
      <w:r w:rsidRPr="003B7CB6">
        <w:rPr>
          <w:rFonts w:eastAsia="Calibri"/>
          <w:sz w:val="24"/>
          <w:szCs w:val="22"/>
        </w:rPr>
        <w:t xml:space="preserve">aeronautical and maritime ESIM </w:t>
      </w:r>
      <w:r w:rsidRPr="003B7CB6">
        <w:rPr>
          <w:rFonts w:eastAsia="Calibri"/>
          <w:sz w:val="24"/>
          <w:szCs w:val="24"/>
        </w:rPr>
        <w:t xml:space="preserve">in the </w:t>
      </w:r>
      <w:r w:rsidRPr="003B7CB6">
        <w:rPr>
          <w:rFonts w:eastAsia="Calibri"/>
          <w:sz w:val="24"/>
          <w:szCs w:val="22"/>
        </w:rPr>
        <w:t>10.7-10.95 GHz (space-to-Earth), 11.2-11.45 GHz (space-to-Earth) frequency bands will be receiving and not transmitting and thus will no cause interference to other allocated services or claim protection from allocated service operating in accordance with the Radio Regulations;</w:t>
      </w:r>
    </w:p>
    <w:p w:rsidR="003B7CB6" w:rsidRPr="003B7CB6" w:rsidP="003B7CB6">
      <w:pPr>
        <w:tabs>
          <w:tab w:val="left" w:pos="576"/>
          <w:tab w:val="left" w:pos="792"/>
          <w:tab w:val="left" w:pos="1008"/>
          <w:tab w:val="left" w:pos="1224"/>
          <w:tab w:val="left" w:pos="1440"/>
        </w:tabs>
        <w:spacing w:before="120"/>
        <w:rPr>
          <w:rFonts w:eastAsia="Calibri"/>
          <w:sz w:val="24"/>
          <w:szCs w:val="24"/>
        </w:rPr>
      </w:pPr>
      <w:r w:rsidRPr="003B7CB6">
        <w:rPr>
          <w:rFonts w:eastAsia="Calibri"/>
          <w:i/>
          <w:sz w:val="24"/>
          <w:szCs w:val="22"/>
        </w:rPr>
        <w:t>c)</w:t>
      </w:r>
      <w:r w:rsidRPr="003B7CB6">
        <w:rPr>
          <w:rFonts w:eastAsia="Calibri"/>
          <w:i/>
          <w:sz w:val="24"/>
          <w:szCs w:val="22"/>
        </w:rPr>
        <w:tab/>
      </w:r>
      <w:r w:rsidRPr="003B7CB6">
        <w:rPr>
          <w:rFonts w:eastAsia="Calibri"/>
          <w:sz w:val="24"/>
          <w:szCs w:val="22"/>
        </w:rPr>
        <w:t>that previous World Radiocommunication Conferences have adopted measures to allow aeronautical and maritime ESIM to communicate with GSO space stations in the FSS in certain frequency allocations provided they meet</w:t>
      </w:r>
      <w:r w:rsidRPr="003B7CB6">
        <w:rPr>
          <w:rFonts w:eastAsia="Calibri"/>
          <w:sz w:val="24"/>
          <w:szCs w:val="24"/>
        </w:rPr>
        <w:t xml:space="preserve"> the technical requirements of fixed-satellite earth stations;</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d</w:t>
      </w:r>
      <w:r w:rsidRPr="003B7CB6">
        <w:rPr>
          <w:rFonts w:eastAsia="Calibri"/>
          <w:sz w:val="24"/>
          <w:szCs w:val="24"/>
        </w:rPr>
        <w:t>)</w:t>
      </w:r>
      <w:r w:rsidRPr="003B7CB6">
        <w:rPr>
          <w:rFonts w:eastAsia="Calibri"/>
          <w:sz w:val="24"/>
          <w:szCs w:val="24"/>
        </w:rPr>
        <w:tab/>
        <w:t>that these earth stations will not be used or relied upon for safety-of-life applications;</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i/>
          <w:sz w:val="24"/>
          <w:szCs w:val="24"/>
        </w:rPr>
        <w:t>e</w:t>
      </w:r>
      <w:r w:rsidRPr="003B7CB6">
        <w:rPr>
          <w:rFonts w:eastAsia="Calibri"/>
          <w:sz w:val="24"/>
          <w:szCs w:val="24"/>
        </w:rPr>
        <w:t>)</w:t>
      </w:r>
      <w:r w:rsidRPr="003B7CB6">
        <w:rPr>
          <w:rFonts w:eastAsia="Calibri"/>
          <w:sz w:val="24"/>
          <w:szCs w:val="24"/>
        </w:rPr>
        <w:tab/>
        <w:t>that the use of the band 12.75-13.25 GHz (Earth-to-space) by non-geostationary-satellite systems in the fixed-satellite service shall not claim protection from geostationary-satellite networks operating in accordance with the Radio Regulations,</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4"/>
        </w:rPr>
      </w:pP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60"/>
        <w:ind w:left="1134"/>
        <w:jc w:val="both"/>
        <w:textAlignment w:val="baseline"/>
        <w:rPr>
          <w:rFonts w:eastAsia="Calibri"/>
          <w:i/>
          <w:sz w:val="24"/>
          <w:szCs w:val="22"/>
        </w:rPr>
      </w:pPr>
      <w:bookmarkStart w:id="46" w:name="RESOLUTION_650_(WRC-12)_–_Allocation_for"/>
      <w:bookmarkEnd w:id="46"/>
      <w:r w:rsidRPr="003B7CB6">
        <w:rPr>
          <w:rFonts w:eastAsia="Calibri"/>
          <w:i/>
          <w:sz w:val="24"/>
          <w:szCs w:val="22"/>
        </w:rPr>
        <w:t>resolves to invite ITU-R</w:t>
      </w:r>
    </w:p>
    <w:p w:rsidR="003B7CB6" w:rsidRPr="003B7CB6" w:rsidP="003B7CB6">
      <w:pPr>
        <w:tabs>
          <w:tab w:val="left" w:pos="576"/>
          <w:tab w:val="left" w:pos="792"/>
          <w:tab w:val="left" w:pos="1008"/>
          <w:tab w:val="left" w:pos="1224"/>
          <w:tab w:val="left" w:pos="1440"/>
        </w:tabs>
        <w:spacing w:before="120"/>
        <w:jc w:val="both"/>
        <w:rPr>
          <w:rFonts w:eastAsia="Calibri"/>
          <w:sz w:val="24"/>
          <w:szCs w:val="22"/>
        </w:rPr>
      </w:pPr>
      <w:r w:rsidRPr="003B7CB6">
        <w:rPr>
          <w:rFonts w:eastAsia="Calibri"/>
          <w:color w:val="231F20"/>
          <w:sz w:val="24"/>
          <w:szCs w:val="24"/>
        </w:rPr>
        <w:t>1</w:t>
      </w:r>
      <w:r w:rsidRPr="003B7CB6">
        <w:rPr>
          <w:rFonts w:eastAsia="Calibri"/>
          <w:color w:val="231F20"/>
          <w:sz w:val="24"/>
          <w:szCs w:val="24"/>
        </w:rPr>
        <w:tab/>
        <w:t>t</w:t>
      </w:r>
      <w:r w:rsidRPr="003B7CB6">
        <w:rPr>
          <w:rFonts w:eastAsia="Calibri"/>
          <w:sz w:val="24"/>
          <w:szCs w:val="22"/>
        </w:rPr>
        <w:t xml:space="preserve">o carry out studies on technical and operational characteristics of aeronautical and maritime ESIM </w:t>
      </w:r>
      <w:r w:rsidRPr="003B7CB6">
        <w:rPr>
          <w:rFonts w:eastAsia="Calibri"/>
          <w:sz w:val="24"/>
          <w:szCs w:val="24"/>
        </w:rPr>
        <w:t xml:space="preserve">that communicate or plan to communicate with GSO space stations   within the existing FSS allocation in the frequency bands </w:t>
      </w:r>
      <w:r w:rsidRPr="003B7CB6">
        <w:rPr>
          <w:rFonts w:eastAsia="Calibri"/>
          <w:sz w:val="24"/>
          <w:szCs w:val="22"/>
        </w:rPr>
        <w:t>10.7-10.95 GHz, 11.2-11.45 GHz, and</w:t>
      </w:r>
      <w:r w:rsidRPr="003B7CB6">
        <w:rPr>
          <w:rFonts w:eastAsia="Calibri"/>
          <w:sz w:val="24"/>
          <w:szCs w:val="24"/>
        </w:rPr>
        <w:t xml:space="preserve"> 12.75-13.25 GHz; </w:t>
      </w:r>
    </w:p>
    <w:p w:rsidR="003B7CB6" w:rsidRPr="003B7CB6" w:rsidP="003B7CB6">
      <w:pPr>
        <w:tabs>
          <w:tab w:val="left" w:pos="576"/>
          <w:tab w:val="left" w:pos="792"/>
          <w:tab w:val="left" w:pos="1008"/>
          <w:tab w:val="left" w:pos="1224"/>
          <w:tab w:val="left" w:pos="1440"/>
        </w:tabs>
        <w:spacing w:before="120"/>
        <w:jc w:val="both"/>
        <w:rPr>
          <w:rFonts w:eastAsia="Calibri"/>
          <w:sz w:val="24"/>
          <w:szCs w:val="24"/>
        </w:rPr>
      </w:pPr>
      <w:r w:rsidRPr="003B7CB6">
        <w:rPr>
          <w:rFonts w:eastAsia="Calibri"/>
          <w:sz w:val="24"/>
          <w:szCs w:val="24"/>
        </w:rPr>
        <w:t>2</w:t>
      </w:r>
      <w:r w:rsidRPr="003B7CB6">
        <w:rPr>
          <w:rFonts w:eastAsia="Calibri"/>
          <w:sz w:val="24"/>
          <w:szCs w:val="24"/>
        </w:rPr>
        <w:tab/>
        <w:t xml:space="preserve">to study sharing and compatibility between </w:t>
      </w:r>
      <w:r w:rsidRPr="003B7CB6">
        <w:rPr>
          <w:rFonts w:eastAsia="Calibri"/>
          <w:sz w:val="24"/>
          <w:szCs w:val="22"/>
        </w:rPr>
        <w:t>aeronautical and maritime ESIM</w:t>
      </w:r>
      <w:r w:rsidRPr="003B7CB6">
        <w:rPr>
          <w:rFonts w:eastAsia="Calibri"/>
          <w:sz w:val="24"/>
          <w:szCs w:val="24"/>
        </w:rPr>
        <w:t xml:space="preserve"> communicating with GSO space stations in the FSS and current and planned stations of existing services allocated in the 12.75-13.25 GHz bands to ensure protection of those services;</w:t>
      </w:r>
    </w:p>
    <w:p w:rsidR="003B7CB6" w:rsidRPr="003B7CB6" w:rsidP="003B7CB6">
      <w:pPr>
        <w:tabs>
          <w:tab w:val="left" w:pos="576"/>
          <w:tab w:val="left" w:pos="792"/>
          <w:tab w:val="left" w:pos="1008"/>
          <w:tab w:val="left" w:pos="1224"/>
          <w:tab w:val="left" w:pos="1440"/>
        </w:tabs>
        <w:spacing w:before="120"/>
        <w:jc w:val="both"/>
        <w:rPr>
          <w:rFonts w:eastAsia="Calibri"/>
          <w:sz w:val="24"/>
          <w:szCs w:val="22"/>
        </w:rPr>
      </w:pPr>
      <w:r w:rsidRPr="003B7CB6">
        <w:rPr>
          <w:rFonts w:eastAsia="Calibri"/>
          <w:sz w:val="24"/>
          <w:szCs w:val="24"/>
        </w:rPr>
        <w:t>3</w:t>
      </w:r>
      <w:r w:rsidRPr="003B7CB6">
        <w:rPr>
          <w:rFonts w:eastAsia="Calibri"/>
          <w:sz w:val="24"/>
          <w:szCs w:val="24"/>
        </w:rPr>
        <w:tab/>
      </w:r>
      <w:r w:rsidRPr="003B7CB6">
        <w:rPr>
          <w:rFonts w:eastAsia="Calibri"/>
          <w:color w:val="231F20"/>
          <w:sz w:val="24"/>
          <w:szCs w:val="24"/>
        </w:rPr>
        <w:t>to</w:t>
      </w:r>
      <w:r w:rsidRPr="003B7CB6">
        <w:rPr>
          <w:rFonts w:eastAsia="Calibri"/>
          <w:sz w:val="24"/>
          <w:szCs w:val="24"/>
        </w:rPr>
        <w:t xml:space="preserve"> develop technical conditions and regulatory provisions for the operation of </w:t>
      </w:r>
      <w:r w:rsidRPr="003B7CB6">
        <w:rPr>
          <w:rFonts w:eastAsia="Calibri"/>
          <w:sz w:val="24"/>
          <w:szCs w:val="22"/>
        </w:rPr>
        <w:t>aeronautical and maritime ESIM</w:t>
      </w:r>
      <w:r w:rsidRPr="003B7CB6">
        <w:rPr>
          <w:rFonts w:eastAsia="Calibri"/>
          <w:sz w:val="24"/>
          <w:szCs w:val="24"/>
        </w:rPr>
        <w:t xml:space="preserve"> communicating with GSO space stations in the FSS in the frequency bands </w:t>
      </w:r>
      <w:r w:rsidRPr="003B7CB6">
        <w:rPr>
          <w:rFonts w:eastAsia="Calibri"/>
          <w:sz w:val="24"/>
          <w:szCs w:val="22"/>
        </w:rPr>
        <w:t>10.7-10.95 GHz (space-to-Earth), 11.2-11.45 GHz (space-to-Earth), and</w:t>
      </w:r>
      <w:r w:rsidRPr="003B7CB6">
        <w:rPr>
          <w:rFonts w:eastAsia="Calibri"/>
          <w:bCs/>
          <w:sz w:val="24"/>
          <w:szCs w:val="24"/>
        </w:rPr>
        <w:t xml:space="preserve"> </w:t>
      </w:r>
      <w:r w:rsidRPr="003B7CB6">
        <w:rPr>
          <w:rFonts w:eastAsia="Calibri"/>
          <w:sz w:val="24"/>
          <w:szCs w:val="24"/>
        </w:rPr>
        <w:t>12.75-13.25 GHz</w:t>
      </w:r>
      <w:r w:rsidRPr="003B7CB6">
        <w:rPr>
          <w:rFonts w:eastAsia="Calibri"/>
          <w:sz w:val="24"/>
          <w:szCs w:val="22"/>
        </w:rPr>
        <w:t xml:space="preserve"> </w:t>
      </w:r>
      <w:r w:rsidRPr="003B7CB6">
        <w:rPr>
          <w:rFonts w:eastAsia="Calibri"/>
          <w:sz w:val="24"/>
          <w:szCs w:val="24"/>
        </w:rPr>
        <w:t xml:space="preserve">(Earth-to-space) </w:t>
      </w:r>
      <w:r w:rsidRPr="003B7CB6">
        <w:rPr>
          <w:rFonts w:eastAsia="Calibri"/>
          <w:sz w:val="24"/>
          <w:szCs w:val="22"/>
        </w:rPr>
        <w:t xml:space="preserve">taking into account the result of studies as called for in resolves 1) and 2) above and in particular without affecting any provisions of Appendix </w:t>
      </w:r>
      <w:r w:rsidRPr="003B7CB6">
        <w:rPr>
          <w:rFonts w:eastAsia="Calibri"/>
          <w:b/>
          <w:sz w:val="24"/>
          <w:szCs w:val="22"/>
        </w:rPr>
        <w:t>30B</w:t>
      </w:r>
      <w:r w:rsidRPr="003B7CB6">
        <w:rPr>
          <w:rFonts w:eastAsia="Calibri"/>
          <w:sz w:val="24"/>
          <w:szCs w:val="22"/>
        </w:rPr>
        <w:t>;</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color w:val="000000"/>
          <w:sz w:val="24"/>
          <w:szCs w:val="24"/>
        </w:rPr>
      </w:pPr>
      <w:r w:rsidRPr="003B7CB6">
        <w:rPr>
          <w:rFonts w:eastAsia="Calibri"/>
          <w:color w:val="231F20"/>
          <w:sz w:val="24"/>
          <w:szCs w:val="24"/>
        </w:rPr>
        <w:t>4</w:t>
      </w:r>
      <w:r w:rsidRPr="003B7CB6">
        <w:rPr>
          <w:rFonts w:eastAsia="Calibri"/>
          <w:color w:val="231F20"/>
          <w:sz w:val="24"/>
          <w:szCs w:val="24"/>
        </w:rPr>
        <w:tab/>
      </w:r>
      <w:r w:rsidRPr="003B7CB6">
        <w:rPr>
          <w:rFonts w:eastAsia="Calibri"/>
          <w:sz w:val="24"/>
          <w:szCs w:val="22"/>
        </w:rPr>
        <w:t>to complete studies in time for WRC</w:t>
      </w:r>
      <w:r w:rsidRPr="003B7CB6">
        <w:rPr>
          <w:rFonts w:eastAsia="Calibri"/>
          <w:sz w:val="24"/>
          <w:szCs w:val="22"/>
        </w:rPr>
        <w:noBreakHyphen/>
        <w:t>23,</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60"/>
        <w:ind w:left="1134"/>
        <w:jc w:val="both"/>
        <w:textAlignment w:val="baseline"/>
        <w:rPr>
          <w:rFonts w:eastAsia="Calibri"/>
          <w:i/>
          <w:sz w:val="24"/>
          <w:szCs w:val="22"/>
        </w:rPr>
      </w:pPr>
      <w:r w:rsidRPr="003B7CB6">
        <w:rPr>
          <w:rFonts w:eastAsia="Calibri"/>
          <w:i/>
          <w:sz w:val="24"/>
          <w:szCs w:val="22"/>
        </w:rPr>
        <w:t>Further resolves to invite WRC-23</w:t>
      </w: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both"/>
        <w:textAlignment w:val="baseline"/>
        <w:rPr>
          <w:rFonts w:eastAsia="Calibri"/>
          <w:color w:val="231F20"/>
          <w:sz w:val="24"/>
          <w:szCs w:val="24"/>
        </w:rPr>
      </w:pPr>
      <w:r w:rsidRPr="003B7CB6">
        <w:rPr>
          <w:rFonts w:eastAsia="Calibri"/>
          <w:color w:val="231F20"/>
          <w:sz w:val="24"/>
          <w:szCs w:val="24"/>
        </w:rPr>
        <w:t>to review the results of these studies in order to adopt technical</w:t>
      </w:r>
      <w:r w:rsidRPr="003B7CB6">
        <w:rPr>
          <w:rFonts w:eastAsia="Calibri"/>
          <w:sz w:val="24"/>
          <w:szCs w:val="22"/>
        </w:rPr>
        <w:t xml:space="preserve"> conditions </w:t>
      </w:r>
      <w:r w:rsidRPr="003B7CB6">
        <w:rPr>
          <w:rFonts w:eastAsia="Calibri"/>
          <w:color w:val="231F20"/>
          <w:sz w:val="24"/>
          <w:szCs w:val="24"/>
        </w:rPr>
        <w:t xml:space="preserve">and </w:t>
      </w:r>
      <w:r w:rsidRPr="003B7CB6">
        <w:rPr>
          <w:rFonts w:eastAsia="Calibri"/>
          <w:sz w:val="24"/>
          <w:szCs w:val="24"/>
        </w:rPr>
        <w:t xml:space="preserve">regulatory provisions that allow for the operation of </w:t>
      </w:r>
      <w:r w:rsidRPr="003B7CB6">
        <w:rPr>
          <w:rFonts w:eastAsia="Calibri"/>
          <w:sz w:val="24"/>
          <w:szCs w:val="22"/>
        </w:rPr>
        <w:t xml:space="preserve">aeronautical and maritime ESIM </w:t>
      </w:r>
      <w:r w:rsidRPr="003B7CB6">
        <w:rPr>
          <w:rFonts w:eastAsia="Calibri"/>
          <w:sz w:val="24"/>
          <w:szCs w:val="24"/>
        </w:rPr>
        <w:t xml:space="preserve">communicating with GSO space stations in the FSS in the frequency bands </w:t>
      </w:r>
      <w:r w:rsidRPr="003B7CB6">
        <w:rPr>
          <w:rFonts w:eastAsia="Calibri"/>
          <w:sz w:val="24"/>
          <w:szCs w:val="22"/>
        </w:rPr>
        <w:t>10.7-10.95 GHz (space-to-Earth), 11.2-11.45 GHz (space-to-Earth), and</w:t>
      </w:r>
      <w:r w:rsidRPr="003B7CB6">
        <w:rPr>
          <w:rFonts w:eastAsia="Calibri"/>
          <w:bCs/>
          <w:sz w:val="24"/>
          <w:szCs w:val="24"/>
        </w:rPr>
        <w:t xml:space="preserve"> </w:t>
      </w:r>
      <w:r w:rsidRPr="003B7CB6">
        <w:rPr>
          <w:rFonts w:eastAsia="Calibri"/>
          <w:sz w:val="24"/>
          <w:szCs w:val="24"/>
        </w:rPr>
        <w:t>12.75-13.25 GHz (Earth-to-space)</w:t>
      </w:r>
      <w:r w:rsidRPr="003B7CB6">
        <w:rPr>
          <w:rFonts w:eastAsia="Calibri"/>
          <w:color w:val="231F20"/>
          <w:sz w:val="24"/>
          <w:szCs w:val="24"/>
        </w:rPr>
        <w:t>,</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60"/>
        <w:ind w:left="1134"/>
        <w:jc w:val="both"/>
        <w:textAlignment w:val="baseline"/>
        <w:rPr>
          <w:rFonts w:eastAsia="Calibri"/>
          <w:i/>
          <w:sz w:val="24"/>
          <w:szCs w:val="22"/>
        </w:rPr>
      </w:pPr>
      <w:r w:rsidRPr="003B7CB6">
        <w:rPr>
          <w:rFonts w:eastAsia="Calibri"/>
          <w:i/>
          <w:sz w:val="24"/>
          <w:szCs w:val="22"/>
        </w:rPr>
        <w:t>invites administrations</w:t>
      </w:r>
    </w:p>
    <w:p w:rsidR="003B7CB6" w:rsidRPr="003B7CB6" w:rsidP="003B7CB6">
      <w:pPr>
        <w:tabs>
          <w:tab w:val="left" w:pos="576"/>
          <w:tab w:val="left" w:pos="699"/>
          <w:tab w:val="left" w:pos="792"/>
          <w:tab w:val="left" w:pos="1008"/>
          <w:tab w:val="left" w:pos="1080"/>
          <w:tab w:val="left" w:pos="1224"/>
          <w:tab w:val="left" w:pos="1440"/>
          <w:tab w:val="left" w:pos="7257"/>
          <w:tab w:val="left" w:pos="7920"/>
          <w:tab w:val="left" w:pos="8508"/>
          <w:tab w:val="left" w:pos="9216"/>
        </w:tabs>
        <w:ind w:right="2"/>
        <w:rPr>
          <w:rFonts w:eastAsia="Calibri"/>
          <w:color w:val="231F20"/>
          <w:sz w:val="24"/>
          <w:szCs w:val="24"/>
        </w:rPr>
      </w:pPr>
      <w:r w:rsidRPr="003B7CB6">
        <w:rPr>
          <w:rFonts w:eastAsia="Calibri"/>
          <w:color w:val="231F20"/>
          <w:sz w:val="24"/>
          <w:szCs w:val="24"/>
        </w:rPr>
        <w:t>to participate actively in the studies by submitting contributions to ITU-R.</w:t>
      </w:r>
    </w:p>
    <w:p w:rsidR="003B7CB6" w:rsidRPr="003B7CB6" w:rsidP="003B7CB6">
      <w:pPr>
        <w:spacing w:after="160" w:line="259" w:lineRule="auto"/>
        <w:rPr>
          <w:rFonts w:eastAsia="Calibri"/>
          <w:color w:val="231F20"/>
          <w:sz w:val="24"/>
          <w:szCs w:val="24"/>
        </w:rPr>
      </w:pPr>
      <w:r w:rsidRPr="003B7CB6">
        <w:rPr>
          <w:rFonts w:eastAsia="Calibri"/>
          <w:color w:val="231F20"/>
          <w:sz w:val="24"/>
          <w:szCs w:val="24"/>
        </w:rPr>
        <w:br w:type="page"/>
      </w:r>
    </w:p>
    <w:p w:rsidR="003B7CB6" w:rsidRPr="003B7CB6" w:rsidP="003B7CB6">
      <w:pPr>
        <w:tabs>
          <w:tab w:val="left" w:pos="576"/>
          <w:tab w:val="left" w:pos="699"/>
          <w:tab w:val="left" w:pos="792"/>
          <w:tab w:val="left" w:pos="1008"/>
          <w:tab w:val="left" w:pos="1080"/>
          <w:tab w:val="left" w:pos="1224"/>
          <w:tab w:val="left" w:pos="1440"/>
          <w:tab w:val="left" w:pos="7257"/>
          <w:tab w:val="left" w:pos="7920"/>
          <w:tab w:val="left" w:pos="8508"/>
          <w:tab w:val="left" w:pos="9216"/>
        </w:tabs>
        <w:ind w:right="2"/>
        <w:jc w:val="center"/>
        <w:rPr>
          <w:rFonts w:eastAsia="Calibri"/>
          <w:b/>
          <w:sz w:val="24"/>
          <w:szCs w:val="22"/>
        </w:rPr>
      </w:pPr>
      <w:r w:rsidRPr="003B7CB6">
        <w:rPr>
          <w:rFonts w:eastAsia="Calibri"/>
          <w:b/>
          <w:sz w:val="24"/>
          <w:szCs w:val="22"/>
        </w:rPr>
        <w:t>ATTACHMENT</w:t>
      </w:r>
    </w:p>
    <w:p w:rsidR="003B7CB6" w:rsidRPr="003B7CB6" w:rsidP="003B7CB6">
      <w:pPr>
        <w:tabs>
          <w:tab w:val="left" w:pos="576"/>
          <w:tab w:val="left" w:pos="699"/>
          <w:tab w:val="left" w:pos="792"/>
          <w:tab w:val="left" w:pos="1008"/>
          <w:tab w:val="left" w:pos="1080"/>
          <w:tab w:val="left" w:pos="1224"/>
          <w:tab w:val="left" w:pos="1440"/>
          <w:tab w:val="left" w:pos="7257"/>
          <w:tab w:val="left" w:pos="7920"/>
          <w:tab w:val="left" w:pos="8508"/>
          <w:tab w:val="left" w:pos="9216"/>
        </w:tabs>
        <w:ind w:right="2"/>
        <w:jc w:val="center"/>
        <w:outlineLvl w:val="0"/>
        <w:rPr>
          <w:rFonts w:eastAsia="Calibri"/>
          <w:b/>
          <w:sz w:val="24"/>
          <w:szCs w:val="22"/>
        </w:rPr>
      </w:pP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center"/>
        <w:textAlignment w:val="baseline"/>
        <w:rPr>
          <w:caps/>
          <w:sz w:val="28"/>
          <w:lang w:val="en-GB"/>
        </w:rPr>
      </w:pPr>
      <w:bookmarkStart w:id="47" w:name="_Hlk535486023"/>
      <w:r w:rsidRPr="003B7CB6">
        <w:rPr>
          <w:caps/>
          <w:sz w:val="28"/>
          <w:lang w:val="en-GB"/>
        </w:rPr>
        <w:t>ANNEX 2 TO RESOLUTION 804 (Rev.WRC</w:t>
      </w:r>
      <w:r w:rsidRPr="003B7CB6">
        <w:rPr>
          <w:caps/>
          <w:sz w:val="28"/>
          <w:lang w:val="en-GB"/>
        </w:rPr>
        <w:noBreakHyphen/>
        <w:t>12)</w:t>
      </w: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jc w:val="center"/>
        <w:textAlignment w:val="baseline"/>
        <w:rPr>
          <w:rFonts w:ascii="Times New Roman Bold" w:hAnsi="Times New Roman Bold"/>
          <w:b/>
          <w:sz w:val="28"/>
          <w:lang w:val="en-GB"/>
        </w:rPr>
      </w:pPr>
      <w:r w:rsidRPr="003B7CB6">
        <w:rPr>
          <w:rFonts w:ascii="Times New Roman Bold" w:hAnsi="Times New Roman Bold"/>
          <w:b/>
          <w:sz w:val="28"/>
          <w:lang w:val="en-GB"/>
        </w:rPr>
        <w:t>Template for the submission of proposals for agenda items</w:t>
      </w:r>
    </w:p>
    <w:p w:rsidR="003B7CB6" w:rsidRPr="003B7CB6" w:rsidP="003B7CB6">
      <w:pPr>
        <w:keepNext/>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60"/>
        <w:textAlignment w:val="baseline"/>
        <w:rPr>
          <w:rFonts w:ascii="Times" w:eastAsia="Calibri" w:hAnsi="Times"/>
          <w:b/>
          <w:color w:val="000000"/>
          <w:szCs w:val="22"/>
        </w:rPr>
      </w:pPr>
    </w:p>
    <w:p w:rsidR="003B7CB6" w:rsidRPr="003B7CB6" w:rsidP="003B7CB6">
      <w:pPr>
        <w:keepNext/>
        <w:keepLines/>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ascii="Times New Roman Bold" w:hAnsi="Times New Roman Bold"/>
          <w:b/>
          <w:sz w:val="28"/>
          <w:lang w:val="en-GB"/>
        </w:rPr>
      </w:pPr>
      <w:r w:rsidRPr="003B7CB6">
        <w:rPr>
          <w:rFonts w:ascii="Times" w:eastAsia="Calibri" w:hAnsi="Times"/>
          <w:b/>
          <w:sz w:val="24"/>
          <w:szCs w:val="22"/>
        </w:rPr>
        <w:t xml:space="preserve">Subject: </w:t>
      </w:r>
      <w:r w:rsidRPr="003B7CB6">
        <w:rPr>
          <w:rFonts w:ascii="Times" w:eastAsia="Calibri" w:hAnsi="Times"/>
          <w:sz w:val="24"/>
          <w:szCs w:val="22"/>
        </w:rPr>
        <w:t xml:space="preserve">Developing technical conditions and </w:t>
      </w:r>
      <w:r w:rsidRPr="003B7CB6">
        <w:rPr>
          <w:rFonts w:eastAsia="Calibri"/>
          <w:sz w:val="24"/>
          <w:szCs w:val="22"/>
        </w:rPr>
        <w:t>regulatory provisions and associated conditions that allow</w:t>
      </w:r>
      <w:bookmarkEnd w:id="47"/>
      <w:r w:rsidRPr="003B7CB6">
        <w:rPr>
          <w:rFonts w:ascii="Times New Roman Bold" w:hAnsi="Times New Roman Bold"/>
          <w:b/>
          <w:sz w:val="28"/>
          <w:lang w:val="en-GB"/>
        </w:rPr>
        <w:t xml:space="preserve"> </w:t>
      </w:r>
      <w:r w:rsidRPr="003B7CB6">
        <w:rPr>
          <w:rFonts w:eastAsia="Calibri"/>
          <w:sz w:val="24"/>
          <w:szCs w:val="22"/>
        </w:rPr>
        <w:t>for the operation of aeronautical and maritime ESIM communicating with geostationary space stations in the FSS in the frequency bands 10.7-10.95 GHz (space-to-Earth), 11.2-11.45 GHz (space-to-Earth), and</w:t>
      </w:r>
      <w:r w:rsidRPr="003B7CB6">
        <w:rPr>
          <w:rFonts w:eastAsia="Calibri"/>
          <w:bCs/>
          <w:sz w:val="24"/>
          <w:szCs w:val="22"/>
        </w:rPr>
        <w:t xml:space="preserve"> </w:t>
      </w:r>
      <w:r w:rsidRPr="003B7CB6">
        <w:rPr>
          <w:rFonts w:eastAsia="Calibri"/>
          <w:sz w:val="24"/>
          <w:szCs w:val="22"/>
        </w:rPr>
        <w:t xml:space="preserve">12.75-13.25 GHz (Earth-to-space) </w:t>
      </w:r>
    </w:p>
    <w:p w:rsidR="003B7CB6" w:rsidRPr="003B7CB6" w:rsidP="003B7CB6">
      <w:pPr>
        <w:tabs>
          <w:tab w:val="left" w:pos="576"/>
          <w:tab w:val="left" w:pos="792"/>
          <w:tab w:val="left" w:pos="1008"/>
          <w:tab w:val="left" w:pos="1224"/>
          <w:tab w:val="left" w:pos="1440"/>
        </w:tabs>
        <w:rPr>
          <w:rFonts w:eastAsia="Calibri"/>
          <w:b/>
          <w:color w:val="000000"/>
          <w:sz w:val="24"/>
          <w:szCs w:val="22"/>
        </w:rPr>
      </w:pPr>
    </w:p>
    <w:p w:rsidR="003B7CB6" w:rsidRPr="003B7CB6" w:rsidP="003B7CB6">
      <w:pPr>
        <w:tabs>
          <w:tab w:val="left" w:pos="576"/>
          <w:tab w:val="left" w:pos="792"/>
          <w:tab w:val="left" w:pos="1008"/>
          <w:tab w:val="left" w:pos="1224"/>
          <w:tab w:val="left" w:pos="1440"/>
        </w:tabs>
        <w:rPr>
          <w:rFonts w:eastAsia="Calibri"/>
          <w:color w:val="000000"/>
          <w:sz w:val="24"/>
          <w:szCs w:val="22"/>
        </w:rPr>
      </w:pPr>
      <w:r w:rsidRPr="003B7CB6">
        <w:rPr>
          <w:rFonts w:eastAsia="Calibri"/>
          <w:b/>
          <w:color w:val="000000"/>
          <w:sz w:val="24"/>
          <w:szCs w:val="22"/>
        </w:rPr>
        <w:t>Origin</w:t>
      </w:r>
      <w:r w:rsidRPr="003B7CB6">
        <w:rPr>
          <w:rFonts w:eastAsia="Calibri"/>
          <w:color w:val="000000"/>
          <w:sz w:val="24"/>
          <w:szCs w:val="22"/>
        </w:rPr>
        <w:t>: United States of America</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Cs w:val="22"/>
        </w:rPr>
      </w:pPr>
    </w:p>
    <w:p w:rsidR="003B7CB6" w:rsidRPr="003B7CB6" w:rsidP="003B7CB6">
      <w:pPr>
        <w:tabs>
          <w:tab w:val="left" w:pos="360"/>
          <w:tab w:val="left" w:pos="576"/>
          <w:tab w:val="left" w:pos="792"/>
          <w:tab w:val="left" w:pos="900"/>
          <w:tab w:val="left" w:pos="1008"/>
          <w:tab w:val="left" w:pos="1224"/>
          <w:tab w:val="left" w:pos="1440"/>
        </w:tabs>
        <w:rPr>
          <w:rFonts w:eastAsia="Calibri"/>
          <w:b/>
          <w:iCs/>
          <w:color w:val="000000"/>
          <w:sz w:val="24"/>
          <w:szCs w:val="22"/>
          <w:lang w:eastAsia="x-none"/>
        </w:rPr>
      </w:pPr>
      <w:r w:rsidRPr="003B7CB6">
        <w:rPr>
          <w:rFonts w:eastAsia="Calibri"/>
          <w:b/>
          <w:bCs/>
          <w:i/>
          <w:color w:val="000000"/>
          <w:sz w:val="24"/>
          <w:szCs w:val="22"/>
          <w:lang w:eastAsia="x-none"/>
        </w:rPr>
        <w:t>Proposal</w:t>
      </w:r>
      <w:r w:rsidRPr="003B7CB6">
        <w:rPr>
          <w:rFonts w:eastAsia="Calibri"/>
          <w:b/>
          <w:i/>
          <w:iCs/>
          <w:color w:val="000000"/>
          <w:sz w:val="24"/>
          <w:szCs w:val="22"/>
          <w:lang w:eastAsia="x-none"/>
        </w:rPr>
        <w:t>:</w:t>
      </w:r>
      <w:r w:rsidRPr="003B7CB6">
        <w:rPr>
          <w:rFonts w:eastAsia="Calibri"/>
          <w:i/>
          <w:iCs/>
          <w:color w:val="000000"/>
          <w:sz w:val="24"/>
          <w:szCs w:val="22"/>
          <w:lang w:eastAsia="x-none"/>
        </w:rPr>
        <w:t xml:space="preserve"> To consider the use of the frequency bands </w:t>
      </w:r>
      <w:r w:rsidRPr="003B7CB6">
        <w:rPr>
          <w:rFonts w:eastAsia="Calibri"/>
          <w:i/>
          <w:sz w:val="24"/>
          <w:szCs w:val="22"/>
        </w:rPr>
        <w:t>10.7-10.95 GHz (space-to-Earth), 11.2-11.45 GHz (space-to-Earth), and</w:t>
      </w:r>
      <w:r w:rsidRPr="003B7CB6">
        <w:rPr>
          <w:rFonts w:eastAsia="Calibri"/>
          <w:i/>
          <w:iCs/>
          <w:color w:val="000000"/>
          <w:sz w:val="24"/>
          <w:szCs w:val="22"/>
          <w:lang w:eastAsia="x-none"/>
        </w:rPr>
        <w:t xml:space="preserve"> 12.75-13.25 GHz (Earth-to-space) by </w:t>
      </w:r>
      <w:r w:rsidRPr="003B7CB6">
        <w:rPr>
          <w:rFonts w:eastAsia="Calibri"/>
          <w:sz w:val="24"/>
          <w:szCs w:val="22"/>
        </w:rPr>
        <w:t xml:space="preserve">aeronautical and maritime ESIM </w:t>
      </w:r>
      <w:r w:rsidRPr="003B7CB6">
        <w:rPr>
          <w:rFonts w:eastAsia="Calibri"/>
          <w:i/>
          <w:iCs/>
          <w:color w:val="000000"/>
          <w:sz w:val="24"/>
          <w:szCs w:val="22"/>
          <w:lang w:eastAsia="x-none"/>
        </w:rPr>
        <w:t xml:space="preserve">communicating with geostationary space stations in the fixed-satellite service </w:t>
      </w:r>
      <w:r w:rsidRPr="003B7CB6">
        <w:rPr>
          <w:rFonts w:eastAsia="Calibri"/>
          <w:i/>
          <w:color w:val="000000"/>
          <w:sz w:val="24"/>
          <w:szCs w:val="22"/>
        </w:rPr>
        <w:t>in accordance with Resolution [USA/10/FSS 12.75-13.25 GHZ] (WRC-19).</w:t>
      </w:r>
    </w:p>
    <w:p w:rsidR="003B7CB6" w:rsidRPr="003B7CB6" w:rsidP="003B7CB6">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3B7CB6" w:rsidRPr="003B7CB6" w:rsidP="003B7CB6">
      <w:pPr>
        <w:tabs>
          <w:tab w:val="left" w:pos="576"/>
          <w:tab w:val="left" w:pos="792"/>
          <w:tab w:val="left" w:pos="1008"/>
          <w:tab w:val="left" w:pos="1224"/>
          <w:tab w:val="left" w:pos="1440"/>
        </w:tabs>
        <w:rPr>
          <w:rFonts w:eastAsia="Calibri"/>
          <w:b/>
          <w:i/>
          <w:color w:val="000000"/>
          <w:sz w:val="24"/>
          <w:szCs w:val="22"/>
        </w:rPr>
      </w:pPr>
    </w:p>
    <w:p w:rsidR="003B7CB6" w:rsidRPr="003B7CB6" w:rsidP="003B7CB6">
      <w:p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textAlignment w:val="baseline"/>
        <w:rPr>
          <w:rFonts w:eastAsia="Calibri"/>
          <w:sz w:val="24"/>
          <w:szCs w:val="24"/>
        </w:rPr>
      </w:pPr>
      <w:r w:rsidRPr="003B7CB6">
        <w:rPr>
          <w:rFonts w:eastAsia="Calibri"/>
          <w:b/>
          <w:i/>
          <w:color w:val="000000"/>
          <w:sz w:val="24"/>
          <w:szCs w:val="22"/>
        </w:rPr>
        <w:t>Background/reason</w:t>
      </w:r>
      <w:r w:rsidRPr="003B7CB6">
        <w:rPr>
          <w:rFonts w:eastAsia="Calibri"/>
          <w:b/>
          <w:bCs/>
          <w:i/>
          <w:iCs/>
          <w:color w:val="000000"/>
          <w:sz w:val="24"/>
          <w:szCs w:val="22"/>
        </w:rPr>
        <w:t>:</w:t>
      </w:r>
      <w:r w:rsidRPr="003B7CB6">
        <w:rPr>
          <w:rFonts w:eastAsia="Calibri"/>
          <w:sz w:val="24"/>
          <w:szCs w:val="24"/>
        </w:rPr>
        <w:t xml:space="preserve"> According to the provisions of the Radio Regulations, FSS </w:t>
      </w:r>
      <w:r w:rsidRPr="003B7CB6">
        <w:rPr>
          <w:rFonts w:eastAsia="Calibri"/>
          <w:sz w:val="24"/>
          <w:szCs w:val="22"/>
        </w:rPr>
        <w:t xml:space="preserve">satellite networks operating in the 12.75-13.25 GHz frequency band can only provide services to aeronautical and maritime ESIM under No. </w:t>
      </w:r>
      <w:r w:rsidRPr="003B7CB6">
        <w:rPr>
          <w:rFonts w:eastAsia="Calibri"/>
          <w:b/>
          <w:sz w:val="24"/>
          <w:szCs w:val="22"/>
        </w:rPr>
        <w:t xml:space="preserve">4.4. </w:t>
      </w:r>
      <w:r w:rsidRPr="003B7CB6">
        <w:rPr>
          <w:rFonts w:eastAsia="Calibri"/>
          <w:sz w:val="24"/>
          <w:szCs w:val="22"/>
        </w:rPr>
        <w:t>This provision requires the associated transmissions not to cause harmful interference to, and not to claim protection from harmful interference caused by, a station operating according to primary or secondary frequency allocations. Previous WRCs have adopted provisions to allow aeronautical and maritime ESIM to communicate with GSO space stations in the FSS in certain FSS frequency allocations provided they meet</w:t>
      </w:r>
      <w:r w:rsidRPr="003B7CB6">
        <w:rPr>
          <w:rFonts w:eastAsia="Calibri"/>
          <w:sz w:val="24"/>
          <w:szCs w:val="24"/>
        </w:rPr>
        <w:t xml:space="preserve"> the technical requirements of fixed-satellite earth stations and other associated provisions.</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 xml:space="preserve">It may therefore be feasible </w:t>
      </w:r>
      <w:r w:rsidRPr="003B7CB6">
        <w:rPr>
          <w:rFonts w:eastAsia="Calibri"/>
          <w:sz w:val="24"/>
          <w:szCs w:val="24"/>
        </w:rPr>
        <w:t xml:space="preserve">to allow </w:t>
      </w:r>
      <w:r w:rsidRPr="003B7CB6">
        <w:rPr>
          <w:rFonts w:eastAsia="Calibri"/>
          <w:sz w:val="24"/>
          <w:szCs w:val="22"/>
        </w:rPr>
        <w:t xml:space="preserve">aeronautical and maritime ESIM </w:t>
      </w:r>
      <w:r w:rsidRPr="003B7CB6">
        <w:rPr>
          <w:rFonts w:eastAsia="Calibri"/>
          <w:sz w:val="24"/>
          <w:szCs w:val="24"/>
        </w:rPr>
        <w:t xml:space="preserve">to communicate with geostationary space stations in the FSS operating in the frequency bands </w:t>
      </w:r>
      <w:r w:rsidRPr="003B7CB6">
        <w:rPr>
          <w:rFonts w:eastAsia="Calibri"/>
          <w:sz w:val="24"/>
          <w:szCs w:val="22"/>
        </w:rPr>
        <w:t>10.7-10.95 GHz (space-to-Earth), 11.2-11.45 GHz (space-to-Earth), and</w:t>
      </w:r>
      <w:r w:rsidRPr="003B7CB6">
        <w:rPr>
          <w:rFonts w:eastAsia="Calibri"/>
          <w:sz w:val="24"/>
          <w:szCs w:val="24"/>
        </w:rPr>
        <w:t xml:space="preserve"> </w:t>
      </w:r>
      <w:r w:rsidRPr="003B7CB6">
        <w:rPr>
          <w:rFonts w:eastAsia="Calibri"/>
          <w:sz w:val="24"/>
          <w:szCs w:val="22"/>
        </w:rPr>
        <w:t xml:space="preserve">12.75-13.25 GHz </w:t>
      </w:r>
      <w:r w:rsidRPr="003B7CB6">
        <w:rPr>
          <w:rFonts w:eastAsia="Calibri"/>
          <w:sz w:val="24"/>
          <w:szCs w:val="24"/>
        </w:rPr>
        <w:t>(Earth-to-space)</w:t>
      </w:r>
      <w:r w:rsidRPr="003B7CB6">
        <w:rPr>
          <w:rFonts w:eastAsia="Calibri"/>
          <w:sz w:val="24"/>
          <w:szCs w:val="22"/>
        </w:rPr>
        <w:t>, which would allow the provision of such services with additional regulatory certainty.</w:t>
      </w:r>
    </w:p>
    <w:p w:rsidR="003B7CB6" w:rsidRPr="003B7CB6" w:rsidP="003B7CB6">
      <w:pPr>
        <w:tabs>
          <w:tab w:val="left" w:pos="576"/>
          <w:tab w:val="left" w:pos="792"/>
          <w:tab w:val="left" w:pos="1008"/>
          <w:tab w:val="left" w:pos="1224"/>
          <w:tab w:val="left" w:pos="1440"/>
        </w:tabs>
        <w:rPr>
          <w:rFonts w:eastAsia="Calibri"/>
          <w:sz w:val="24"/>
          <w:szCs w:val="22"/>
        </w:rPr>
      </w:pPr>
      <w:r w:rsidRPr="003B7CB6">
        <w:rPr>
          <w:rFonts w:eastAsia="Calibri"/>
          <w:sz w:val="24"/>
          <w:szCs w:val="22"/>
        </w:rPr>
        <w:t xml:space="preserve">This additional use will not impact the Appendix </w:t>
      </w:r>
      <w:r w:rsidRPr="003B7CB6">
        <w:rPr>
          <w:rFonts w:eastAsia="Calibri"/>
          <w:b/>
          <w:sz w:val="24"/>
          <w:szCs w:val="22"/>
        </w:rPr>
        <w:t>30B</w:t>
      </w:r>
      <w:r w:rsidRPr="003B7CB6">
        <w:rPr>
          <w:rFonts w:eastAsia="Calibri"/>
          <w:sz w:val="24"/>
          <w:szCs w:val="22"/>
        </w:rPr>
        <w:t xml:space="preserve"> allotments/assignments. The earth stations on aircraft, similar to any other earth station operating in Appendix </w:t>
      </w:r>
      <w:r w:rsidRPr="003B7CB6">
        <w:rPr>
          <w:rFonts w:eastAsia="Calibri"/>
          <w:b/>
          <w:sz w:val="24"/>
          <w:szCs w:val="22"/>
        </w:rPr>
        <w:t>30B</w:t>
      </w:r>
      <w:r w:rsidRPr="003B7CB6">
        <w:rPr>
          <w:rFonts w:eastAsia="Calibri"/>
          <w:sz w:val="24"/>
          <w:szCs w:val="22"/>
        </w:rPr>
        <w:t xml:space="preserve"> frequency assignments, are to be operated within the service area and with the characteristics notified for earth stations of the GSO FSS system (i.e. within the interference envelope established for earth stations of the GSO FSS system). Such operation therefore should not cause interference to other allotments/assignments of Appendix </w:t>
      </w:r>
      <w:r w:rsidRPr="003B7CB6">
        <w:rPr>
          <w:rFonts w:eastAsia="Calibri"/>
          <w:b/>
          <w:sz w:val="24"/>
          <w:szCs w:val="22"/>
        </w:rPr>
        <w:t>30B</w:t>
      </w:r>
      <w:r w:rsidRPr="003B7CB6">
        <w:rPr>
          <w:rFonts w:eastAsia="Calibri"/>
          <w:sz w:val="24"/>
          <w:szCs w:val="22"/>
        </w:rPr>
        <w:t>.</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p w:rsidR="003B7CB6" w:rsidRPr="003B7CB6" w:rsidP="003B7CB6">
      <w:pPr>
        <w:tabs>
          <w:tab w:val="left" w:pos="576"/>
          <w:tab w:val="left" w:pos="792"/>
          <w:tab w:val="left" w:pos="1008"/>
          <w:tab w:val="left" w:pos="1224"/>
          <w:tab w:val="left" w:pos="1440"/>
        </w:tabs>
        <w:rPr>
          <w:rFonts w:eastAsia="Calibri"/>
          <w:bCs/>
          <w:color w:val="000000"/>
          <w:sz w:val="24"/>
          <w:szCs w:val="22"/>
        </w:rPr>
      </w:pPr>
      <w:r w:rsidRPr="003B7CB6">
        <w:rPr>
          <w:rFonts w:eastAsia="Calibri"/>
          <w:b/>
          <w:i/>
          <w:color w:val="000000"/>
          <w:sz w:val="24"/>
          <w:szCs w:val="22"/>
        </w:rPr>
        <w:t>Radiocommunication services concerned</w:t>
      </w:r>
      <w:r w:rsidRPr="003B7CB6">
        <w:rPr>
          <w:rFonts w:eastAsia="Calibri"/>
          <w:b/>
          <w:bCs/>
          <w:i/>
          <w:iCs/>
          <w:color w:val="000000"/>
          <w:sz w:val="24"/>
          <w:szCs w:val="22"/>
        </w:rPr>
        <w:t xml:space="preserve">: </w:t>
      </w:r>
      <w:r w:rsidRPr="003B7CB6">
        <w:rPr>
          <w:rFonts w:eastAsia="Calibri"/>
          <w:bCs/>
          <w:iCs/>
          <w:color w:val="000000"/>
          <w:sz w:val="24"/>
          <w:szCs w:val="22"/>
        </w:rPr>
        <w:t>FSS, FS, MS and SRS (deep space)</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p w:rsidR="003B7CB6" w:rsidRPr="003B7CB6" w:rsidP="003B7CB6">
      <w:pPr>
        <w:tabs>
          <w:tab w:val="left" w:pos="576"/>
          <w:tab w:val="left" w:pos="792"/>
          <w:tab w:val="left" w:pos="1008"/>
          <w:tab w:val="left" w:pos="1224"/>
          <w:tab w:val="left" w:pos="1440"/>
        </w:tabs>
        <w:rPr>
          <w:rFonts w:eastAsia="Calibri"/>
          <w:b/>
          <w:bCs/>
          <w:i/>
          <w:color w:val="000000"/>
          <w:sz w:val="24"/>
          <w:szCs w:val="22"/>
        </w:rPr>
      </w:pPr>
      <w:r w:rsidRPr="003B7CB6">
        <w:rPr>
          <w:rFonts w:eastAsia="Calibri"/>
          <w:b/>
          <w:i/>
          <w:color w:val="000000"/>
          <w:sz w:val="24"/>
          <w:szCs w:val="22"/>
        </w:rPr>
        <w:t>Indication of possible difficulties</w:t>
      </w:r>
      <w:r w:rsidRPr="003B7CB6">
        <w:rPr>
          <w:rFonts w:eastAsia="Calibri"/>
          <w:b/>
          <w:bCs/>
          <w:i/>
          <w:iCs/>
          <w:color w:val="000000"/>
          <w:sz w:val="24"/>
          <w:szCs w:val="22"/>
        </w:rPr>
        <w:t>:</w:t>
      </w:r>
      <w:r w:rsidRPr="003B7CB6">
        <w:rPr>
          <w:rFonts w:eastAsia="Calibri"/>
          <w:bCs/>
          <w:iCs/>
          <w:color w:val="000000"/>
          <w:sz w:val="24"/>
          <w:szCs w:val="22"/>
        </w:rPr>
        <w:t xml:space="preserve"> None foreseen</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p w:rsidR="003B7CB6" w:rsidRPr="003B7CB6" w:rsidP="003B7CB6">
      <w:pPr>
        <w:tabs>
          <w:tab w:val="left" w:pos="576"/>
          <w:tab w:val="left" w:pos="792"/>
          <w:tab w:val="left" w:pos="1008"/>
          <w:tab w:val="left" w:pos="1224"/>
          <w:tab w:val="left" w:pos="1440"/>
        </w:tabs>
        <w:rPr>
          <w:rFonts w:eastAsia="Calibri"/>
          <w:bCs/>
          <w:iCs/>
          <w:color w:val="000000"/>
          <w:sz w:val="24"/>
          <w:szCs w:val="22"/>
        </w:rPr>
      </w:pPr>
      <w:r w:rsidRPr="003B7CB6">
        <w:rPr>
          <w:rFonts w:eastAsia="Calibri"/>
          <w:b/>
          <w:i/>
          <w:color w:val="000000"/>
          <w:sz w:val="24"/>
          <w:szCs w:val="22"/>
        </w:rPr>
        <w:t>Previous/ongoing studies on the issue</w:t>
      </w:r>
      <w:r w:rsidRPr="003B7CB6">
        <w:rPr>
          <w:rFonts w:eastAsia="Calibri"/>
          <w:b/>
          <w:bCs/>
          <w:i/>
          <w:iCs/>
          <w:color w:val="000000"/>
          <w:sz w:val="24"/>
          <w:szCs w:val="22"/>
        </w:rPr>
        <w:t>:</w:t>
      </w:r>
      <w:r w:rsidRPr="003B7CB6">
        <w:rPr>
          <w:rFonts w:eastAsia="Calibri"/>
          <w:bCs/>
          <w:iCs/>
          <w:color w:val="000000"/>
          <w:sz w:val="24"/>
          <w:szCs w:val="22"/>
        </w:rPr>
        <w:t xml:space="preserve"> </w:t>
      </w:r>
    </w:p>
    <w:p w:rsidR="003B7CB6" w:rsidRPr="003B7CB6" w:rsidP="003B7CB6">
      <w:pPr>
        <w:tabs>
          <w:tab w:val="left" w:pos="576"/>
          <w:tab w:val="left" w:pos="792"/>
          <w:tab w:val="left" w:pos="1008"/>
          <w:tab w:val="left" w:pos="1224"/>
          <w:tab w:val="left" w:pos="1440"/>
        </w:tabs>
        <w:rPr>
          <w:rFonts w:eastAsia="Calibri"/>
          <w:bCs/>
          <w:color w:val="000000"/>
          <w:sz w:val="24"/>
          <w:szCs w:val="22"/>
        </w:rPr>
      </w:pPr>
      <w:r w:rsidRPr="003B7CB6">
        <w:rPr>
          <w:rFonts w:eastAsia="Calibri"/>
          <w:bCs/>
          <w:iCs/>
          <w:color w:val="000000"/>
          <w:sz w:val="24"/>
          <w:szCs w:val="22"/>
        </w:rPr>
        <w:t>Previous WRCs have adopted technical and regulatory provisions that allow earth stations on aircraft to communicate with GSO space stations in the FSS. These decisions were based on studies carried out by the ITU-R.</w:t>
      </w:r>
    </w:p>
    <w:p w:rsidR="003B7CB6" w:rsidRPr="003B7CB6" w:rsidP="003B7CB6">
      <w:pPr>
        <w:tabs>
          <w:tab w:val="left" w:pos="576"/>
          <w:tab w:val="left" w:pos="792"/>
          <w:tab w:val="left" w:pos="1008"/>
          <w:tab w:val="left" w:pos="1224"/>
          <w:tab w:val="left" w:pos="1440"/>
        </w:tabs>
        <w:rPr>
          <w:rFonts w:eastAsia="Calibri"/>
          <w:bCs/>
          <w:color w:val="000000"/>
          <w:sz w:val="24"/>
          <w:szCs w:val="22"/>
        </w:rPr>
      </w:pPr>
      <w:r w:rsidRPr="003B7CB6">
        <w:rPr>
          <w:rFonts w:eastAsia="Calibri"/>
          <w:bCs/>
          <w:color w:val="000000"/>
          <w:sz w:val="24"/>
          <w:szCs w:val="22"/>
        </w:rPr>
        <w:t xml:space="preserve">One of the regional organizations of ITU-R Region 1 has conducted technical studies on introducing earth stations on aircraft </w:t>
      </w:r>
      <w:r w:rsidRPr="003B7CB6">
        <w:rPr>
          <w:rFonts w:eastAsia="Calibri"/>
          <w:sz w:val="24"/>
          <w:szCs w:val="22"/>
        </w:rPr>
        <w:t xml:space="preserve">in the </w:t>
      </w:r>
      <w:r w:rsidRPr="003B7CB6">
        <w:rPr>
          <w:rFonts w:eastAsia="Calibri"/>
          <w:sz w:val="24"/>
          <w:szCs w:val="24"/>
        </w:rPr>
        <w:t>12.75-13.25 GHz band</w:t>
      </w:r>
      <w:r w:rsidRPr="003B7CB6">
        <w:rPr>
          <w:rFonts w:eastAsia="Calibri"/>
          <w:bCs/>
          <w:color w:val="000000"/>
          <w:sz w:val="24"/>
          <w:szCs w:val="22"/>
        </w:rPr>
        <w:t xml:space="preserve"> concluding with the derivation of </w:t>
      </w:r>
      <w:r w:rsidRPr="003B7CB6">
        <w:rPr>
          <w:rFonts w:eastAsia="Calibri"/>
          <w:bCs/>
          <w:color w:val="000000"/>
          <w:sz w:val="24"/>
          <w:szCs w:val="22"/>
        </w:rPr>
        <w:t xml:space="preserve">a pfd mask to ensure the protection (long term and short-term criteria) of terrestrial FS stations from the aggregated interference from earth stations on aircraft communicating with GSO and non-GSO space stations in the FSS.  </w:t>
      </w:r>
    </w:p>
    <w:p w:rsidR="003B7CB6" w:rsidRPr="003B7CB6" w:rsidP="003B7CB6">
      <w:pPr>
        <w:tabs>
          <w:tab w:val="left" w:pos="576"/>
          <w:tab w:val="left" w:pos="792"/>
          <w:tab w:val="left" w:pos="1008"/>
          <w:tab w:val="left" w:pos="1224"/>
          <w:tab w:val="left" w:pos="1440"/>
        </w:tabs>
        <w:rPr>
          <w:rFonts w:eastAsia="Calibri"/>
          <w:bCs/>
          <w:color w:val="000000"/>
          <w:sz w:val="24"/>
          <w:szCs w:val="22"/>
        </w:rPr>
      </w:pPr>
      <w:r w:rsidRPr="003B7CB6">
        <w:rPr>
          <w:rFonts w:eastAsia="Calibri"/>
          <w:bCs/>
          <w:color w:val="000000"/>
          <w:sz w:val="24"/>
          <w:szCs w:val="22"/>
        </w:rPr>
        <w:t xml:space="preserve">The above can be taken into account as proof of concept regarding the potential use of the band under consideration by </w:t>
      </w:r>
      <w:r w:rsidRPr="003B7CB6">
        <w:rPr>
          <w:rFonts w:eastAsia="Calibri"/>
          <w:sz w:val="24"/>
          <w:szCs w:val="22"/>
        </w:rPr>
        <w:t>aeronautical ESIM</w:t>
      </w:r>
      <w:r w:rsidRPr="003B7CB6">
        <w:rPr>
          <w:rFonts w:eastAsia="Calibri"/>
          <w:bCs/>
          <w:color w:val="000000"/>
          <w:sz w:val="24"/>
          <w:szCs w:val="22"/>
        </w:rPr>
        <w:t xml:space="preserve">. </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00"/>
      </w:tblPr>
      <w:tblGrid>
        <w:gridCol w:w="3979"/>
        <w:gridCol w:w="5357"/>
      </w:tblGrid>
      <w:tr w:rsidTr="003B7CB6">
        <w:tblPrEx>
          <w:tblW w:w="0" w:type="auto"/>
          <w:jc w:val="center"/>
          <w:tblBorders>
            <w:bottom w:val="single" w:sz="12" w:space="0" w:color="auto"/>
            <w:insideH w:val="single" w:sz="12" w:space="0" w:color="auto"/>
            <w:insideV w:val="single" w:sz="12" w:space="0" w:color="auto"/>
          </w:tblBorders>
          <w:tblCellMar>
            <w:left w:w="0" w:type="dxa"/>
            <w:right w:w="0" w:type="dxa"/>
          </w:tblCellMar>
          <w:tblLook w:val="0000"/>
        </w:tblPrEx>
        <w:trPr>
          <w:jc w:val="center"/>
        </w:trPr>
        <w:tc>
          <w:tcPr>
            <w:tcW w:w="3979" w:type="dxa"/>
          </w:tcPr>
          <w:p w:rsidR="003B7CB6" w:rsidRPr="003B7CB6" w:rsidP="003B7CB6">
            <w:pPr>
              <w:framePr w:hSpace="181" w:wrap="notBeside" w:vAnchor="text" w:hAnchor="text" w:xAlign="center" w:y="1"/>
              <w:tabs>
                <w:tab w:val="left" w:pos="576"/>
                <w:tab w:val="left" w:pos="792"/>
                <w:tab w:val="left" w:pos="1008"/>
                <w:tab w:val="left" w:pos="1224"/>
                <w:tab w:val="left" w:pos="1440"/>
                <w:tab w:val="left" w:pos="4366"/>
              </w:tabs>
              <w:rPr>
                <w:rFonts w:eastAsia="Calibri"/>
                <w:b/>
                <w:bCs/>
                <w:i/>
                <w:iCs/>
                <w:color w:val="000000"/>
                <w:sz w:val="24"/>
                <w:szCs w:val="24"/>
              </w:rPr>
            </w:pPr>
            <w:r w:rsidRPr="003B7CB6">
              <w:rPr>
                <w:rFonts w:eastAsia="Calibri"/>
                <w:b/>
                <w:i/>
                <w:color w:val="000000"/>
                <w:sz w:val="24"/>
                <w:szCs w:val="22"/>
              </w:rPr>
              <w:t>Studies to be carried out by</w:t>
            </w:r>
            <w:r w:rsidRPr="003B7CB6">
              <w:rPr>
                <w:rFonts w:eastAsia="Calibri"/>
                <w:b/>
                <w:bCs/>
                <w:i/>
                <w:iCs/>
                <w:color w:val="000000"/>
                <w:sz w:val="24"/>
                <w:szCs w:val="22"/>
              </w:rPr>
              <w:t xml:space="preserve">: </w:t>
            </w:r>
            <w:r w:rsidRPr="003B7CB6">
              <w:rPr>
                <w:rFonts w:eastAsia="Calibri"/>
                <w:bCs/>
                <w:iCs/>
                <w:color w:val="000000"/>
                <w:sz w:val="24"/>
                <w:szCs w:val="22"/>
              </w:rPr>
              <w:t>SG4</w:t>
            </w:r>
          </w:p>
        </w:tc>
        <w:tc>
          <w:tcPr>
            <w:tcW w:w="5357" w:type="dxa"/>
          </w:tcPr>
          <w:p w:rsidR="003B7CB6" w:rsidRPr="003B7CB6" w:rsidP="003B7CB6">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b/>
                <w:i/>
                <w:iCs/>
                <w:color w:val="000000"/>
                <w:sz w:val="24"/>
                <w:szCs w:val="22"/>
                <w:lang w:eastAsia="x-none"/>
              </w:rPr>
            </w:pPr>
            <w:r w:rsidRPr="003B7CB6">
              <w:rPr>
                <w:rFonts w:eastAsia="Calibri"/>
                <w:b/>
                <w:bCs/>
                <w:i/>
                <w:color w:val="000000"/>
                <w:szCs w:val="22"/>
                <w:lang w:eastAsia="x-none"/>
              </w:rPr>
              <w:t>with the participation of</w:t>
            </w:r>
            <w:r w:rsidRPr="003B7CB6">
              <w:rPr>
                <w:rFonts w:eastAsia="Calibri"/>
                <w:b/>
                <w:i/>
                <w:iCs/>
                <w:color w:val="000000"/>
                <w:szCs w:val="22"/>
                <w:lang w:eastAsia="x-none"/>
              </w:rPr>
              <w:t xml:space="preserve">: </w:t>
            </w:r>
          </w:p>
          <w:p w:rsidR="003B7CB6" w:rsidRPr="003B7CB6" w:rsidP="003B7CB6">
            <w:pPr>
              <w:framePr w:hSpace="181" w:wrap="notBeside" w:vAnchor="text" w:hAnchor="text" w:xAlign="center" w:y="1"/>
              <w:tabs>
                <w:tab w:val="left" w:pos="576"/>
                <w:tab w:val="left" w:pos="792"/>
                <w:tab w:val="left" w:pos="1008"/>
                <w:tab w:val="left" w:pos="1224"/>
                <w:tab w:val="left" w:pos="1440"/>
                <w:tab w:val="left" w:pos="4366"/>
              </w:tabs>
              <w:rPr>
                <w:rFonts w:eastAsia="Calibri"/>
                <w:b/>
                <w:bCs/>
                <w:i/>
                <w:iCs/>
                <w:color w:val="000000"/>
                <w:sz w:val="24"/>
                <w:szCs w:val="24"/>
              </w:rPr>
            </w:pPr>
          </w:p>
        </w:tc>
      </w:tr>
    </w:tbl>
    <w:p w:rsidR="003B7CB6" w:rsidRPr="003B7CB6" w:rsidP="003B7CB6">
      <w:pPr>
        <w:tabs>
          <w:tab w:val="left" w:pos="576"/>
          <w:tab w:val="left" w:pos="792"/>
          <w:tab w:val="left" w:pos="1008"/>
          <w:tab w:val="left" w:pos="1224"/>
          <w:tab w:val="left" w:pos="1440"/>
        </w:tabs>
        <w:rPr>
          <w:rFonts w:eastAsia="Calibri"/>
          <w:bCs/>
          <w:color w:val="000000"/>
          <w:sz w:val="24"/>
          <w:szCs w:val="22"/>
        </w:rPr>
      </w:pPr>
      <w:r w:rsidRPr="003B7CB6">
        <w:rPr>
          <w:rFonts w:eastAsia="Calibri"/>
          <w:b/>
          <w:i/>
          <w:color w:val="000000"/>
          <w:sz w:val="24"/>
          <w:szCs w:val="22"/>
        </w:rPr>
        <w:t>ITU-R Study Groups concerned</w:t>
      </w:r>
      <w:r w:rsidRPr="003B7CB6">
        <w:rPr>
          <w:rFonts w:eastAsia="Calibri"/>
          <w:b/>
          <w:bCs/>
          <w:i/>
          <w:iCs/>
          <w:color w:val="000000"/>
          <w:sz w:val="24"/>
          <w:szCs w:val="22"/>
        </w:rPr>
        <w:t>:</w:t>
      </w:r>
      <w:r w:rsidRPr="003B7CB6">
        <w:rPr>
          <w:rFonts w:eastAsia="Calibri"/>
          <w:b/>
          <w:i/>
          <w:color w:val="000000"/>
          <w:sz w:val="24"/>
          <w:szCs w:val="22"/>
        </w:rPr>
        <w:t xml:space="preserve"> </w:t>
      </w:r>
      <w:r w:rsidRPr="003B7CB6">
        <w:rPr>
          <w:rFonts w:eastAsia="Calibri"/>
          <w:bCs/>
          <w:iCs/>
          <w:color w:val="000000"/>
          <w:sz w:val="24"/>
          <w:szCs w:val="22"/>
        </w:rPr>
        <w:t>SG5 and SG7</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p w:rsidR="003B7CB6" w:rsidRPr="003B7CB6" w:rsidP="003B7CB6">
      <w:pPr>
        <w:tabs>
          <w:tab w:val="left" w:pos="360"/>
          <w:tab w:val="left" w:pos="576"/>
          <w:tab w:val="left" w:pos="792"/>
          <w:tab w:val="left" w:pos="900"/>
          <w:tab w:val="left" w:pos="1008"/>
          <w:tab w:val="left" w:pos="1224"/>
          <w:tab w:val="left" w:pos="1440"/>
        </w:tabs>
        <w:rPr>
          <w:rFonts w:eastAsia="Calibri"/>
          <w:i/>
          <w:iCs/>
          <w:color w:val="000000"/>
          <w:szCs w:val="22"/>
          <w:lang w:eastAsia="x-none"/>
        </w:rPr>
      </w:pPr>
      <w:r w:rsidRPr="003B7CB6">
        <w:rPr>
          <w:rFonts w:eastAsia="Calibri"/>
          <w:b/>
          <w:bCs/>
          <w:i/>
          <w:color w:val="000000"/>
          <w:szCs w:val="22"/>
          <w:lang w:eastAsia="x-none"/>
        </w:rPr>
        <w:t>ITU resource implications, including financial implications (refer to CV126)</w:t>
      </w:r>
      <w:r w:rsidRPr="003B7CB6">
        <w:rPr>
          <w:rFonts w:eastAsia="Calibri"/>
          <w:b/>
          <w:i/>
          <w:iCs/>
          <w:color w:val="000000"/>
          <w:szCs w:val="22"/>
          <w:lang w:eastAsia="x-none"/>
        </w:rPr>
        <w:t>:</w:t>
      </w:r>
      <w:r w:rsidRPr="003B7CB6">
        <w:rPr>
          <w:rFonts w:eastAsia="Calibri"/>
          <w:i/>
          <w:iCs/>
          <w:color w:val="000000"/>
          <w:szCs w:val="22"/>
          <w:lang w:eastAsia="x-none"/>
        </w:rPr>
        <w:t xml:space="preserve"> </w:t>
      </w:r>
      <w:r w:rsidRPr="003B7CB6">
        <w:rPr>
          <w:rFonts w:eastAsia="Calibri"/>
          <w:iCs/>
          <w:color w:val="000000"/>
          <w:szCs w:val="22"/>
          <w:lang w:eastAsia="x-none"/>
        </w:rPr>
        <w:t>Minimal</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p w:rsidR="003B7CB6" w:rsidRPr="003B7CB6" w:rsidP="003B7CB6">
      <w:pPr>
        <w:tabs>
          <w:tab w:val="left" w:pos="576"/>
          <w:tab w:val="left" w:pos="792"/>
          <w:tab w:val="left" w:pos="1008"/>
          <w:tab w:val="left" w:pos="1224"/>
          <w:tab w:val="left" w:pos="1440"/>
          <w:tab w:val="left" w:pos="4366"/>
        </w:tabs>
        <w:rPr>
          <w:rFonts w:eastAsia="Calibri"/>
          <w:color w:val="000000"/>
          <w:sz w:val="24"/>
          <w:szCs w:val="22"/>
        </w:rPr>
      </w:pPr>
      <w:r w:rsidRPr="003B7CB6">
        <w:rPr>
          <w:rFonts w:eastAsia="Calibri"/>
          <w:b/>
          <w:i/>
          <w:color w:val="000000"/>
          <w:sz w:val="24"/>
          <w:szCs w:val="22"/>
        </w:rPr>
        <w:t>Common regional proposal</w:t>
      </w:r>
      <w:r w:rsidRPr="003B7CB6">
        <w:rPr>
          <w:rFonts w:eastAsia="Calibri"/>
          <w:b/>
          <w:bCs/>
          <w:i/>
          <w:iCs/>
          <w:color w:val="000000"/>
          <w:sz w:val="24"/>
          <w:szCs w:val="22"/>
        </w:rPr>
        <w:t>:</w:t>
      </w:r>
      <w:r w:rsidRPr="003B7CB6">
        <w:rPr>
          <w:rFonts w:eastAsia="Calibri"/>
          <w:color w:val="000000"/>
          <w:sz w:val="24"/>
          <w:szCs w:val="22"/>
        </w:rPr>
        <w:t xml:space="preserve">  Yes/No</w:t>
      </w:r>
      <w:r w:rsidRPr="003B7CB6">
        <w:rPr>
          <w:rFonts w:eastAsia="Calibri"/>
          <w:color w:val="000000"/>
          <w:sz w:val="24"/>
          <w:szCs w:val="22"/>
        </w:rPr>
        <w:tab/>
      </w:r>
      <w:r w:rsidRPr="003B7CB6">
        <w:rPr>
          <w:rFonts w:eastAsia="Calibri"/>
          <w:b/>
          <w:i/>
          <w:color w:val="000000"/>
          <w:sz w:val="24"/>
          <w:szCs w:val="22"/>
        </w:rPr>
        <w:t>Multicountry proposal</w:t>
      </w:r>
      <w:r w:rsidRPr="003B7CB6">
        <w:rPr>
          <w:rFonts w:eastAsia="Calibri"/>
          <w:b/>
          <w:bCs/>
          <w:i/>
          <w:iCs/>
          <w:color w:val="000000"/>
          <w:sz w:val="24"/>
          <w:szCs w:val="22"/>
        </w:rPr>
        <w:t xml:space="preserve">:  </w:t>
      </w:r>
      <w:r w:rsidRPr="003B7CB6">
        <w:rPr>
          <w:rFonts w:eastAsia="Calibri"/>
          <w:color w:val="000000"/>
          <w:sz w:val="24"/>
          <w:szCs w:val="22"/>
        </w:rPr>
        <w:t>Yes/No</w:t>
      </w:r>
    </w:p>
    <w:p w:rsidR="003B7CB6" w:rsidRPr="003B7CB6" w:rsidP="003B7CB6">
      <w:pPr>
        <w:tabs>
          <w:tab w:val="left" w:pos="360"/>
          <w:tab w:val="left" w:pos="576"/>
          <w:tab w:val="left" w:pos="792"/>
          <w:tab w:val="left" w:pos="900"/>
          <w:tab w:val="left" w:pos="1008"/>
          <w:tab w:val="left" w:pos="1224"/>
          <w:tab w:val="left" w:pos="1440"/>
          <w:tab w:val="left" w:pos="4366"/>
        </w:tabs>
        <w:rPr>
          <w:rFonts w:eastAsia="Calibri"/>
          <w:b/>
          <w:i/>
          <w:color w:val="000000"/>
          <w:sz w:val="24"/>
          <w:szCs w:val="22"/>
        </w:rPr>
      </w:pPr>
      <w:r w:rsidRPr="003B7CB6">
        <w:rPr>
          <w:rFonts w:eastAsia="Calibri"/>
          <w:i/>
          <w:iCs/>
          <w:color w:val="000000"/>
          <w:szCs w:val="22"/>
          <w:lang w:eastAsia="x-none"/>
        </w:rPr>
        <w:tab/>
      </w:r>
      <w:r w:rsidRPr="003B7CB6">
        <w:rPr>
          <w:rFonts w:eastAsia="Calibri"/>
          <w:i/>
          <w:iCs/>
          <w:color w:val="000000"/>
          <w:szCs w:val="22"/>
          <w:lang w:eastAsia="x-none"/>
        </w:rPr>
        <w:tab/>
      </w:r>
      <w:r w:rsidRPr="003B7CB6">
        <w:rPr>
          <w:rFonts w:eastAsia="Calibri"/>
          <w:i/>
          <w:iCs/>
          <w:color w:val="000000"/>
          <w:szCs w:val="22"/>
          <w:lang w:eastAsia="x-none"/>
        </w:rPr>
        <w:tab/>
      </w:r>
      <w:r w:rsidRPr="003B7CB6">
        <w:rPr>
          <w:rFonts w:eastAsia="Calibri"/>
          <w:b/>
          <w:i/>
          <w:color w:val="000000"/>
          <w:sz w:val="24"/>
          <w:szCs w:val="22"/>
        </w:rPr>
        <w:t>Number of countries:</w:t>
      </w:r>
    </w:p>
    <w:p w:rsidR="003B7CB6" w:rsidRPr="003B7CB6" w:rsidP="003B7CB6">
      <w:pPr>
        <w:pBdr>
          <w:bottom w:val="single" w:sz="12" w:space="1" w:color="auto"/>
        </w:pBdr>
        <w:tabs>
          <w:tab w:val="left" w:pos="576"/>
          <w:tab w:val="left" w:pos="792"/>
          <w:tab w:val="left" w:pos="1008"/>
          <w:tab w:val="left" w:pos="1224"/>
          <w:tab w:val="left" w:pos="1440"/>
        </w:tabs>
        <w:rPr>
          <w:rFonts w:eastAsia="Calibri"/>
          <w:color w:val="000000"/>
          <w:sz w:val="24"/>
          <w:szCs w:val="22"/>
        </w:rPr>
      </w:pPr>
    </w:p>
    <w:p w:rsidR="003B7CB6" w:rsidRPr="003B7CB6" w:rsidP="003B7CB6">
      <w:pPr>
        <w:tabs>
          <w:tab w:val="left" w:pos="576"/>
          <w:tab w:val="left" w:pos="792"/>
          <w:tab w:val="left" w:pos="1008"/>
          <w:tab w:val="left" w:pos="1224"/>
          <w:tab w:val="left" w:pos="1440"/>
        </w:tabs>
        <w:rPr>
          <w:rFonts w:eastAsia="Calibri"/>
          <w:color w:val="231F20"/>
          <w:sz w:val="24"/>
          <w:szCs w:val="24"/>
        </w:rPr>
      </w:pPr>
      <w:r w:rsidRPr="003B7CB6">
        <w:rPr>
          <w:rFonts w:eastAsia="Calibri"/>
          <w:b/>
          <w:bCs/>
          <w:i/>
          <w:iCs/>
          <w:color w:val="000000"/>
          <w:sz w:val="24"/>
          <w:szCs w:val="22"/>
        </w:rPr>
        <w:t>Remarks</w:t>
      </w:r>
    </w:p>
    <w:p w:rsidR="003B7CB6" w:rsidRPr="003B7CB6" w:rsidP="003B7CB6">
      <w:pPr>
        <w:tabs>
          <w:tab w:val="left" w:pos="576"/>
          <w:tab w:val="left" w:pos="792"/>
          <w:tab w:val="left" w:pos="1008"/>
          <w:tab w:val="left" w:pos="1224"/>
          <w:tab w:val="left" w:pos="1440"/>
        </w:tabs>
        <w:autoSpaceDE w:val="0"/>
        <w:autoSpaceDN w:val="0"/>
        <w:adjustRightInd w:val="0"/>
        <w:rPr>
          <w:rFonts w:eastAsia="Calibri"/>
          <w:sz w:val="24"/>
          <w:szCs w:val="22"/>
        </w:rPr>
      </w:pPr>
    </w:p>
    <w:p w:rsidR="003B7CB6" w:rsidP="003B7CB6">
      <w:pPr>
        <w:spacing w:after="200" w:line="276" w:lineRule="auto"/>
        <w:jc w:val="center"/>
        <w:rPr>
          <w:b/>
          <w:sz w:val="24"/>
          <w:szCs w:val="24"/>
        </w:rPr>
      </w:pPr>
      <w:r>
        <w:rPr>
          <w:b/>
          <w:sz w:val="24"/>
          <w:szCs w:val="24"/>
        </w:rPr>
        <w:t>_________________________</w:t>
      </w:r>
    </w:p>
    <w:p w:rsidR="003B7CB6">
      <w:pPr>
        <w:spacing w:after="200" w:line="276" w:lineRule="auto"/>
        <w:rPr>
          <w:b/>
          <w:sz w:val="24"/>
          <w:szCs w:val="24"/>
        </w:rPr>
      </w:pPr>
      <w:r>
        <w:rPr>
          <w:b/>
          <w:sz w:val="24"/>
          <w:szCs w:val="24"/>
        </w:rPr>
        <w:br w:type="page"/>
      </w:r>
    </w:p>
    <w:p w:rsidR="00046568" w:rsidP="00046568">
      <w:pPr>
        <w:spacing w:after="200" w:line="276" w:lineRule="auto"/>
        <w:rPr>
          <w:b/>
          <w:sz w:val="24"/>
          <w:szCs w:val="24"/>
        </w:rPr>
      </w:pPr>
      <w:r>
        <w:rPr>
          <w:b/>
          <w:sz w:val="24"/>
          <w:szCs w:val="24"/>
        </w:rPr>
        <w:t>DOCUMENT WAC/0</w:t>
      </w:r>
      <w:r w:rsidR="003B7CB6">
        <w:rPr>
          <w:b/>
          <w:sz w:val="24"/>
          <w:szCs w:val="24"/>
        </w:rPr>
        <w:t>92</w:t>
      </w:r>
      <w:r>
        <w:rPr>
          <w:b/>
          <w:sz w:val="24"/>
          <w:szCs w:val="24"/>
        </w:rPr>
        <w:t xml:space="preserve"> (11.03.19)</w:t>
      </w:r>
    </w:p>
    <w:p w:rsidR="003B7CB6" w:rsidP="00046568">
      <w:pPr>
        <w:spacing w:after="200" w:line="276" w:lineRule="auto"/>
        <w:rPr>
          <w:b/>
          <w:sz w:val="24"/>
          <w:szCs w:val="24"/>
        </w:rPr>
      </w:pPr>
      <w:r w:rsidRPr="003B7CB6">
        <w:rPr>
          <w:noProof/>
        </w:rPr>
        <w:drawing>
          <wp:inline distT="0" distB="0" distL="0" distR="0">
            <wp:extent cx="6115685" cy="20444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122083" name="Picture 3"/>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15685" cy="2044436"/>
                    </a:xfrm>
                    <a:prstGeom prst="rect">
                      <a:avLst/>
                    </a:prstGeom>
                    <a:noFill/>
                    <a:ln>
                      <a:noFill/>
                    </a:ln>
                  </pic:spPr>
                </pic:pic>
              </a:graphicData>
            </a:graphic>
          </wp:inline>
        </w:drawing>
      </w:r>
    </w:p>
    <w:p w:rsidR="003B7CB6" w:rsidRPr="003B7CB6" w:rsidP="003B7CB6">
      <w:pPr>
        <w:tabs>
          <w:tab w:val="left" w:pos="1134"/>
          <w:tab w:val="left" w:pos="1871"/>
          <w:tab w:val="left" w:pos="2268"/>
        </w:tabs>
        <w:spacing w:before="120"/>
        <w:rPr>
          <w:sz w:val="24"/>
        </w:rPr>
      </w:pPr>
      <w:r w:rsidRPr="003B7CB6">
        <w:rPr>
          <w:sz w:val="24"/>
        </w:rPr>
        <w:t>10</w:t>
      </w:r>
      <w:r w:rsidRPr="003B7CB6">
        <w:rPr>
          <w:b/>
          <w:bCs/>
          <w:sz w:val="24"/>
        </w:rPr>
        <w:tab/>
      </w:r>
      <w:r w:rsidRPr="003B7CB6">
        <w:rPr>
          <w:sz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3B7CB6" w:rsidRPr="003B7CB6" w:rsidP="003B7CB6">
      <w:pPr>
        <w:tabs>
          <w:tab w:val="left" w:pos="1134"/>
          <w:tab w:val="left" w:pos="1871"/>
          <w:tab w:val="left" w:pos="2268"/>
        </w:tabs>
        <w:spacing w:before="120"/>
        <w:rPr>
          <w:sz w:val="24"/>
        </w:rPr>
      </w:pPr>
    </w:p>
    <w:p w:rsidR="003B7CB6" w:rsidRPr="003B7CB6" w:rsidP="003B7CB6">
      <w:pPr>
        <w:tabs>
          <w:tab w:val="left" w:pos="1134"/>
          <w:tab w:val="left" w:pos="1871"/>
          <w:tab w:val="left" w:pos="2268"/>
        </w:tabs>
        <w:spacing w:before="120"/>
        <w:rPr>
          <w:sz w:val="24"/>
        </w:rPr>
      </w:pPr>
    </w:p>
    <w:p w:rsidR="003B7CB6" w:rsidRPr="003B7CB6" w:rsidP="003B7CB6">
      <w:pPr>
        <w:rPr>
          <w:sz w:val="24"/>
        </w:rPr>
      </w:pPr>
    </w:p>
    <w:p w:rsidR="003B7CB6" w:rsidRPr="003B7CB6" w:rsidP="003B7CB6">
      <w:pPr>
        <w:rPr>
          <w:sz w:val="24"/>
        </w:rPr>
      </w:pPr>
      <w:r w:rsidRPr="003B7CB6">
        <w:rPr>
          <w:sz w:val="24"/>
        </w:rPr>
        <w:br w:type="page"/>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color w:val="000000"/>
          <w:sz w:val="24"/>
          <w:szCs w:val="24"/>
        </w:rPr>
      </w:pPr>
      <w:r w:rsidRPr="003B7CB6">
        <w:rPr>
          <w:rFonts w:ascii="TimesNewRomanPS-BoldMT" w:hAnsi="TimesNewRomanPS-BoldMT" w:cs="TimesNewRomanPS-BoldMT"/>
          <w:b/>
          <w:bCs/>
          <w:color w:val="000000"/>
          <w:sz w:val="24"/>
          <w:szCs w:val="24"/>
        </w:rPr>
        <w:t xml:space="preserve">Background Information: </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At WRC-97, the Earth exploration-satellite (passive) service was upgraded from secondary to primary status in Region 2.</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 xml:space="preserve">In the 1997-2000 study period leading up to WRC-2000, SG-4 and SG-7 examined the technical and regulatory issues associated with considering the possible worldwide allocation for the earth exploration-satellite (passive) and space research (passive) services in the band 18.6 - 18.8 GHz.  At the time, the allocation for the Earth exploration-satellite (passive) service was on a primary basis in Region 2, but on a secondary basis in Regions 1 and 3. These studies, performed under agenda item 1.17 (WRC-2000) which led to the establishment of the current footnote No. 5.522B, did not provide consideration for all types of non-geostationary (non-GSO) satellite systems that could operate in this band. </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 xml:space="preserve">During the studies, only one non-GSO satellite system was planning to use this band above an altitude of 20,000 km. Accordingly, the constraint was imposed without appropriate consideration of non-GSO systems operating with an apogee below 20,000 km. Since there is a growing demand for Low Earth Orbit (LEO) and Medium Earth Orbit (MEO) global satellite broadband services, revisiting the studies performed in the band 18.6-18.8 GHz while taking into account the latest technology developments, could help facilitate the deployment of non-GSO systems operating with an apogee below 20,000 km. </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b/>
          <w:i/>
          <w:color w:val="000000"/>
          <w:sz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Cs/>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sz w:val="24"/>
          <w:szCs w:val="24"/>
        </w:rPr>
      </w:pPr>
      <w:r w:rsidRPr="003B7CB6">
        <w:rPr>
          <w:rFonts w:ascii="TimesNewRomanPS-BoldMT" w:hAnsi="TimesNewRomanPS-BoldMT" w:cs="TimesNewRomanPS-BoldMT"/>
          <w:b/>
          <w:bCs/>
          <w:sz w:val="24"/>
          <w:szCs w:val="24"/>
        </w:rPr>
        <w:t>Proposals</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rPr>
      </w:pPr>
      <w:r w:rsidRPr="003B7CB6">
        <w:rPr>
          <w:rFonts w:hAnsi="Times New Roman Bold"/>
          <w:b/>
          <w:sz w:val="24"/>
        </w:rPr>
        <w:t>SUP</w:t>
      </w:r>
      <w:r w:rsidRPr="003B7CB6">
        <w:rPr>
          <w:rFonts w:hAnsi="Times New Roman Bold"/>
          <w:b/>
          <w:sz w:val="24"/>
        </w:rPr>
        <w:tab/>
        <w:t>USA/10(XXX)/1</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rPr>
      </w:pPr>
      <w:r w:rsidRPr="003B7CB6">
        <w:rPr>
          <w:caps/>
          <w:sz w:val="28"/>
        </w:rPr>
        <w:t>RESOLUTION 810 (WRC</w:t>
      </w:r>
      <w:r w:rsidRPr="003B7CB6">
        <w:rPr>
          <w:caps/>
          <w:sz w:val="28"/>
        </w:rPr>
        <w:noBreakHyphen/>
        <w:t>15)</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rPr>
      </w:pPr>
      <w:r w:rsidRPr="003B7CB6">
        <w:rPr>
          <w:rFonts w:ascii="Times New Roman Bold" w:hAnsi="Times New Roman Bold"/>
          <w:b/>
          <w:sz w:val="28"/>
        </w:rPr>
        <w:t>Preliminary agenda for the 2023 World Radiocommunication Conference</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rPr>
      </w:pPr>
      <w:r w:rsidRPr="003B7CB6">
        <w:rPr>
          <w:sz w:val="24"/>
        </w:rPr>
        <w:t>The World Radiocommunication Conference (Geneva, 2015),</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r w:rsidRPr="003B7CB6">
        <w:rPr>
          <w:b/>
          <w:sz w:val="24"/>
        </w:rPr>
        <w:t>Reasons:</w:t>
      </w:r>
      <w:r w:rsidRPr="003B7CB6">
        <w:rPr>
          <w:sz w:val="24"/>
        </w:rPr>
        <w:tab/>
        <w:t>This Resolution must be suppressed, as WRC-19 will create a new Resolution that will include the agenda for WRC-23.</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rPr>
      </w:pPr>
      <w:r w:rsidRPr="003B7CB6">
        <w:rPr>
          <w:rFonts w:hAnsi="Times New Roman Bold"/>
          <w:b/>
          <w:sz w:val="24"/>
        </w:rPr>
        <w:t>ADD</w:t>
      </w:r>
      <w:r w:rsidRPr="003B7CB6">
        <w:rPr>
          <w:rFonts w:hAnsi="Times New Roman Bold"/>
          <w:b/>
          <w:sz w:val="24"/>
        </w:rPr>
        <w:tab/>
        <w:t>USA/10(XXX)/2</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rPr>
      </w:pPr>
      <w:r w:rsidRPr="003B7CB6">
        <w:rPr>
          <w:caps/>
          <w:sz w:val="28"/>
        </w:rPr>
        <w:t>Draft New Resolution [USA-2023]</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rPr>
      </w:pPr>
      <w:r w:rsidRPr="003B7CB6">
        <w:rPr>
          <w:rFonts w:ascii="Times New Roman Bold" w:hAnsi="Times New Roman Bold"/>
          <w:b/>
          <w:sz w:val="28"/>
        </w:rPr>
        <w:t>Agenda for the 2023 World Radiocommunication Conference</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rPr>
      </w:pPr>
      <w:r w:rsidRPr="003B7CB6">
        <w:rPr>
          <w:sz w:val="24"/>
        </w:rPr>
        <w:t>The World Radiocommunication Conference (Geneva, 2015),</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3B7CB6">
        <w:rPr>
          <w:i/>
          <w:sz w:val="24"/>
        </w:rPr>
        <w:t>considering</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i/>
          <w:iCs/>
          <w:sz w:val="24"/>
        </w:rPr>
        <w:t>a)</w:t>
      </w:r>
      <w:r w:rsidRPr="003B7CB6">
        <w:rPr>
          <w:sz w:val="24"/>
        </w:rPr>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i/>
          <w:iCs/>
          <w:sz w:val="24"/>
        </w:rPr>
        <w:t>b)</w:t>
      </w:r>
      <w:r w:rsidRPr="003B7CB6">
        <w:rPr>
          <w:sz w:val="24"/>
        </w:rPr>
        <w:tab/>
        <w:t>Article 13 of the ITU Constitution relating to the competence and scheduling of world radiocommunication conferences and Article 7 of the Convention relating to their agendas;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i/>
          <w:iCs/>
          <w:sz w:val="24"/>
        </w:rPr>
        <w:t>c)</w:t>
      </w:r>
      <w:r w:rsidRPr="003B7CB6">
        <w:rPr>
          <w:sz w:val="24"/>
        </w:rPr>
        <w:tab/>
        <w:t>the relevant resolutions and recommendations of previous world administrative radio conferences (WARCs) and world radiocommunication conferences (WRCs),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3B7CB6">
        <w:rPr>
          <w:i/>
          <w:sz w:val="24"/>
        </w:rPr>
        <w:t>resolves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to recommend to the Council that a world radiocommunication conference be held in 2023 for a maximum period of four weeks, with the following agenda:</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1</w:t>
      </w:r>
      <w:r w:rsidRPr="003B7CB6">
        <w:rPr>
          <w:sz w:val="24"/>
        </w:rPr>
        <w:tab/>
        <w:t>on the basis of proposals from administrations, taking account of the results of WRC</w:t>
      </w:r>
      <w:r w:rsidRPr="003B7CB6">
        <w:rPr>
          <w:sz w:val="24"/>
        </w:rPr>
        <w:noBreakHyphen/>
        <w:t>15 and the Report of the Conference Preparatory Meeting, and with due regard to the requirements of existing and future services in the bands under consideration, to consider and take appropriate action in respect of the following items:</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rFonts w:ascii="TimesNewRomanPSMT" w:hAnsi="TimesNewRomanPSMT" w:cs="TimesNewRomanPSMT"/>
          <w:sz w:val="28"/>
          <w:szCs w:val="28"/>
        </w:rPr>
      </w:pPr>
      <w:r w:rsidRPr="003B7CB6">
        <w:rPr>
          <w:bCs/>
          <w:sz w:val="24"/>
        </w:rPr>
        <w:t>1.[XXX]</w:t>
      </w:r>
      <w:r w:rsidRPr="003B7CB6">
        <w:rPr>
          <w:bCs/>
          <w:sz w:val="24"/>
        </w:rPr>
        <w:tab/>
      </w:r>
      <w:r w:rsidRPr="003B7CB6">
        <w:rPr>
          <w:rFonts w:ascii="TimesNewRomanPSMT" w:hAnsi="TimesNewRomanPSMT" w:cs="TimesNewRomanPSMT"/>
          <w:sz w:val="24"/>
          <w:szCs w:val="24"/>
        </w:rPr>
        <w:t xml:space="preserve">to consider, on the basis of ITU-R studies in accordance with Resolution </w:t>
      </w:r>
      <w:r w:rsidRPr="003B7CB6">
        <w:rPr>
          <w:rFonts w:ascii="TimesNewRomanPSMT" w:hAnsi="TimesNewRomanPSMT" w:cs="TimesNewRomanPSMT"/>
          <w:b/>
          <w:sz w:val="24"/>
          <w:szCs w:val="24"/>
        </w:rPr>
        <w:t>[USA/10/FSS NGSO 18GHZ] (WRC-19)</w:t>
      </w:r>
      <w:r w:rsidRPr="003B7CB6">
        <w:rPr>
          <w:rFonts w:ascii="TimesNewRomanPSMT" w:hAnsi="TimesNewRomanPSMT" w:cs="TimesNewRomanPSMT"/>
          <w:sz w:val="24"/>
          <w:szCs w:val="24"/>
        </w:rPr>
        <w:t>, appropriate regulatory actions</w:t>
      </w:r>
      <w:r w:rsidRPr="003B7CB6">
        <w:rPr>
          <w:b/>
          <w:iCs/>
          <w:color w:val="000000"/>
          <w:sz w:val="24"/>
          <w:lang w:val="en-GB"/>
        </w:rPr>
        <w:t xml:space="preserve"> </w:t>
      </w:r>
      <w:r w:rsidRPr="003B7CB6">
        <w:rPr>
          <w:iCs/>
          <w:color w:val="000000"/>
          <w:sz w:val="24"/>
          <w:lang w:val="en-GB"/>
        </w:rPr>
        <w:t>regarding non-geostationary fixed-satellite service systems with an apogee below 20 000 km that operate in the 18.6-18.8 GHz (space-to-Earth) band;</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3B7CB6">
        <w:rPr>
          <w:i/>
          <w:sz w:val="24"/>
        </w:rPr>
        <w:t>resolves further</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to activate the Conference Preparatory Meeting,</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3B7CB6">
        <w:rPr>
          <w:i/>
          <w:sz w:val="24"/>
        </w:rPr>
        <w:t>invites the Council</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to finalize the agenda and arrange for the convening of WRC</w:t>
      </w:r>
      <w:r w:rsidRPr="003B7CB6">
        <w:rPr>
          <w:sz w:val="24"/>
        </w:rPr>
        <w:noBreakHyphen/>
        <w:t>23, and to initiate as soon as possible the necessary consultations with Member States,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3B7CB6">
        <w:rPr>
          <w:i/>
          <w:sz w:val="24"/>
        </w:rPr>
        <w:t>instructs the Director of the Radiocommunication Bureau</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to make the necessary arrangements to convene meetings of the Conference Preparatory Meeting and to prepare a report to WRC</w:t>
      </w:r>
      <w:r w:rsidRPr="003B7CB6">
        <w:rPr>
          <w:sz w:val="24"/>
        </w:rPr>
        <w:noBreakHyphen/>
        <w:t>23,</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r w:rsidRPr="003B7CB6">
        <w:rPr>
          <w:i/>
          <w:sz w:val="24"/>
        </w:rPr>
        <w:t>instructs the Secretary-General</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to communicate this Resolution to international and regional organizations concerned.</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rFonts w:ascii="TimesNewRomanPSMT" w:hAnsi="TimesNewRomanPSMT" w:cs="TimesNewRomanPSMT"/>
          <w:sz w:val="24"/>
          <w:szCs w:val="24"/>
        </w:rPr>
      </w:pPr>
      <w:r w:rsidRPr="003B7CB6">
        <w:rPr>
          <w:b/>
          <w:sz w:val="24"/>
        </w:rPr>
        <w:t>Reasons:</w:t>
      </w:r>
      <w:r w:rsidRPr="003B7CB6">
        <w:rPr>
          <w:sz w:val="24"/>
        </w:rPr>
        <w:tab/>
      </w:r>
      <w:r w:rsidRPr="003B7CB6">
        <w:rPr>
          <w:rFonts w:ascii="TimesNewRomanPSMT" w:hAnsi="TimesNewRomanPSMT" w:cs="TimesNewRomanPSMT"/>
          <w:sz w:val="24"/>
          <w:szCs w:val="24"/>
        </w:rPr>
        <w:t xml:space="preserve">To update </w:t>
      </w:r>
      <w:r w:rsidRPr="003B7CB6">
        <w:rPr>
          <w:iCs/>
          <w:color w:val="000000"/>
          <w:sz w:val="24"/>
          <w:lang w:val="en-GB"/>
        </w:rPr>
        <w:t>footnote</w:t>
      </w:r>
      <w:r w:rsidRPr="003B7CB6">
        <w:rPr>
          <w:b/>
          <w:iCs/>
          <w:color w:val="000000"/>
          <w:sz w:val="24"/>
          <w:lang w:val="en-GB"/>
        </w:rPr>
        <w:t xml:space="preserve"> </w:t>
      </w:r>
      <w:r w:rsidRPr="003B7CB6">
        <w:rPr>
          <w:iCs/>
          <w:color w:val="000000"/>
          <w:sz w:val="24"/>
          <w:lang w:val="en-GB"/>
        </w:rPr>
        <w:t>No.</w:t>
      </w:r>
      <w:r w:rsidRPr="003B7CB6">
        <w:rPr>
          <w:b/>
          <w:iCs/>
          <w:color w:val="000000"/>
          <w:sz w:val="24"/>
          <w:lang w:val="en-GB"/>
        </w:rPr>
        <w:t xml:space="preserve"> 5.522B </w:t>
      </w:r>
      <w:r w:rsidRPr="003B7CB6">
        <w:rPr>
          <w:iCs/>
          <w:color w:val="000000"/>
          <w:sz w:val="24"/>
          <w:lang w:val="en-GB"/>
        </w:rPr>
        <w:t xml:space="preserve">to revise the altitude restriction and introduce, as appropriate, a new </w:t>
      </w:r>
      <w:r w:rsidRPr="003B7CB6">
        <w:rPr>
          <w:rFonts w:ascii="TimesNewRomanPSMT" w:hAnsi="TimesNewRomanPSMT" w:cs="TimesNewRomanPSMT"/>
          <w:sz w:val="24"/>
          <w:szCs w:val="24"/>
        </w:rPr>
        <w:t xml:space="preserve">power flux density limit in Article </w:t>
      </w:r>
      <w:r w:rsidRPr="003B7CB6">
        <w:rPr>
          <w:rFonts w:ascii="TimesNewRomanPSMT" w:hAnsi="TimesNewRomanPSMT" w:cs="TimesNewRomanPSMT"/>
          <w:b/>
          <w:sz w:val="24"/>
          <w:szCs w:val="24"/>
        </w:rPr>
        <w:t>21</w:t>
      </w:r>
      <w:r w:rsidRPr="003B7CB6">
        <w:rPr>
          <w:rFonts w:ascii="TimesNewRomanPSMT" w:hAnsi="TimesNewRomanPSMT" w:cs="TimesNewRomanPSMT"/>
          <w:sz w:val="24"/>
          <w:szCs w:val="24"/>
        </w:rPr>
        <w:t xml:space="preserve">, Table </w:t>
      </w:r>
      <w:r w:rsidRPr="003B7CB6">
        <w:rPr>
          <w:rFonts w:ascii="TimesNewRomanPSMT" w:hAnsi="TimesNewRomanPSMT" w:cs="TimesNewRomanPSMT"/>
          <w:b/>
          <w:sz w:val="24"/>
          <w:szCs w:val="24"/>
        </w:rPr>
        <w:t>21-4</w:t>
      </w:r>
      <w:r w:rsidRPr="003B7CB6">
        <w:rPr>
          <w:rFonts w:ascii="TimesNewRomanPSMT" w:hAnsi="TimesNewRomanPSMT" w:cs="TimesNewRomanPSMT"/>
          <w:sz w:val="24"/>
          <w:szCs w:val="24"/>
        </w:rPr>
        <w:t>, considering the latest technological advancements and growing demand for spectrum for non-geostationary Fixed-Satellite Service systems operating below 20,000 km.</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rPr>
      </w:pP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rPr>
      </w:pPr>
      <w:r w:rsidRPr="003B7CB6">
        <w:rPr>
          <w:rFonts w:hAnsi="Times New Roman Bold"/>
          <w:b/>
          <w:sz w:val="24"/>
        </w:rPr>
        <w:t>ADD</w:t>
      </w:r>
      <w:r w:rsidRPr="003B7CB6">
        <w:rPr>
          <w:rFonts w:hAnsi="Times New Roman Bold"/>
          <w:b/>
          <w:sz w:val="24"/>
        </w:rPr>
        <w:tab/>
        <w:t>USA/10(XXX)/3</w:t>
      </w:r>
    </w:p>
    <w:p w:rsidR="003B7CB6" w:rsidRPr="003B7CB6" w:rsidP="003B7CB6">
      <w:pPr>
        <w:tabs>
          <w:tab w:val="left" w:pos="1134"/>
          <w:tab w:val="left" w:pos="1871"/>
          <w:tab w:val="left" w:pos="2268"/>
        </w:tabs>
        <w:overflowPunct w:val="0"/>
        <w:autoSpaceDE w:val="0"/>
        <w:autoSpaceDN w:val="0"/>
        <w:adjustRightInd w:val="0"/>
        <w:spacing w:before="120"/>
        <w:jc w:val="center"/>
        <w:textAlignment w:val="baseline"/>
        <w:rPr>
          <w:sz w:val="28"/>
          <w:szCs w:val="28"/>
        </w:rPr>
      </w:pPr>
      <w:r w:rsidRPr="003B7CB6">
        <w:rPr>
          <w:sz w:val="28"/>
          <w:szCs w:val="28"/>
        </w:rPr>
        <w:t>DRAFT NEW RESOLUTION [USA/10/</w:t>
      </w:r>
      <w:r w:rsidRPr="003B7CB6">
        <w:rPr>
          <w:rFonts w:ascii="TimesNewRomanPSMT" w:hAnsi="TimesNewRomanPSMT" w:cs="TimesNewRomanPSMT"/>
          <w:b/>
          <w:sz w:val="24"/>
          <w:szCs w:val="24"/>
        </w:rPr>
        <w:t xml:space="preserve"> </w:t>
      </w:r>
      <w:r w:rsidRPr="003B7CB6">
        <w:rPr>
          <w:sz w:val="28"/>
          <w:szCs w:val="28"/>
        </w:rPr>
        <w:t>FSS NGSO 18GHZ] (WRC-19)</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rFonts w:ascii="TimesNewRomanPSMT" w:hAnsi="TimesNewRomanPSMT" w:cs="TimesNewRomanPSMT"/>
          <w:sz w:val="28"/>
          <w:szCs w:val="28"/>
        </w:rPr>
      </w:pPr>
      <w:r w:rsidRPr="003B7CB6">
        <w:rPr>
          <w:iCs/>
          <w:color w:val="000000"/>
          <w:sz w:val="24"/>
          <w:lang w:val="en-GB"/>
        </w:rPr>
        <w:t>Non-geostationary fixed-satellite service systems with an apogee below 20 000 km that operate in the 18.6-18.8 GHz (space-to-Earth) band</w:t>
      </w:r>
      <w:r w:rsidRPr="003B7CB6">
        <w:rPr>
          <w:rFonts w:ascii="TimesNewRomanPSMT" w:hAnsi="TimesNewRomanPSMT" w:cs="TimesNewRomanPSMT"/>
          <w:sz w:val="28"/>
          <w:szCs w:val="28"/>
        </w:rPr>
        <w:t xml:space="preserve"> </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rFonts w:ascii="TimesNewRomanPSMT" w:hAnsi="TimesNewRomanPSMT" w:cs="TimesNewRomanPSMT"/>
          <w:sz w:val="24"/>
          <w:szCs w:val="24"/>
        </w:rPr>
      </w:pPr>
      <w:r w:rsidRPr="003B7CB6">
        <w:rPr>
          <w:rFonts w:ascii="TimesNewRomanPSMT" w:hAnsi="TimesNewRomanPSMT" w:cs="TimesNewRomanPSMT"/>
          <w:sz w:val="24"/>
          <w:szCs w:val="24"/>
        </w:rPr>
        <w:t xml:space="preserve">The World Radiocommunication Conference (Sharm el-Sheik Egypt, 2019),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i/>
          <w:color w:val="231F20"/>
          <w:sz w:val="24"/>
          <w:szCs w:val="24"/>
          <w:lang w:val="en-GB"/>
        </w:rPr>
      </w:pPr>
      <w:r w:rsidRPr="003B7CB6">
        <w:rPr>
          <w:color w:val="231F20"/>
          <w:sz w:val="24"/>
          <w:szCs w:val="24"/>
          <w:lang w:val="en-GB"/>
        </w:rPr>
        <w:tab/>
      </w:r>
      <w:r w:rsidRPr="003B7CB6">
        <w:rPr>
          <w:i/>
          <w:color w:val="231F20"/>
          <w:sz w:val="24"/>
          <w:szCs w:val="24"/>
          <w:lang w:val="en-GB"/>
        </w:rPr>
        <w:t>considering</w:t>
      </w:r>
    </w:p>
    <w:p w:rsidR="003B7CB6" w:rsidRPr="003B7CB6" w:rsidP="003B7CB6">
      <w:pPr>
        <w:numPr>
          <w:ilvl w:val="0"/>
          <w:numId w:val="29"/>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high-density applications by the fixed-satellite service is identified for the 18.3-19.3 GHz </w:t>
      </w:r>
      <w:r w:rsidRPr="003B7CB6">
        <w:rPr>
          <w:rFonts w:ascii="TimesNewRomanPSMT" w:hAnsi="TimesNewRomanPSMT" w:cs="TimesNewRomanPSMT"/>
          <w:sz w:val="24"/>
          <w:szCs w:val="24"/>
        </w:rPr>
        <w:t xml:space="preserve">(space-to-Earth) </w:t>
      </w:r>
      <w:r w:rsidRPr="003B7CB6">
        <w:rPr>
          <w:color w:val="231F20"/>
          <w:sz w:val="24"/>
          <w:szCs w:val="24"/>
          <w:lang w:val="en-GB"/>
        </w:rPr>
        <w:t>band in Region 2;</w:t>
      </w:r>
    </w:p>
    <w:p w:rsidR="003B7CB6" w:rsidRPr="003B7CB6" w:rsidP="003B7CB6">
      <w:pPr>
        <w:numPr>
          <w:ilvl w:val="0"/>
          <w:numId w:val="29"/>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geostationary and certain non-geostationary fixed-satellite service networks and systems operating in the 18.6-18.8 GHz </w:t>
      </w:r>
      <w:r w:rsidRPr="003B7CB6">
        <w:rPr>
          <w:rFonts w:ascii="TimesNewRomanPSMT" w:hAnsi="TimesNewRomanPSMT" w:cs="TimesNewRomanPSMT"/>
          <w:sz w:val="24"/>
          <w:szCs w:val="24"/>
        </w:rPr>
        <w:t xml:space="preserve">(space-to-Earth) </w:t>
      </w:r>
      <w:r w:rsidRPr="003B7CB6">
        <w:rPr>
          <w:color w:val="231F20"/>
          <w:sz w:val="24"/>
          <w:szCs w:val="24"/>
          <w:lang w:val="en-GB"/>
        </w:rPr>
        <w:t xml:space="preserve">band must comply with the current regulatory provisions in Article </w:t>
      </w:r>
      <w:r w:rsidRPr="003B7CB6">
        <w:rPr>
          <w:b/>
          <w:color w:val="231F20"/>
          <w:sz w:val="24"/>
          <w:szCs w:val="24"/>
          <w:lang w:val="en-GB"/>
        </w:rPr>
        <w:t>21</w:t>
      </w:r>
      <w:r w:rsidRPr="003B7CB6">
        <w:rPr>
          <w:color w:val="231F20"/>
          <w:sz w:val="24"/>
          <w:szCs w:val="24"/>
          <w:lang w:val="en-GB"/>
        </w:rPr>
        <w:t xml:space="preserve">, Table </w:t>
      </w:r>
      <w:r w:rsidRPr="003B7CB6">
        <w:rPr>
          <w:b/>
          <w:color w:val="231F20"/>
          <w:sz w:val="24"/>
          <w:szCs w:val="24"/>
          <w:lang w:val="en-GB"/>
        </w:rPr>
        <w:t>21-4</w:t>
      </w:r>
      <w:r w:rsidRPr="003B7CB6">
        <w:rPr>
          <w:color w:val="231F20"/>
          <w:sz w:val="24"/>
          <w:szCs w:val="24"/>
          <w:lang w:val="en-GB"/>
        </w:rPr>
        <w:t xml:space="preserve"> for power flux-density from space stations; </w:t>
      </w:r>
    </w:p>
    <w:p w:rsidR="003B7CB6" w:rsidRPr="003B7CB6" w:rsidP="003B7CB6">
      <w:pPr>
        <w:numPr>
          <w:ilvl w:val="0"/>
          <w:numId w:val="29"/>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previous studies establishing the power flux-density limits on the surface of the Earth, found in Article </w:t>
      </w:r>
      <w:r w:rsidRPr="003B7CB6">
        <w:rPr>
          <w:b/>
          <w:color w:val="231F20"/>
          <w:sz w:val="24"/>
          <w:szCs w:val="24"/>
          <w:lang w:val="en-GB"/>
        </w:rPr>
        <w:t>21</w:t>
      </w:r>
      <w:r w:rsidRPr="003B7CB6">
        <w:rPr>
          <w:color w:val="231F20"/>
          <w:sz w:val="24"/>
          <w:szCs w:val="24"/>
          <w:lang w:val="en-GB"/>
        </w:rPr>
        <w:t xml:space="preserve">, Table </w:t>
      </w:r>
      <w:r w:rsidRPr="003B7CB6">
        <w:rPr>
          <w:b/>
          <w:color w:val="231F20"/>
          <w:sz w:val="24"/>
          <w:szCs w:val="24"/>
          <w:lang w:val="en-GB"/>
        </w:rPr>
        <w:t xml:space="preserve">21-4 </w:t>
      </w:r>
      <w:r w:rsidRPr="003B7CB6">
        <w:rPr>
          <w:color w:val="231F20"/>
          <w:sz w:val="24"/>
          <w:szCs w:val="24"/>
          <w:lang w:val="en-GB"/>
        </w:rPr>
        <w:t>for 18.6-18.8 GHz involved just one non-geostationary fixed-satellite service system, operating above 20,000 km,</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ab/>
      </w:r>
      <w:r w:rsidRPr="003B7CB6">
        <w:rPr>
          <w:i/>
          <w:color w:val="231F20"/>
          <w:sz w:val="24"/>
          <w:szCs w:val="24"/>
          <w:lang w:val="en-GB"/>
        </w:rPr>
        <w:t>recognizing</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the frequency band 18.6-18.8 GHz is currently allocated on a primary basis to the earth exploration-satellite (passive), fixed, mobile, fixed-satellite </w:t>
      </w:r>
      <w:r w:rsidRPr="003B7CB6">
        <w:rPr>
          <w:rFonts w:ascii="TimesNewRomanPSMT" w:hAnsi="TimesNewRomanPSMT" w:cs="TimesNewRomanPSMT"/>
          <w:sz w:val="24"/>
          <w:szCs w:val="24"/>
        </w:rPr>
        <w:t>(space-to-Earth)</w:t>
      </w:r>
      <w:r w:rsidRPr="003B7CB6">
        <w:rPr>
          <w:color w:val="231F20"/>
          <w:sz w:val="24"/>
          <w:szCs w:val="24"/>
          <w:lang w:val="en-GB"/>
        </w:rPr>
        <w:t xml:space="preserve"> services globally, as well as space research service (passive) on a primary basis in Region 2 and secondary basis in Regions 1 and 3;</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the emissions of the fixed, mobile and fixed-satellite services in the band 18.6-18.8 GHz are limited to the values given in </w:t>
      </w:r>
      <w:r w:rsidRPr="003B7CB6">
        <w:rPr>
          <w:b/>
          <w:color w:val="231F20"/>
          <w:sz w:val="24"/>
          <w:szCs w:val="24"/>
          <w:lang w:val="en-GB"/>
        </w:rPr>
        <w:t>Nos</w:t>
      </w:r>
      <w:r w:rsidRPr="003B7CB6">
        <w:rPr>
          <w:color w:val="231F20"/>
          <w:sz w:val="24"/>
          <w:szCs w:val="24"/>
          <w:lang w:val="en-GB"/>
        </w:rPr>
        <w:t xml:space="preserve">. </w:t>
      </w:r>
      <w:r w:rsidRPr="003B7CB6">
        <w:rPr>
          <w:b/>
          <w:color w:val="231F20"/>
          <w:sz w:val="24"/>
          <w:szCs w:val="24"/>
          <w:lang w:val="en-GB"/>
        </w:rPr>
        <w:t>21.5</w:t>
      </w:r>
      <w:r w:rsidRPr="003B7CB6">
        <w:rPr>
          <w:color w:val="231F20"/>
          <w:sz w:val="24"/>
          <w:szCs w:val="24"/>
          <w:lang w:val="en-GB"/>
        </w:rPr>
        <w:t xml:space="preserve"> and, in accordance with footnote </w:t>
      </w:r>
      <w:r w:rsidRPr="003B7CB6">
        <w:rPr>
          <w:b/>
          <w:color w:val="231F20"/>
          <w:sz w:val="24"/>
          <w:szCs w:val="24"/>
          <w:lang w:val="en-GB"/>
        </w:rPr>
        <w:t>No. 5.522A</w:t>
      </w:r>
      <w:r w:rsidRPr="003B7CB6">
        <w:rPr>
          <w:color w:val="231F20"/>
          <w:sz w:val="24"/>
          <w:szCs w:val="24"/>
          <w:lang w:val="en-GB"/>
        </w:rPr>
        <w:t xml:space="preserve">, </w:t>
      </w:r>
      <w:r w:rsidRPr="003B7CB6">
        <w:rPr>
          <w:b/>
          <w:color w:val="231F20"/>
          <w:sz w:val="24"/>
          <w:szCs w:val="24"/>
          <w:lang w:val="en-GB"/>
        </w:rPr>
        <w:t>21.5A</w:t>
      </w:r>
      <w:r w:rsidRPr="003B7CB6">
        <w:rPr>
          <w:color w:val="231F20"/>
          <w:sz w:val="24"/>
          <w:szCs w:val="24"/>
          <w:lang w:val="en-GB"/>
        </w:rPr>
        <w:t xml:space="preserve"> and </w:t>
      </w:r>
      <w:r w:rsidRPr="003B7CB6">
        <w:rPr>
          <w:b/>
          <w:color w:val="231F20"/>
          <w:sz w:val="24"/>
          <w:szCs w:val="24"/>
          <w:lang w:val="en-GB"/>
        </w:rPr>
        <w:t>21.16.2</w:t>
      </w:r>
      <w:r w:rsidRPr="003B7CB6">
        <w:rPr>
          <w:color w:val="231F20"/>
          <w:sz w:val="24"/>
          <w:szCs w:val="24"/>
          <w:lang w:val="en-GB"/>
        </w:rPr>
        <w:t>;</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non-geostationary-satellite systems shall not cause unacceptable interference to and shall not claim protection from geostationary-satellite networks in the fixed-satellite service and the broadcasting-satellite service in accordance with </w:t>
      </w:r>
      <w:r w:rsidRPr="003B7CB6">
        <w:rPr>
          <w:b/>
          <w:color w:val="231F20"/>
          <w:sz w:val="24"/>
          <w:szCs w:val="24"/>
          <w:lang w:val="en-GB"/>
        </w:rPr>
        <w:t>No. 22.2</w:t>
      </w:r>
      <w:r w:rsidRPr="003B7CB6">
        <w:rPr>
          <w:color w:val="231F20"/>
          <w:sz w:val="24"/>
          <w:szCs w:val="24"/>
          <w:lang w:val="en-GB"/>
        </w:rPr>
        <w:t>;</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the modification of the limits referenced in </w:t>
      </w:r>
      <w:r w:rsidRPr="003B7CB6">
        <w:rPr>
          <w:i/>
          <w:color w:val="231F20"/>
          <w:sz w:val="24"/>
          <w:szCs w:val="24"/>
          <w:lang w:val="en-GB"/>
        </w:rPr>
        <w:t xml:space="preserve">recognizing b </w:t>
      </w:r>
      <w:r w:rsidRPr="003B7CB6">
        <w:rPr>
          <w:color w:val="231F20"/>
          <w:sz w:val="24"/>
          <w:szCs w:val="24"/>
          <w:lang w:val="en-GB"/>
        </w:rPr>
        <w:t>for the fixed and mobile services and stations operating in the fixed-satellite service above an apogee of 20 000 km to protect EESS (passive) and SRS (passive) stations are outside the scope of this Resolution;</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the use of the band 18.6-18.8 GHz by geostationary networks and non-geostationary systems in the fixed-satellite service </w:t>
      </w:r>
      <w:r w:rsidRPr="003B7CB6">
        <w:rPr>
          <w:rFonts w:ascii="TimesNewRomanPSMT" w:hAnsi="TimesNewRomanPSMT" w:cs="TimesNewRomanPSMT"/>
          <w:sz w:val="24"/>
          <w:szCs w:val="24"/>
        </w:rPr>
        <w:t xml:space="preserve">(space-to-Earth) </w:t>
      </w:r>
      <w:r w:rsidRPr="003B7CB6">
        <w:rPr>
          <w:color w:val="231F20"/>
          <w:sz w:val="24"/>
          <w:szCs w:val="24"/>
          <w:lang w:val="en-GB"/>
        </w:rPr>
        <w:t xml:space="preserve">operate in accordance with Footnote </w:t>
      </w:r>
      <w:r w:rsidRPr="003B7CB6">
        <w:rPr>
          <w:b/>
          <w:color w:val="231F20"/>
          <w:sz w:val="24"/>
          <w:szCs w:val="24"/>
          <w:lang w:val="en-GB"/>
        </w:rPr>
        <w:t>5.522B</w:t>
      </w:r>
      <w:r w:rsidRPr="003B7CB6">
        <w:rPr>
          <w:color w:val="231F20"/>
          <w:sz w:val="24"/>
          <w:szCs w:val="24"/>
          <w:lang w:val="en-GB"/>
        </w:rPr>
        <w:t xml:space="preserve"> in the Radio Regulations;</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w:t>
      </w:r>
      <w:r w:rsidRPr="003B7CB6">
        <w:rPr>
          <w:b/>
          <w:color w:val="231F20"/>
          <w:sz w:val="24"/>
          <w:szCs w:val="24"/>
          <w:lang w:val="en-GB"/>
        </w:rPr>
        <w:t>No.</w:t>
      </w:r>
      <w:r w:rsidRPr="003B7CB6">
        <w:rPr>
          <w:color w:val="231F20"/>
          <w:sz w:val="24"/>
          <w:szCs w:val="24"/>
          <w:lang w:val="en-GB"/>
        </w:rPr>
        <w:t xml:space="preserve"> </w:t>
      </w:r>
      <w:r w:rsidRPr="003B7CB6">
        <w:rPr>
          <w:b/>
          <w:color w:val="231F20"/>
          <w:sz w:val="24"/>
          <w:szCs w:val="24"/>
          <w:lang w:val="en-GB"/>
        </w:rPr>
        <w:t>21.16</w:t>
      </w:r>
      <w:r w:rsidRPr="003B7CB6">
        <w:rPr>
          <w:color w:val="231F20"/>
          <w:sz w:val="24"/>
          <w:szCs w:val="24"/>
          <w:lang w:val="en-GB"/>
        </w:rPr>
        <w:t xml:space="preserve"> contains power flux-density limits applicable to fixed-satellite service to protect fixed and mobile services with allocations in the frequency band 18.6-18.8 GHz;</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the power flux-density specified in </w:t>
      </w:r>
      <w:r w:rsidRPr="003B7CB6">
        <w:rPr>
          <w:b/>
          <w:color w:val="231F20"/>
          <w:sz w:val="24"/>
          <w:szCs w:val="24"/>
          <w:lang w:val="en-GB"/>
        </w:rPr>
        <w:t>No. 21.16.2</w:t>
      </w:r>
      <w:r w:rsidRPr="003B7CB6">
        <w:rPr>
          <w:color w:val="231F20"/>
          <w:sz w:val="24"/>
          <w:szCs w:val="24"/>
          <w:lang w:val="en-GB"/>
        </w:rPr>
        <w:t xml:space="preserve"> across the 200 MHz band 18.6-18.8 GHz produced at the surface of the Earth by emissions from a space station operating in the fixed-satellite service under assumed free-space propagation conditions shall not exceed −95 dB(W/m2), except for less than 5% of time, when the limit may be exceeded  by up to 3 dB;</w:t>
      </w:r>
    </w:p>
    <w:p w:rsidR="003B7CB6" w:rsidRPr="003B7CB6" w:rsidP="003B7CB6">
      <w:pPr>
        <w:numPr>
          <w:ilvl w:val="0"/>
          <w:numId w:val="28"/>
        </w:num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 xml:space="preserve">that the provisions of No. </w:t>
      </w:r>
      <w:r w:rsidRPr="003B7CB6">
        <w:rPr>
          <w:b/>
          <w:color w:val="231F20"/>
          <w:sz w:val="24"/>
          <w:szCs w:val="24"/>
          <w:lang w:val="en-GB"/>
        </w:rPr>
        <w:t>21.17</w:t>
      </w:r>
      <w:r w:rsidRPr="003B7CB6">
        <w:rPr>
          <w:color w:val="231F20"/>
          <w:sz w:val="24"/>
          <w:szCs w:val="24"/>
          <w:lang w:val="en-GB"/>
        </w:rPr>
        <w:t xml:space="preserve"> do not apply in this band,</w:t>
      </w:r>
    </w:p>
    <w:p w:rsidR="003B7CB6" w:rsidRPr="003B7CB6" w:rsidP="003B7CB6">
      <w:pPr>
        <w:autoSpaceDE w:val="0"/>
        <w:autoSpaceDN w:val="0"/>
        <w:adjustRightInd w:val="0"/>
        <w:rPr>
          <w:sz w:val="24"/>
          <w:lang w:val="en-GB"/>
        </w:rPr>
      </w:pPr>
    </w:p>
    <w:p w:rsidR="003B7CB6" w:rsidRPr="003B7CB6" w:rsidP="003B7CB6">
      <w:pPr>
        <w:autoSpaceDE w:val="0"/>
        <w:autoSpaceDN w:val="0"/>
        <w:adjustRightInd w:val="0"/>
        <w:rPr>
          <w:sz w:val="24"/>
          <w:lang w:val="en-GB"/>
        </w:rPr>
      </w:pPr>
    </w:p>
    <w:p w:rsidR="003B7CB6" w:rsidRPr="003B7CB6" w:rsidP="003B7CB6">
      <w:pPr>
        <w:autoSpaceDE w:val="0"/>
        <w:autoSpaceDN w:val="0"/>
        <w:adjustRightInd w:val="0"/>
        <w:rPr>
          <w:sz w:val="24"/>
          <w:lang w:val="en-GB"/>
        </w:rPr>
      </w:pPr>
    </w:p>
    <w:p w:rsidR="003B7CB6" w:rsidRPr="003B7CB6" w:rsidP="003B7CB6">
      <w:pPr>
        <w:autoSpaceDE w:val="0"/>
        <w:autoSpaceDN w:val="0"/>
        <w:adjustRightInd w:val="0"/>
        <w:rPr>
          <w:sz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i/>
          <w:sz w:val="24"/>
        </w:rPr>
      </w:pPr>
      <w:r w:rsidRPr="003B7CB6">
        <w:rPr>
          <w:rFonts w:ascii="TimesNewRomanPS-ItalicMT" w:hAnsi="TimesNewRomanPS-ItalicMT" w:cs="TimesNewRomanPS-ItalicMT"/>
          <w:i/>
          <w:iCs/>
          <w:sz w:val="24"/>
          <w:szCs w:val="24"/>
        </w:rPr>
        <w:tab/>
      </w:r>
      <w:r w:rsidRPr="003B7CB6">
        <w:rPr>
          <w:i/>
          <w:sz w:val="24"/>
          <w:lang w:val="en-GB"/>
        </w:rPr>
        <w:t>resolves to invite ITU-R</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3B7CB6">
        <w:rPr>
          <w:sz w:val="24"/>
          <w:szCs w:val="24"/>
          <w:lang w:val="en-GB"/>
        </w:rPr>
        <w:t>1</w:t>
      </w:r>
      <w:r w:rsidRPr="003B7CB6">
        <w:rPr>
          <w:sz w:val="24"/>
          <w:szCs w:val="24"/>
          <w:lang w:val="en-GB"/>
        </w:rPr>
        <w:tab/>
        <w:t xml:space="preserve">to conduct and complete in time for WRC-23 sharing and compatibility studies between non-geostationary fixed-satellite service </w:t>
      </w:r>
      <w:r w:rsidRPr="003B7CB6">
        <w:rPr>
          <w:rFonts w:ascii="TimesNewRomanPSMT" w:hAnsi="TimesNewRomanPSMT" w:cs="TimesNewRomanPSMT"/>
          <w:sz w:val="24"/>
          <w:szCs w:val="24"/>
        </w:rPr>
        <w:t xml:space="preserve">(space-to-Earth) </w:t>
      </w:r>
      <w:r w:rsidRPr="003B7CB6">
        <w:rPr>
          <w:sz w:val="24"/>
          <w:szCs w:val="24"/>
          <w:lang w:val="en-GB"/>
        </w:rPr>
        <w:t>systems operating with an apogee below 20,000 km and the earth exploration-satellite (passive) service in 18.6-18.8 GHz;</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szCs w:val="24"/>
          <w:lang w:val="en-GB"/>
        </w:rPr>
      </w:pPr>
      <w:r w:rsidRPr="003B7CB6">
        <w:rPr>
          <w:sz w:val="24"/>
          <w:szCs w:val="24"/>
          <w:lang w:val="en-GB"/>
        </w:rPr>
        <w:t>2</w:t>
      </w:r>
      <w:r w:rsidRPr="003B7CB6">
        <w:rPr>
          <w:sz w:val="24"/>
          <w:szCs w:val="24"/>
          <w:lang w:val="en-GB"/>
        </w:rPr>
        <w:tab/>
        <w:t xml:space="preserve">to develop technical conditions and regulatory provisions for non-geostationary stations operating in the fixed-satellite service </w:t>
      </w:r>
      <w:r w:rsidRPr="003B7CB6">
        <w:rPr>
          <w:rFonts w:ascii="TimesNewRomanPSMT" w:hAnsi="TimesNewRomanPSMT" w:cs="TimesNewRomanPSMT"/>
          <w:sz w:val="24"/>
          <w:szCs w:val="24"/>
        </w:rPr>
        <w:t xml:space="preserve">(space-to-Earth) </w:t>
      </w:r>
      <w:r w:rsidRPr="003B7CB6">
        <w:rPr>
          <w:sz w:val="24"/>
          <w:szCs w:val="24"/>
          <w:lang w:val="en-GB"/>
        </w:rPr>
        <w:t xml:space="preserve">with an apogee below 20,000 km in 18.6-18.8 GHz, with the constraint that the power flux-density limits in Table </w:t>
      </w:r>
      <w:r w:rsidRPr="003B7CB6">
        <w:rPr>
          <w:b/>
          <w:sz w:val="24"/>
          <w:szCs w:val="24"/>
          <w:lang w:val="en-GB"/>
        </w:rPr>
        <w:t>21-4</w:t>
      </w:r>
      <w:r w:rsidRPr="003B7CB6">
        <w:rPr>
          <w:sz w:val="24"/>
          <w:szCs w:val="24"/>
          <w:lang w:val="en-GB"/>
        </w:rPr>
        <w:t xml:space="preserve"> of Article </w:t>
      </w:r>
      <w:r w:rsidRPr="003B7CB6">
        <w:rPr>
          <w:b/>
          <w:sz w:val="24"/>
          <w:szCs w:val="24"/>
          <w:lang w:val="en-GB"/>
        </w:rPr>
        <w:t>21</w:t>
      </w:r>
      <w:r w:rsidRPr="003B7CB6">
        <w:rPr>
          <w:sz w:val="24"/>
          <w:szCs w:val="24"/>
          <w:lang w:val="en-GB"/>
        </w:rPr>
        <w:t xml:space="preserve"> associated with the protection of the fixed and mobile service in this band remain unchanged,</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szCs w:val="22"/>
          <w:lang w:val="en-GB"/>
        </w:rPr>
      </w:pPr>
      <w:r w:rsidRPr="003B7CB6">
        <w:rPr>
          <w:i/>
          <w:sz w:val="24"/>
          <w:lang w:val="en-GB"/>
        </w:rPr>
        <w:t>further resolves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1</w:t>
      </w:r>
      <w:r w:rsidRPr="003B7CB6">
        <w:rPr>
          <w:color w:val="231F20"/>
          <w:sz w:val="24"/>
          <w:szCs w:val="24"/>
          <w:lang w:val="en-GB"/>
        </w:rPr>
        <w:tab/>
        <w:t xml:space="preserve">that the technical conditions and regulatory provisions developed under </w:t>
      </w:r>
      <w:r w:rsidRPr="003B7CB6">
        <w:rPr>
          <w:i/>
          <w:color w:val="231F20"/>
          <w:sz w:val="24"/>
          <w:szCs w:val="24"/>
          <w:lang w:val="en-GB"/>
        </w:rPr>
        <w:t xml:space="preserve">resolves to invite ITU-R </w:t>
      </w:r>
      <w:r w:rsidRPr="003B7CB6">
        <w:rPr>
          <w:color w:val="231F20"/>
          <w:sz w:val="24"/>
          <w:szCs w:val="24"/>
          <w:lang w:val="en-GB"/>
        </w:rPr>
        <w:t xml:space="preserve">2 includes the constraint that of the limits referenced in </w:t>
      </w:r>
      <w:r w:rsidRPr="003B7CB6">
        <w:rPr>
          <w:i/>
          <w:color w:val="231F20"/>
          <w:sz w:val="24"/>
          <w:szCs w:val="24"/>
          <w:lang w:val="en-GB"/>
        </w:rPr>
        <w:t>recognizing b</w:t>
      </w:r>
      <w:r w:rsidRPr="003B7CB6">
        <w:rPr>
          <w:color w:val="231F20"/>
          <w:sz w:val="24"/>
          <w:szCs w:val="24"/>
          <w:lang w:val="en-GB"/>
        </w:rPr>
        <w:t xml:space="preserve"> applicable to the fixed and mobile services and to stations operating in the fixed-satellite service with an apogee greater than 20 000 km remain unchanged;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color w:val="231F20"/>
          <w:sz w:val="24"/>
          <w:szCs w:val="24"/>
          <w:lang w:val="en-GB"/>
        </w:rPr>
      </w:pPr>
      <w:r w:rsidRPr="003B7CB6">
        <w:rPr>
          <w:color w:val="231F20"/>
          <w:sz w:val="24"/>
          <w:szCs w:val="24"/>
          <w:lang w:val="en-GB"/>
        </w:rPr>
        <w:t>2</w:t>
      </w:r>
      <w:r w:rsidRPr="003B7CB6">
        <w:rPr>
          <w:color w:val="231F20"/>
          <w:sz w:val="24"/>
          <w:szCs w:val="24"/>
          <w:lang w:val="en-GB"/>
        </w:rPr>
        <w:tab/>
        <w:t xml:space="preserve">to invite WRC-23 to review the results of these studies and take appropriate action,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i/>
          <w:sz w:val="24"/>
          <w:szCs w:val="22"/>
          <w:lang w:val="en-GB"/>
        </w:rPr>
      </w:pPr>
      <w:r w:rsidRPr="003B7CB6">
        <w:rPr>
          <w:i/>
          <w:sz w:val="24"/>
          <w:lang w:val="en-GB"/>
        </w:rPr>
        <w:tab/>
        <w:t>invites administrations</w:t>
      </w:r>
    </w:p>
    <w:p w:rsidR="003B7CB6" w:rsidRPr="003B7CB6" w:rsidP="003B7CB6">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ind w:right="2"/>
        <w:textAlignment w:val="baseline"/>
        <w:rPr>
          <w:color w:val="231F20"/>
          <w:sz w:val="24"/>
          <w:szCs w:val="24"/>
          <w:lang w:val="en-GB"/>
        </w:rPr>
      </w:pPr>
      <w:r w:rsidRPr="003B7CB6">
        <w:rPr>
          <w:color w:val="231F20"/>
          <w:sz w:val="24"/>
          <w:szCs w:val="24"/>
          <w:lang w:val="en-GB"/>
        </w:rPr>
        <w:t>to participate actively in the studies by submitting contributions to ITU-R.</w:t>
      </w:r>
    </w:p>
    <w:p w:rsidR="003B7CB6" w:rsidRPr="003B7CB6" w:rsidP="003B7CB6">
      <w:pPr>
        <w:tabs>
          <w:tab w:val="left" w:pos="1134"/>
          <w:tab w:val="left" w:pos="1170"/>
          <w:tab w:val="left" w:pos="1871"/>
          <w:tab w:val="left" w:pos="2268"/>
        </w:tabs>
        <w:overflowPunct w:val="0"/>
        <w:autoSpaceDE w:val="0"/>
        <w:autoSpaceDN w:val="0"/>
        <w:adjustRightInd w:val="0"/>
        <w:spacing w:before="160"/>
        <w:ind w:firstLine="720"/>
        <w:textAlignment w:val="baseline"/>
        <w:rPr>
          <w:rFonts w:ascii="TimesNewRomanPS-BoldMT" w:hAnsi="TimesNewRomanPS-BoldMT" w:cs="TimesNewRomanPS-BoldMT"/>
          <w:b/>
          <w:bCs/>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rPr>
      </w:pPr>
      <w:r w:rsidRPr="003B7CB6">
        <w:rPr>
          <w:sz w:val="24"/>
        </w:rPr>
        <w:br w:type="page"/>
      </w:r>
    </w:p>
    <w:p w:rsidR="003B7CB6" w:rsidRPr="003B7CB6" w:rsidP="003B7CB6">
      <w:pPr>
        <w:tabs>
          <w:tab w:val="left" w:pos="1134"/>
          <w:tab w:val="left" w:pos="1871"/>
          <w:tab w:val="left" w:pos="2268"/>
        </w:tabs>
        <w:overflowPunct w:val="0"/>
        <w:autoSpaceDE w:val="0"/>
        <w:autoSpaceDN w:val="0"/>
        <w:adjustRightInd w:val="0"/>
        <w:spacing w:before="120"/>
        <w:jc w:val="center"/>
        <w:textAlignment w:val="baseline"/>
        <w:rPr>
          <w:rFonts w:ascii="TimesNewRomanPS-BoldMT" w:hAnsi="TimesNewRomanPS-BoldMT" w:cs="TimesNewRomanPS-BoldMT"/>
          <w:b/>
          <w:bCs/>
          <w:sz w:val="24"/>
          <w:szCs w:val="24"/>
        </w:rPr>
      </w:pPr>
      <w:r w:rsidRPr="003B7CB6">
        <w:rPr>
          <w:rFonts w:ascii="TimesNewRomanPS-BoldMT" w:hAnsi="TimesNewRomanPS-BoldMT" w:cs="TimesNewRomanPS-BoldMT"/>
          <w:b/>
          <w:bCs/>
          <w:sz w:val="24"/>
          <w:szCs w:val="24"/>
        </w:rPr>
        <w:t>ATTACHMENT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sz w:val="24"/>
          <w:szCs w:val="24"/>
        </w:rPr>
      </w:pPr>
    </w:p>
    <w:p w:rsidR="003B7CB6" w:rsidRPr="003B7CB6" w:rsidP="003B7CB6">
      <w:pPr>
        <w:tabs>
          <w:tab w:val="left" w:pos="1134"/>
          <w:tab w:val="left" w:pos="1871"/>
          <w:tab w:val="left" w:pos="2268"/>
        </w:tabs>
        <w:overflowPunct w:val="0"/>
        <w:autoSpaceDE w:val="0"/>
        <w:autoSpaceDN w:val="0"/>
        <w:adjustRightInd w:val="0"/>
        <w:spacing w:before="120"/>
        <w:jc w:val="center"/>
        <w:textAlignment w:val="baseline"/>
        <w:rPr>
          <w:rFonts w:ascii="TimesNewRomanPS-BoldMT" w:hAnsi="TimesNewRomanPS-BoldMT" w:cs="TimesNewRomanPS-BoldMT"/>
          <w:b/>
          <w:bCs/>
          <w:sz w:val="24"/>
          <w:szCs w:val="24"/>
        </w:rPr>
      </w:pPr>
      <w:r w:rsidRPr="003B7CB6">
        <w:rPr>
          <w:rFonts w:ascii="TimesNewRomanPS-BoldMT" w:hAnsi="TimesNewRomanPS-BoldMT" w:cs="TimesNewRomanPS-BoldMT"/>
          <w:b/>
          <w:bCs/>
          <w:sz w:val="24"/>
          <w:szCs w:val="24"/>
        </w:rPr>
        <w:t>PROPOSAL FOR FUTURE AGENDA ITEM FOR [XXX]</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p>
    <w:p w:rsidR="003B7CB6" w:rsidRPr="003B7CB6" w:rsidP="003B7CB6">
      <w:pPr>
        <w:tabs>
          <w:tab w:val="left" w:pos="1134"/>
          <w:tab w:val="left" w:pos="1871"/>
          <w:tab w:val="left" w:pos="2268"/>
        </w:tabs>
        <w:overflowPunct w:val="0"/>
        <w:autoSpaceDE w:val="0"/>
        <w:autoSpaceDN w:val="0"/>
        <w:adjustRightInd w:val="0"/>
        <w:spacing w:before="280"/>
        <w:textAlignment w:val="baseline"/>
        <w:rPr>
          <w:rFonts w:ascii="TimesNewRomanPSMT" w:hAnsi="TimesNewRomanPSMT" w:cs="TimesNewRomanPSMT"/>
          <w:sz w:val="28"/>
          <w:szCs w:val="28"/>
        </w:rPr>
      </w:pPr>
      <w:r w:rsidRPr="003B7CB6">
        <w:rPr>
          <w:rFonts w:ascii="TimesNewRomanPSMT" w:hAnsi="TimesNewRomanPSMT" w:cs="TimesNewRomanPSMT"/>
          <w:b/>
          <w:sz w:val="24"/>
          <w:szCs w:val="24"/>
        </w:rPr>
        <w:t>Subject:</w:t>
      </w:r>
      <w:r w:rsidRPr="003B7CB6">
        <w:rPr>
          <w:rFonts w:ascii="TimesNewRomanPSMT" w:hAnsi="TimesNewRomanPSMT" w:cs="TimesNewRomanPSMT"/>
          <w:sz w:val="24"/>
          <w:szCs w:val="24"/>
        </w:rPr>
        <w:t xml:space="preserve"> Proposed Future WRC Agenda Item for WRC-2023 to consider the results of studies on the … </w:t>
      </w:r>
      <w:r w:rsidRPr="003B7CB6">
        <w:rPr>
          <w:b/>
          <w:iCs/>
          <w:color w:val="000000"/>
          <w:sz w:val="24"/>
          <w:lang w:val="en-GB"/>
        </w:rPr>
        <w:t>Revision to footnote No. 5.522A and 5.522B and Radio Regulations Article 21 power flux density limits regarding non-geostationary Fixed-Satellite Service systems with an apogee below 20 000 km that operate in the 18.6-18.8 GHz (space-to-Earth) band</w:t>
      </w:r>
      <w:r w:rsidRPr="003B7CB6">
        <w:rPr>
          <w:rFonts w:ascii="TimesNewRomanPSMT" w:hAnsi="TimesNewRomanPSMT" w:cs="TimesNewRomanPSMT"/>
          <w:sz w:val="28"/>
          <w:szCs w:val="28"/>
        </w:rPr>
        <w:t xml:space="preserve">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rFonts w:ascii="TimesNewRomanPS-BoldMT" w:hAnsi="TimesNewRomanPS-BoldMT" w:cs="TimesNewRomanPS-BoldMT"/>
          <w:b/>
          <w:bCs/>
          <w:sz w:val="24"/>
          <w:szCs w:val="24"/>
        </w:rPr>
        <w:t>Origin</w:t>
      </w:r>
      <w:r w:rsidRPr="003B7CB6">
        <w:rPr>
          <w:rFonts w:ascii="TimesNewRomanPSMT" w:hAnsi="TimesNewRomanPSMT" w:cs="TimesNewRomanPSMT"/>
          <w:sz w:val="24"/>
          <w:szCs w:val="24"/>
        </w:rPr>
        <w:t>: United States of America</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ItalicMT" w:hAnsi="TimesNewRomanPS-ItalicMT" w:cs="TimesNewRomanPS-ItalicMT"/>
          <w:iCs/>
          <w:sz w:val="24"/>
          <w:szCs w:val="24"/>
        </w:rPr>
      </w:pPr>
      <w:r w:rsidRPr="003B7CB6">
        <w:rPr>
          <w:rFonts w:ascii="TimesNewRomanPS-ItalicMT" w:hAnsi="TimesNewRomanPS-ItalicMT" w:cs="TimesNewRomanPS-ItalicMT"/>
          <w:i/>
          <w:iCs/>
          <w:sz w:val="24"/>
          <w:szCs w:val="24"/>
        </w:rPr>
        <w:t xml:space="preserve">Proposal: </w:t>
      </w:r>
      <w:r w:rsidRPr="003B7CB6">
        <w:rPr>
          <w:rFonts w:ascii="TimesNewRomanPS-ItalicMT" w:hAnsi="TimesNewRomanPS-ItalicMT" w:cs="TimesNewRomanPS-ItalicMT"/>
          <w:iCs/>
          <w:sz w:val="24"/>
          <w:szCs w:val="24"/>
        </w:rPr>
        <w:t xml:space="preserve">Examine revision of Radio Regulation footnote 5.522A and 5.522B and Article </w:t>
      </w:r>
      <w:r w:rsidRPr="003B7CB6">
        <w:rPr>
          <w:rFonts w:ascii="TimesNewRomanPS-ItalicMT" w:hAnsi="TimesNewRomanPS-ItalicMT" w:cs="TimesNewRomanPS-ItalicMT"/>
          <w:b/>
          <w:iCs/>
          <w:sz w:val="24"/>
          <w:szCs w:val="24"/>
        </w:rPr>
        <w:t>21</w:t>
      </w:r>
      <w:r w:rsidRPr="003B7CB6">
        <w:rPr>
          <w:rFonts w:ascii="TimesNewRomanPS-ItalicMT" w:hAnsi="TimesNewRomanPS-ItalicMT" w:cs="TimesNewRomanPS-ItalicMT"/>
          <w:iCs/>
          <w:sz w:val="24"/>
          <w:szCs w:val="24"/>
        </w:rPr>
        <w:t xml:space="preserve">, Table </w:t>
      </w:r>
      <w:r w:rsidRPr="003B7CB6">
        <w:rPr>
          <w:rFonts w:ascii="TimesNewRomanPS-ItalicMT" w:hAnsi="TimesNewRomanPS-ItalicMT" w:cs="TimesNewRomanPS-ItalicMT"/>
          <w:b/>
          <w:iCs/>
          <w:sz w:val="24"/>
          <w:szCs w:val="24"/>
        </w:rPr>
        <w:t>21-4</w:t>
      </w:r>
      <w:r w:rsidRPr="003B7CB6">
        <w:rPr>
          <w:rFonts w:ascii="TimesNewRomanPS-ItalicMT" w:hAnsi="TimesNewRomanPS-ItalicMT" w:cs="TimesNewRomanPS-ItalicMT"/>
          <w:iCs/>
          <w:sz w:val="24"/>
          <w:szCs w:val="24"/>
        </w:rPr>
        <w:t xml:space="preserve"> regarding expansion of regarding non-geostationary Fixed-Satellite Service systems with an apogee below 20 000 km that operate in the 18.6-18.8 GHz (space-to-Earth) band.</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rPr>
      </w:pPr>
      <w:r w:rsidRPr="003B7CB6">
        <w:rPr>
          <w:b/>
          <w:bCs/>
          <w:i/>
          <w:iCs/>
          <w:sz w:val="24"/>
          <w:szCs w:val="24"/>
        </w:rPr>
        <w:t>Background/reason:</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At WRC-97, the Earth exploration-satellite (passive) service was upgraded from secondary to primary status in Region 2.</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 xml:space="preserve">In the 1997-2000 study period leading up to WRC-2000, SG-4 and SG-7 examined the technical and regulatory issues associated with considering the possible worldwide allocation for the earth exploration-satellite (passive) and space research (passive) services in the band 18.6 - 18.8 GHz.  At the time, the allocation for the Earth exploration-satellite (passive) service was on a primary basis in Region 2, but on a secondary basis in Regions 1 and 3. These studies, performed under agenda item 1.17 (WRC-2000) which led to the establishment of the current footnote No. 5.522B, did not provide consideration for all types of non-geostationary (non-GSO) satellite systems that could operate in this band. </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 w:val="24"/>
        </w:rPr>
      </w:pPr>
      <w:r w:rsidRPr="003B7CB6">
        <w:rPr>
          <w:sz w:val="24"/>
        </w:rPr>
        <w:t xml:space="preserve">During the studies, only one non-GSO satellite system was planning to use this band above an altitude of 20,000 km. Accordingly, the constraint was imposed without appropriate consideration of non-GSO systems operating with an apogee below 20,000 km. Since there is a growing demand for Low Earth Orbit (LEO) and Medium Earth Orbit (MEO) global satellite broadband services, revisiting the studies performed in the band 18.6-18.8 GHz while taking into account the latest technology developments, could help facilitate the deployment of non-GSO systems operating with an apogee below 20,000 km. </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rPr>
      </w:pPr>
      <w:r w:rsidRPr="003B7CB6">
        <w:rPr>
          <w:b/>
          <w:bCs/>
          <w:i/>
          <w:iCs/>
          <w:sz w:val="24"/>
          <w:szCs w:val="24"/>
        </w:rPr>
        <w:t xml:space="preserve">Radiocommunication services concerned: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rFonts w:ascii="TimesNewRomanPSMT" w:hAnsi="TimesNewRomanPSMT" w:cs="TimesNewRomanPSMT"/>
          <w:sz w:val="24"/>
          <w:szCs w:val="24"/>
        </w:rPr>
        <w:t>Earth Exploration Satellite, Fixed, Mobile, Fixed-Satellite, Space research</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b/>
          <w:bCs/>
          <w:i/>
          <w:iCs/>
          <w:sz w:val="24"/>
          <w:szCs w:val="24"/>
        </w:rPr>
        <w:t xml:space="preserve">Indication of possible difficulties: </w:t>
      </w:r>
      <w:r w:rsidRPr="003B7CB6">
        <w:rPr>
          <w:rFonts w:ascii="TimesNewRomanPSMT" w:hAnsi="TimesNewRomanPSMT" w:cs="TimesNewRomanPSMT"/>
          <w:sz w:val="24"/>
          <w:szCs w:val="24"/>
        </w:rPr>
        <w:t xml:space="preserve"> None foreseen</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b/>
          <w:bCs/>
          <w:i/>
          <w:iCs/>
          <w:sz w:val="24"/>
          <w:szCs w:val="24"/>
        </w:rPr>
        <w:t xml:space="preserve">Previous/ongoing studies on the issue: </w:t>
      </w:r>
      <w:r w:rsidRPr="003B7CB6">
        <w:rPr>
          <w:rFonts w:ascii="TimesNewRomanPSMT" w:hAnsi="TimesNewRomanPSMT" w:cs="TimesNewRomanPSMT"/>
          <w:sz w:val="24"/>
          <w:szCs w:val="24"/>
        </w:rPr>
        <w:t xml:space="preserve">Studied in the 1997-2000 preparatory cycle leading up to WRC-2000 considering an allocation to EESS (passive) and SRS (passive). </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tblPr>
      <w:tblGrid>
        <w:gridCol w:w="3979"/>
        <w:gridCol w:w="5357"/>
      </w:tblGrid>
      <w:tr w:rsidTr="003B7CB6">
        <w:tblPrEx>
          <w:tblW w:w="0" w:type="auto"/>
          <w:tblBorders>
            <w:bottom w:val="single" w:sz="12" w:space="0" w:color="auto"/>
            <w:insideH w:val="single" w:sz="12" w:space="0" w:color="auto"/>
            <w:insideV w:val="single" w:sz="12" w:space="0" w:color="auto"/>
          </w:tblBorders>
          <w:tblCellMar>
            <w:left w:w="0" w:type="dxa"/>
            <w:right w:w="0" w:type="dxa"/>
          </w:tblCellMar>
          <w:tblLook w:val="04A0"/>
        </w:tblPrEx>
        <w:tc>
          <w:tcPr>
            <w:tcW w:w="3979" w:type="dxa"/>
            <w:tcBorders>
              <w:top w:val="nil"/>
              <w:left w:val="nil"/>
              <w:bottom w:val="single" w:sz="12" w:space="0" w:color="auto"/>
              <w:right w:val="single" w:sz="12" w:space="0" w:color="auto"/>
            </w:tcBorders>
            <w:hideMark/>
          </w:tcPr>
          <w:p w:rsidR="003B7CB6" w:rsidRPr="003B7CB6" w:rsidP="003B7CB6">
            <w:pPr>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Cs/>
                <w:iCs/>
                <w:color w:val="000000"/>
                <w:sz w:val="24"/>
                <w:szCs w:val="24"/>
              </w:rPr>
            </w:pPr>
            <w:r w:rsidRPr="003B7CB6">
              <w:rPr>
                <w:b/>
                <w:i/>
                <w:color w:val="000000"/>
                <w:sz w:val="24"/>
                <w:szCs w:val="24"/>
              </w:rPr>
              <w:t>Studies to be carried out by</w:t>
            </w:r>
            <w:r w:rsidRPr="003B7CB6">
              <w:rPr>
                <w:b/>
                <w:bCs/>
                <w:i/>
                <w:iCs/>
                <w:color w:val="000000"/>
                <w:sz w:val="24"/>
                <w:szCs w:val="24"/>
              </w:rPr>
              <w:t xml:space="preserve">: </w:t>
            </w:r>
            <w:r w:rsidRPr="003B7CB6">
              <w:rPr>
                <w:bCs/>
                <w:iCs/>
                <w:color w:val="000000"/>
                <w:sz w:val="24"/>
                <w:szCs w:val="24"/>
              </w:rPr>
              <w:t>ITU-R Study Group 4</w:t>
            </w:r>
          </w:p>
          <w:p w:rsidR="003B7CB6" w:rsidRPr="003B7CB6" w:rsidP="003B7CB6">
            <w:pPr>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
                <w:bCs/>
                <w:i/>
                <w:iCs/>
                <w:color w:val="000000"/>
                <w:sz w:val="24"/>
                <w:szCs w:val="24"/>
              </w:rPr>
            </w:pPr>
          </w:p>
        </w:tc>
        <w:tc>
          <w:tcPr>
            <w:tcW w:w="5357" w:type="dxa"/>
            <w:tcBorders>
              <w:top w:val="nil"/>
              <w:left w:val="single" w:sz="12" w:space="0" w:color="auto"/>
              <w:bottom w:val="single" w:sz="12" w:space="0" w:color="auto"/>
              <w:right w:val="nil"/>
            </w:tcBorders>
          </w:tcPr>
          <w:p w:rsidR="003B7CB6" w:rsidRPr="003B7CB6" w:rsidP="003B7CB6">
            <w:pPr>
              <w:framePr w:hSpace="181" w:wrap="notBeside" w:vAnchor="text" w:hAnchor="text" w:xAlign="center" w:y="1"/>
              <w:tabs>
                <w:tab w:val="left" w:pos="360"/>
                <w:tab w:val="left" w:pos="900"/>
                <w:tab w:val="left" w:pos="1134"/>
                <w:tab w:val="left" w:pos="1871"/>
                <w:tab w:val="left" w:pos="2268"/>
                <w:tab w:val="left" w:pos="4366"/>
              </w:tabs>
              <w:overflowPunct w:val="0"/>
              <w:autoSpaceDE w:val="0"/>
              <w:autoSpaceDN w:val="0"/>
              <w:adjustRightInd w:val="0"/>
              <w:spacing w:before="120"/>
              <w:ind w:left="113"/>
              <w:textAlignment w:val="baseline"/>
              <w:rPr>
                <w:bCs/>
                <w:i/>
                <w:color w:val="000000"/>
                <w:sz w:val="24"/>
                <w:szCs w:val="24"/>
              </w:rPr>
            </w:pPr>
            <w:r w:rsidRPr="003B7CB6">
              <w:rPr>
                <w:bCs/>
                <w:i/>
                <w:color w:val="000000"/>
                <w:sz w:val="24"/>
                <w:szCs w:val="24"/>
              </w:rPr>
              <w:t xml:space="preserve">with the participation of: </w:t>
            </w:r>
          </w:p>
          <w:p w:rsidR="003B7CB6" w:rsidRPr="003B7CB6" w:rsidP="003B7CB6">
            <w:pPr>
              <w:framePr w:hSpace="181" w:wrap="notBeside" w:vAnchor="text" w:hAnchor="text" w:xAlign="center" w:y="1"/>
              <w:tabs>
                <w:tab w:val="left" w:pos="360"/>
                <w:tab w:val="left" w:pos="900"/>
                <w:tab w:val="left" w:pos="1134"/>
                <w:tab w:val="left" w:pos="1871"/>
                <w:tab w:val="left" w:pos="2268"/>
                <w:tab w:val="left" w:pos="4366"/>
              </w:tabs>
              <w:overflowPunct w:val="0"/>
              <w:autoSpaceDE w:val="0"/>
              <w:autoSpaceDN w:val="0"/>
              <w:adjustRightInd w:val="0"/>
              <w:spacing w:before="120"/>
              <w:ind w:left="113"/>
              <w:textAlignment w:val="baseline"/>
              <w:rPr>
                <w:iCs/>
                <w:color w:val="000000"/>
                <w:sz w:val="24"/>
                <w:szCs w:val="24"/>
              </w:rPr>
            </w:pPr>
          </w:p>
          <w:p w:rsidR="003B7CB6" w:rsidRPr="003B7CB6" w:rsidP="003B7CB6">
            <w:pPr>
              <w:framePr w:hSpace="181" w:wrap="notBeside" w:vAnchor="text" w:hAnchor="text" w:xAlign="center" w:y="1"/>
              <w:tabs>
                <w:tab w:val="left" w:pos="360"/>
                <w:tab w:val="left" w:pos="900"/>
                <w:tab w:val="left" w:pos="1134"/>
                <w:tab w:val="left" w:pos="1871"/>
                <w:tab w:val="left" w:pos="2268"/>
                <w:tab w:val="left" w:pos="4366"/>
              </w:tabs>
              <w:overflowPunct w:val="0"/>
              <w:autoSpaceDE w:val="0"/>
              <w:autoSpaceDN w:val="0"/>
              <w:adjustRightInd w:val="0"/>
              <w:spacing w:before="120"/>
              <w:ind w:left="113"/>
              <w:textAlignment w:val="baseline"/>
              <w:rPr>
                <w:b/>
                <w:bCs/>
                <w:iCs/>
                <w:color w:val="000000"/>
                <w:sz w:val="24"/>
                <w:szCs w:val="24"/>
              </w:rPr>
            </w:pPr>
          </w:p>
        </w:tc>
      </w:tr>
    </w:tbl>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b/>
          <w:bCs/>
          <w:i/>
          <w:iCs/>
          <w:sz w:val="24"/>
          <w:szCs w:val="24"/>
        </w:rPr>
        <w:t xml:space="preserve">ITU-R Study Groups concerned: </w:t>
      </w:r>
      <w:r w:rsidRPr="003B7CB6">
        <w:rPr>
          <w:rFonts w:ascii="TimesNewRomanPSMT" w:hAnsi="TimesNewRomanPSMT" w:cs="TimesNewRomanPSMT"/>
          <w:sz w:val="24"/>
          <w:szCs w:val="24"/>
        </w:rPr>
        <w:t>SG 5 and SG 7</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b/>
          <w:bCs/>
          <w:i/>
          <w:iCs/>
          <w:sz w:val="24"/>
          <w:szCs w:val="24"/>
        </w:rPr>
        <w:t>ITU resource implications, including financial implications (refer to CV126):</w:t>
      </w:r>
      <w:r w:rsidRPr="003B7CB6">
        <w:rPr>
          <w:rFonts w:ascii="TimesNewRomanPSMT" w:hAnsi="TimesNewRomanPSMT" w:cs="TimesNewRomanPSMT"/>
          <w:sz w:val="24"/>
          <w:szCs w:val="24"/>
        </w:rPr>
        <w:t xml:space="preserve">  Minimal</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rPr>
      </w:pPr>
      <w:r w:rsidRPr="003B7CB6">
        <w:rPr>
          <w:b/>
          <w:bCs/>
          <w:i/>
          <w:iCs/>
          <w:sz w:val="24"/>
          <w:szCs w:val="24"/>
        </w:rPr>
        <w:t xml:space="preserve">Common regional proposal: </w:t>
      </w:r>
      <w:r w:rsidRPr="003B7CB6">
        <w:rPr>
          <w:rFonts w:ascii="TimesNewRomanPSMT" w:hAnsi="TimesNewRomanPSMT" w:cs="TimesNewRomanPSMT"/>
          <w:sz w:val="24"/>
          <w:szCs w:val="24"/>
        </w:rPr>
        <w:t xml:space="preserve">No </w:t>
      </w:r>
      <w:r w:rsidRPr="003B7CB6">
        <w:rPr>
          <w:rFonts w:ascii="TimesNewRomanPSMT" w:hAnsi="TimesNewRomanPSMT" w:cs="TimesNewRomanPSMT"/>
          <w:sz w:val="24"/>
          <w:szCs w:val="24"/>
        </w:rPr>
        <w:tab/>
      </w:r>
      <w:r w:rsidRPr="003B7CB6">
        <w:rPr>
          <w:rFonts w:ascii="TimesNewRomanPSMT" w:hAnsi="TimesNewRomanPSMT" w:cs="TimesNewRomanPSMT"/>
          <w:sz w:val="24"/>
          <w:szCs w:val="24"/>
        </w:rPr>
        <w:tab/>
      </w:r>
      <w:r w:rsidRPr="003B7CB6">
        <w:rPr>
          <w:b/>
          <w:bCs/>
          <w:i/>
          <w:iCs/>
          <w:sz w:val="24"/>
          <w:szCs w:val="24"/>
        </w:rPr>
        <w:t xml:space="preserve">Multicountry proposal: </w:t>
      </w:r>
      <w:r w:rsidRPr="003B7CB6">
        <w:rPr>
          <w:rFonts w:ascii="TimesNewRomanPSMT" w:hAnsi="TimesNewRomanPSMT" w:cs="TimesNewRomanPSMT"/>
          <w:sz w:val="24"/>
          <w:szCs w:val="24"/>
        </w:rPr>
        <w:t>No</w:t>
      </w:r>
    </w:p>
    <w:p w:rsidR="003B7CB6" w:rsidRPr="003B7CB6" w:rsidP="003B7CB6">
      <w:pPr>
        <w:tabs>
          <w:tab w:val="left" w:pos="1134"/>
          <w:tab w:val="left" w:pos="1871"/>
          <w:tab w:val="left" w:pos="2268"/>
        </w:tabs>
        <w:overflowPunct w:val="0"/>
        <w:autoSpaceDE w:val="0"/>
        <w:autoSpaceDN w:val="0"/>
        <w:adjustRightInd w:val="0"/>
        <w:spacing w:before="120"/>
        <w:ind w:firstLine="720"/>
        <w:textAlignment w:val="baseline"/>
        <w:rPr>
          <w:rFonts w:ascii="TimesNewRomanPS-ItalicMT" w:hAnsi="TimesNewRomanPS-ItalicMT" w:cs="TimesNewRomanPS-ItalicMT"/>
          <w:i/>
          <w:iCs/>
          <w:sz w:val="24"/>
          <w:szCs w:val="24"/>
        </w:rPr>
      </w:pPr>
      <w:r w:rsidRPr="003B7CB6">
        <w:rPr>
          <w:rFonts w:ascii="TimesNewRomanPS-ItalicMT" w:hAnsi="TimesNewRomanPS-ItalicMT" w:cs="TimesNewRomanPS-ItalicMT"/>
          <w:i/>
          <w:iCs/>
          <w:sz w:val="24"/>
          <w:szCs w:val="24"/>
        </w:rPr>
        <w:t>Number of countries:</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rPr>
      </w:pPr>
      <w:r w:rsidRPr="003B7CB6">
        <w:rPr>
          <w:color w:val="000000"/>
          <w:sz w:val="24"/>
          <w:szCs w:val="24"/>
        </w:rPr>
        <w:t>One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rPr>
      </w:pPr>
      <w:r w:rsidRPr="003B7CB6">
        <w:rPr>
          <w:b/>
          <w:bCs/>
          <w:i/>
          <w:iCs/>
          <w:sz w:val="24"/>
          <w:szCs w:val="24"/>
        </w:rPr>
        <w:t>Remarks</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rPr>
      </w:pPr>
    </w:p>
    <w:p w:rsidR="003B7CB6" w:rsidP="003B7CB6">
      <w:pPr>
        <w:spacing w:after="200" w:line="276" w:lineRule="auto"/>
        <w:jc w:val="center"/>
        <w:rPr>
          <w:b/>
          <w:sz w:val="24"/>
          <w:szCs w:val="24"/>
        </w:rPr>
      </w:pPr>
      <w:r>
        <w:rPr>
          <w:b/>
          <w:sz w:val="24"/>
          <w:szCs w:val="24"/>
        </w:rPr>
        <w:t>_______________________</w:t>
      </w:r>
    </w:p>
    <w:p w:rsidR="003B7CB6">
      <w:pPr>
        <w:spacing w:after="200" w:line="276" w:lineRule="auto"/>
        <w:rPr>
          <w:b/>
          <w:sz w:val="24"/>
          <w:szCs w:val="24"/>
        </w:rPr>
      </w:pPr>
      <w:r>
        <w:rPr>
          <w:b/>
          <w:sz w:val="24"/>
          <w:szCs w:val="24"/>
        </w:rPr>
        <w:br w:type="page"/>
      </w:r>
    </w:p>
    <w:p w:rsidR="003B7CB6" w:rsidP="003B7CB6">
      <w:pPr>
        <w:spacing w:after="200" w:line="276" w:lineRule="auto"/>
        <w:rPr>
          <w:b/>
          <w:sz w:val="24"/>
          <w:szCs w:val="24"/>
        </w:rPr>
      </w:pPr>
      <w:r>
        <w:rPr>
          <w:b/>
          <w:sz w:val="24"/>
          <w:szCs w:val="24"/>
        </w:rPr>
        <w:t>DOCUMENT WAC/093 (11.03.19)</w:t>
      </w:r>
    </w:p>
    <w:p w:rsidR="003B7CB6" w:rsidP="003B7CB6">
      <w:pPr>
        <w:spacing w:after="200" w:line="276" w:lineRule="auto"/>
        <w:rPr>
          <w:b/>
          <w:sz w:val="24"/>
          <w:szCs w:val="24"/>
        </w:rPr>
      </w:pPr>
      <w:r w:rsidRPr="00C44E33">
        <w:rPr>
          <w:noProof/>
        </w:rPr>
        <w:drawing>
          <wp:inline distT="0" distB="0" distL="0" distR="0">
            <wp:extent cx="6115685" cy="2044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70829" name="Picture 4"/>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15685" cy="2044436"/>
                    </a:xfrm>
                    <a:prstGeom prst="rect">
                      <a:avLst/>
                    </a:prstGeom>
                    <a:noFill/>
                    <a:ln>
                      <a:noFill/>
                    </a:ln>
                  </pic:spPr>
                </pic:pic>
              </a:graphicData>
            </a:graphic>
          </wp:inline>
        </w:drawing>
      </w:r>
    </w:p>
    <w:p w:rsidR="003B7CB6" w:rsidP="003B7CB6">
      <w:pPr>
        <w:spacing w:after="200" w:line="276" w:lineRule="auto"/>
        <w:rPr>
          <w:b/>
          <w:sz w:val="24"/>
          <w:szCs w:val="24"/>
        </w:rPr>
      </w:pPr>
    </w:p>
    <w:p w:rsidR="003B7CB6" w:rsidRPr="003B7CB6" w:rsidP="003B7CB6">
      <w:pPr>
        <w:tabs>
          <w:tab w:val="left" w:pos="1134"/>
          <w:tab w:val="left" w:pos="1871"/>
          <w:tab w:val="left" w:pos="2268"/>
        </w:tabs>
        <w:spacing w:before="120"/>
        <w:rPr>
          <w:sz w:val="24"/>
          <w:lang w:val="en-GB"/>
        </w:rPr>
      </w:pPr>
      <w:r w:rsidRPr="003B7CB6">
        <w:rPr>
          <w:sz w:val="24"/>
          <w:lang w:val="en-GB"/>
        </w:rPr>
        <w:t>10</w:t>
      </w:r>
      <w:r w:rsidRPr="003B7CB6">
        <w:rPr>
          <w:b/>
          <w:bCs/>
          <w:sz w:val="24"/>
          <w:lang w:val="en-GB"/>
        </w:rPr>
        <w:tab/>
      </w:r>
      <w:r w:rsidRPr="003B7CB6">
        <w:rPr>
          <w:sz w:val="24"/>
          <w:lang w:val="en-GB"/>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3B7CB6" w:rsidRPr="003B7CB6" w:rsidP="003B7CB6">
      <w:pPr>
        <w:tabs>
          <w:tab w:val="left" w:pos="1134"/>
          <w:tab w:val="left" w:pos="1871"/>
          <w:tab w:val="left" w:pos="2268"/>
        </w:tabs>
        <w:spacing w:before="120"/>
        <w:rPr>
          <w:sz w:val="24"/>
          <w:lang w:val="en-GB"/>
        </w:rPr>
      </w:pPr>
    </w:p>
    <w:p w:rsidR="003B7CB6" w:rsidRPr="003B7CB6" w:rsidP="003B7CB6">
      <w:pPr>
        <w:tabs>
          <w:tab w:val="left" w:pos="1134"/>
          <w:tab w:val="left" w:pos="1871"/>
          <w:tab w:val="left" w:pos="2268"/>
        </w:tabs>
        <w:spacing w:before="120"/>
        <w:rPr>
          <w:sz w:val="24"/>
          <w:lang w:val="en-GB"/>
        </w:rPr>
      </w:pPr>
    </w:p>
    <w:p w:rsidR="003B7CB6" w:rsidRPr="003B7CB6" w:rsidP="003B7CB6">
      <w:pPr>
        <w:rPr>
          <w:sz w:val="24"/>
          <w:lang w:val="fr-CH"/>
        </w:rPr>
      </w:pPr>
    </w:p>
    <w:p w:rsidR="003B7CB6" w:rsidRPr="003B7CB6" w:rsidP="003B7CB6">
      <w:pPr>
        <w:rPr>
          <w:sz w:val="24"/>
          <w:lang w:val="fr-CH"/>
        </w:rPr>
      </w:pPr>
      <w:r w:rsidRPr="003B7CB6">
        <w:rPr>
          <w:sz w:val="24"/>
          <w:lang w:val="fr-CH"/>
        </w:rPr>
        <w:br w:type="page"/>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color w:val="000000"/>
          <w:sz w:val="24"/>
          <w:szCs w:val="24"/>
          <w:lang w:val="en-GB"/>
        </w:rPr>
      </w:pPr>
      <w:r w:rsidRPr="003B7CB6">
        <w:rPr>
          <w:rFonts w:ascii="TimesNewRomanPS-BoldMT" w:hAnsi="TimesNewRomanPS-BoldMT" w:cs="TimesNewRomanPS-BoldMT"/>
          <w:b/>
          <w:bCs/>
          <w:color w:val="000000"/>
          <w:sz w:val="24"/>
          <w:szCs w:val="24"/>
          <w:lang w:val="en-GB"/>
        </w:rPr>
        <w:t xml:space="preserve">Background Information: </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Non-geostationary (“NGSO”) satellite constellations in frequency bands 17.7-20.2 GHz (space-to-Earth) and 27.5-30 GHz (Earth-to-space) enable the provision of Internet connectivity and more of such NGSO systems offering broadband solutions are planned to be deployed in the near future in the same bands and in the 37.5-39.5 GHz (space-to-Earth), 39.5-42.5 GHz (space-to-Earth), 47.2-50.2 GHz (Earth-to-space) and 50.4-51.4 GHz (Earth-to-space). These constellations are designed to meet the consumer demand for access to broadband connectivity, regardless of location. One area of noticeable growth for NGSO connectivity is for earth stations in motion (“ESIM”). This market segment is particularly well served by satellites and in instances where lower latency matters, NGSO connectivity is there to deliver. For example, there is growing demand for high performance connectivity for users on maritime vessels and aircraft, as well as for other applications at both fixed locations and while in motion. New and next generation NGSO systems will be designed to serve smaller ESIM terminals and as such NGSO systems offer the potential to expand connectivity to new market segments rapidly. In order to facilitate the further deployment of ubiquitous broadband connectivity to ESIM services in the above mentioned frequency bands, there should be consideration on how to develop internationally harmonized spectrum</w:t>
      </w:r>
      <w:r w:rsidRPr="003B7CB6">
        <w:rPr>
          <w:sz w:val="24"/>
          <w:lang w:val="en-GB"/>
        </w:rPr>
        <w:t xml:space="preserve"> </w:t>
      </w:r>
      <w:r w:rsidRPr="003B7CB6">
        <w:rPr>
          <w:szCs w:val="22"/>
          <w:lang w:val="en-GB"/>
        </w:rPr>
        <w:t>technical and regulatory measures or frameworks</w:t>
      </w:r>
      <w:r w:rsidRPr="003B7CB6">
        <w:rPr>
          <w:szCs w:val="22"/>
          <w:lang w:val="en-GB"/>
        </w:rPr>
        <w:t xml:space="preserve"> </w:t>
      </w:r>
      <w:r w:rsidRPr="003B7CB6">
        <w:rPr>
          <w:szCs w:val="22"/>
          <w:lang w:val="en-GB"/>
        </w:rPr>
        <w:t>that will enable and facilitate deployment of this critical and valuable service using NGSO satellites.</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It is proposed to carry out technical sharing studies between all types of ESIM communicating with NGSO FSS systems with other primary services in the frequency bands 17.7-20.2 GHz (space-to-Earth), 27.5-30.0 GHz (Earth-to-space), 37.5-39.5 GHz (space-to-Earth), 39.5-42.5 GHz (space-to-Earth), 47.2-50.2 GHz (Earth-to-space) and 50.4-51.4 GHz (Earth-to-space), in order to develop appropriate technical and regulatory requirements (which may include, but not limited to, off-axis EIRP density limits, minimum antenna elevation angles and power-flux densities) to facilitate the operations of such earth stations, while ensuring harmful interference is not caused to other primary services.</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 xml:space="preserve">This proposal does not call for the revision of the epfd limits in Article </w:t>
      </w:r>
      <w:r w:rsidRPr="003B7CB6">
        <w:rPr>
          <w:b/>
          <w:szCs w:val="22"/>
          <w:lang w:val="en-GB"/>
        </w:rPr>
        <w:t>22</w:t>
      </w:r>
      <w:r w:rsidRPr="003B7CB6">
        <w:rPr>
          <w:szCs w:val="22"/>
          <w:lang w:val="en-GB"/>
        </w:rPr>
        <w:t xml:space="preserve"> of the Radio Regulations for the frequency bands of 17.8-18.6 GHz, 19.7-20.2 GHz (space-to-Earth) / 27.5-28.6 GHz, 29.5-30 GHz (Earth-to-space) and 17.8-18.4 GHz (inter-satellite) nor any provisions established by WRC-19 in consideration of Resolution </w:t>
      </w:r>
      <w:r w:rsidRPr="003B7CB6">
        <w:rPr>
          <w:b/>
          <w:szCs w:val="22"/>
          <w:lang w:val="en-GB"/>
        </w:rPr>
        <w:t>159</w:t>
      </w:r>
      <w:r w:rsidRPr="003B7CB6">
        <w:rPr>
          <w:szCs w:val="22"/>
          <w:lang w:val="en-GB"/>
        </w:rPr>
        <w:t xml:space="preserve"> (</w:t>
      </w:r>
      <w:r w:rsidRPr="003B7CB6">
        <w:rPr>
          <w:b/>
          <w:szCs w:val="22"/>
          <w:lang w:val="en-GB"/>
        </w:rPr>
        <w:t>WRC-15</w:t>
      </w:r>
      <w:r w:rsidRPr="003B7CB6">
        <w:rPr>
          <w:szCs w:val="22"/>
          <w:lang w:val="en-GB"/>
        </w:rPr>
        <w:t>).</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 xml:space="preserve">In studying the frequencies 29.1-29.5 GHz for use by FSS NGSO ESIMs, it is necessary to first study the technical and regulatory measures necessary to allow other uses by FSS NGSO satellite systems not limited to MSS feeder links, subject to provision </w:t>
      </w:r>
      <w:r w:rsidRPr="003B7CB6">
        <w:rPr>
          <w:b/>
          <w:szCs w:val="22"/>
          <w:lang w:val="en-GB"/>
        </w:rPr>
        <w:t>No. 22.2</w:t>
      </w:r>
      <w:r w:rsidRPr="003B7CB6">
        <w:rPr>
          <w:szCs w:val="22"/>
          <w:lang w:val="en-GB"/>
        </w:rPr>
        <w:t xml:space="preserve">. </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Cs/>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sz w:val="24"/>
          <w:szCs w:val="24"/>
          <w:lang w:val="en-GB"/>
        </w:rPr>
      </w:pPr>
      <w:r w:rsidRPr="003B7CB6">
        <w:rPr>
          <w:rFonts w:ascii="TimesNewRomanPS-BoldMT" w:hAnsi="TimesNewRomanPS-BoldMT" w:cs="TimesNewRomanPS-BoldMT"/>
          <w:b/>
          <w:bCs/>
          <w:sz w:val="24"/>
          <w:szCs w:val="24"/>
          <w:lang w:val="en-GB"/>
        </w:rPr>
        <w:t>Proposals</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SUP</w:t>
      </w:r>
      <w:r w:rsidRPr="003B7CB6">
        <w:rPr>
          <w:rFonts w:hAnsi="Times New Roman Bold"/>
          <w:b/>
          <w:sz w:val="24"/>
          <w:lang w:val="en-GB"/>
        </w:rPr>
        <w:tab/>
        <w:t>USA/10(XXX)/1</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3B7CB6">
        <w:rPr>
          <w:caps/>
          <w:sz w:val="28"/>
          <w:lang w:val="en-GB"/>
        </w:rPr>
        <w:t>RESOLUTION 810 (WRC</w:t>
      </w:r>
      <w:r w:rsidRPr="003B7CB6">
        <w:rPr>
          <w:caps/>
          <w:sz w:val="28"/>
          <w:lang w:val="en-GB"/>
        </w:rPr>
        <w:noBreakHyphen/>
        <w:t>15)</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3B7CB6">
        <w:rPr>
          <w:rFonts w:ascii="Times New Roman Bold" w:hAnsi="Times New Roman Bold"/>
          <w:b/>
          <w:sz w:val="28"/>
          <w:lang w:val="en-GB"/>
        </w:rPr>
        <w:t>Preliminary agenda for the 2023 World Radiocommunication Conference</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lang w:val="en-GB"/>
        </w:rPr>
      </w:pPr>
      <w:r w:rsidRPr="003B7CB6">
        <w:rPr>
          <w:sz w:val="24"/>
          <w:lang w:val="en-GB"/>
        </w:rPr>
        <w:t>The World Radiocommunication Conference (Geneva, 2015),</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r w:rsidRPr="003B7CB6">
        <w:rPr>
          <w:b/>
          <w:sz w:val="24"/>
          <w:lang w:val="en-GB"/>
        </w:rPr>
        <w:t>Reasons:</w:t>
      </w:r>
      <w:r w:rsidRPr="003B7CB6">
        <w:rPr>
          <w:sz w:val="24"/>
          <w:lang w:val="en-GB"/>
        </w:rPr>
        <w:tab/>
        <w:t>This Resolution must be suppressed, as WRC-19 will create a new Resolution that will include the agenda for WRC-23.</w:t>
      </w: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ADD</w:t>
      </w:r>
      <w:r w:rsidRPr="003B7CB6">
        <w:rPr>
          <w:rFonts w:hAnsi="Times New Roman Bold"/>
          <w:b/>
          <w:sz w:val="24"/>
          <w:lang w:val="en-GB"/>
        </w:rPr>
        <w:tab/>
        <w:t>USA/10(XXX)/2</w:t>
      </w:r>
    </w:p>
    <w:p w:rsidR="003B7CB6" w:rsidRPr="003B7CB6" w:rsidP="003B7CB6">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3B7CB6">
        <w:rPr>
          <w:caps/>
          <w:sz w:val="28"/>
          <w:lang w:val="en-GB"/>
        </w:rPr>
        <w:t>Draft New Resolution [USA-2023]</w:t>
      </w:r>
    </w:p>
    <w:p w:rsidR="003B7CB6" w:rsidRPr="003B7CB6" w:rsidP="003B7CB6">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3B7CB6">
        <w:rPr>
          <w:rFonts w:ascii="Times New Roman Bold" w:hAnsi="Times New Roman Bold"/>
          <w:b/>
          <w:sz w:val="28"/>
          <w:lang w:val="en-GB"/>
        </w:rPr>
        <w:t>Agenda for the 2023 World Radiocommunication Conference</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sz w:val="24"/>
          <w:lang w:val="en-GB"/>
        </w:rPr>
      </w:pPr>
      <w:r w:rsidRPr="003B7CB6">
        <w:rPr>
          <w:sz w:val="24"/>
          <w:lang w:val="en-GB"/>
        </w:rPr>
        <w:t>The World Radiocommunication Conference (Geneva, 2015),</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considering</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a)</w:t>
      </w:r>
      <w:r w:rsidRPr="003B7CB6">
        <w:rPr>
          <w:sz w:val="24"/>
          <w:lang w:val="en-GB"/>
        </w:rPr>
        <w:tab/>
        <w:t>that, in accordance with No. 118 of the ITU Convention, the general scope of the agenda for a world radiocommunication conference should be established four to six years in advance and that a final agenda shall be established by the Council two years before the conference;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b)</w:t>
      </w:r>
      <w:r w:rsidRPr="003B7CB6">
        <w:rPr>
          <w:sz w:val="24"/>
          <w:lang w:val="en-GB"/>
        </w:rPr>
        <w:tab/>
        <w:t>Article 13 of the ITU Constitution relating to the competence and scheduling of world radiocommunication conferences and Article 7 of the Convention relating to their agendas;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i/>
          <w:iCs/>
          <w:sz w:val="24"/>
          <w:lang w:val="en-GB"/>
        </w:rPr>
        <w:t>c)</w:t>
      </w:r>
      <w:r w:rsidRPr="003B7CB6">
        <w:rPr>
          <w:sz w:val="24"/>
          <w:lang w:val="en-GB"/>
        </w:rPr>
        <w:tab/>
        <w:t>the relevant resolutions and recommendations of previous world administrative radio conferences (WARCs) and world radiocommunication conferences (WRCs),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recommend to the Council that a world radiocommunication conference be held in 2023 for a maximum period of four weeks, with the following agenda:</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1</w:t>
      </w:r>
      <w:r w:rsidRPr="003B7CB6">
        <w:rPr>
          <w:sz w:val="24"/>
          <w:lang w:val="en-GB"/>
        </w:rPr>
        <w:tab/>
        <w:t>on the basis of proposals from administrations, taking account of the results of WRC</w:t>
      </w:r>
      <w:r w:rsidRPr="003B7CB6">
        <w:rPr>
          <w:sz w:val="24"/>
          <w:lang w:val="en-GB"/>
        </w:rPr>
        <w:noBreakHyphen/>
        <w:t>15 and the Report of the Conference Preparatory Meeting, and with due regard to the requirements of existing and future services in the bands under consideration, to consider and take appropriate action in respect of the following items: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bCs/>
          <w:sz w:val="24"/>
          <w:lang w:val="en-GB"/>
        </w:rPr>
        <w:t>1.[NGSO-ESIM]</w:t>
      </w:r>
      <w:r w:rsidRPr="003B7CB6">
        <w:rPr>
          <w:bCs/>
          <w:sz w:val="24"/>
          <w:lang w:val="en-GB"/>
        </w:rPr>
        <w:tab/>
      </w:r>
      <w:r w:rsidRPr="003B7CB6">
        <w:rPr>
          <w:rFonts w:ascii="TimesNewRomanPSMT" w:hAnsi="TimesNewRomanPSMT" w:cs="TimesNewRomanPSMT"/>
          <w:sz w:val="24"/>
          <w:szCs w:val="24"/>
          <w:lang w:val="en-GB"/>
        </w:rPr>
        <w:t xml:space="preserve">to consider, on the basis of ITU-R studies in accordance with Resolution </w:t>
      </w:r>
      <w:r w:rsidRPr="003B7CB6">
        <w:rPr>
          <w:rFonts w:ascii="TimesNewRomanPSMT" w:hAnsi="TimesNewRomanPSMT" w:cs="TimesNewRomanPSMT"/>
          <w:b/>
          <w:sz w:val="24"/>
          <w:szCs w:val="24"/>
          <w:lang w:val="en-GB"/>
        </w:rPr>
        <w:t>[USA/10/NGSO ESIM] (WRC-19)</w:t>
      </w:r>
      <w:r w:rsidRPr="003B7CB6">
        <w:rPr>
          <w:rFonts w:ascii="TimesNewRomanPSMT" w:hAnsi="TimesNewRomanPSMT" w:cs="TimesNewRomanPSMT"/>
          <w:sz w:val="24"/>
          <w:szCs w:val="24"/>
          <w:lang w:val="en-GB"/>
        </w:rPr>
        <w:t>, appropriate regulatory actions, for the use of the frequency bands 17.7-20.2 GHz (space-to-Earth), 27.5-30.0 GHz (Earth-to-space), 37.5-39.5 GHz (space-to-Earth), 39.5-42.5 GHz (space-to-Earth), 47.2-50.2 GHz (Earth-to-space) and 50.4-51.4 GHz (Earth-to-space) by earth stations in motion communicating with non-geostationary space stations in the fixed-satellite service</w:t>
      </w:r>
      <w:r w:rsidRPr="003B7CB6">
        <w:rPr>
          <w:sz w:val="24"/>
          <w:lang w:val="en-GB"/>
        </w:rPr>
        <w:t>;</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resolves further</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activate the Conference Preparatory Meeting,</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invites the Council</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finalize the agenda and arrange for the convening of WRC</w:t>
      </w:r>
      <w:r w:rsidRPr="003B7CB6">
        <w:rPr>
          <w:sz w:val="24"/>
          <w:lang w:val="en-GB"/>
        </w:rPr>
        <w:noBreakHyphen/>
        <w:t>23, and to initiate as soon as possible the necessary consultations with Member States,</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instructs the Director of the Radiocommunication Bureau</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make the necessary arrangements to convene meetings of the Conference Preparatory Meeting and to prepare a report to WRC</w:t>
      </w:r>
      <w:r w:rsidRPr="003B7CB6">
        <w:rPr>
          <w:sz w:val="24"/>
          <w:lang w:val="en-GB"/>
        </w:rPr>
        <w:noBreakHyphen/>
        <w:t>23,</w:t>
      </w:r>
    </w:p>
    <w:p w:rsidR="003B7CB6" w:rsidRPr="003B7CB6" w:rsidP="003B7CB6">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3B7CB6">
        <w:rPr>
          <w:i/>
          <w:sz w:val="24"/>
          <w:lang w:val="en-GB"/>
        </w:rPr>
        <w:t>instructs the Secretary-General</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t>to communicate this Resolution to international and regional organizations concerned.</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rFonts w:ascii="TimesNewRomanPSMT" w:hAnsi="TimesNewRomanPSMT" w:cs="TimesNewRomanPSMT"/>
          <w:sz w:val="24"/>
          <w:szCs w:val="24"/>
          <w:lang w:val="en-GB"/>
        </w:rPr>
      </w:pPr>
      <w:r w:rsidRPr="003B7CB6">
        <w:rPr>
          <w:b/>
          <w:sz w:val="24"/>
          <w:lang w:val="en-GB"/>
        </w:rPr>
        <w:t>Reasons:</w:t>
      </w:r>
      <w:r w:rsidRPr="003B7CB6">
        <w:rPr>
          <w:sz w:val="24"/>
          <w:lang w:val="en-GB"/>
        </w:rPr>
        <w:tab/>
        <w:t xml:space="preserve">To fulfil the growing need for connectivity ‘in motion’ by allowing operation of ESIM with NGSO in additional frequency bands while preventing harmful interference to other services. </w:t>
      </w:r>
    </w:p>
    <w:p w:rsidR="003B7CB6" w:rsidRPr="003B7CB6" w:rsidP="003B7CB6">
      <w:pPr>
        <w:tabs>
          <w:tab w:val="left" w:pos="1134"/>
          <w:tab w:val="left" w:pos="1588"/>
          <w:tab w:val="left" w:pos="1985"/>
        </w:tabs>
        <w:overflowPunct w:val="0"/>
        <w:autoSpaceDE w:val="0"/>
        <w:autoSpaceDN w:val="0"/>
        <w:adjustRightInd w:val="0"/>
        <w:spacing w:before="120"/>
        <w:textAlignment w:val="baseline"/>
        <w:rPr>
          <w:sz w:val="24"/>
          <w:lang w:val="en-GB"/>
        </w:rPr>
      </w:pPr>
    </w:p>
    <w:p w:rsidR="003B7CB6" w:rsidRPr="003B7CB6" w:rsidP="003B7CB6">
      <w:pPr>
        <w:keepNext/>
        <w:tabs>
          <w:tab w:val="left" w:pos="1134"/>
          <w:tab w:val="left" w:pos="1871"/>
          <w:tab w:val="left" w:pos="2268"/>
        </w:tabs>
        <w:overflowPunct w:val="0"/>
        <w:autoSpaceDE w:val="0"/>
        <w:autoSpaceDN w:val="0"/>
        <w:adjustRightInd w:val="0"/>
        <w:spacing w:before="240"/>
        <w:textAlignment w:val="baseline"/>
        <w:rPr>
          <w:rFonts w:hAnsi="Times New Roman Bold"/>
          <w:b/>
          <w:sz w:val="24"/>
          <w:lang w:val="en-GB"/>
        </w:rPr>
      </w:pPr>
      <w:r w:rsidRPr="003B7CB6">
        <w:rPr>
          <w:rFonts w:hAnsi="Times New Roman Bold"/>
          <w:b/>
          <w:sz w:val="24"/>
          <w:lang w:val="en-GB"/>
        </w:rPr>
        <w:t>ADD</w:t>
      </w:r>
      <w:r w:rsidRPr="003B7CB6">
        <w:rPr>
          <w:rFonts w:hAnsi="Times New Roman Bold"/>
          <w:b/>
          <w:sz w:val="24"/>
          <w:lang w:val="en-GB"/>
        </w:rPr>
        <w:tab/>
        <w:t>USA/10(XXX)/3</w:t>
      </w:r>
    </w:p>
    <w:p w:rsidR="003B7CB6" w:rsidRPr="003B7CB6" w:rsidP="003B7CB6">
      <w:pPr>
        <w:tabs>
          <w:tab w:val="left" w:pos="1134"/>
          <w:tab w:val="left" w:pos="1871"/>
          <w:tab w:val="left" w:pos="2268"/>
        </w:tabs>
        <w:overflowPunct w:val="0"/>
        <w:autoSpaceDE w:val="0"/>
        <w:autoSpaceDN w:val="0"/>
        <w:adjustRightInd w:val="0"/>
        <w:spacing w:before="120"/>
        <w:jc w:val="center"/>
        <w:textAlignment w:val="baseline"/>
        <w:rPr>
          <w:sz w:val="28"/>
          <w:szCs w:val="28"/>
          <w:lang w:val="en-GB"/>
        </w:rPr>
      </w:pPr>
      <w:r w:rsidRPr="003B7CB6">
        <w:rPr>
          <w:sz w:val="28"/>
          <w:szCs w:val="28"/>
          <w:lang w:val="en-GB"/>
        </w:rPr>
        <w:t>DRAFT NEW RESOLUTION [USA/10/NGSO ESIM] (WRC-19)</w:t>
      </w:r>
    </w:p>
    <w:p w:rsidR="003B7CB6" w:rsidRPr="003B7CB6" w:rsidP="003B7CB6">
      <w:pPr>
        <w:tabs>
          <w:tab w:val="left" w:pos="1134"/>
          <w:tab w:val="left" w:pos="1871"/>
          <w:tab w:val="left" w:pos="2268"/>
        </w:tabs>
        <w:overflowPunct w:val="0"/>
        <w:autoSpaceDE w:val="0"/>
        <w:autoSpaceDN w:val="0"/>
        <w:adjustRightInd w:val="0"/>
        <w:spacing w:before="280"/>
        <w:jc w:val="center"/>
        <w:textAlignment w:val="baseline"/>
        <w:rPr>
          <w:rFonts w:ascii="TimesNewRomanPSMT" w:hAnsi="TimesNewRomanPSMT" w:cs="TimesNewRomanPSMT"/>
          <w:b/>
          <w:sz w:val="28"/>
          <w:szCs w:val="28"/>
          <w:lang w:val="en-GB"/>
        </w:rPr>
      </w:pPr>
      <w:r w:rsidRPr="003B7CB6">
        <w:rPr>
          <w:rFonts w:ascii="TimesNewRomanPSMT" w:hAnsi="TimesNewRomanPSMT" w:cs="TimesNewRomanPSMT"/>
          <w:b/>
          <w:sz w:val="28"/>
          <w:szCs w:val="28"/>
          <w:lang w:val="en-GB"/>
        </w:rPr>
        <w:t>Use of the frequency bands 17.7-20.2 GHz (space-to-Earth), 27.5-30.0 GHz (Earth-to-space), 37.5-39.5 GHz (space-to-Earth), 39.5-42.5 GHz (space-to-Earth), 47.2-50.2 GHz (Earth-to-space) and 50.4-51.4 GHz (Earth-to-space) by earth stations in motion communicating with non-geostationary space stations in the fixed-satellite service</w:t>
      </w:r>
    </w:p>
    <w:p w:rsidR="003B7CB6" w:rsidRPr="003B7CB6" w:rsidP="003B7CB6">
      <w:pPr>
        <w:tabs>
          <w:tab w:val="left" w:pos="1134"/>
          <w:tab w:val="left" w:pos="1871"/>
          <w:tab w:val="left" w:pos="2268"/>
        </w:tabs>
        <w:overflowPunct w:val="0"/>
        <w:autoSpaceDE w:val="0"/>
        <w:autoSpaceDN w:val="0"/>
        <w:adjustRightInd w:val="0"/>
        <w:spacing w:before="280"/>
        <w:textAlignment w:val="baseline"/>
        <w:rPr>
          <w:rFonts w:ascii="TimesNewRomanPSMT" w:hAnsi="TimesNewRomanPSMT" w:cs="TimesNewRomanPSMT"/>
          <w:sz w:val="24"/>
          <w:szCs w:val="24"/>
          <w:lang w:val="en-GB"/>
        </w:rPr>
      </w:pPr>
      <w:r w:rsidRPr="003B7CB6">
        <w:rPr>
          <w:rFonts w:ascii="TimesNewRomanPSMT" w:hAnsi="TimesNewRomanPSMT" w:cs="TimesNewRomanPSMT"/>
          <w:sz w:val="24"/>
          <w:szCs w:val="24"/>
          <w:lang w:val="en-GB"/>
        </w:rPr>
        <w:t xml:space="preserve">The World Radiocommunication Conference (Sharm el-Sheik Egypt, 2019), </w:t>
      </w:r>
    </w:p>
    <w:p w:rsidR="003B7CB6" w:rsidRPr="003B7CB6" w:rsidP="003B7CB6">
      <w:pPr>
        <w:tabs>
          <w:tab w:val="left" w:pos="1134"/>
          <w:tab w:val="left" w:pos="1871"/>
          <w:tab w:val="left" w:pos="2268"/>
        </w:tabs>
        <w:overflowPunct w:val="0"/>
        <w:autoSpaceDE w:val="0"/>
        <w:autoSpaceDN w:val="0"/>
        <w:adjustRightInd w:val="0"/>
        <w:spacing w:before="160"/>
        <w:textAlignment w:val="baseline"/>
        <w:rPr>
          <w:rFonts w:ascii="TimesNewRomanPS-ItalicMT" w:hAnsi="TimesNewRomanPS-ItalicMT" w:cs="TimesNewRomanPS-ItalicMT"/>
          <w:i/>
          <w:iCs/>
          <w:sz w:val="24"/>
          <w:szCs w:val="24"/>
          <w:lang w:val="en-GB"/>
        </w:rPr>
      </w:pPr>
      <w:r w:rsidRPr="003B7CB6">
        <w:rPr>
          <w:rFonts w:ascii="TimesNewRomanPS-ItalicMT" w:hAnsi="TimesNewRomanPS-ItalicMT" w:cs="TimesNewRomanPS-ItalicMT"/>
          <w:i/>
          <w:iCs/>
          <w:sz w:val="24"/>
          <w:szCs w:val="24"/>
          <w:lang w:val="en-GB"/>
        </w:rPr>
        <w:tab/>
        <w:t>considering</w:t>
      </w:r>
    </w:p>
    <w:p w:rsidR="003B7CB6" w:rsidRPr="003B7CB6" w:rsidP="003B7CB6">
      <w:pPr>
        <w:numPr>
          <w:ilvl w:val="0"/>
          <w:numId w:val="32"/>
        </w:numPr>
        <w:tabs>
          <w:tab w:val="left" w:pos="1134"/>
          <w:tab w:val="left" w:pos="1871"/>
          <w:tab w:val="left" w:pos="2268"/>
        </w:tabs>
        <w:overflowPunct w:val="0"/>
        <w:autoSpaceDE w:val="0"/>
        <w:autoSpaceDN w:val="0"/>
        <w:adjustRightInd w:val="0"/>
        <w:spacing w:before="160"/>
        <w:ind w:left="0" w:firstLine="0"/>
        <w:textAlignment w:val="baseline"/>
        <w:rPr>
          <w:rFonts w:ascii="TimesNewRomanPS-ItalicMT" w:hAnsi="TimesNewRomanPS-ItalicMT" w:cs="TimesNewRomanPS-ItalicMT"/>
          <w:iCs/>
          <w:sz w:val="24"/>
          <w:szCs w:val="24"/>
          <w:lang w:val="en-GB"/>
        </w:rPr>
      </w:pPr>
      <w:r w:rsidRPr="003B7CB6">
        <w:rPr>
          <w:rFonts w:ascii="TimesNewRomanPS-ItalicMT" w:hAnsi="TimesNewRomanPS-ItalicMT" w:cs="TimesNewRomanPS-ItalicMT"/>
          <w:iCs/>
          <w:sz w:val="24"/>
          <w:szCs w:val="24"/>
          <w:lang w:val="en-GB"/>
        </w:rPr>
        <w:t xml:space="preserve">that the frequency bands </w:t>
      </w:r>
      <w:r w:rsidRPr="003B7CB6">
        <w:rPr>
          <w:szCs w:val="22"/>
          <w:lang w:val="en-GB"/>
        </w:rPr>
        <w:t>17.7-20.2 GHz (space-to-Earth), 27.5-30.0 GHz (Earth-to-space), 37.5-39.5 GHz (space-to-Earth), 39.5-42.5 GHz (space-to-Earth), 47.2-50.2 GHz (Earth-to-space) and 50.4-51.4 GHz (Earth-to-space) are currently allocated on a primary basis to the fixed-satellite service;</w:t>
      </w:r>
    </w:p>
    <w:p w:rsidR="003B7CB6" w:rsidRPr="003B7CB6" w:rsidP="003B7CB6">
      <w:pPr>
        <w:numPr>
          <w:ilvl w:val="0"/>
          <w:numId w:val="32"/>
        </w:numPr>
        <w:tabs>
          <w:tab w:val="left" w:pos="1134"/>
          <w:tab w:val="left" w:pos="1871"/>
          <w:tab w:val="left" w:pos="2268"/>
        </w:tabs>
        <w:overflowPunct w:val="0"/>
        <w:autoSpaceDE w:val="0"/>
        <w:autoSpaceDN w:val="0"/>
        <w:adjustRightInd w:val="0"/>
        <w:spacing w:before="160"/>
        <w:ind w:left="0" w:firstLine="0"/>
        <w:textAlignment w:val="baseline"/>
        <w:rPr>
          <w:rFonts w:ascii="TimesNewRomanPS-ItalicMT" w:hAnsi="TimesNewRomanPS-ItalicMT" w:cs="TimesNewRomanPS-ItalicMT"/>
          <w:iCs/>
          <w:sz w:val="24"/>
          <w:szCs w:val="24"/>
          <w:lang w:val="en-GB"/>
        </w:rPr>
      </w:pPr>
      <w:r w:rsidRPr="003B7CB6">
        <w:rPr>
          <w:szCs w:val="22"/>
          <w:lang w:val="en-GB"/>
        </w:rPr>
        <w:t xml:space="preserve">that there are existing non-geostationary orbit (NGSO) satellite constellations in the frequency bands listed in </w:t>
      </w:r>
      <w:r w:rsidRPr="003B7CB6">
        <w:rPr>
          <w:i/>
          <w:szCs w:val="22"/>
          <w:lang w:val="en-GB"/>
        </w:rPr>
        <w:t>considering a</w:t>
      </w:r>
      <w:r w:rsidRPr="003B7CB6">
        <w:rPr>
          <w:szCs w:val="22"/>
          <w:lang w:val="en-GB"/>
        </w:rPr>
        <w:t>) and that these constellations are designed to serve the growing need for access to broadband connectivity, regardless of location;</w:t>
      </w:r>
    </w:p>
    <w:p w:rsidR="003B7CB6" w:rsidRPr="003B7CB6" w:rsidP="003B7CB6">
      <w:pPr>
        <w:numPr>
          <w:ilvl w:val="0"/>
          <w:numId w:val="32"/>
        </w:numPr>
        <w:tabs>
          <w:tab w:val="left" w:pos="1134"/>
          <w:tab w:val="left" w:pos="1871"/>
          <w:tab w:val="left" w:pos="2268"/>
        </w:tabs>
        <w:overflowPunct w:val="0"/>
        <w:autoSpaceDE w:val="0"/>
        <w:autoSpaceDN w:val="0"/>
        <w:adjustRightInd w:val="0"/>
        <w:spacing w:before="160"/>
        <w:ind w:left="0" w:firstLine="0"/>
        <w:textAlignment w:val="baseline"/>
        <w:rPr>
          <w:rFonts w:ascii="TimesNewRomanPS-ItalicMT" w:hAnsi="TimesNewRomanPS-ItalicMT" w:cs="TimesNewRomanPS-ItalicMT"/>
          <w:iCs/>
          <w:szCs w:val="22"/>
          <w:lang w:val="en-GB"/>
        </w:rPr>
      </w:pPr>
      <w:r w:rsidRPr="003B7CB6">
        <w:rPr>
          <w:color w:val="000000"/>
          <w:szCs w:val="22"/>
          <w:lang w:val="en-GB"/>
        </w:rPr>
        <w:t xml:space="preserve">that the frequency bands </w:t>
      </w:r>
      <w:r w:rsidRPr="003B7CB6">
        <w:rPr>
          <w:szCs w:val="22"/>
          <w:lang w:val="en-GB"/>
        </w:rPr>
        <w:t xml:space="preserve">listed in </w:t>
      </w:r>
      <w:r w:rsidRPr="003B7CB6">
        <w:rPr>
          <w:i/>
          <w:szCs w:val="22"/>
          <w:lang w:val="en-GB"/>
        </w:rPr>
        <w:t>considering a</w:t>
      </w:r>
      <w:r w:rsidRPr="003B7CB6">
        <w:rPr>
          <w:szCs w:val="22"/>
          <w:lang w:val="en-GB"/>
        </w:rPr>
        <w:t xml:space="preserve">) </w:t>
      </w:r>
      <w:r w:rsidRPr="003B7CB6">
        <w:rPr>
          <w:color w:val="000000"/>
          <w:szCs w:val="22"/>
          <w:lang w:val="en-GB"/>
        </w:rPr>
        <w:t>are also allocated to several other services on a primary basis, the allocated services are used by a variety of different systems in many administrations and these existing services and their future development should be protected without undue constraints,</w:t>
      </w:r>
    </w:p>
    <w:p w:rsidR="003B7CB6" w:rsidRPr="003B7CB6" w:rsidP="003B7CB6">
      <w:pPr>
        <w:tabs>
          <w:tab w:val="left" w:pos="1134"/>
          <w:tab w:val="left" w:pos="1871"/>
          <w:tab w:val="left" w:pos="2268"/>
        </w:tabs>
        <w:overflowPunct w:val="0"/>
        <w:autoSpaceDE w:val="0"/>
        <w:autoSpaceDN w:val="0"/>
        <w:adjustRightInd w:val="0"/>
        <w:spacing w:before="160"/>
        <w:textAlignment w:val="baseline"/>
        <w:rPr>
          <w:rFonts w:ascii="TimesNewRomanPS-ItalicMT" w:hAnsi="TimesNewRomanPS-ItalicMT" w:cs="TimesNewRomanPS-ItalicMT"/>
          <w:i/>
          <w:iCs/>
          <w:sz w:val="24"/>
          <w:szCs w:val="24"/>
          <w:lang w:val="en-GB"/>
        </w:rPr>
      </w:pPr>
      <w:r w:rsidRPr="003B7CB6">
        <w:rPr>
          <w:rFonts w:ascii="TimesNewRomanPS-ItalicMT" w:hAnsi="TimesNewRomanPS-ItalicMT" w:cs="TimesNewRomanPS-ItalicMT"/>
          <w:i/>
          <w:iCs/>
          <w:sz w:val="24"/>
          <w:szCs w:val="24"/>
          <w:lang w:val="en-GB"/>
        </w:rPr>
        <w:tab/>
        <w:t>recognizing</w:t>
      </w:r>
    </w:p>
    <w:p w:rsidR="003B7CB6" w:rsidRPr="003B7CB6" w:rsidP="003B7CB6">
      <w:pPr>
        <w:numPr>
          <w:ilvl w:val="0"/>
          <w:numId w:val="31"/>
        </w:numPr>
        <w:tabs>
          <w:tab w:val="left" w:pos="1134"/>
          <w:tab w:val="left" w:pos="1871"/>
          <w:tab w:val="left" w:pos="2268"/>
        </w:tabs>
        <w:overflowPunct w:val="0"/>
        <w:autoSpaceDE w:val="0"/>
        <w:autoSpaceDN w:val="0"/>
        <w:adjustRightInd w:val="0"/>
        <w:spacing w:before="160"/>
        <w:ind w:left="0" w:firstLine="0"/>
        <w:textAlignment w:val="baseline"/>
        <w:rPr>
          <w:szCs w:val="22"/>
          <w:lang w:val="en-GB"/>
        </w:rPr>
      </w:pPr>
      <w:r w:rsidRPr="003B7CB6">
        <w:rPr>
          <w:szCs w:val="22"/>
          <w:lang w:val="en-GB"/>
        </w:rPr>
        <w:t>that technical and operational requirements for ESIM (which were referred to as earth stations on mobile platforms (“ESOMPs”) prior to WRC-15) operating with NGSO in the fixed-satellite service systems in the frequency bands 17.3-20.2 GHz, 27.5-29.1 GHz and 29.5-30.0 GHz have been discussed in the ITU-R and are reflected in the Report ITU-R S.2261;</w:t>
      </w:r>
    </w:p>
    <w:p w:rsidR="003B7CB6" w:rsidRPr="003B7CB6" w:rsidP="003B7CB6">
      <w:pPr>
        <w:numPr>
          <w:ilvl w:val="0"/>
          <w:numId w:val="31"/>
        </w:numPr>
        <w:tabs>
          <w:tab w:val="left" w:pos="1134"/>
          <w:tab w:val="left" w:pos="1871"/>
          <w:tab w:val="left" w:pos="2268"/>
        </w:tabs>
        <w:overflowPunct w:val="0"/>
        <w:autoSpaceDE w:val="0"/>
        <w:autoSpaceDN w:val="0"/>
        <w:adjustRightInd w:val="0"/>
        <w:spacing w:before="160"/>
        <w:ind w:left="0" w:firstLine="0"/>
        <w:textAlignment w:val="baseline"/>
        <w:rPr>
          <w:szCs w:val="22"/>
          <w:lang w:val="en-GB"/>
        </w:rPr>
      </w:pPr>
      <w:r w:rsidRPr="003B7CB6">
        <w:rPr>
          <w:szCs w:val="22"/>
          <w:lang w:val="en-GB"/>
        </w:rPr>
        <w:t xml:space="preserve">that Article </w:t>
      </w:r>
      <w:r w:rsidRPr="003B7CB6">
        <w:rPr>
          <w:b/>
          <w:szCs w:val="22"/>
          <w:lang w:val="en-GB"/>
        </w:rPr>
        <w:t>22</w:t>
      </w:r>
      <w:r w:rsidRPr="003B7CB6">
        <w:rPr>
          <w:szCs w:val="22"/>
          <w:lang w:val="en-GB"/>
        </w:rPr>
        <w:t xml:space="preserve"> of the Radio Regulations contains epfd limits for non-geostationary-satellite systems in the fixed-satellite service in the 17.8-18.6 GHz, 19.7-20.2 GHz (space-to-Earth) / 27.5-28.6 GHz, 29.5-30 GHz (Earth-to-space) and 17.8-18.4 GHz (inter-satellite) frequency bands;</w:t>
      </w:r>
    </w:p>
    <w:p w:rsidR="003B7CB6" w:rsidRPr="003B7CB6" w:rsidP="003B7CB6">
      <w:pPr>
        <w:numPr>
          <w:ilvl w:val="0"/>
          <w:numId w:val="31"/>
        </w:numPr>
        <w:tabs>
          <w:tab w:val="left" w:pos="1134"/>
          <w:tab w:val="left" w:pos="1871"/>
          <w:tab w:val="left" w:pos="2268"/>
        </w:tabs>
        <w:overflowPunct w:val="0"/>
        <w:autoSpaceDE w:val="0"/>
        <w:autoSpaceDN w:val="0"/>
        <w:adjustRightInd w:val="0"/>
        <w:spacing w:before="160"/>
        <w:ind w:left="0" w:firstLine="0"/>
        <w:textAlignment w:val="baseline"/>
        <w:rPr>
          <w:szCs w:val="22"/>
          <w:lang w:val="en-GB"/>
        </w:rPr>
      </w:pPr>
      <w:r w:rsidRPr="003B7CB6">
        <w:rPr>
          <w:szCs w:val="22"/>
          <w:lang w:val="en-GB"/>
        </w:rPr>
        <w:t xml:space="preserve">the provisions established by WRC-19 in consideration of Resolution </w:t>
      </w:r>
      <w:r w:rsidRPr="003B7CB6">
        <w:rPr>
          <w:b/>
          <w:szCs w:val="22"/>
          <w:lang w:val="en-GB"/>
        </w:rPr>
        <w:t>159</w:t>
      </w:r>
      <w:r w:rsidRPr="003B7CB6">
        <w:rPr>
          <w:szCs w:val="22"/>
          <w:lang w:val="en-GB"/>
        </w:rPr>
        <w:t xml:space="preserve"> (</w:t>
      </w:r>
      <w:r w:rsidRPr="003B7CB6">
        <w:rPr>
          <w:b/>
          <w:szCs w:val="22"/>
          <w:lang w:val="en-GB"/>
        </w:rPr>
        <w:t>WRC-15</w:t>
      </w:r>
      <w:r w:rsidRPr="003B7CB6">
        <w:rPr>
          <w:szCs w:val="22"/>
          <w:lang w:val="en-GB"/>
        </w:rPr>
        <w:t>) for NGSO FSS satellite systems in the frequency bands 37.5-39.5 GHz (space-to-Earth), 39.5-42.5 GHz (space-to-Earth), 47.2-50.2 GHz (Earth-to-space) and 50.4-51.4 GHz (Earth-to-space);</w:t>
      </w:r>
    </w:p>
    <w:p w:rsidR="003B7CB6" w:rsidRPr="003B7CB6" w:rsidP="003B7CB6">
      <w:pPr>
        <w:numPr>
          <w:ilvl w:val="0"/>
          <w:numId w:val="31"/>
        </w:numPr>
        <w:tabs>
          <w:tab w:val="left" w:pos="1134"/>
          <w:tab w:val="left" w:pos="1871"/>
          <w:tab w:val="left" w:pos="2268"/>
        </w:tabs>
        <w:overflowPunct w:val="0"/>
        <w:autoSpaceDE w:val="0"/>
        <w:autoSpaceDN w:val="0"/>
        <w:adjustRightInd w:val="0"/>
        <w:spacing w:before="160"/>
        <w:ind w:left="0" w:firstLine="0"/>
        <w:textAlignment w:val="baseline"/>
        <w:rPr>
          <w:szCs w:val="22"/>
          <w:lang w:val="en-GB"/>
        </w:rPr>
      </w:pPr>
      <w:r w:rsidRPr="003B7CB6">
        <w:rPr>
          <w:color w:val="000000"/>
          <w:szCs w:val="22"/>
          <w:lang w:val="en-GB"/>
        </w:rPr>
        <w:t xml:space="preserve">that use of the frequency band 29.1-29.5 GHz (Earth-to-space) by the fixed-satellite service is limited to geostationary-satellite systems and feeder links to non-geostationary satellite systems in the mobile-satellite service, and that such use is subject to the application of the provisions of No. </w:t>
      </w:r>
      <w:r w:rsidRPr="003B7CB6">
        <w:rPr>
          <w:b/>
          <w:bCs/>
          <w:color w:val="000000"/>
          <w:szCs w:val="22"/>
          <w:lang w:val="en-GB"/>
        </w:rPr>
        <w:t>9.11A</w:t>
      </w:r>
      <w:r w:rsidRPr="003B7CB6">
        <w:rPr>
          <w:color w:val="000000"/>
          <w:szCs w:val="22"/>
          <w:lang w:val="en-GB"/>
        </w:rPr>
        <w:t xml:space="preserve">, but not subject to the provisions of No. </w:t>
      </w:r>
      <w:r w:rsidRPr="003B7CB6">
        <w:rPr>
          <w:b/>
          <w:bCs/>
          <w:color w:val="000000"/>
          <w:szCs w:val="22"/>
          <w:lang w:val="en-GB"/>
        </w:rPr>
        <w:t>22.2</w:t>
      </w:r>
      <w:r w:rsidRPr="003B7CB6">
        <w:rPr>
          <w:color w:val="000000"/>
          <w:szCs w:val="22"/>
          <w:lang w:val="en-GB"/>
        </w:rPr>
        <w:t xml:space="preserve">, except as indicated in Nos. </w:t>
      </w:r>
      <w:r w:rsidRPr="003B7CB6">
        <w:rPr>
          <w:b/>
          <w:bCs/>
          <w:color w:val="000000"/>
          <w:szCs w:val="22"/>
          <w:lang w:val="en-GB"/>
        </w:rPr>
        <w:t xml:space="preserve">5.523C </w:t>
      </w:r>
      <w:r w:rsidRPr="003B7CB6">
        <w:rPr>
          <w:color w:val="000000"/>
          <w:szCs w:val="22"/>
          <w:lang w:val="en-GB"/>
        </w:rPr>
        <w:t xml:space="preserve">and </w:t>
      </w:r>
      <w:r w:rsidRPr="003B7CB6">
        <w:rPr>
          <w:b/>
          <w:bCs/>
          <w:color w:val="000000"/>
          <w:szCs w:val="22"/>
          <w:lang w:val="en-GB"/>
        </w:rPr>
        <w:t>5.523E</w:t>
      </w:r>
      <w:r w:rsidRPr="003B7CB6">
        <w:rPr>
          <w:color w:val="000000"/>
          <w:szCs w:val="22"/>
          <w:lang w:val="en-GB"/>
        </w:rPr>
        <w:t xml:space="preserve">, where such use is not subject to the provisions of No. </w:t>
      </w:r>
      <w:r w:rsidRPr="003B7CB6">
        <w:rPr>
          <w:b/>
          <w:bCs/>
          <w:color w:val="000000"/>
          <w:szCs w:val="22"/>
          <w:lang w:val="en-GB"/>
        </w:rPr>
        <w:t xml:space="preserve">9.11A </w:t>
      </w:r>
      <w:r w:rsidRPr="003B7CB6">
        <w:rPr>
          <w:color w:val="000000"/>
          <w:szCs w:val="22"/>
          <w:lang w:val="en-GB"/>
        </w:rPr>
        <w:t xml:space="preserve">and shall continue to be subject to Articles </w:t>
      </w:r>
      <w:r w:rsidRPr="003B7CB6">
        <w:rPr>
          <w:b/>
          <w:bCs/>
          <w:color w:val="000000"/>
          <w:szCs w:val="22"/>
          <w:lang w:val="en-GB"/>
        </w:rPr>
        <w:t xml:space="preserve">9 </w:t>
      </w:r>
      <w:r w:rsidRPr="003B7CB6">
        <w:rPr>
          <w:color w:val="000000"/>
          <w:szCs w:val="22"/>
          <w:lang w:val="en-GB"/>
        </w:rPr>
        <w:t xml:space="preserve">(except No. </w:t>
      </w:r>
      <w:r w:rsidRPr="003B7CB6">
        <w:rPr>
          <w:b/>
          <w:bCs/>
          <w:color w:val="000000"/>
          <w:szCs w:val="22"/>
          <w:lang w:val="en-GB"/>
        </w:rPr>
        <w:t>9.11A</w:t>
      </w:r>
      <w:r w:rsidRPr="003B7CB6">
        <w:rPr>
          <w:color w:val="000000"/>
          <w:szCs w:val="22"/>
          <w:lang w:val="en-GB"/>
        </w:rPr>
        <w:t xml:space="preserve">) and </w:t>
      </w:r>
      <w:r w:rsidRPr="003B7CB6">
        <w:rPr>
          <w:b/>
          <w:bCs/>
          <w:color w:val="000000"/>
          <w:szCs w:val="22"/>
          <w:lang w:val="en-GB"/>
        </w:rPr>
        <w:t xml:space="preserve">11 </w:t>
      </w:r>
      <w:r w:rsidRPr="003B7CB6">
        <w:rPr>
          <w:color w:val="000000"/>
          <w:szCs w:val="22"/>
          <w:lang w:val="en-GB"/>
        </w:rPr>
        <w:t xml:space="preserve">procedures, and to the provisions of No. </w:t>
      </w:r>
      <w:r w:rsidRPr="003B7CB6">
        <w:rPr>
          <w:b/>
          <w:bCs/>
          <w:color w:val="000000"/>
          <w:szCs w:val="22"/>
          <w:lang w:val="en-GB"/>
        </w:rPr>
        <w:t xml:space="preserve">22.2 </w:t>
      </w:r>
      <w:r w:rsidRPr="003B7CB6">
        <w:rPr>
          <w:color w:val="000000"/>
          <w:szCs w:val="22"/>
          <w:lang w:val="en-GB"/>
        </w:rPr>
        <w:t xml:space="preserve">(No. </w:t>
      </w:r>
      <w:r w:rsidRPr="003B7CB6">
        <w:rPr>
          <w:b/>
          <w:bCs/>
          <w:color w:val="000000"/>
          <w:szCs w:val="22"/>
          <w:lang w:val="en-GB"/>
        </w:rPr>
        <w:t>5.535A</w:t>
      </w:r>
      <w:r w:rsidRPr="003B7CB6">
        <w:rPr>
          <w:color w:val="000000"/>
          <w:szCs w:val="22"/>
          <w:lang w:val="en-GB"/>
        </w:rPr>
        <w:t>)</w:t>
      </w:r>
      <w:r w:rsidRPr="003B7CB6">
        <w:rPr>
          <w:szCs w:val="22"/>
          <w:lang w:val="en-GB"/>
        </w:rPr>
        <w:t>,</w:t>
      </w:r>
    </w:p>
    <w:p w:rsidR="003B7CB6" w:rsidRPr="003B7CB6" w:rsidP="003B7CB6">
      <w:pPr>
        <w:tabs>
          <w:tab w:val="left" w:pos="1134"/>
          <w:tab w:val="left" w:pos="1871"/>
          <w:tab w:val="left" w:pos="2268"/>
        </w:tabs>
        <w:overflowPunct w:val="0"/>
        <w:autoSpaceDE w:val="0"/>
        <w:autoSpaceDN w:val="0"/>
        <w:adjustRightInd w:val="0"/>
        <w:spacing w:before="160"/>
        <w:textAlignment w:val="baseline"/>
        <w:rPr>
          <w:rFonts w:ascii="TimesNewRomanPS-ItalicMT" w:hAnsi="TimesNewRomanPS-ItalicMT" w:cs="TimesNewRomanPS-ItalicMT"/>
          <w:i/>
          <w:iCs/>
          <w:sz w:val="24"/>
          <w:szCs w:val="24"/>
          <w:lang w:val="en-GB"/>
        </w:rPr>
      </w:pPr>
    </w:p>
    <w:p w:rsidR="003B7CB6" w:rsidRPr="003B7CB6" w:rsidP="003B7CB6">
      <w:pPr>
        <w:tabs>
          <w:tab w:val="left" w:pos="1134"/>
          <w:tab w:val="left" w:pos="1170"/>
          <w:tab w:val="left" w:pos="1871"/>
          <w:tab w:val="left" w:pos="2268"/>
        </w:tabs>
        <w:overflowPunct w:val="0"/>
        <w:autoSpaceDE w:val="0"/>
        <w:autoSpaceDN w:val="0"/>
        <w:adjustRightInd w:val="0"/>
        <w:spacing w:before="160"/>
        <w:ind w:firstLine="720"/>
        <w:textAlignment w:val="baseline"/>
        <w:rPr>
          <w:rFonts w:ascii="TimesNewRomanPS-ItalicMT" w:hAnsi="TimesNewRomanPS-ItalicMT" w:cs="TimesNewRomanPS-ItalicMT"/>
          <w:i/>
          <w:iCs/>
          <w:sz w:val="24"/>
          <w:szCs w:val="24"/>
          <w:lang w:val="en-GB"/>
        </w:rPr>
      </w:pPr>
      <w:r w:rsidRPr="003B7CB6">
        <w:rPr>
          <w:rFonts w:ascii="TimesNewRomanPS-ItalicMT" w:hAnsi="TimesNewRomanPS-ItalicMT" w:cs="TimesNewRomanPS-ItalicMT"/>
          <w:i/>
          <w:iCs/>
          <w:sz w:val="24"/>
          <w:szCs w:val="24"/>
          <w:lang w:val="en-GB"/>
        </w:rPr>
        <w:tab/>
        <w:t>resolves to invite ITU-R</w:t>
      </w:r>
    </w:p>
    <w:p w:rsidR="003B7CB6" w:rsidRPr="003B7CB6" w:rsidP="003B7CB6">
      <w:pPr>
        <w:numPr>
          <w:ilvl w:val="0"/>
          <w:numId w:val="30"/>
        </w:numPr>
        <w:tabs>
          <w:tab w:val="left" w:pos="1134"/>
          <w:tab w:val="left" w:pos="1170"/>
          <w:tab w:val="left" w:pos="1871"/>
          <w:tab w:val="left" w:pos="2268"/>
        </w:tabs>
        <w:overflowPunct w:val="0"/>
        <w:autoSpaceDE w:val="0"/>
        <w:autoSpaceDN w:val="0"/>
        <w:adjustRightInd w:val="0"/>
        <w:spacing w:before="160"/>
        <w:ind w:left="0" w:firstLine="0"/>
        <w:textAlignment w:val="baseline"/>
        <w:rPr>
          <w:szCs w:val="22"/>
          <w:lang w:val="en-GB"/>
        </w:rPr>
      </w:pPr>
      <w:r w:rsidRPr="003B7CB6">
        <w:rPr>
          <w:szCs w:val="22"/>
          <w:lang w:val="en-GB"/>
        </w:rPr>
        <w:t xml:space="preserve">to study the technical sharing between all types of earth stations in motion communicating with NGSO FSS systems with other primary services </w:t>
      </w:r>
      <w:bookmarkStart w:id="48" w:name="_Hlk536795123"/>
      <w:r w:rsidRPr="003B7CB6">
        <w:rPr>
          <w:szCs w:val="22"/>
          <w:lang w:val="en-GB"/>
        </w:rPr>
        <w:t xml:space="preserve">in the frequency bands 17.7-20.2 GHz (space-to-Earth), </w:t>
      </w:r>
      <w:r w:rsidRPr="003B7CB6">
        <w:rPr>
          <w:szCs w:val="22"/>
          <w:lang w:val="en-GB"/>
        </w:rPr>
        <w:t>27.5-30.0 GHz (space-to-Earth), 37.5-39.5 GHz (space-to-Earth), 39.5-42.5 GHz (space-to-Earth), 47.2-50.2 GHz (Earth-to-space) and 50.4-51.4 GHz (Earth-to-space)</w:t>
      </w:r>
      <w:bookmarkEnd w:id="48"/>
      <w:r w:rsidRPr="003B7CB6">
        <w:rPr>
          <w:szCs w:val="22"/>
          <w:lang w:val="en-GB"/>
        </w:rPr>
        <w:t>;</w:t>
      </w:r>
    </w:p>
    <w:p w:rsidR="003B7CB6" w:rsidRPr="003B7CB6" w:rsidP="003B7CB6">
      <w:pPr>
        <w:numPr>
          <w:ilvl w:val="0"/>
          <w:numId w:val="30"/>
        </w:numPr>
        <w:tabs>
          <w:tab w:val="left" w:pos="1134"/>
          <w:tab w:val="left" w:pos="1170"/>
          <w:tab w:val="left" w:pos="1871"/>
          <w:tab w:val="left" w:pos="2268"/>
        </w:tabs>
        <w:overflowPunct w:val="0"/>
        <w:autoSpaceDE w:val="0"/>
        <w:autoSpaceDN w:val="0"/>
        <w:adjustRightInd w:val="0"/>
        <w:spacing w:before="160"/>
        <w:ind w:left="0" w:firstLine="0"/>
        <w:textAlignment w:val="baseline"/>
        <w:rPr>
          <w:szCs w:val="22"/>
          <w:lang w:val="en-GB"/>
        </w:rPr>
      </w:pPr>
      <w:r w:rsidRPr="003B7CB6">
        <w:rPr>
          <w:color w:val="000000"/>
          <w:szCs w:val="22"/>
          <w:lang w:val="en-GB"/>
        </w:rPr>
        <w:t xml:space="preserve">to study sharing and compatibility between earth stations in motion operating with NGSO FSS systems and current and planned stations of existing services allocated in the frequency bands listed in </w:t>
      </w:r>
      <w:r w:rsidRPr="003B7CB6">
        <w:rPr>
          <w:i/>
          <w:color w:val="000000"/>
          <w:szCs w:val="22"/>
          <w:lang w:val="en-GB"/>
        </w:rPr>
        <w:t>considering a</w:t>
      </w:r>
      <w:r w:rsidRPr="003B7CB6">
        <w:rPr>
          <w:color w:val="000000"/>
          <w:szCs w:val="22"/>
          <w:lang w:val="en-GB"/>
        </w:rPr>
        <w:t>) to ensure protection of, and not impose undue constraints on, services allocated in those frequency bands;</w:t>
      </w:r>
    </w:p>
    <w:p w:rsidR="003B7CB6" w:rsidRPr="003B7CB6" w:rsidP="003B7CB6">
      <w:pPr>
        <w:numPr>
          <w:ilvl w:val="0"/>
          <w:numId w:val="30"/>
        </w:numPr>
        <w:tabs>
          <w:tab w:val="left" w:pos="1134"/>
          <w:tab w:val="left" w:pos="1170"/>
          <w:tab w:val="left" w:pos="1871"/>
          <w:tab w:val="left" w:pos="2268"/>
        </w:tabs>
        <w:overflowPunct w:val="0"/>
        <w:autoSpaceDE w:val="0"/>
        <w:autoSpaceDN w:val="0"/>
        <w:adjustRightInd w:val="0"/>
        <w:spacing w:before="160"/>
        <w:ind w:left="0" w:firstLine="0"/>
        <w:textAlignment w:val="baseline"/>
        <w:rPr>
          <w:szCs w:val="22"/>
          <w:lang w:val="en-GB"/>
        </w:rPr>
      </w:pPr>
      <w:r w:rsidRPr="003B7CB6">
        <w:rPr>
          <w:szCs w:val="22"/>
          <w:lang w:val="en-GB"/>
        </w:rPr>
        <w:t xml:space="preserve">to develop technical conditions and regulatory provisions for earth stations in motion operation with NGSO FSS systems taking into account the results of studies under </w:t>
      </w:r>
      <w:r w:rsidRPr="003B7CB6">
        <w:rPr>
          <w:i/>
          <w:szCs w:val="22"/>
          <w:lang w:val="en-GB"/>
        </w:rPr>
        <w:t xml:space="preserve">resolves </w:t>
      </w:r>
      <w:r w:rsidRPr="003B7CB6">
        <w:rPr>
          <w:szCs w:val="22"/>
          <w:lang w:val="en-GB"/>
        </w:rPr>
        <w:t xml:space="preserve">1; </w:t>
      </w:r>
    </w:p>
    <w:p w:rsidR="003B7CB6" w:rsidRPr="003B7CB6" w:rsidP="003B7CB6">
      <w:pPr>
        <w:numPr>
          <w:ilvl w:val="0"/>
          <w:numId w:val="30"/>
        </w:numPr>
        <w:tabs>
          <w:tab w:val="left" w:pos="1134"/>
          <w:tab w:val="left" w:pos="1170"/>
          <w:tab w:val="left" w:pos="1871"/>
          <w:tab w:val="left" w:pos="2268"/>
        </w:tabs>
        <w:overflowPunct w:val="0"/>
        <w:autoSpaceDE w:val="0"/>
        <w:autoSpaceDN w:val="0"/>
        <w:adjustRightInd w:val="0"/>
        <w:spacing w:before="120"/>
        <w:ind w:left="0" w:firstLine="0"/>
        <w:jc w:val="both"/>
        <w:textAlignment w:val="baseline"/>
        <w:rPr>
          <w:color w:val="000000"/>
          <w:sz w:val="24"/>
          <w:szCs w:val="24"/>
          <w:lang w:val="en-GB"/>
        </w:rPr>
      </w:pPr>
      <w:r w:rsidRPr="003B7CB6">
        <w:rPr>
          <w:sz w:val="24"/>
          <w:lang w:val="en-GB"/>
        </w:rPr>
        <w:t>to complete studies in time for WRC</w:t>
      </w:r>
      <w:r w:rsidRPr="003B7CB6">
        <w:rPr>
          <w:sz w:val="24"/>
          <w:lang w:val="en-GB"/>
        </w:rPr>
        <w:noBreakHyphen/>
        <w:t>23,</w:t>
      </w:r>
    </w:p>
    <w:p w:rsidR="003B7CB6" w:rsidRPr="003B7CB6" w:rsidP="003B7CB6">
      <w:pPr>
        <w:tabs>
          <w:tab w:val="left" w:pos="1170"/>
          <w:tab w:val="left" w:pos="1871"/>
          <w:tab w:val="left" w:pos="2268"/>
        </w:tabs>
        <w:overflowPunct w:val="0"/>
        <w:autoSpaceDE w:val="0"/>
        <w:autoSpaceDN w:val="0"/>
        <w:adjustRightInd w:val="0"/>
        <w:spacing w:before="160"/>
        <w:textAlignment w:val="baseline"/>
        <w:rPr>
          <w:rFonts w:ascii="TimesNewRomanPS-ItalicMT" w:hAnsi="TimesNewRomanPS-ItalicMT" w:cs="TimesNewRomanPS-ItalicMT"/>
          <w:iCs/>
          <w:sz w:val="24"/>
          <w:szCs w:val="24"/>
          <w:lang w:val="en-GB"/>
        </w:rPr>
      </w:pPr>
      <w:r w:rsidRPr="003B7CB6">
        <w:rPr>
          <w:rFonts w:ascii="TimesNewRomanPS-ItalicMT" w:hAnsi="TimesNewRomanPS-ItalicMT" w:cs="TimesNewRomanPS-ItalicMT"/>
          <w:i/>
          <w:iCs/>
          <w:sz w:val="24"/>
          <w:szCs w:val="24"/>
          <w:lang w:val="en-GB"/>
        </w:rPr>
        <w:tab/>
        <w:t>resolves</w:t>
      </w:r>
    </w:p>
    <w:p w:rsidR="003B7CB6" w:rsidRPr="003B7CB6" w:rsidP="003B7CB6">
      <w:pPr>
        <w:tabs>
          <w:tab w:val="left" w:pos="1170"/>
          <w:tab w:val="left" w:pos="1871"/>
          <w:tab w:val="left" w:pos="2268"/>
        </w:tabs>
        <w:overflowPunct w:val="0"/>
        <w:autoSpaceDE w:val="0"/>
        <w:autoSpaceDN w:val="0"/>
        <w:adjustRightInd w:val="0"/>
        <w:spacing w:before="160"/>
        <w:textAlignment w:val="baseline"/>
        <w:rPr>
          <w:rFonts w:ascii="TimesNewRomanPS-ItalicMT" w:hAnsi="TimesNewRomanPS-ItalicMT" w:cs="TimesNewRomanPS-ItalicMT"/>
          <w:iCs/>
          <w:sz w:val="24"/>
          <w:szCs w:val="24"/>
          <w:lang w:val="en-GB"/>
        </w:rPr>
      </w:pPr>
      <w:r w:rsidRPr="003B7CB6">
        <w:rPr>
          <w:rFonts w:ascii="TimesNewRomanPS-ItalicMT" w:hAnsi="TimesNewRomanPS-ItalicMT" w:cs="TimesNewRomanPS-ItalicMT"/>
          <w:iCs/>
          <w:sz w:val="24"/>
          <w:szCs w:val="24"/>
          <w:lang w:val="en-GB"/>
        </w:rPr>
        <w:t>that t</w:t>
      </w:r>
      <w:r w:rsidRPr="003B7CB6">
        <w:rPr>
          <w:color w:val="000000"/>
          <w:sz w:val="24"/>
          <w:szCs w:val="24"/>
          <w:lang w:val="en-GB"/>
        </w:rPr>
        <w:t>hese earth stations not be used or relied upon for safety-of-life applications</w:t>
      </w:r>
      <w:r w:rsidRPr="003B7CB6">
        <w:rPr>
          <w:sz w:val="24"/>
          <w:lang w:val="en-GB"/>
        </w:rPr>
        <w:t>,</w:t>
      </w:r>
    </w:p>
    <w:p w:rsidR="003B7CB6" w:rsidRPr="003B7CB6" w:rsidP="003B7CB6">
      <w:pPr>
        <w:tabs>
          <w:tab w:val="left" w:pos="1170"/>
          <w:tab w:val="left" w:pos="1871"/>
          <w:tab w:val="left" w:pos="2268"/>
        </w:tabs>
        <w:overflowPunct w:val="0"/>
        <w:autoSpaceDE w:val="0"/>
        <w:autoSpaceDN w:val="0"/>
        <w:adjustRightInd w:val="0"/>
        <w:spacing w:before="120"/>
        <w:textAlignment w:val="baseline"/>
        <w:rPr>
          <w:rFonts w:ascii="TimesNewRomanPS-ItalicMT" w:hAnsi="TimesNewRomanPS-ItalicMT" w:cs="TimesNewRomanPS-ItalicMT"/>
          <w:i/>
          <w:iCs/>
          <w:sz w:val="24"/>
          <w:szCs w:val="24"/>
          <w:lang w:val="en-GB"/>
        </w:rPr>
      </w:pPr>
      <w:r w:rsidRPr="003B7CB6">
        <w:rPr>
          <w:rFonts w:ascii="TimesNewRomanPS-ItalicMT" w:hAnsi="TimesNewRomanPS-ItalicMT" w:cs="TimesNewRomanPS-ItalicMT"/>
          <w:i/>
          <w:iCs/>
          <w:sz w:val="24"/>
          <w:szCs w:val="24"/>
          <w:lang w:val="en-GB"/>
        </w:rPr>
        <w:tab/>
        <w:t>further resolves to invite WRC-23</w:t>
      </w:r>
    </w:p>
    <w:p w:rsidR="003B7CB6" w:rsidRPr="003B7CB6" w:rsidP="003B7CB6">
      <w:pPr>
        <w:keepNext/>
        <w:tabs>
          <w:tab w:val="left" w:pos="1170"/>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to review the results of these studies and take appropriate action.</w:t>
      </w:r>
    </w:p>
    <w:p w:rsidR="003B7CB6" w:rsidRPr="003B7CB6" w:rsidP="003B7CB6">
      <w:pPr>
        <w:tabs>
          <w:tab w:val="left" w:pos="1170"/>
          <w:tab w:val="left" w:pos="1871"/>
          <w:tab w:val="left" w:pos="2268"/>
        </w:tabs>
        <w:overflowPunct w:val="0"/>
        <w:autoSpaceDE w:val="0"/>
        <w:autoSpaceDN w:val="0"/>
        <w:adjustRightInd w:val="0"/>
        <w:spacing w:before="120"/>
        <w:textAlignment w:val="baseline"/>
        <w:rPr>
          <w:rFonts w:ascii="TimesNewRomanPS-ItalicMT" w:hAnsi="TimesNewRomanPS-ItalicMT" w:cs="TimesNewRomanPS-ItalicMT"/>
          <w:i/>
          <w:iCs/>
          <w:sz w:val="24"/>
          <w:szCs w:val="24"/>
          <w:lang w:val="en-GB"/>
        </w:rPr>
      </w:pPr>
    </w:p>
    <w:p w:rsidR="003B7CB6" w:rsidRPr="003B7CB6" w:rsidP="003B7CB6">
      <w:pPr>
        <w:tabs>
          <w:tab w:val="left" w:pos="1170"/>
          <w:tab w:val="left" w:pos="1871"/>
          <w:tab w:val="left" w:pos="2268"/>
        </w:tabs>
        <w:overflowPunct w:val="0"/>
        <w:autoSpaceDE w:val="0"/>
        <w:autoSpaceDN w:val="0"/>
        <w:adjustRightInd w:val="0"/>
        <w:spacing w:before="120"/>
        <w:textAlignment w:val="baseline"/>
        <w:rPr>
          <w:rFonts w:ascii="TimesNewRomanPS-ItalicMT" w:hAnsi="TimesNewRomanPS-ItalicMT" w:cs="TimesNewRomanPS-ItalicMT"/>
          <w:i/>
          <w:iCs/>
          <w:sz w:val="24"/>
          <w:szCs w:val="24"/>
          <w:lang w:val="en-GB"/>
        </w:rPr>
      </w:pPr>
    </w:p>
    <w:p w:rsidR="003B7CB6" w:rsidRPr="003B7CB6" w:rsidP="003B7CB6">
      <w:pPr>
        <w:tabs>
          <w:tab w:val="left" w:pos="1170"/>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sz w:val="24"/>
          <w:lang w:val="en-GB"/>
        </w:rPr>
      </w:pPr>
      <w:r w:rsidRPr="003B7CB6">
        <w:rPr>
          <w:sz w:val="24"/>
          <w:lang w:val="en-GB"/>
        </w:rPr>
        <w:br w:type="page"/>
      </w:r>
    </w:p>
    <w:p w:rsidR="003B7CB6" w:rsidRPr="003B7CB6" w:rsidP="003B7CB6">
      <w:pPr>
        <w:tabs>
          <w:tab w:val="left" w:pos="1134"/>
          <w:tab w:val="left" w:pos="1871"/>
          <w:tab w:val="left" w:pos="2268"/>
        </w:tabs>
        <w:overflowPunct w:val="0"/>
        <w:autoSpaceDE w:val="0"/>
        <w:autoSpaceDN w:val="0"/>
        <w:adjustRightInd w:val="0"/>
        <w:spacing w:before="120"/>
        <w:jc w:val="center"/>
        <w:textAlignment w:val="baseline"/>
        <w:rPr>
          <w:rFonts w:ascii="TimesNewRomanPS-BoldMT" w:hAnsi="TimesNewRomanPS-BoldMT" w:cs="TimesNewRomanPS-BoldMT"/>
          <w:b/>
          <w:bCs/>
          <w:sz w:val="24"/>
          <w:szCs w:val="24"/>
          <w:lang w:val="en-GB"/>
        </w:rPr>
      </w:pPr>
      <w:r w:rsidRPr="003B7CB6">
        <w:rPr>
          <w:rFonts w:ascii="TimesNewRomanPS-BoldMT" w:hAnsi="TimesNewRomanPS-BoldMT" w:cs="TimesNewRomanPS-BoldMT"/>
          <w:b/>
          <w:bCs/>
          <w:sz w:val="24"/>
          <w:szCs w:val="24"/>
          <w:lang w:val="en-GB"/>
        </w:rPr>
        <w:t>ATTACHMENT</w:t>
      </w:r>
    </w:p>
    <w:p w:rsidR="003B7CB6" w:rsidRPr="003B7CB6" w:rsidP="003B7CB6">
      <w:pPr>
        <w:keepNext/>
        <w:keepLines/>
        <w:tabs>
          <w:tab w:val="left" w:pos="1134"/>
          <w:tab w:val="left" w:pos="1871"/>
          <w:tab w:val="left" w:pos="2268"/>
        </w:tabs>
        <w:overflowPunct w:val="0"/>
        <w:autoSpaceDE w:val="0"/>
        <w:autoSpaceDN w:val="0"/>
        <w:adjustRightInd w:val="0"/>
        <w:spacing w:before="120"/>
        <w:jc w:val="center"/>
        <w:textAlignment w:val="baseline"/>
        <w:rPr>
          <w:caps/>
          <w:sz w:val="28"/>
          <w:lang w:val="en-GB"/>
        </w:rPr>
      </w:pPr>
      <w:r w:rsidRPr="003B7CB6">
        <w:rPr>
          <w:caps/>
          <w:sz w:val="28"/>
          <w:lang w:val="en-GB"/>
        </w:rPr>
        <w:t>ANNEX 2 TO RESOLUTION 804 (Rev.WRC</w:t>
      </w:r>
      <w:r w:rsidRPr="003B7CB6">
        <w:rPr>
          <w:caps/>
          <w:sz w:val="28"/>
          <w:lang w:val="en-GB"/>
        </w:rPr>
        <w:noBreakHyphen/>
        <w:t>12)</w:t>
      </w:r>
    </w:p>
    <w:p w:rsidR="003B7CB6" w:rsidRPr="003B7CB6" w:rsidP="003B7CB6">
      <w:pPr>
        <w:keepNext/>
        <w:keepLines/>
        <w:tabs>
          <w:tab w:val="left" w:pos="1134"/>
          <w:tab w:val="left" w:pos="1871"/>
          <w:tab w:val="left" w:pos="2268"/>
        </w:tabs>
        <w:overflowPunct w:val="0"/>
        <w:autoSpaceDE w:val="0"/>
        <w:autoSpaceDN w:val="0"/>
        <w:adjustRightInd w:val="0"/>
        <w:spacing w:before="120"/>
        <w:jc w:val="center"/>
        <w:textAlignment w:val="baseline"/>
        <w:rPr>
          <w:rFonts w:ascii="Times New Roman Bold" w:hAnsi="Times New Roman Bold"/>
          <w:b/>
          <w:sz w:val="28"/>
          <w:lang w:val="en-GB"/>
        </w:rPr>
      </w:pPr>
      <w:r w:rsidRPr="003B7CB6">
        <w:rPr>
          <w:rFonts w:ascii="Times New Roman Bold" w:hAnsi="Times New Roman Bold"/>
          <w:b/>
          <w:sz w:val="28"/>
          <w:lang w:val="en-GB"/>
        </w:rPr>
        <w:t>Template for the submission of proposals for agenda items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jc w:val="center"/>
        <w:textAlignment w:val="baseline"/>
        <w:rPr>
          <w:rFonts w:ascii="TimesNewRomanPS-BoldMT" w:hAnsi="TimesNewRomanPS-BoldMT" w:cs="TimesNewRomanPS-BoldMT"/>
          <w:b/>
          <w:bCs/>
          <w:sz w:val="24"/>
          <w:szCs w:val="24"/>
          <w:lang w:val="en-GB"/>
        </w:rPr>
      </w:pPr>
      <w:r w:rsidRPr="003B7CB6">
        <w:rPr>
          <w:rFonts w:ascii="TimesNewRomanPS-BoldMT" w:hAnsi="TimesNewRomanPS-BoldMT" w:cs="TimesNewRomanPS-BoldMT"/>
          <w:b/>
          <w:bCs/>
          <w:sz w:val="24"/>
          <w:szCs w:val="24"/>
          <w:lang w:val="en-GB"/>
        </w:rPr>
        <w:t>PROPOSAL FOR FUTURE AGENDA ITEM FOR [XXX]</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BoldMT" w:hAnsi="TimesNewRomanPS-BoldMT" w:cs="TimesNewRomanPS-BoldMT"/>
          <w:b/>
          <w:bCs/>
          <w:sz w:val="24"/>
          <w:szCs w:val="24"/>
          <w:lang w:val="en-GB"/>
        </w:rPr>
      </w:pPr>
      <w:r w:rsidRPr="003B7CB6">
        <w:rPr>
          <w:rFonts w:ascii="TimesNewRomanPSMT" w:hAnsi="TimesNewRomanPSMT" w:cs="TimesNewRomanPSMT"/>
          <w:b/>
          <w:sz w:val="24"/>
          <w:szCs w:val="24"/>
          <w:lang w:val="en-GB"/>
        </w:rPr>
        <w:t>Subject:</w:t>
      </w:r>
      <w:r w:rsidRPr="003B7CB6">
        <w:rPr>
          <w:rFonts w:ascii="TimesNewRomanPSMT" w:hAnsi="TimesNewRomanPSMT" w:cs="TimesNewRomanPSMT"/>
          <w:sz w:val="24"/>
          <w:szCs w:val="24"/>
          <w:lang w:val="en-GB"/>
        </w:rPr>
        <w:t xml:space="preserve"> Proposed Future WRC Agenda Item for WRC-2023 to consider the results of studies on NGSO ESIM in the frequency bands 17.7-20.2 GHz (space-to-Earth), 27.5-30.0 GHz (Earth-to-space), 37.5-39.5 GHz (space-to-Earth), 39.5-42.5 GHz (space-to-Earth), 47.2-50.2 GHz (Earth-to-space) and 50.4-51.4 GHz (Earth-to-space)</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r w:rsidRPr="003B7CB6">
        <w:rPr>
          <w:rFonts w:ascii="TimesNewRomanPS-BoldMT" w:hAnsi="TimesNewRomanPS-BoldMT" w:cs="TimesNewRomanPS-BoldMT"/>
          <w:b/>
          <w:bCs/>
          <w:sz w:val="24"/>
          <w:szCs w:val="24"/>
          <w:lang w:val="en-GB"/>
        </w:rPr>
        <w:t>Origin</w:t>
      </w:r>
      <w:r w:rsidRPr="003B7CB6">
        <w:rPr>
          <w:rFonts w:ascii="TimesNewRomanPSMT" w:hAnsi="TimesNewRomanPSMT" w:cs="TimesNewRomanPSMT"/>
          <w:sz w:val="24"/>
          <w:szCs w:val="24"/>
          <w:lang w:val="en-GB"/>
        </w:rPr>
        <w:t>: United States of America</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ItalicMT" w:hAnsi="TimesNewRomanPS-ItalicMT" w:cs="TimesNewRomanPS-ItalicMT"/>
          <w:iCs/>
          <w:sz w:val="24"/>
          <w:szCs w:val="24"/>
          <w:lang w:val="en-GB"/>
        </w:rPr>
      </w:pPr>
      <w:r w:rsidRPr="003B7CB6">
        <w:rPr>
          <w:rFonts w:ascii="TimesNewRomanPS-ItalicMT" w:hAnsi="TimesNewRomanPS-ItalicMT" w:cs="TimesNewRomanPS-ItalicMT"/>
          <w:i/>
          <w:iCs/>
          <w:sz w:val="24"/>
          <w:szCs w:val="24"/>
          <w:lang w:val="en-GB"/>
        </w:rPr>
        <w:t xml:space="preserve">Proposal: </w:t>
      </w:r>
      <w:r w:rsidRPr="003B7CB6">
        <w:rPr>
          <w:b/>
          <w:iCs/>
          <w:color w:val="000000"/>
          <w:sz w:val="24"/>
          <w:lang w:val="en-GB"/>
        </w:rPr>
        <w:t>Study and develop technical and regulatory measures or frameworks, as appropriate, to facilitate the use of the frequency bands 17.7-20.2 GHz (space-to-Earth), 27.5-30.0 GHz (Earth-to-space), 37.5-39.5 GHz (space-to-Earth), 39.5-42.5 GHz (space-to-Earth), 47.2-50.2 GHz (Earth-to-space) and 50.4-51.4 GHz (Earth-to-space) by NGSO ESIM. In studying the use of the frequency band 29.1-29.5 GHz by fixed-satellite service (FSS), it is necessary to study the technical and regulatory measures to allow other uses of these frequencies by NGSO satellite systems.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ItalicMT" w:hAnsi="TimesNewRomanPS-ItalicMT" w:cs="TimesNewRomanPS-ItalicMT"/>
          <w:iCs/>
          <w:sz w:val="24"/>
          <w:szCs w:val="24"/>
          <w:lang w:val="en-GB"/>
        </w:rPr>
      </w:pP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lang w:val="en-GB"/>
        </w:rPr>
      </w:pPr>
      <w:r w:rsidRPr="003B7CB6">
        <w:rPr>
          <w:b/>
          <w:bCs/>
          <w:i/>
          <w:iCs/>
          <w:sz w:val="24"/>
          <w:szCs w:val="24"/>
          <w:lang w:val="en-GB"/>
        </w:rPr>
        <w:t>Background/reason:</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Non-geostationary (“NGSO”) satellite constellations in frequency bands 17.7-20.2 GHz (space-to-Earth) and 27.5-30 GHz (Earth-to-space) enable the provision of Internet connectivity and more of such NGSO systems offering broadband solutions are planned to be deployed in the near future in the same bands and in the 37.5-39.5 GHz (space-to-Earth), 39.5-42.5 GHz (space-to-Earth), 47.2-50.2 GHz (Earth-to-space) and 50.4-51.4 GHz (Earth-to-space). These constellations are designed to meet the consumer demand for access to broadband connectivity, regardless of location. One area of noticeable growth for NGSO connectivity is for earth stations in motion (“ESIM”). This market segment is particularly well served by satellites and in instances where lower latency matters, NGSO connectivity is there to deliver. For example, there is growing demand for high performance connectivity for users on maritime vessels and aircraft, as well as on for other applications at both fixed locations and while in motion. New and next generation NGSO systems will be designed to serve smaller ESIM terminals and as such NGSO systems offer the potential to expand connectivity to new market segments rapidly. In order to facilitate the further deployment of ubiquitous broadband connectivity to ESIM services in the above mentioned frequency bands, there should be consideration on how to develop internationally harmonized spectrum</w:t>
      </w:r>
      <w:r w:rsidRPr="003B7CB6">
        <w:rPr>
          <w:sz w:val="24"/>
          <w:lang w:val="en-GB"/>
        </w:rPr>
        <w:t xml:space="preserve"> </w:t>
      </w:r>
      <w:r w:rsidRPr="003B7CB6">
        <w:rPr>
          <w:szCs w:val="22"/>
          <w:lang w:val="en-GB"/>
        </w:rPr>
        <w:t>technical and regulatory measures or frameworks</w:t>
      </w:r>
      <w:r w:rsidRPr="003B7CB6">
        <w:rPr>
          <w:szCs w:val="22"/>
          <w:lang w:val="en-GB"/>
        </w:rPr>
        <w:t xml:space="preserve"> </w:t>
      </w:r>
      <w:r w:rsidRPr="003B7CB6">
        <w:rPr>
          <w:szCs w:val="22"/>
          <w:lang w:val="en-GB"/>
        </w:rPr>
        <w:t>that will enable and facilitate deployment of this critical and valuable service using NGSO satellites.</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 xml:space="preserve">It is proposed to carry out technical sharing studies between all types of ESIM communicating with NGSO FSS systems with other primary services in the frequency bands 17.7-20.2 GHz (space-to-Earth), 27.5-30.0 GHz (Earth-to-space), 37.5-39.5 GHz (space-to-Earth), 39.5-42.5 GHz (space-to-Earth), 47.2-50.2 GHz (Earth-to-space) and 50.4-51.4 GHz (Earth-to-space), in order to develop appropriate technical and regulatory requirements (which may include, but not limited to, off-axis EIRP density limits, minimum </w:t>
      </w:r>
      <w:r w:rsidRPr="003B7CB6">
        <w:rPr>
          <w:szCs w:val="22"/>
          <w:lang w:val="en-GB"/>
        </w:rPr>
        <w:t>antenna elevation angles and power-flux densities) to facilitate the operations of such earth stations, while ensuring harmful interference is not caused to other primary services.</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 xml:space="preserve">This proposal does not call for the revision of the epfd limits in Article </w:t>
      </w:r>
      <w:r w:rsidRPr="003B7CB6">
        <w:rPr>
          <w:b/>
          <w:szCs w:val="22"/>
          <w:lang w:val="en-GB"/>
        </w:rPr>
        <w:t>22</w:t>
      </w:r>
      <w:r w:rsidRPr="003B7CB6">
        <w:rPr>
          <w:szCs w:val="22"/>
          <w:lang w:val="en-GB"/>
        </w:rPr>
        <w:t xml:space="preserve"> of the Radio Regulations for the frequency bands of 17.8-18.6 GHz, 19.7-20.2 GHz (space-to-Earth) / 27.5-28.6 GHz, 29.5-30 GHz (Earth-to-space) and 17.8-18.4 GHz (inter-satellite) nor any provisions established by WRC-19 in consideration of Resolution </w:t>
      </w:r>
      <w:r w:rsidRPr="003B7CB6">
        <w:rPr>
          <w:b/>
          <w:szCs w:val="22"/>
          <w:lang w:val="en-GB"/>
        </w:rPr>
        <w:t>159</w:t>
      </w:r>
      <w:r w:rsidRPr="003B7CB6">
        <w:rPr>
          <w:szCs w:val="22"/>
          <w:lang w:val="en-GB"/>
        </w:rPr>
        <w:t xml:space="preserve"> (</w:t>
      </w:r>
      <w:r w:rsidRPr="003B7CB6">
        <w:rPr>
          <w:b/>
          <w:szCs w:val="22"/>
          <w:lang w:val="en-GB"/>
        </w:rPr>
        <w:t>WRC-15</w:t>
      </w:r>
      <w:r w:rsidRPr="003B7CB6">
        <w:rPr>
          <w:szCs w:val="22"/>
          <w:lang w:val="en-GB"/>
        </w:rPr>
        <w:t>).</w:t>
      </w:r>
    </w:p>
    <w:p w:rsidR="003B7CB6" w:rsidRPr="003B7CB6" w:rsidP="003B7CB6">
      <w:pPr>
        <w:keepNext/>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In studying the frequencies 29.1-29.5 GHz for use by FSS NGSO ESIMs, it is necessary to first study the technical and regulatory measures necessary to allow other uses by FSS NGSO satellite systems not limited to MSS feeder links, subject to provision No.</w:t>
      </w:r>
      <w:r w:rsidRPr="003B7CB6">
        <w:rPr>
          <w:b/>
          <w:szCs w:val="22"/>
          <w:lang w:val="en-GB"/>
        </w:rPr>
        <w:t xml:space="preserve"> 22.2</w:t>
      </w:r>
      <w:r w:rsidRPr="003B7CB6">
        <w:rPr>
          <w:szCs w:val="22"/>
          <w:lang w:val="en-GB"/>
        </w:rPr>
        <w:t xml:space="preserve">. </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lang w:val="en-GB"/>
        </w:rPr>
      </w:pPr>
      <w:r w:rsidRPr="003B7CB6">
        <w:rPr>
          <w:b/>
          <w:bCs/>
          <w:i/>
          <w:iCs/>
          <w:sz w:val="24"/>
          <w:szCs w:val="24"/>
          <w:lang w:val="en-GB"/>
        </w:rPr>
        <w:t xml:space="preserve">Radiocommunication services concerned: </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r w:rsidRPr="003B7CB6">
        <w:rPr>
          <w:iCs/>
          <w:sz w:val="24"/>
          <w:lang w:val="en-GB"/>
        </w:rPr>
        <w:t>Fixed, Mobile, Inter-Satellite, Broadcasting-satellite, MSS, FSS, Space Research (passive) and EESS (passive)</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lang w:val="en-GB"/>
        </w:rPr>
      </w:pPr>
      <w:r w:rsidRPr="003B7CB6">
        <w:rPr>
          <w:b/>
          <w:bCs/>
          <w:i/>
          <w:iCs/>
          <w:sz w:val="24"/>
          <w:szCs w:val="24"/>
          <w:lang w:val="en-GB"/>
        </w:rPr>
        <w:t>Indication of possible difficulties: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szCs w:val="22"/>
          <w:lang w:val="en-GB"/>
        </w:rPr>
        <w:t>Technical and regulatory requirements too stringent to allow an efficient deployment of ESIM services.</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szCs w:val="22"/>
          <w:lang w:val="en-GB"/>
        </w:rPr>
      </w:pPr>
      <w:r w:rsidRPr="003B7CB6">
        <w:rPr>
          <w:b/>
          <w:bCs/>
          <w:i/>
          <w:iCs/>
          <w:sz w:val="24"/>
          <w:szCs w:val="24"/>
          <w:lang w:val="en-GB"/>
        </w:rPr>
        <w:t>Previous/ongoing studies on the issue:</w:t>
      </w:r>
      <w:r w:rsidRPr="003B7CB6">
        <w:rPr>
          <w:szCs w:val="22"/>
          <w:lang w:val="en-GB"/>
        </w:rPr>
        <w:t xml:space="preserve"> Technical and operational requirements for ESIM (which were referred to as earth stations on mobile platforms (“ESOMPs”) prior to WRC-15) operating with NGSO FSS systems in the frequency bands 17.3-20.2 GHz, 27.5-29.1 GHz and 29.5-30.0 GHz have been discussed in the ITU-R and are reflected in the Report ITU-R S.2261. The Report identified the technical and operational requirements to be considered with the deployment of ESOMPs operating with NGSO FSS systems in the frequency bands 17.3-19.3 GHz, 19.7-20.2 GHz, 27.0-29.1 GHz and 29.5-30.0 GHz. The Report describes how ESOMPs operating in these frequency bands must be designed and operated to meet the existing technical and/or operational requirements applicable to FSS earth stations.</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tblPr>
      <w:tblGrid>
        <w:gridCol w:w="3979"/>
        <w:gridCol w:w="5357"/>
      </w:tblGrid>
      <w:tr w:rsidTr="003B7CB6">
        <w:tblPrEx>
          <w:tblW w:w="0" w:type="auto"/>
          <w:tblBorders>
            <w:bottom w:val="single" w:sz="12" w:space="0" w:color="auto"/>
            <w:insideH w:val="single" w:sz="12" w:space="0" w:color="auto"/>
            <w:insideV w:val="single" w:sz="12" w:space="0" w:color="auto"/>
          </w:tblBorders>
          <w:tblCellMar>
            <w:left w:w="0" w:type="dxa"/>
            <w:right w:w="0" w:type="dxa"/>
          </w:tblCellMar>
          <w:tblLook w:val="04A0"/>
        </w:tblPrEx>
        <w:tc>
          <w:tcPr>
            <w:tcW w:w="3979" w:type="dxa"/>
            <w:tcBorders>
              <w:top w:val="nil"/>
              <w:left w:val="nil"/>
              <w:bottom w:val="single" w:sz="12" w:space="0" w:color="auto"/>
              <w:right w:val="single" w:sz="12" w:space="0" w:color="auto"/>
            </w:tcBorders>
            <w:hideMark/>
          </w:tcPr>
          <w:p w:rsidR="003B7CB6" w:rsidRPr="003B7CB6" w:rsidP="003B7CB6">
            <w:pPr>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Cs/>
                <w:iCs/>
                <w:color w:val="000000"/>
                <w:sz w:val="24"/>
                <w:szCs w:val="24"/>
                <w:lang w:val="en-GB"/>
              </w:rPr>
            </w:pPr>
            <w:r w:rsidRPr="003B7CB6">
              <w:rPr>
                <w:b/>
                <w:i/>
                <w:color w:val="000000"/>
                <w:sz w:val="24"/>
                <w:szCs w:val="24"/>
                <w:lang w:val="en-GB"/>
              </w:rPr>
              <w:t>Studies to be carried out by</w:t>
            </w:r>
            <w:r w:rsidRPr="003B7CB6">
              <w:rPr>
                <w:b/>
                <w:bCs/>
                <w:i/>
                <w:iCs/>
                <w:color w:val="000000"/>
                <w:sz w:val="24"/>
                <w:szCs w:val="24"/>
                <w:lang w:val="en-GB"/>
              </w:rPr>
              <w:t xml:space="preserve">: </w:t>
            </w:r>
            <w:r w:rsidRPr="003B7CB6">
              <w:rPr>
                <w:bCs/>
                <w:iCs/>
                <w:color w:val="000000"/>
                <w:sz w:val="24"/>
                <w:szCs w:val="24"/>
                <w:lang w:val="en-GB"/>
              </w:rPr>
              <w:t>ITU-R Study Group 4</w:t>
            </w:r>
          </w:p>
          <w:p w:rsidR="003B7CB6" w:rsidRPr="003B7CB6" w:rsidP="003B7CB6">
            <w:pPr>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textAlignment w:val="baseline"/>
              <w:rPr>
                <w:b/>
                <w:bCs/>
                <w:i/>
                <w:iCs/>
                <w:color w:val="000000"/>
                <w:sz w:val="24"/>
                <w:szCs w:val="24"/>
                <w:lang w:val="en-GB"/>
              </w:rPr>
            </w:pPr>
          </w:p>
        </w:tc>
        <w:tc>
          <w:tcPr>
            <w:tcW w:w="5357" w:type="dxa"/>
            <w:tcBorders>
              <w:top w:val="nil"/>
              <w:left w:val="single" w:sz="12" w:space="0" w:color="auto"/>
              <w:bottom w:val="single" w:sz="12" w:space="0" w:color="auto"/>
              <w:right w:val="nil"/>
            </w:tcBorders>
          </w:tcPr>
          <w:p w:rsidR="003B7CB6" w:rsidRPr="003B7CB6" w:rsidP="003B7CB6">
            <w:pPr>
              <w:framePr w:hSpace="181" w:wrap="notBeside" w:vAnchor="text" w:hAnchor="text" w:xAlign="center" w:y="1"/>
              <w:tabs>
                <w:tab w:val="left" w:pos="360"/>
                <w:tab w:val="left" w:pos="900"/>
                <w:tab w:val="left" w:pos="1134"/>
                <w:tab w:val="left" w:pos="1871"/>
                <w:tab w:val="left" w:pos="2268"/>
                <w:tab w:val="left" w:pos="4366"/>
              </w:tabs>
              <w:overflowPunct w:val="0"/>
              <w:autoSpaceDE w:val="0"/>
              <w:autoSpaceDN w:val="0"/>
              <w:adjustRightInd w:val="0"/>
              <w:spacing w:before="120"/>
              <w:ind w:left="113"/>
              <w:textAlignment w:val="baseline"/>
              <w:rPr>
                <w:bCs/>
                <w:i/>
                <w:color w:val="000000"/>
                <w:sz w:val="24"/>
                <w:szCs w:val="24"/>
                <w:lang w:val="en-GB"/>
              </w:rPr>
            </w:pPr>
            <w:r w:rsidRPr="003B7CB6">
              <w:rPr>
                <w:bCs/>
                <w:i/>
                <w:color w:val="000000"/>
                <w:sz w:val="24"/>
                <w:szCs w:val="24"/>
                <w:lang w:val="en-GB"/>
              </w:rPr>
              <w:t xml:space="preserve">with the participation of: </w:t>
            </w:r>
          </w:p>
          <w:p w:rsidR="003B7CB6" w:rsidRPr="003B7CB6" w:rsidP="003B7CB6">
            <w:pPr>
              <w:framePr w:hSpace="181" w:wrap="notBeside" w:vAnchor="text" w:hAnchor="text" w:xAlign="center" w:y="1"/>
              <w:tabs>
                <w:tab w:val="left" w:pos="360"/>
                <w:tab w:val="left" w:pos="900"/>
                <w:tab w:val="left" w:pos="1134"/>
                <w:tab w:val="left" w:pos="1871"/>
                <w:tab w:val="left" w:pos="2268"/>
                <w:tab w:val="left" w:pos="4366"/>
              </w:tabs>
              <w:overflowPunct w:val="0"/>
              <w:autoSpaceDE w:val="0"/>
              <w:autoSpaceDN w:val="0"/>
              <w:adjustRightInd w:val="0"/>
              <w:spacing w:before="120"/>
              <w:ind w:left="113"/>
              <w:textAlignment w:val="baseline"/>
              <w:rPr>
                <w:b/>
                <w:bCs/>
                <w:iCs/>
                <w:color w:val="000000"/>
                <w:sz w:val="24"/>
                <w:szCs w:val="24"/>
                <w:lang w:val="en-GB"/>
              </w:rPr>
            </w:pPr>
          </w:p>
        </w:tc>
      </w:tr>
    </w:tbl>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r w:rsidRPr="003B7CB6">
        <w:rPr>
          <w:b/>
          <w:bCs/>
          <w:i/>
          <w:iCs/>
          <w:sz w:val="24"/>
          <w:szCs w:val="24"/>
          <w:lang w:val="en-GB"/>
        </w:rPr>
        <w:t xml:space="preserve">ITU-R Study Groups concerned: </w:t>
      </w:r>
      <w:r w:rsidRPr="003B7CB6">
        <w:rPr>
          <w:rFonts w:ascii="TimesNewRomanPSMT" w:hAnsi="TimesNewRomanPSMT" w:cs="TimesNewRomanPSMT"/>
          <w:sz w:val="24"/>
          <w:szCs w:val="24"/>
          <w:lang w:val="en-GB"/>
        </w:rPr>
        <w:t>SG-5 and SG 7</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r w:rsidRPr="003B7CB6">
        <w:rPr>
          <w:b/>
          <w:bCs/>
          <w:i/>
          <w:iCs/>
          <w:sz w:val="24"/>
          <w:szCs w:val="24"/>
          <w:lang w:val="en-GB"/>
        </w:rPr>
        <w:t>ITU resource implications, including financial implications (refer to CV126):</w:t>
      </w:r>
      <w:r w:rsidRPr="003B7CB6">
        <w:rPr>
          <w:rFonts w:ascii="TimesNewRomanPSMT" w:hAnsi="TimesNewRomanPSMT" w:cs="TimesNewRomanPSMT"/>
          <w:sz w:val="24"/>
          <w:szCs w:val="24"/>
          <w:lang w:val="en-GB"/>
        </w:rPr>
        <w:t xml:space="preserve"> minimal</w:t>
      </w:r>
    </w:p>
    <w:p w:rsidR="003B7CB6" w:rsidRPr="003B7CB6" w:rsidP="003B7CB6">
      <w:pPr>
        <w:pBdr>
          <w:bottom w:val="single" w:sz="12" w:space="1" w:color="auto"/>
        </w:pBdr>
        <w:tabs>
          <w:tab w:val="left" w:pos="794"/>
          <w:tab w:val="left" w:pos="1134"/>
          <w:tab w:val="left" w:pos="1191"/>
          <w:tab w:val="left" w:pos="1588"/>
          <w:tab w:val="left" w:pos="1871"/>
          <w:tab w:val="left" w:pos="1985"/>
          <w:tab w:val="left" w:pos="2268"/>
        </w:tabs>
        <w:overflowPunct w:val="0"/>
        <w:autoSpaceDE w:val="0"/>
        <w:autoSpaceDN w:val="0"/>
        <w:adjustRightInd w:val="0"/>
        <w:spacing w:before="120"/>
        <w:textAlignment w:val="baseline"/>
        <w:rPr>
          <w:color w:val="000000"/>
          <w:sz w:val="24"/>
          <w:szCs w:val="24"/>
          <w:lang w:val="en-GB"/>
        </w:rPr>
      </w:pPr>
    </w:p>
    <w:p w:rsidR="003B7CB6" w:rsidRPr="003B7CB6" w:rsidP="003B7CB6">
      <w:pPr>
        <w:tabs>
          <w:tab w:val="left" w:pos="1134"/>
          <w:tab w:val="left" w:pos="1871"/>
          <w:tab w:val="left" w:pos="2268"/>
        </w:tabs>
        <w:overflowPunct w:val="0"/>
        <w:autoSpaceDE w:val="0"/>
        <w:autoSpaceDN w:val="0"/>
        <w:adjustRightInd w:val="0"/>
        <w:spacing w:before="120"/>
        <w:textAlignment w:val="baseline"/>
        <w:rPr>
          <w:rFonts w:ascii="TimesNewRomanPSMT" w:hAnsi="TimesNewRomanPSMT" w:cs="TimesNewRomanPSMT"/>
          <w:sz w:val="24"/>
          <w:szCs w:val="24"/>
          <w:lang w:val="en-GB"/>
        </w:rPr>
      </w:pPr>
      <w:r w:rsidRPr="003B7CB6">
        <w:rPr>
          <w:b/>
          <w:bCs/>
          <w:i/>
          <w:iCs/>
          <w:sz w:val="24"/>
          <w:szCs w:val="24"/>
          <w:lang w:val="en-GB"/>
        </w:rPr>
        <w:t xml:space="preserve">Common regional proposal: </w:t>
      </w:r>
      <w:r w:rsidRPr="003B7CB6">
        <w:rPr>
          <w:rFonts w:ascii="TimesNewRomanPSMT" w:hAnsi="TimesNewRomanPSMT" w:cs="TimesNewRomanPSMT"/>
          <w:sz w:val="24"/>
          <w:szCs w:val="24"/>
          <w:lang w:val="en-GB"/>
        </w:rPr>
        <w:t xml:space="preserve">Yes/No </w:t>
      </w:r>
      <w:r w:rsidRPr="003B7CB6">
        <w:rPr>
          <w:rFonts w:ascii="TimesNewRomanPSMT" w:hAnsi="TimesNewRomanPSMT" w:cs="TimesNewRomanPSMT"/>
          <w:sz w:val="24"/>
          <w:szCs w:val="24"/>
          <w:lang w:val="en-GB"/>
        </w:rPr>
        <w:tab/>
      </w:r>
      <w:r w:rsidRPr="003B7CB6">
        <w:rPr>
          <w:rFonts w:ascii="TimesNewRomanPSMT" w:hAnsi="TimesNewRomanPSMT" w:cs="TimesNewRomanPSMT"/>
          <w:sz w:val="24"/>
          <w:szCs w:val="24"/>
          <w:lang w:val="en-GB"/>
        </w:rPr>
        <w:tab/>
      </w:r>
      <w:r w:rsidRPr="003B7CB6">
        <w:rPr>
          <w:b/>
          <w:bCs/>
          <w:i/>
          <w:iCs/>
          <w:sz w:val="24"/>
          <w:szCs w:val="24"/>
          <w:lang w:val="en-GB"/>
        </w:rPr>
        <w:t xml:space="preserve">Multicountry proposal: </w:t>
      </w:r>
      <w:r w:rsidRPr="003B7CB6">
        <w:rPr>
          <w:rFonts w:ascii="TimesNewRomanPSMT" w:hAnsi="TimesNewRomanPSMT" w:cs="TimesNewRomanPSMT"/>
          <w:sz w:val="24"/>
          <w:szCs w:val="24"/>
          <w:lang w:val="en-GB"/>
        </w:rPr>
        <w:t>Yes/No</w:t>
      </w:r>
    </w:p>
    <w:p w:rsidR="003B7CB6" w:rsidRPr="003B7CB6" w:rsidP="003B7CB6">
      <w:pPr>
        <w:tabs>
          <w:tab w:val="left" w:pos="1134"/>
          <w:tab w:val="left" w:pos="1871"/>
          <w:tab w:val="left" w:pos="2268"/>
        </w:tabs>
        <w:overflowPunct w:val="0"/>
        <w:autoSpaceDE w:val="0"/>
        <w:autoSpaceDN w:val="0"/>
        <w:adjustRightInd w:val="0"/>
        <w:spacing w:before="120"/>
        <w:ind w:firstLine="720"/>
        <w:textAlignment w:val="baseline"/>
        <w:rPr>
          <w:rFonts w:ascii="TimesNewRomanPS-ItalicMT" w:hAnsi="TimesNewRomanPS-ItalicMT" w:cs="TimesNewRomanPS-ItalicMT"/>
          <w:i/>
          <w:iCs/>
          <w:sz w:val="24"/>
          <w:szCs w:val="24"/>
          <w:lang w:val="en-GB"/>
        </w:rPr>
      </w:pPr>
      <w:r w:rsidRPr="003B7CB6">
        <w:rPr>
          <w:rFonts w:ascii="TimesNewRomanPS-ItalicMT" w:hAnsi="TimesNewRomanPS-ItalicMT" w:cs="TimesNewRomanPS-ItalicMT"/>
          <w:i/>
          <w:iCs/>
          <w:sz w:val="24"/>
          <w:szCs w:val="24"/>
          <w:lang w:val="en-GB"/>
        </w:rPr>
        <w:t>Number of countries:</w:t>
      </w:r>
    </w:p>
    <w:p w:rsidR="003B7CB6" w:rsidRPr="003B7CB6" w:rsidP="003B7CB6">
      <w:pPr>
        <w:tabs>
          <w:tab w:val="left" w:pos="1134"/>
          <w:tab w:val="left" w:pos="1871"/>
          <w:tab w:val="left" w:pos="2268"/>
        </w:tabs>
        <w:overflowPunct w:val="0"/>
        <w:autoSpaceDE w:val="0"/>
        <w:autoSpaceDN w:val="0"/>
        <w:adjustRightInd w:val="0"/>
        <w:spacing w:before="120"/>
        <w:textAlignment w:val="baseline"/>
        <w:rPr>
          <w:b/>
          <w:bCs/>
          <w:i/>
          <w:iCs/>
          <w:sz w:val="24"/>
          <w:szCs w:val="24"/>
          <w:lang w:val="en-GB"/>
        </w:rPr>
      </w:pPr>
      <w:r w:rsidRPr="003B7CB6">
        <w:rPr>
          <w:b/>
          <w:bCs/>
          <w:i/>
          <w:iCs/>
          <w:sz w:val="24"/>
          <w:szCs w:val="24"/>
          <w:lang w:val="en-GB"/>
        </w:rPr>
        <w:t>Remarks</w:t>
      </w:r>
    </w:p>
    <w:p w:rsidR="003B7CB6" w:rsidP="003B7CB6">
      <w:pPr>
        <w:spacing w:after="200" w:line="276" w:lineRule="auto"/>
        <w:rPr>
          <w:b/>
          <w:sz w:val="24"/>
          <w:szCs w:val="24"/>
        </w:rPr>
      </w:pPr>
    </w:p>
    <w:p w:rsidR="003B7CB6" w:rsidP="003B7CB6">
      <w:pPr>
        <w:spacing w:after="200" w:line="276" w:lineRule="auto"/>
        <w:jc w:val="center"/>
        <w:rPr>
          <w:b/>
          <w:sz w:val="24"/>
          <w:szCs w:val="24"/>
        </w:rPr>
      </w:pPr>
      <w:r>
        <w:rPr>
          <w:b/>
          <w:sz w:val="24"/>
          <w:szCs w:val="24"/>
        </w:rPr>
        <w:t>___________________________</w:t>
      </w:r>
    </w:p>
    <w:p w:rsidR="003B7CB6" w:rsidP="003B7CB6">
      <w:pPr>
        <w:spacing w:after="200" w:line="276" w:lineRule="auto"/>
        <w:jc w:val="center"/>
        <w:rPr>
          <w:b/>
          <w:sz w:val="24"/>
          <w:szCs w:val="24"/>
        </w:rPr>
      </w:pPr>
    </w:p>
    <w:p w:rsidR="00565D01">
      <w:pPr>
        <w:spacing w:after="200" w:line="276" w:lineRule="auto"/>
        <w:rPr>
          <w:b/>
          <w:sz w:val="24"/>
          <w:szCs w:val="24"/>
        </w:rPr>
      </w:pPr>
      <w:r>
        <w:rPr>
          <w:b/>
          <w:sz w:val="24"/>
          <w:szCs w:val="24"/>
        </w:rPr>
        <w:br w:type="page"/>
      </w:r>
    </w:p>
    <w:p w:rsidR="003B7CB6" w:rsidP="003B7CB6">
      <w:pPr>
        <w:spacing w:after="200" w:line="276" w:lineRule="auto"/>
        <w:rPr>
          <w:b/>
          <w:sz w:val="24"/>
          <w:szCs w:val="24"/>
        </w:rPr>
      </w:pPr>
      <w:r>
        <w:rPr>
          <w:b/>
          <w:sz w:val="24"/>
          <w:szCs w:val="24"/>
        </w:rPr>
        <w:t>DOCUMENT WAC/094 (11.03.19)</w:t>
      </w:r>
    </w:p>
    <w:p w:rsidR="00565D01" w:rsidRPr="00565D01" w:rsidP="00565D01">
      <w:pPr>
        <w:keepNext/>
        <w:tabs>
          <w:tab w:val="left" w:pos="360"/>
          <w:tab w:val="left" w:pos="900"/>
        </w:tabs>
        <w:jc w:val="center"/>
        <w:outlineLvl w:val="0"/>
        <w:rPr>
          <w:b/>
          <w:bCs/>
          <w:sz w:val="24"/>
          <w:szCs w:val="24"/>
        </w:rPr>
      </w:pPr>
      <w:r w:rsidRPr="00565D01">
        <w:rPr>
          <w:b/>
          <w:bCs/>
          <w:sz w:val="24"/>
          <w:szCs w:val="24"/>
        </w:rPr>
        <w:t>UNITED STATES OF AMERICA</w:t>
      </w:r>
    </w:p>
    <w:p w:rsidR="00565D01" w:rsidRPr="00565D01" w:rsidP="00565D01">
      <w:pPr>
        <w:tabs>
          <w:tab w:val="left" w:pos="576"/>
          <w:tab w:val="left" w:pos="792"/>
          <w:tab w:val="left" w:pos="1008"/>
          <w:tab w:val="left" w:pos="1224"/>
          <w:tab w:val="left" w:pos="1440"/>
        </w:tabs>
        <w:jc w:val="center"/>
        <w:rPr>
          <w:rFonts w:eastAsia="Calibri"/>
          <w:sz w:val="24"/>
          <w:szCs w:val="22"/>
        </w:rPr>
      </w:pPr>
    </w:p>
    <w:p w:rsidR="00565D01" w:rsidRPr="00565D01" w:rsidP="00565D01">
      <w:pPr>
        <w:keepNext/>
        <w:tabs>
          <w:tab w:val="left" w:pos="360"/>
          <w:tab w:val="left" w:pos="900"/>
        </w:tabs>
        <w:jc w:val="center"/>
        <w:outlineLvl w:val="0"/>
        <w:rPr>
          <w:b/>
          <w:bCs/>
          <w:sz w:val="24"/>
          <w:szCs w:val="24"/>
        </w:rPr>
      </w:pPr>
      <w:r w:rsidRPr="00565D01">
        <w:rPr>
          <w:b/>
          <w:bCs/>
          <w:sz w:val="24"/>
          <w:szCs w:val="24"/>
        </w:rPr>
        <w:t xml:space="preserve">DRAFT </w:t>
      </w:r>
      <w:r w:rsidRPr="00565D01">
        <w:rPr>
          <w:b/>
          <w:bCs/>
          <w:sz w:val="24"/>
        </w:rPr>
        <w:t>PROPOSALS FOR THE WORK OF THE CONFERENCE</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576"/>
          <w:tab w:val="left" w:pos="792"/>
          <w:tab w:val="left" w:pos="1008"/>
          <w:tab w:val="left" w:pos="1224"/>
          <w:tab w:val="left" w:pos="1440"/>
        </w:tabs>
        <w:rPr>
          <w:rFonts w:eastAsia="Calibri"/>
          <w:bCs/>
          <w:sz w:val="24"/>
          <w:szCs w:val="22"/>
        </w:rPr>
      </w:pPr>
      <w:r w:rsidRPr="00565D01">
        <w:rPr>
          <w:rFonts w:eastAsia="Calibri"/>
          <w:b/>
          <w:bCs/>
          <w:sz w:val="24"/>
          <w:szCs w:val="22"/>
        </w:rPr>
        <w:t>AGENDA ITEM 10</w:t>
      </w:r>
      <w:r w:rsidRPr="00565D01">
        <w:rPr>
          <w:rFonts w:eastAsia="Calibri"/>
          <w:bCs/>
          <w:sz w:val="24"/>
          <w:szCs w:val="22"/>
        </w:rPr>
        <w:t xml:space="preserve">: </w:t>
      </w:r>
      <w:r w:rsidRPr="00565D01">
        <w:rPr>
          <w:rFonts w:eastAsia="Calibri"/>
          <w:bCs/>
          <w:i/>
          <w:sz w:val="24"/>
          <w:szCs w:val="22"/>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565D01" w:rsidRPr="00565D01" w:rsidP="00565D01">
      <w:pPr>
        <w:tabs>
          <w:tab w:val="left" w:pos="576"/>
          <w:tab w:val="left" w:pos="792"/>
          <w:tab w:val="left" w:pos="1008"/>
          <w:tab w:val="left" w:pos="1224"/>
          <w:tab w:val="left" w:pos="1440"/>
        </w:tabs>
        <w:rPr>
          <w:rFonts w:eastAsia="Calibri"/>
          <w:bCs/>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b/>
          <w:bCs/>
          <w:sz w:val="24"/>
          <w:szCs w:val="22"/>
        </w:rPr>
        <w:t>BACKGROUND INFORMATION</w:t>
      </w:r>
      <w:r w:rsidRPr="00565D01">
        <w:rPr>
          <w:rFonts w:eastAsia="Calibri"/>
          <w:sz w:val="24"/>
          <w:szCs w:val="22"/>
        </w:rPr>
        <w:t xml:space="preserve">: </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rPr>
          <w:rFonts w:eastAsia="Calibri"/>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 xml:space="preserve">WRC-97 adopted </w:t>
      </w:r>
      <w:r w:rsidRPr="00565D01">
        <w:rPr>
          <w:rFonts w:eastAsia="Calibri"/>
          <w:b/>
          <w:sz w:val="24"/>
          <w:szCs w:val="22"/>
        </w:rPr>
        <w:t>5.523A</w:t>
      </w:r>
      <w:r w:rsidRPr="00565D01">
        <w:rPr>
          <w:rFonts w:eastAsia="Calibri"/>
          <w:sz w:val="24"/>
          <w:szCs w:val="22"/>
        </w:rPr>
        <w:t xml:space="preserve"> whereby the use of certain frequency bands by geostationary and non-geostationary fixed satellite service networks is subject to the application of the provisions of No. </w:t>
      </w:r>
      <w:r w:rsidRPr="00565D01">
        <w:rPr>
          <w:rFonts w:eastAsia="Calibri"/>
          <w:b/>
          <w:sz w:val="24"/>
          <w:szCs w:val="22"/>
        </w:rPr>
        <w:t>9.11A</w:t>
      </w:r>
      <w:r w:rsidRPr="00565D01">
        <w:rPr>
          <w:rFonts w:eastAsia="Calibri"/>
          <w:sz w:val="24"/>
          <w:szCs w:val="22"/>
        </w:rPr>
        <w:t xml:space="preserve"> and No. </w:t>
      </w:r>
      <w:r w:rsidRPr="00565D01">
        <w:rPr>
          <w:rFonts w:eastAsia="Calibri"/>
          <w:b/>
          <w:sz w:val="24"/>
          <w:szCs w:val="22"/>
        </w:rPr>
        <w:t>22.2</w:t>
      </w:r>
      <w:r w:rsidRPr="00565D01">
        <w:rPr>
          <w:rFonts w:eastAsia="Calibri"/>
          <w:sz w:val="24"/>
          <w:szCs w:val="22"/>
        </w:rPr>
        <w:t xml:space="preserve"> does not apply. </w:t>
      </w:r>
    </w:p>
    <w:p w:rsidR="00565D01" w:rsidRPr="00565D01" w:rsidP="00565D01">
      <w:pPr>
        <w:rPr>
          <w:rFonts w:eastAsia="Calibri"/>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 xml:space="preserve">This WRC action allows non-GSO satellite systems to operate in the bands referred to in </w:t>
      </w:r>
      <w:r w:rsidRPr="00565D01">
        <w:rPr>
          <w:rFonts w:eastAsia="Calibri"/>
          <w:b/>
          <w:sz w:val="24"/>
          <w:szCs w:val="22"/>
        </w:rPr>
        <w:t>5.523A</w:t>
      </w:r>
      <w:r w:rsidRPr="00565D01">
        <w:rPr>
          <w:rFonts w:eastAsia="Calibri"/>
          <w:sz w:val="24"/>
          <w:szCs w:val="22"/>
        </w:rPr>
        <w:t xml:space="preserve"> subject to coordination on a first come first served basis with respect to GSO satellite networks.</w:t>
      </w:r>
    </w:p>
    <w:p w:rsidR="00565D01" w:rsidRPr="00565D01" w:rsidP="00565D01">
      <w:pPr>
        <w:rPr>
          <w:rFonts w:eastAsia="Calibri"/>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 xml:space="preserve">WRC-97 also adopted provisional equivalent pfd (epfd) and aggregate epfd limits to be met by NGSO satellite systems operating in certain frequency bands. WRC-2000 adopted definitive epfd limits and expanded the ranges of frequency where they would apply. A NGSO satellite system meeting the epfd limits in the relevant frequency bands is deemed to be compliant with Article </w:t>
      </w:r>
      <w:r w:rsidRPr="00565D01">
        <w:rPr>
          <w:rFonts w:eastAsia="Calibri"/>
          <w:b/>
          <w:sz w:val="24"/>
          <w:szCs w:val="22"/>
        </w:rPr>
        <w:t>22.2</w:t>
      </w:r>
      <w:r w:rsidRPr="00565D01">
        <w:rPr>
          <w:rFonts w:eastAsia="Calibri"/>
          <w:sz w:val="24"/>
          <w:szCs w:val="22"/>
        </w:rPr>
        <w:t xml:space="preserve"> with respect to any GSO satellite network regardless of priority date. </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576"/>
          <w:tab w:val="left" w:pos="792"/>
          <w:tab w:val="left" w:pos="1008"/>
          <w:tab w:val="left" w:pos="1224"/>
          <w:tab w:val="left" w:pos="1440"/>
        </w:tabs>
        <w:rPr>
          <w:rFonts w:eastAsia="Calibri"/>
          <w:b/>
          <w:sz w:val="24"/>
          <w:szCs w:val="22"/>
        </w:rPr>
      </w:pPr>
      <w:r w:rsidRPr="00565D01">
        <w:rPr>
          <w:sz w:val="24"/>
          <w:szCs w:val="24"/>
        </w:rPr>
        <w:t xml:space="preserve">WRC-19 will review the results of the studies and will consider taking appropriate regulatory actions for non-GSO satellite systems in the 37-51.4 GHz frequency range by adopting aggregate criteria not to be exceeded by non-GSO FSS systems in order to protect GSO FSS and GSO BSS networks against interference. </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576"/>
          <w:tab w:val="left" w:pos="792"/>
          <w:tab w:val="left" w:pos="1008"/>
          <w:tab w:val="left" w:pos="1224"/>
          <w:tab w:val="left" w:pos="1440"/>
        </w:tabs>
        <w:rPr>
          <w:rFonts w:ascii="Times" w:eastAsia="Calibri" w:hAnsi="Times" w:cs="Times"/>
          <w:color w:val="000000"/>
          <w:sz w:val="24"/>
          <w:szCs w:val="24"/>
        </w:rPr>
      </w:pPr>
      <w:r w:rsidRPr="00565D01">
        <w:rPr>
          <w:rFonts w:ascii="Times" w:eastAsia="Calibri" w:hAnsi="Times" w:cs="Times"/>
          <w:color w:val="000000"/>
          <w:sz w:val="24"/>
          <w:szCs w:val="24"/>
        </w:rPr>
        <w:t>High mm-wave bands are particularly suitable for use as ultra-high capacity gateway links for large constellation non-GSO FSS systems using broadband service links.  In addition, these frequency bands are potentially suitable for broadband links for consumer and enterprise customers.  As a result, system trials of high mm-wave bands are progressing and technology prototypes are maturing.</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 xml:space="preserve">However, there are currently no mechanisms in the RR establishing coordination procedures applicable between NGSO systems, nor methods of ensuring satisfactory co-existence with GSO networks, operating in the frequency bands currently allocated to the FSS in the range from </w:t>
      </w:r>
      <w:r w:rsidRPr="00565D01">
        <w:rPr>
          <w:sz w:val="24"/>
          <w:lang w:val="en-GB"/>
        </w:rPr>
        <w:t>71-76 GHz (space-to-Earth) and 81-86 GHz (Earth-to-space).</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This contributes to uncertainty with adopting high mm-wave gateway technology among potential operators of non-GSO satellite systems in these bands, which should be addressed by a competent WRC.</w:t>
      </w:r>
    </w:p>
    <w:p w:rsidR="00565D01" w:rsidRPr="00565D01" w:rsidP="00565D01">
      <w:pPr>
        <w:rPr>
          <w:rFonts w:eastAsia="Calibri"/>
          <w:sz w:val="24"/>
          <w:szCs w:val="22"/>
        </w:rPr>
      </w:pPr>
      <w:r w:rsidRPr="00565D01">
        <w:rPr>
          <w:rFonts w:eastAsia="Calibri"/>
          <w:sz w:val="24"/>
          <w:szCs w:val="22"/>
        </w:rPr>
        <w:br w:type="page"/>
      </w:r>
    </w:p>
    <w:p w:rsidR="00565D01" w:rsidRPr="00565D01" w:rsidP="00565D01">
      <w:pPr>
        <w:tabs>
          <w:tab w:val="left" w:pos="1134"/>
          <w:tab w:val="left" w:pos="1871"/>
          <w:tab w:val="left" w:pos="2268"/>
        </w:tabs>
        <w:overflowPunct w:val="0"/>
        <w:autoSpaceDE w:val="0"/>
        <w:autoSpaceDN w:val="0"/>
        <w:adjustRightInd w:val="0"/>
        <w:spacing w:before="120"/>
        <w:jc w:val="center"/>
        <w:rPr>
          <w:bCs/>
          <w:sz w:val="28"/>
          <w:szCs w:val="28"/>
          <w:lang w:val="en-GB"/>
        </w:rPr>
      </w:pPr>
      <w:r w:rsidRPr="00565D01">
        <w:rPr>
          <w:bCs/>
          <w:sz w:val="28"/>
          <w:szCs w:val="28"/>
          <w:lang w:val="en-GB"/>
        </w:rPr>
        <w:t>RESOLUTION 810 (WRC</w:t>
      </w:r>
      <w:r w:rsidRPr="00565D01">
        <w:rPr>
          <w:bCs/>
          <w:sz w:val="28"/>
          <w:szCs w:val="28"/>
          <w:lang w:val="en-GB"/>
        </w:rPr>
        <w:noBreakHyphen/>
        <w:t>19)</w:t>
      </w:r>
    </w:p>
    <w:p w:rsidR="00565D01" w:rsidRPr="00565D01" w:rsidP="00565D01">
      <w:pPr>
        <w:tabs>
          <w:tab w:val="left" w:pos="1134"/>
          <w:tab w:val="left" w:pos="1871"/>
          <w:tab w:val="left" w:pos="2268"/>
        </w:tabs>
        <w:overflowPunct w:val="0"/>
        <w:autoSpaceDE w:val="0"/>
        <w:autoSpaceDN w:val="0"/>
        <w:adjustRightInd w:val="0"/>
        <w:spacing w:before="120"/>
        <w:rPr>
          <w:sz w:val="2"/>
          <w:lang w:val="en-GB"/>
        </w:rPr>
      </w:pPr>
    </w:p>
    <w:p w:rsidR="00565D01" w:rsidRPr="00565D01" w:rsidP="00565D01">
      <w:pPr>
        <w:keepNext/>
        <w:keepLines/>
        <w:tabs>
          <w:tab w:val="left" w:pos="1134"/>
          <w:tab w:val="left" w:pos="1871"/>
          <w:tab w:val="left" w:pos="2268"/>
        </w:tabs>
        <w:overflowPunct w:val="0"/>
        <w:autoSpaceDE w:val="0"/>
        <w:autoSpaceDN w:val="0"/>
        <w:adjustRightInd w:val="0"/>
        <w:spacing w:before="240"/>
        <w:jc w:val="center"/>
        <w:rPr>
          <w:rFonts w:ascii="Times New Roman Bold" w:eastAsia="Calibri" w:hAnsi="Times New Roman Bold" w:cs="Times New Roman Bold"/>
          <w:b/>
          <w:sz w:val="28"/>
          <w:szCs w:val="22"/>
          <w:lang w:val="en-GB"/>
        </w:rPr>
      </w:pPr>
      <w:r w:rsidRPr="00565D01">
        <w:rPr>
          <w:rFonts w:ascii="Times New Roman Bold" w:eastAsia="Calibri" w:hAnsi="Times New Roman Bold" w:cs="Times New Roman Bold"/>
          <w:b/>
          <w:sz w:val="28"/>
          <w:szCs w:val="22"/>
          <w:lang w:val="en-GB"/>
        </w:rPr>
        <w:t>Agenda for the 2023 World Radiocommunication Conference</w:t>
      </w:r>
    </w:p>
    <w:p w:rsidR="00565D01" w:rsidRPr="00565D01" w:rsidP="00565D01">
      <w:pPr>
        <w:tabs>
          <w:tab w:val="left" w:pos="720"/>
          <w:tab w:val="left" w:pos="1134"/>
          <w:tab w:val="left" w:pos="1871"/>
          <w:tab w:val="left" w:pos="2268"/>
        </w:tabs>
        <w:autoSpaceDN w:val="0"/>
        <w:spacing w:after="147" w:line="247" w:lineRule="auto"/>
        <w:ind w:left="-5" w:hanging="10"/>
        <w:jc w:val="both"/>
        <w:rPr>
          <w:color w:val="000000"/>
          <w:sz w:val="24"/>
          <w:szCs w:val="22"/>
        </w:rPr>
      </w:pP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720"/>
          <w:tab w:val="left" w:pos="1134"/>
          <w:tab w:val="left" w:pos="1871"/>
          <w:tab w:val="left" w:pos="2268"/>
        </w:tabs>
        <w:autoSpaceDN w:val="0"/>
        <w:spacing w:after="147" w:line="247" w:lineRule="auto"/>
        <w:ind w:left="-5" w:hanging="10"/>
        <w:jc w:val="both"/>
        <w:rPr>
          <w:color w:val="000000"/>
          <w:sz w:val="24"/>
          <w:szCs w:val="22"/>
        </w:rPr>
      </w:pPr>
      <w:r w:rsidRPr="00565D01">
        <w:rPr>
          <w:color w:val="000000"/>
          <w:sz w:val="24"/>
          <w:szCs w:val="22"/>
        </w:rPr>
        <w:t xml:space="preserve">The World Radiocommunication Conference (Sharm-el-Sheikh, 2019), </w:t>
      </w:r>
    </w:p>
    <w:p w:rsidR="00565D01" w:rsidRPr="00565D01" w:rsidP="00565D01">
      <w:pPr>
        <w:tabs>
          <w:tab w:val="left" w:pos="576"/>
          <w:tab w:val="left" w:pos="720"/>
          <w:tab w:val="left" w:pos="792"/>
          <w:tab w:val="left" w:pos="1008"/>
          <w:tab w:val="left" w:pos="1224"/>
          <w:tab w:val="left" w:pos="1440"/>
        </w:tabs>
        <w:spacing w:after="147" w:line="247" w:lineRule="auto"/>
        <w:jc w:val="both"/>
        <w:rPr>
          <w:rFonts w:eastAsia="Calibri"/>
          <w:color w:val="000000"/>
          <w:sz w:val="24"/>
          <w:szCs w:val="22"/>
        </w:rPr>
      </w:pPr>
      <w:r w:rsidRPr="00565D01">
        <w:rPr>
          <w:rFonts w:eastAsia="Calibri"/>
          <w:color w:val="000000"/>
          <w:sz w:val="24"/>
          <w:szCs w:val="22"/>
        </w:rPr>
        <w:t>* * *</w:t>
      </w:r>
    </w:p>
    <w:p w:rsidR="00565D01" w:rsidRPr="00565D01" w:rsidP="00565D01">
      <w:pPr>
        <w:keepNext/>
        <w:keepLines/>
        <w:tabs>
          <w:tab w:val="left" w:pos="720"/>
          <w:tab w:val="left" w:pos="1134"/>
          <w:tab w:val="left" w:pos="1871"/>
          <w:tab w:val="left" w:pos="2268"/>
        </w:tabs>
        <w:autoSpaceDN w:val="0"/>
        <w:spacing w:after="95" w:line="256" w:lineRule="auto"/>
        <w:ind w:left="1128" w:hanging="10"/>
        <w:outlineLvl w:val="0"/>
        <w:rPr>
          <w:i/>
          <w:color w:val="000000"/>
          <w:sz w:val="24"/>
          <w:szCs w:val="22"/>
        </w:rPr>
      </w:pPr>
      <w:r w:rsidRPr="00565D01">
        <w:rPr>
          <w:i/>
          <w:color w:val="000000"/>
          <w:sz w:val="24"/>
          <w:szCs w:val="22"/>
        </w:rPr>
        <w:t xml:space="preserve">resolves to give the view </w:t>
      </w:r>
    </w:p>
    <w:p w:rsidR="00565D01" w:rsidRPr="00565D01" w:rsidP="00565D01">
      <w:pPr>
        <w:tabs>
          <w:tab w:val="left" w:pos="720"/>
          <w:tab w:val="left" w:pos="1134"/>
          <w:tab w:val="left" w:pos="1871"/>
          <w:tab w:val="left" w:pos="2268"/>
        </w:tabs>
        <w:autoSpaceDN w:val="0"/>
        <w:spacing w:after="109" w:line="247" w:lineRule="auto"/>
        <w:ind w:left="-5" w:hanging="10"/>
        <w:jc w:val="both"/>
        <w:rPr>
          <w:color w:val="000000"/>
          <w:sz w:val="24"/>
          <w:szCs w:val="22"/>
        </w:rPr>
      </w:pPr>
      <w:r w:rsidRPr="00565D01">
        <w:rPr>
          <w:color w:val="000000"/>
          <w:sz w:val="24"/>
          <w:szCs w:val="22"/>
        </w:rPr>
        <w:t xml:space="preserve">that the following items should be included in the agenda for WRC-23: </w:t>
      </w:r>
    </w:p>
    <w:p w:rsidR="00565D01" w:rsidRPr="00565D01" w:rsidP="00565D01">
      <w:pPr>
        <w:tabs>
          <w:tab w:val="left" w:pos="576"/>
          <w:tab w:val="left" w:pos="720"/>
          <w:tab w:val="left" w:pos="792"/>
          <w:tab w:val="left" w:pos="1008"/>
          <w:tab w:val="left" w:pos="1224"/>
          <w:tab w:val="left" w:pos="1440"/>
        </w:tabs>
        <w:spacing w:after="147" w:line="247" w:lineRule="auto"/>
        <w:ind w:left="10"/>
        <w:contextualSpacing/>
        <w:jc w:val="both"/>
        <w:rPr>
          <w:rFonts w:eastAsia="Calibri"/>
          <w:color w:val="000000"/>
          <w:sz w:val="24"/>
          <w:szCs w:val="22"/>
        </w:rPr>
      </w:pPr>
      <w:r w:rsidRPr="00565D01">
        <w:rPr>
          <w:rFonts w:eastAsia="Calibri"/>
          <w:color w:val="000000"/>
          <w:sz w:val="24"/>
          <w:szCs w:val="22"/>
        </w:rPr>
        <w:t>* * *</w:t>
      </w:r>
    </w:p>
    <w:p w:rsidR="00565D01" w:rsidRPr="00565D01" w:rsidP="00565D01">
      <w:pPr>
        <w:tabs>
          <w:tab w:val="left" w:pos="720"/>
          <w:tab w:val="left" w:pos="1134"/>
          <w:tab w:val="left" w:pos="1871"/>
          <w:tab w:val="left" w:pos="2268"/>
        </w:tabs>
        <w:autoSpaceDN w:val="0"/>
        <w:spacing w:after="109" w:line="247" w:lineRule="auto"/>
        <w:ind w:left="-5" w:hanging="10"/>
        <w:jc w:val="both"/>
        <w:rPr>
          <w:color w:val="000000"/>
          <w:sz w:val="24"/>
          <w:szCs w:val="22"/>
        </w:rPr>
      </w:pPr>
      <w:r w:rsidRPr="00565D01">
        <w:rPr>
          <w:color w:val="000000"/>
          <w:sz w:val="24"/>
          <w:szCs w:val="22"/>
        </w:rPr>
        <w:t>2</w:t>
      </w:r>
      <w:r w:rsidRPr="00565D01">
        <w:rPr>
          <w:color w:val="000000"/>
          <w:sz w:val="24"/>
          <w:szCs w:val="22"/>
        </w:rPr>
        <w:tab/>
        <w:t xml:space="preserve">on the basis of proposals from administrations and the Report of the Conference Preparatory Meeting, and taking account of the results of WRC-19, to consider and take appropriate action in respect of the following items: </w:t>
      </w:r>
    </w:p>
    <w:p w:rsidR="00565D01" w:rsidRPr="00565D01" w:rsidP="00565D01">
      <w:pPr>
        <w:tabs>
          <w:tab w:val="left" w:pos="720"/>
          <w:tab w:val="left" w:pos="1134"/>
          <w:tab w:val="left" w:pos="1871"/>
          <w:tab w:val="left" w:pos="2268"/>
        </w:tabs>
        <w:autoSpaceDN w:val="0"/>
        <w:spacing w:after="109" w:line="247" w:lineRule="auto"/>
        <w:ind w:left="-5" w:hanging="10"/>
        <w:jc w:val="both"/>
        <w:rPr>
          <w:color w:val="000000"/>
          <w:sz w:val="24"/>
          <w:szCs w:val="22"/>
        </w:rPr>
      </w:pPr>
    </w:p>
    <w:p w:rsidR="00565D01" w:rsidRPr="00565D01" w:rsidP="00565D01">
      <w:pPr>
        <w:tabs>
          <w:tab w:val="left" w:pos="576"/>
          <w:tab w:val="left" w:pos="720"/>
          <w:tab w:val="left" w:pos="792"/>
          <w:tab w:val="left" w:pos="1008"/>
          <w:tab w:val="left" w:pos="1224"/>
          <w:tab w:val="left" w:pos="1440"/>
        </w:tabs>
        <w:spacing w:after="147" w:line="247" w:lineRule="auto"/>
        <w:ind w:left="10"/>
        <w:contextualSpacing/>
        <w:jc w:val="both"/>
        <w:rPr>
          <w:rFonts w:eastAsia="Calibri"/>
          <w:color w:val="000000"/>
          <w:sz w:val="24"/>
          <w:szCs w:val="22"/>
        </w:rPr>
      </w:pPr>
      <w:r w:rsidRPr="00565D01">
        <w:rPr>
          <w:rFonts w:eastAsia="Calibri"/>
          <w:color w:val="000000"/>
          <w:sz w:val="24"/>
          <w:szCs w:val="22"/>
        </w:rPr>
        <w:t>* * *</w:t>
      </w:r>
    </w:p>
    <w:p w:rsidR="00565D01" w:rsidRPr="00565D01" w:rsidP="00565D01">
      <w:pPr>
        <w:numPr>
          <w:ilvl w:val="1"/>
          <w:numId w:val="26"/>
        </w:numPr>
        <w:tabs>
          <w:tab w:val="left" w:pos="576"/>
          <w:tab w:val="left" w:pos="720"/>
          <w:tab w:val="left" w:pos="792"/>
          <w:tab w:val="left" w:pos="1008"/>
          <w:tab w:val="left" w:pos="1134"/>
          <w:tab w:val="left" w:pos="1224"/>
          <w:tab w:val="left" w:pos="1440"/>
          <w:tab w:val="left" w:pos="1871"/>
          <w:tab w:val="left" w:pos="2268"/>
        </w:tabs>
        <w:overflowPunct w:val="0"/>
        <w:autoSpaceDE w:val="0"/>
        <w:autoSpaceDN w:val="0"/>
        <w:adjustRightInd w:val="0"/>
        <w:spacing w:before="120" w:after="109" w:line="247" w:lineRule="auto"/>
        <w:jc w:val="both"/>
        <w:rPr>
          <w:color w:val="000000"/>
          <w:sz w:val="24"/>
          <w:szCs w:val="22"/>
        </w:rPr>
      </w:pPr>
      <w:r w:rsidRPr="00565D01">
        <w:rPr>
          <w:color w:val="000000"/>
          <w:sz w:val="24"/>
          <w:szCs w:val="22"/>
        </w:rPr>
        <w:t xml:space="preserve">to define the cases and conditions to develop regulatory provision for non-geostationary fixed-satellite services satellite systems in the frequency bands 71-76 GHz (space-to-Earth) and 81-86 GHz (Earth-to-space) based on studies of technical and operational issues in accordance with Resolution </w:t>
      </w:r>
      <w:r w:rsidRPr="00565D01">
        <w:rPr>
          <w:b/>
          <w:color w:val="000000"/>
          <w:sz w:val="24"/>
          <w:szCs w:val="22"/>
        </w:rPr>
        <w:t>[A10-E-band-NGSO-SAT] (WRC-</w:t>
      </w:r>
      <w:r w:rsidRPr="00565D01">
        <w:rPr>
          <w:color w:val="000000"/>
          <w:sz w:val="24"/>
          <w:szCs w:val="22"/>
        </w:rPr>
        <w:t>19);</w:t>
      </w:r>
    </w:p>
    <w:p w:rsidR="00565D01" w:rsidRPr="00565D01" w:rsidP="00565D01">
      <w:pPr>
        <w:tabs>
          <w:tab w:val="left" w:pos="576"/>
          <w:tab w:val="left" w:pos="720"/>
          <w:tab w:val="left" w:pos="792"/>
          <w:tab w:val="left" w:pos="1008"/>
          <w:tab w:val="left" w:pos="1224"/>
          <w:tab w:val="left" w:pos="1440"/>
        </w:tabs>
        <w:spacing w:after="147" w:line="247" w:lineRule="auto"/>
        <w:ind w:left="10"/>
        <w:contextualSpacing/>
        <w:jc w:val="both"/>
        <w:rPr>
          <w:rFonts w:eastAsia="Calibri"/>
          <w:color w:val="000000"/>
          <w:sz w:val="24"/>
          <w:szCs w:val="22"/>
        </w:rPr>
      </w:pPr>
      <w:r w:rsidRPr="00565D01">
        <w:rPr>
          <w:rFonts w:eastAsia="Calibri"/>
          <w:color w:val="000000"/>
          <w:sz w:val="24"/>
          <w:szCs w:val="22"/>
        </w:rPr>
        <w:t>* * *</w:t>
      </w:r>
    </w:p>
    <w:p w:rsidR="00565D01" w:rsidRPr="00565D01" w:rsidP="00565D01">
      <w:pPr>
        <w:tabs>
          <w:tab w:val="left" w:pos="576"/>
          <w:tab w:val="left" w:pos="792"/>
          <w:tab w:val="left" w:pos="1008"/>
          <w:tab w:val="left" w:pos="1224"/>
          <w:tab w:val="left" w:pos="1440"/>
        </w:tabs>
        <w:rPr>
          <w:rFonts w:eastAsia="Calibri"/>
          <w:b/>
          <w:sz w:val="24"/>
          <w:szCs w:val="22"/>
        </w:rPr>
      </w:pPr>
    </w:p>
    <w:p w:rsidR="00565D01" w:rsidRPr="00565D01" w:rsidP="00565D01">
      <w:pPr>
        <w:rPr>
          <w:rFonts w:eastAsia="Calibri"/>
          <w:sz w:val="24"/>
          <w:szCs w:val="22"/>
        </w:rPr>
      </w:pPr>
      <w:r w:rsidRPr="00565D01">
        <w:rPr>
          <w:rFonts w:eastAsia="Calibri"/>
          <w:sz w:val="24"/>
          <w:szCs w:val="22"/>
        </w:rPr>
        <w:br w:type="page"/>
      </w:r>
    </w:p>
    <w:p w:rsidR="00565D01" w:rsidRPr="00565D01" w:rsidP="00565D01">
      <w:pPr>
        <w:tabs>
          <w:tab w:val="left" w:pos="576"/>
          <w:tab w:val="left" w:pos="792"/>
          <w:tab w:val="left" w:pos="1008"/>
          <w:tab w:val="left" w:pos="1224"/>
          <w:tab w:val="left" w:pos="1440"/>
        </w:tabs>
        <w:rPr>
          <w:rFonts w:eastAsia="Calibri"/>
          <w:b/>
          <w:sz w:val="24"/>
          <w:szCs w:val="22"/>
        </w:rPr>
      </w:pPr>
      <w:r w:rsidRPr="00565D01">
        <w:rPr>
          <w:rFonts w:eastAsia="Calibri"/>
          <w:b/>
          <w:sz w:val="24"/>
          <w:szCs w:val="22"/>
        </w:rPr>
        <w:t>ADD</w:t>
      </w:r>
      <w:r w:rsidRPr="00565D01">
        <w:rPr>
          <w:rFonts w:eastAsia="Calibri"/>
          <w:b/>
          <w:sz w:val="24"/>
          <w:szCs w:val="22"/>
        </w:rPr>
        <w:tab/>
      </w:r>
      <w:r w:rsidRPr="00565D01">
        <w:rPr>
          <w:rFonts w:eastAsia="Calibri"/>
          <w:b/>
          <w:sz w:val="24"/>
          <w:szCs w:val="22"/>
        </w:rPr>
        <w:tab/>
      </w:r>
      <w:r w:rsidRPr="00565D01">
        <w:rPr>
          <w:rFonts w:eastAsia="Calibri"/>
          <w:b/>
          <w:sz w:val="24"/>
          <w:szCs w:val="22"/>
        </w:rPr>
        <w:tab/>
        <w:t>USA/10/[</w:t>
      </w:r>
      <w:r w:rsidRPr="00565D01">
        <w:rPr>
          <w:rFonts w:eastAsia="Calibri"/>
          <w:sz w:val="24"/>
          <w:szCs w:val="22"/>
        </w:rPr>
        <w:t xml:space="preserve"> </w:t>
      </w:r>
      <w:r w:rsidRPr="00565D01">
        <w:rPr>
          <w:rFonts w:eastAsia="Calibri"/>
          <w:b/>
          <w:sz w:val="24"/>
          <w:szCs w:val="22"/>
        </w:rPr>
        <w:t>A10-E-band-NGSO-SAT]</w:t>
      </w:r>
    </w:p>
    <w:p w:rsidR="00565D01" w:rsidRPr="00565D01" w:rsidP="00565D01">
      <w:pPr>
        <w:tabs>
          <w:tab w:val="left" w:pos="576"/>
          <w:tab w:val="left" w:pos="792"/>
          <w:tab w:val="left" w:pos="1008"/>
          <w:tab w:val="left" w:pos="1224"/>
          <w:tab w:val="left" w:pos="1440"/>
        </w:tabs>
        <w:rPr>
          <w:rFonts w:eastAsia="Calibri"/>
          <w:b/>
          <w:sz w:val="24"/>
          <w:szCs w:val="22"/>
        </w:rPr>
      </w:pPr>
    </w:p>
    <w:p w:rsidR="00565D01" w:rsidRPr="00565D01" w:rsidP="00565D01">
      <w:pPr>
        <w:keepNext/>
        <w:keepLines/>
        <w:tabs>
          <w:tab w:val="left" w:pos="1134"/>
          <w:tab w:val="left" w:pos="1871"/>
          <w:tab w:val="left" w:pos="2268"/>
        </w:tabs>
        <w:overflowPunct w:val="0"/>
        <w:autoSpaceDE w:val="0"/>
        <w:autoSpaceDN w:val="0"/>
        <w:adjustRightInd w:val="0"/>
        <w:spacing w:before="480"/>
        <w:jc w:val="center"/>
        <w:textAlignment w:val="baseline"/>
        <w:rPr>
          <w:caps/>
          <w:sz w:val="28"/>
          <w:lang w:val="en-GB"/>
        </w:rPr>
      </w:pPr>
      <w:r w:rsidRPr="00565D01">
        <w:rPr>
          <w:caps/>
          <w:sz w:val="28"/>
          <w:lang w:val="en-GB"/>
        </w:rPr>
        <w:t>draft new RESOLUTION [A10-E-band-NGSO-SAT] (WRC</w:t>
      </w:r>
      <w:r w:rsidRPr="00565D01">
        <w:rPr>
          <w:caps/>
          <w:sz w:val="28"/>
          <w:lang w:val="en-GB"/>
        </w:rPr>
        <w:noBreakHyphen/>
        <w:t>19)</w:t>
      </w:r>
    </w:p>
    <w:p w:rsidR="00565D01" w:rsidRPr="00565D01" w:rsidP="00565D01">
      <w:pPr>
        <w:tabs>
          <w:tab w:val="left" w:pos="576"/>
          <w:tab w:val="left" w:pos="792"/>
          <w:tab w:val="left" w:pos="1008"/>
          <w:tab w:val="left" w:pos="1224"/>
          <w:tab w:val="left" w:pos="1440"/>
        </w:tabs>
        <w:rPr>
          <w:rFonts w:eastAsia="Calibri"/>
          <w:sz w:val="24"/>
          <w:szCs w:val="22"/>
          <w:lang w:val="en-GB"/>
        </w:rPr>
      </w:pPr>
    </w:p>
    <w:p w:rsidR="00565D01" w:rsidRPr="00565D01" w:rsidP="00565D01">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565D01">
        <w:rPr>
          <w:rFonts w:ascii="Times New Roman Bold" w:hAnsi="Times New Roman Bold"/>
          <w:b/>
          <w:sz w:val="28"/>
          <w:lang w:val="en-GB"/>
        </w:rPr>
        <w:t>Studies of technical, operational issues and regulatory provisions for non-geostationary fixed-satellite services satellite systems in the frequency bands 71-76GHz (space-to-Earth) and 81-86 GHz (Earth-to-space)</w:t>
      </w:r>
    </w:p>
    <w:p w:rsidR="00565D01" w:rsidRPr="00565D01" w:rsidP="00565D01">
      <w:pPr>
        <w:tabs>
          <w:tab w:val="left" w:pos="576"/>
          <w:tab w:val="left" w:pos="792"/>
          <w:tab w:val="left" w:pos="1008"/>
          <w:tab w:val="left" w:pos="1224"/>
          <w:tab w:val="left" w:pos="1440"/>
        </w:tabs>
        <w:rPr>
          <w:rFonts w:eastAsia="Calibri"/>
          <w:sz w:val="24"/>
          <w:szCs w:val="22"/>
        </w:rPr>
      </w:pPr>
    </w:p>
    <w:p w:rsidR="00565D01" w:rsidRPr="00565D01" w:rsidP="00565D01">
      <w:pPr>
        <w:tabs>
          <w:tab w:val="left" w:pos="1134"/>
          <w:tab w:val="left" w:pos="1871"/>
          <w:tab w:val="left" w:pos="2268"/>
        </w:tabs>
        <w:overflowPunct w:val="0"/>
        <w:autoSpaceDE w:val="0"/>
        <w:autoSpaceDN w:val="0"/>
        <w:adjustRightInd w:val="0"/>
        <w:spacing w:before="280"/>
        <w:textAlignment w:val="baseline"/>
        <w:rPr>
          <w:sz w:val="24"/>
          <w:lang w:val="en-GB"/>
        </w:rPr>
      </w:pPr>
      <w:r w:rsidRPr="00565D01">
        <w:rPr>
          <w:sz w:val="24"/>
          <w:lang w:val="en-GB"/>
        </w:rPr>
        <w:t>The World Radiocommunication Conference (Sharm-el-Sheikh, 2019),</w:t>
      </w: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considering</w:t>
      </w:r>
    </w:p>
    <w:p w:rsidR="00565D01" w:rsidRPr="00565D01" w:rsidP="00565D01">
      <w:pPr>
        <w:tabs>
          <w:tab w:val="left" w:pos="576"/>
          <w:tab w:val="left" w:pos="792"/>
          <w:tab w:val="left" w:pos="1008"/>
          <w:tab w:val="left" w:pos="1224"/>
          <w:tab w:val="left" w:pos="1440"/>
        </w:tabs>
        <w:rPr>
          <w:rFonts w:eastAsia="Calibri"/>
          <w:sz w:val="24"/>
          <w:szCs w:val="22"/>
          <w:lang w:val="en-GB"/>
        </w:rPr>
      </w:pP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sz w:val="24"/>
          <w:szCs w:val="24"/>
        </w:rPr>
        <w:t xml:space="preserve">that there is a need for greater broadband connectivity and telecommunication services; </w:t>
      </w: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sz w:val="24"/>
          <w:szCs w:val="24"/>
        </w:rPr>
        <w:t xml:space="preserve">that satellite systems are increasingly being used to deliver broadband services and are part of the solutions to enable universal broadband access; </w:t>
      </w: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sz w:val="24"/>
          <w:szCs w:val="24"/>
        </w:rPr>
        <w:t>that next-generation fixed-satellite service technologies are required to deliver multi-terabit speeds to support real-time demanding applications, which can be delivered by large constellation non-GSO FSS systems;</w:t>
      </w: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sz w:val="24"/>
          <w:szCs w:val="24"/>
        </w:rPr>
        <w:t>that technological developments such as advances in spot-beam technologies and frequency reuse are used by the fixed-satellite service in the 12 to 30 GHz range to increase the efficient use of spectrum to achieve the targets in the considering above;</w:t>
      </w: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rFonts w:ascii="Times" w:eastAsia="Calibri" w:hAnsi="Times" w:cs="Times"/>
          <w:color w:val="000000"/>
          <w:sz w:val="24"/>
          <w:szCs w:val="24"/>
        </w:rPr>
        <w:t>that the high mm-wave bands are particularly suitable for use as ultra-high capacity gateway links for large constellation non-GSO FSS systems using broadband service links already allocated in lower frequency bands;</w:t>
      </w: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rFonts w:ascii="Times" w:eastAsia="Calibri" w:hAnsi="Times" w:cs="Times"/>
          <w:color w:val="000000"/>
          <w:sz w:val="24"/>
          <w:szCs w:val="24"/>
        </w:rPr>
        <w:t xml:space="preserve">that the particular characteristics of such ultra-high capacity gateway links for large constellation non-GSO FSS systems involve highly directional antennas on both the satellites and the earth stations and, as such, may be conducive to novel frequency sharing arrangements including, but not limited to, consideration of reverse band operation in certain situations; </w:t>
      </w:r>
    </w:p>
    <w:p w:rsidR="00565D01" w:rsidRPr="00565D01" w:rsidP="00565D01">
      <w:pPr>
        <w:numPr>
          <w:ilvl w:val="0"/>
          <w:numId w:val="33"/>
        </w:numPr>
        <w:tabs>
          <w:tab w:val="left" w:pos="576"/>
          <w:tab w:val="left" w:pos="792"/>
          <w:tab w:val="left" w:pos="1008"/>
          <w:tab w:val="left" w:pos="1224"/>
          <w:tab w:val="left" w:pos="1440"/>
        </w:tabs>
        <w:contextualSpacing/>
        <w:rPr>
          <w:sz w:val="24"/>
          <w:szCs w:val="24"/>
        </w:rPr>
      </w:pPr>
      <w:r w:rsidRPr="00565D01">
        <w:rPr>
          <w:sz w:val="24"/>
          <w:szCs w:val="24"/>
        </w:rPr>
        <w:t xml:space="preserve">that current FSS technologies can be adapted for broadband applications in the mm-waves; </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rFonts w:ascii="Times" w:eastAsia="Calibri" w:hAnsi="Times" w:cs="Times"/>
          <w:color w:val="000000"/>
          <w:sz w:val="24"/>
          <w:szCs w:val="24"/>
        </w:rPr>
        <w:t xml:space="preserve">  the need to encourage the development and implementation of new technologies in the fixed-satellite service (FSS) at mm-wave; </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rFonts w:ascii="Times" w:eastAsia="Calibri" w:hAnsi="Times" w:cs="Times"/>
          <w:color w:val="000000"/>
          <w:sz w:val="24"/>
          <w:szCs w:val="24"/>
          <w:lang w:val="en-GB"/>
        </w:rPr>
        <w:t xml:space="preserve"> </w:t>
      </w:r>
      <w:r w:rsidRPr="00565D01">
        <w:rPr>
          <w:rFonts w:ascii="Times" w:eastAsia="Calibri" w:hAnsi="Times" w:cs="Times"/>
          <w:color w:val="000000"/>
          <w:sz w:val="24"/>
          <w:szCs w:val="24"/>
        </w:rPr>
        <w:t xml:space="preserve">that FSS systems based on the use of new technologies in the higher bands and associated with both geostationary (GSO) and non-geostationary (non-GSO) satellite constellations are capable of providing high-capacity and low-cost means of communication even to the most isolated regions of the world; </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rFonts w:ascii="Times" w:eastAsia="Calibri" w:hAnsi="Times" w:cs="Times"/>
          <w:color w:val="000000"/>
          <w:sz w:val="24"/>
          <w:szCs w:val="24"/>
        </w:rPr>
        <w:t xml:space="preserve"> that system trials of high mm-wave bands are progressing, and technology prototypes are maturing;</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rFonts w:ascii="Times" w:eastAsia="Calibri" w:hAnsi="Times" w:cs="Times"/>
          <w:color w:val="000000"/>
          <w:sz w:val="24"/>
          <w:szCs w:val="24"/>
        </w:rPr>
        <w:t xml:space="preserve"> </w:t>
      </w:r>
      <w:r w:rsidRPr="00565D01">
        <w:rPr>
          <w:sz w:val="24"/>
          <w:szCs w:val="24"/>
        </w:rPr>
        <w:t>that GSO networks and non-GSO systems are at early conceptual phases, thus providing an opportunity to investigate equitable sharing conditions;</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rFonts w:ascii="Times" w:eastAsia="Calibri" w:hAnsi="Times" w:cs="Times"/>
          <w:color w:val="000000"/>
          <w:sz w:val="24"/>
          <w:szCs w:val="24"/>
          <w:lang w:val="en-GB"/>
        </w:rPr>
        <w:t xml:space="preserve"> </w:t>
      </w:r>
      <w:r w:rsidRPr="00565D01">
        <w:rPr>
          <w:rFonts w:ascii="Times" w:eastAsia="Calibri" w:hAnsi="Times" w:cs="Times"/>
          <w:color w:val="000000"/>
          <w:sz w:val="24"/>
          <w:szCs w:val="24"/>
        </w:rPr>
        <w:t xml:space="preserve">that the Radio Regulations should enable the introduction of new applications of radiocommunication technology to ensure the operation of as many systems as possible in order to ensure efficient use of the spectrum; </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rFonts w:ascii="Times" w:eastAsia="Calibri" w:hAnsi="Times" w:cs="Times"/>
          <w:color w:val="000000"/>
          <w:sz w:val="24"/>
          <w:szCs w:val="24"/>
        </w:rPr>
        <w:t xml:space="preserve"> that, unacceptable interference as per No. 22.2 is subject to interpretation and the performance and interference criteria of GSO and non-GSO links have not been established in these bands;</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sz w:val="24"/>
          <w:szCs w:val="24"/>
        </w:rPr>
        <w:t>that technical studies are required in order to ascertain the feasibility of, and conditions for, non-GSO FSS satellite systems sharing the frequency bands 71-76 GHz and 81-86 GHz as appropriate to the band), and 2) with other non-GSO FSS satellite systems;</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sz w:val="24"/>
          <w:szCs w:val="24"/>
        </w:rPr>
        <w:t xml:space="preserve">  that due to early development phase of GSO and non-GSO systems the above studies can be conducted to establish mutually equitable regulations for both types of systems, as well as with other services;</w:t>
      </w:r>
    </w:p>
    <w:p w:rsidR="00565D01" w:rsidRPr="00565D01" w:rsidP="00565D01">
      <w:pPr>
        <w:numPr>
          <w:ilvl w:val="0"/>
          <w:numId w:val="33"/>
        </w:numPr>
        <w:tabs>
          <w:tab w:val="left" w:pos="576"/>
          <w:tab w:val="left" w:pos="792"/>
          <w:tab w:val="left" w:pos="1008"/>
          <w:tab w:val="left" w:pos="1224"/>
          <w:tab w:val="left" w:pos="1440"/>
        </w:tabs>
        <w:contextualSpacing/>
        <w:rPr>
          <w:i/>
          <w:color w:val="000000"/>
          <w:sz w:val="24"/>
          <w:lang w:val="en-GB"/>
        </w:rPr>
      </w:pPr>
      <w:r w:rsidRPr="00565D01">
        <w:rPr>
          <w:sz w:val="24"/>
          <w:szCs w:val="24"/>
        </w:rPr>
        <w:t xml:space="preserve">  that fixed-satellite applications in spectrum above 60 GHz, such as feeder links, should be easier to share with other radiocommunication services than high-density fixed-satellite service (HDFSS) applications,</w:t>
      </w:r>
    </w:p>
    <w:p w:rsidR="00565D01" w:rsidRPr="00565D01" w:rsidP="00565D01">
      <w:pPr>
        <w:tabs>
          <w:tab w:val="left" w:pos="576"/>
          <w:tab w:val="left" w:pos="792"/>
          <w:tab w:val="left" w:pos="1008"/>
          <w:tab w:val="left" w:pos="1224"/>
          <w:tab w:val="left" w:pos="1440"/>
        </w:tabs>
        <w:rPr>
          <w:i/>
          <w:color w:val="000000"/>
          <w:sz w:val="24"/>
          <w:lang w:val="en-GB"/>
        </w:rPr>
      </w:pP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 xml:space="preserve">considering further </w:t>
      </w: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p>
    <w:p w:rsidR="00565D01" w:rsidRPr="00565D01" w:rsidP="00565D01">
      <w:pPr>
        <w:numPr>
          <w:ilvl w:val="0"/>
          <w:numId w:val="34"/>
        </w:numPr>
        <w:tabs>
          <w:tab w:val="left" w:pos="576"/>
          <w:tab w:val="left" w:pos="792"/>
          <w:tab w:val="left" w:pos="1008"/>
          <w:tab w:val="left" w:pos="1224"/>
          <w:tab w:val="left" w:pos="1440"/>
        </w:tabs>
        <w:contextualSpacing/>
        <w:rPr>
          <w:sz w:val="24"/>
          <w:szCs w:val="24"/>
        </w:rPr>
      </w:pPr>
      <w:r w:rsidRPr="00565D01">
        <w:rPr>
          <w:sz w:val="24"/>
          <w:szCs w:val="24"/>
        </w:rPr>
        <w:t>that Recommendations ITU-R S.1323, ITU-R S.1325, ITU-R S.1328, ITU-R S.1526, ITU-R S.1529 and provide information on non-GSO and GSO FSS system characteristics, operational requirements and protection criteria that may be used in sharing studies;</w:t>
      </w:r>
    </w:p>
    <w:p w:rsidR="00565D01" w:rsidRPr="00565D01" w:rsidP="00565D01">
      <w:pPr>
        <w:numPr>
          <w:ilvl w:val="0"/>
          <w:numId w:val="34"/>
        </w:numPr>
        <w:tabs>
          <w:tab w:val="left" w:pos="576"/>
          <w:tab w:val="left" w:pos="792"/>
          <w:tab w:val="left" w:pos="1008"/>
          <w:tab w:val="left" w:pos="1224"/>
          <w:tab w:val="left" w:pos="1440"/>
        </w:tabs>
        <w:contextualSpacing/>
        <w:rPr>
          <w:sz w:val="24"/>
          <w:szCs w:val="24"/>
        </w:rPr>
      </w:pPr>
      <w:r w:rsidRPr="00565D01">
        <w:rPr>
          <w:sz w:val="24"/>
          <w:szCs w:val="24"/>
        </w:rPr>
        <w:t>that Report ITU-R S.[E-band FSS characteristics] currently being developed provide additional system characteristics of planned high mm-wave FSS network and systems,</w:t>
      </w:r>
    </w:p>
    <w:p w:rsidR="00565D01" w:rsidRPr="00565D01" w:rsidP="00565D01">
      <w:pPr>
        <w:tabs>
          <w:tab w:val="left" w:pos="576"/>
          <w:tab w:val="left" w:pos="792"/>
          <w:tab w:val="left" w:pos="1008"/>
          <w:tab w:val="left" w:pos="1224"/>
          <w:tab w:val="left" w:pos="1440"/>
        </w:tabs>
        <w:rPr>
          <w:i/>
          <w:color w:val="000000"/>
          <w:sz w:val="24"/>
        </w:rPr>
      </w:pP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noting</w:t>
      </w: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that filing information for GSO and NGSO FSS satellite networks in the frequency bands 71-76 GHz (space-to-Earth) and 81-86 GHz (Earth-to-space) have recently been communicated to the Radiocommunication Bureau;</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that the frequency band 71-76 GHz is also allocated to the fixed and mobile services on a primary basis;</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that the frequency band 74-76 GHz is also allocated to the broadcasting and broadcasting satellite services on a primary basis, as well as the space research service in the space-to-earth direction on the secondary basis;</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 xml:space="preserve">that in the band 74-76 GHz the fixed, mobile and broadcasting services shall not cause harmful interference to stations of the fixed-satellite service in accordance with provision </w:t>
      </w:r>
      <w:r w:rsidRPr="00565D01">
        <w:rPr>
          <w:b/>
          <w:sz w:val="24"/>
          <w:szCs w:val="24"/>
        </w:rPr>
        <w:t>5.561</w:t>
      </w:r>
      <w:r w:rsidRPr="00565D01">
        <w:rPr>
          <w:sz w:val="24"/>
          <w:szCs w:val="24"/>
        </w:rPr>
        <w:t>;</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that the frequency band 81-86 GHz is also allocated to the fixed, mobile and radio-astronomy services on a primary basis, as well as the space research service in the space to earth direction on a secondary basis;</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 xml:space="preserve">that Resolution </w:t>
      </w:r>
      <w:r w:rsidRPr="00565D01">
        <w:rPr>
          <w:b/>
          <w:sz w:val="24"/>
          <w:szCs w:val="24"/>
        </w:rPr>
        <w:t>750 ([Rev. WRC-19])</w:t>
      </w:r>
      <w:r w:rsidRPr="00565D01">
        <w:rPr>
          <w:sz w:val="24"/>
          <w:szCs w:val="24"/>
        </w:rPr>
        <w:t xml:space="preserve"> applies</w:t>
      </w:r>
      <w:r w:rsidRPr="00565D01">
        <w:rPr>
          <w:b/>
          <w:sz w:val="24"/>
          <w:szCs w:val="24"/>
        </w:rPr>
        <w:t xml:space="preserve"> </w:t>
      </w:r>
      <w:r w:rsidRPr="00565D01">
        <w:rPr>
          <w:sz w:val="24"/>
          <w:szCs w:val="24"/>
        </w:rPr>
        <w:t xml:space="preserve">in the frequency band 81-86 GHz in accordance to provision </w:t>
      </w:r>
      <w:r w:rsidRPr="00565D01">
        <w:rPr>
          <w:b/>
          <w:sz w:val="24"/>
          <w:szCs w:val="24"/>
        </w:rPr>
        <w:t>5.338A</w:t>
      </w:r>
      <w:r w:rsidRPr="00565D01">
        <w:rPr>
          <w:sz w:val="24"/>
          <w:szCs w:val="24"/>
        </w:rPr>
        <w:t>;</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 xml:space="preserve">that the frequency band 81-84 GHz is also allocated to the mobile-satellite service in the earth-to-space direction on a primary basis;  </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that in the frequency band 81-81.5 GHz is also allocated to the amateur and amateur-satellite services on a secondary basis;</w:t>
      </w:r>
    </w:p>
    <w:p w:rsidR="00565D01" w:rsidRPr="00565D01" w:rsidP="00565D01">
      <w:pPr>
        <w:numPr>
          <w:ilvl w:val="0"/>
          <w:numId w:val="35"/>
        </w:numPr>
        <w:tabs>
          <w:tab w:val="left" w:pos="576"/>
          <w:tab w:val="left" w:pos="792"/>
          <w:tab w:val="left" w:pos="1008"/>
          <w:tab w:val="left" w:pos="1224"/>
          <w:tab w:val="left" w:pos="1440"/>
        </w:tabs>
        <w:contextualSpacing/>
        <w:rPr>
          <w:sz w:val="24"/>
          <w:szCs w:val="24"/>
        </w:rPr>
      </w:pPr>
      <w:r w:rsidRPr="00565D01">
        <w:rPr>
          <w:sz w:val="24"/>
          <w:szCs w:val="24"/>
        </w:rPr>
        <w:t>that the adjacent frequency band 86-92 GHz is allocated to the earth exploration satellite (passive) and space research (passive) services, as well as the radio astronomy service;</w:t>
      </w: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rPr>
      </w:pP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recognizing</w:t>
      </w:r>
    </w:p>
    <w:p w:rsidR="00565D01" w:rsidRPr="00565D01" w:rsidP="00565D01">
      <w:pPr>
        <w:tabs>
          <w:tab w:val="left" w:pos="576"/>
          <w:tab w:val="left" w:pos="792"/>
          <w:tab w:val="left" w:pos="1008"/>
          <w:tab w:val="left" w:pos="1224"/>
          <w:tab w:val="left" w:pos="1440"/>
        </w:tabs>
        <w:rPr>
          <w:i/>
          <w:color w:val="000000"/>
          <w:sz w:val="24"/>
          <w:lang w:val="en-GB"/>
        </w:rPr>
      </w:pPr>
    </w:p>
    <w:p w:rsidR="00565D01" w:rsidRPr="00565D01" w:rsidP="00565D01">
      <w:pPr>
        <w:numPr>
          <w:ilvl w:val="0"/>
          <w:numId w:val="36"/>
        </w:numPr>
        <w:tabs>
          <w:tab w:val="left" w:pos="576"/>
          <w:tab w:val="left" w:pos="792"/>
          <w:tab w:val="left" w:pos="1008"/>
          <w:tab w:val="left" w:pos="1224"/>
          <w:tab w:val="left" w:pos="1440"/>
        </w:tabs>
        <w:contextualSpacing/>
        <w:rPr>
          <w:sz w:val="24"/>
          <w:szCs w:val="24"/>
        </w:rPr>
      </w:pPr>
      <w:r w:rsidRPr="00565D01">
        <w:rPr>
          <w:sz w:val="24"/>
          <w:szCs w:val="24"/>
        </w:rPr>
        <w:t xml:space="preserve">that WRC-19 adopted provisions to quantify No. </w:t>
      </w:r>
      <w:r w:rsidRPr="00565D01">
        <w:rPr>
          <w:b/>
          <w:sz w:val="24"/>
          <w:szCs w:val="24"/>
        </w:rPr>
        <w:t>22.2</w:t>
      </w:r>
      <w:r w:rsidRPr="00565D01">
        <w:rPr>
          <w:sz w:val="24"/>
          <w:szCs w:val="24"/>
        </w:rPr>
        <w:t xml:space="preserve">, in order to establish protection of GSO FSS and BSS satellite networks from non-GSO FSS satellite systems in the 37-51.4 GHz frequency range; </w:t>
      </w:r>
    </w:p>
    <w:p w:rsidR="00565D01" w:rsidRPr="00565D01" w:rsidP="00565D01">
      <w:pPr>
        <w:numPr>
          <w:ilvl w:val="0"/>
          <w:numId w:val="36"/>
        </w:numPr>
        <w:tabs>
          <w:tab w:val="left" w:pos="576"/>
          <w:tab w:val="left" w:pos="792"/>
          <w:tab w:val="left" w:pos="1008"/>
          <w:tab w:val="left" w:pos="1224"/>
          <w:tab w:val="left" w:pos="1440"/>
        </w:tabs>
        <w:contextualSpacing/>
        <w:rPr>
          <w:sz w:val="24"/>
          <w:szCs w:val="24"/>
        </w:rPr>
      </w:pPr>
      <w:r w:rsidRPr="00565D01">
        <w:rPr>
          <w:sz w:val="24"/>
          <w:szCs w:val="24"/>
        </w:rPr>
        <w:t xml:space="preserve">that Resolution </w:t>
      </w:r>
      <w:r w:rsidRPr="00565D01">
        <w:rPr>
          <w:b/>
          <w:sz w:val="24"/>
          <w:szCs w:val="24"/>
        </w:rPr>
        <w:t>[TBD] (WRC-19)</w:t>
      </w:r>
      <w:r w:rsidRPr="00565D01">
        <w:rPr>
          <w:sz w:val="24"/>
          <w:szCs w:val="24"/>
        </w:rPr>
        <w:t xml:space="preserve"> contains aggregate criteria not to be exceeded by non-GSO FSS systems in order to protect GSO FSS and GSO BSS networks against interference in the 37-51.4 GHz frequency range; </w:t>
      </w:r>
    </w:p>
    <w:p w:rsidR="00565D01" w:rsidRPr="00565D01" w:rsidP="00565D01">
      <w:pPr>
        <w:numPr>
          <w:ilvl w:val="0"/>
          <w:numId w:val="36"/>
        </w:numPr>
        <w:tabs>
          <w:tab w:val="left" w:pos="576"/>
          <w:tab w:val="left" w:pos="792"/>
          <w:tab w:val="left" w:pos="1008"/>
          <w:tab w:val="left" w:pos="1224"/>
          <w:tab w:val="left" w:pos="1440"/>
        </w:tabs>
        <w:contextualSpacing/>
        <w:rPr>
          <w:sz w:val="24"/>
          <w:szCs w:val="24"/>
        </w:rPr>
      </w:pPr>
      <w:r w:rsidRPr="00565D01">
        <w:rPr>
          <w:sz w:val="24"/>
          <w:szCs w:val="24"/>
        </w:rPr>
        <w:t xml:space="preserve">that WRC-19 incorporated by reference Recommendation ITU-R. S.[50/40 GHZ SHARING METHODOLOGY] to define methodology and sharing criteria between non-GSO FSS and GSO FSS in the 37-51.4 GHz frequency range; </w:t>
      </w:r>
    </w:p>
    <w:p w:rsidR="00565D01" w:rsidRPr="00565D01" w:rsidP="00565D01">
      <w:pPr>
        <w:numPr>
          <w:ilvl w:val="0"/>
          <w:numId w:val="36"/>
        </w:numPr>
        <w:tabs>
          <w:tab w:val="left" w:pos="576"/>
          <w:tab w:val="left" w:pos="792"/>
          <w:tab w:val="left" w:pos="1008"/>
          <w:tab w:val="left" w:pos="1224"/>
          <w:tab w:val="left" w:pos="1440"/>
        </w:tabs>
        <w:contextualSpacing/>
        <w:rPr>
          <w:sz w:val="24"/>
          <w:szCs w:val="24"/>
        </w:rPr>
      </w:pPr>
      <w:r w:rsidRPr="00565D01">
        <w:rPr>
          <w:sz w:val="24"/>
          <w:szCs w:val="24"/>
        </w:rPr>
        <w:t xml:space="preserve">that </w:t>
      </w:r>
      <w:r w:rsidRPr="00565D01">
        <w:rPr>
          <w:b/>
          <w:sz w:val="24"/>
          <w:szCs w:val="24"/>
        </w:rPr>
        <w:t>No. 21.16</w:t>
      </w:r>
      <w:r w:rsidRPr="00565D01">
        <w:rPr>
          <w:sz w:val="24"/>
          <w:szCs w:val="24"/>
        </w:rPr>
        <w:t xml:space="preserve"> does not contain power flux-density limits applicable to FSS satellites to protect fixed and mobile services with allocations in the frequency band 71- 76 GHz; </w:t>
      </w:r>
    </w:p>
    <w:p w:rsidR="00565D01" w:rsidRPr="00565D01" w:rsidP="00565D01">
      <w:pPr>
        <w:numPr>
          <w:ilvl w:val="0"/>
          <w:numId w:val="36"/>
        </w:numPr>
        <w:tabs>
          <w:tab w:val="left" w:pos="576"/>
          <w:tab w:val="left" w:pos="792"/>
          <w:tab w:val="left" w:pos="1008"/>
          <w:tab w:val="left" w:pos="1224"/>
          <w:tab w:val="left" w:pos="1440"/>
        </w:tabs>
        <w:contextualSpacing/>
        <w:rPr>
          <w:sz w:val="24"/>
          <w:szCs w:val="24"/>
        </w:rPr>
      </w:pPr>
      <w:r w:rsidRPr="00565D01">
        <w:rPr>
          <w:sz w:val="24"/>
          <w:szCs w:val="24"/>
        </w:rPr>
        <w:t xml:space="preserve">that the frequency band 86-92 GHz is allocated on a primary basis to the EESS (passive) and space research (passive) services, which must be adequately protected; </w:t>
      </w:r>
    </w:p>
    <w:p w:rsidR="00565D01" w:rsidRPr="00565D01" w:rsidP="00565D01">
      <w:pPr>
        <w:numPr>
          <w:ilvl w:val="0"/>
          <w:numId w:val="36"/>
        </w:numPr>
        <w:tabs>
          <w:tab w:val="left" w:pos="576"/>
          <w:tab w:val="left" w:pos="792"/>
          <w:tab w:val="left" w:pos="1008"/>
          <w:tab w:val="left" w:pos="1224"/>
          <w:tab w:val="left" w:pos="1440"/>
        </w:tabs>
        <w:contextualSpacing/>
        <w:rPr>
          <w:sz w:val="24"/>
          <w:szCs w:val="24"/>
        </w:rPr>
      </w:pPr>
      <w:r w:rsidRPr="00565D01">
        <w:rPr>
          <w:sz w:val="24"/>
          <w:szCs w:val="24"/>
        </w:rPr>
        <w:t xml:space="preserve">that </w:t>
      </w:r>
      <w:r w:rsidRPr="00565D01">
        <w:rPr>
          <w:b/>
          <w:sz w:val="24"/>
          <w:szCs w:val="24"/>
        </w:rPr>
        <w:t>No. 5.149</w:t>
      </w:r>
      <w:r w:rsidRPr="00565D01">
        <w:rPr>
          <w:sz w:val="24"/>
          <w:szCs w:val="24"/>
        </w:rPr>
        <w:t xml:space="preserve"> indicates that radio astronomy observations are carried out in the frequency band 76-86 GHz and that mitigation measures may have to be defined in this regard;</w:t>
      </w:r>
    </w:p>
    <w:p w:rsidR="00565D01" w:rsidRPr="00565D01" w:rsidP="00565D01">
      <w:pPr>
        <w:tabs>
          <w:tab w:val="left" w:pos="576"/>
          <w:tab w:val="left" w:pos="792"/>
          <w:tab w:val="left" w:pos="1008"/>
          <w:tab w:val="left" w:pos="1224"/>
          <w:tab w:val="left" w:pos="1440"/>
        </w:tabs>
        <w:rPr>
          <w:i/>
          <w:color w:val="000000"/>
          <w:sz w:val="24"/>
        </w:rPr>
      </w:pPr>
    </w:p>
    <w:p w:rsidR="00565D01" w:rsidRPr="00565D01" w:rsidP="00565D01">
      <w:pPr>
        <w:tabs>
          <w:tab w:val="left" w:pos="576"/>
          <w:tab w:val="left" w:pos="792"/>
          <w:tab w:val="left" w:pos="1008"/>
          <w:tab w:val="left" w:pos="1224"/>
          <w:tab w:val="left" w:pos="1440"/>
        </w:tabs>
        <w:rPr>
          <w:i/>
          <w:color w:val="000000"/>
          <w:sz w:val="24"/>
        </w:rPr>
      </w:pP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 xml:space="preserve">resolves to invite ITU-R </w:t>
      </w:r>
    </w:p>
    <w:p w:rsidR="00565D01" w:rsidRPr="00565D01" w:rsidP="00565D01">
      <w:pPr>
        <w:rPr>
          <w:sz w:val="24"/>
          <w:szCs w:val="24"/>
        </w:rPr>
      </w:pPr>
    </w:p>
    <w:p w:rsidR="00565D01" w:rsidRPr="00565D01" w:rsidP="00565D01">
      <w:pPr>
        <w:rPr>
          <w:sz w:val="24"/>
          <w:szCs w:val="24"/>
        </w:rPr>
      </w:pPr>
      <w:r w:rsidRPr="00565D01">
        <w:rPr>
          <w:sz w:val="24"/>
          <w:szCs w:val="24"/>
        </w:rPr>
        <w:t xml:space="preserve">to conduct, and complete in time for WRC-19: </w:t>
      </w:r>
    </w:p>
    <w:p w:rsidR="00565D01" w:rsidRPr="00565D01" w:rsidP="00565D01">
      <w:pPr>
        <w:numPr>
          <w:ilvl w:val="0"/>
          <w:numId w:val="37"/>
        </w:num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contextualSpacing/>
        <w:textAlignment w:val="baseline"/>
        <w:rPr>
          <w:sz w:val="24"/>
          <w:lang w:val="en-GB"/>
        </w:rPr>
      </w:pPr>
      <w:r w:rsidRPr="00565D01">
        <w:rPr>
          <w:sz w:val="24"/>
          <w:lang w:val="en-GB"/>
        </w:rPr>
        <w:t>studies of technical and operational issues and regulatory provisions for the operation of non-GSO FSS satellite systems in the frequency bands 71-76 GHz (space-to-Earth, and possible reverse-band operation in the Earth-to-space direction) and 81-86 GHz (Earth-to-space) (limited to gateway links only) while establishing equitable co-existence between non-GSO FSS and GSO satellite networks in the FSS, MSS and BSS</w:t>
      </w:r>
    </w:p>
    <w:p w:rsidR="00565D01" w:rsidRPr="00565D01" w:rsidP="00565D01">
      <w:pPr>
        <w:numPr>
          <w:ilvl w:val="0"/>
          <w:numId w:val="37"/>
        </w:num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contextualSpacing/>
        <w:textAlignment w:val="baseline"/>
        <w:rPr>
          <w:sz w:val="24"/>
          <w:lang w:val="en-GB"/>
        </w:rPr>
      </w:pPr>
      <w:r w:rsidRPr="00565D01">
        <w:rPr>
          <w:sz w:val="24"/>
          <w:lang w:val="en-GB"/>
        </w:rPr>
        <w:t>studies of technical and operational issues and regulatory provisions for the operation of non-GSO FSS satellite systems in the frequency bands 71-76 GHz (space-to-Earth, and possible reverse-band operation in the Earth-to-space direction) and 81-86 GHz (Earth-to-space) (limited to gateway links only) with fixed and mobile systems in those bands and adjacent bands as necessary</w:t>
      </w:r>
    </w:p>
    <w:p w:rsidR="00565D01" w:rsidRPr="00565D01" w:rsidP="00565D01">
      <w:pPr>
        <w:numPr>
          <w:ilvl w:val="0"/>
          <w:numId w:val="37"/>
        </w:num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contextualSpacing/>
        <w:textAlignment w:val="baseline"/>
        <w:rPr>
          <w:sz w:val="24"/>
          <w:lang w:val="en-GB"/>
        </w:rPr>
      </w:pPr>
      <w:r w:rsidRPr="00565D01">
        <w:rPr>
          <w:sz w:val="24"/>
          <w:lang w:val="en-GB"/>
        </w:rPr>
        <w:t>studies carried out under resolves</w:t>
      </w:r>
      <w:r w:rsidRPr="00565D01">
        <w:rPr>
          <w:i/>
          <w:sz w:val="24"/>
          <w:lang w:val="en-GB"/>
        </w:rPr>
        <w:t xml:space="preserve"> 1</w:t>
      </w:r>
      <w:r w:rsidRPr="00565D01">
        <w:rPr>
          <w:sz w:val="24"/>
          <w:lang w:val="en-GB"/>
        </w:rPr>
        <w:t xml:space="preserve"> above will focus on the methodologies adopted by WRC-19 in the frequency band 37.5-51.4 GHz;</w:t>
      </w:r>
    </w:p>
    <w:p w:rsidR="00565D01" w:rsidRPr="00565D01" w:rsidP="00565D01">
      <w:pPr>
        <w:numPr>
          <w:ilvl w:val="0"/>
          <w:numId w:val="37"/>
        </w:num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contextualSpacing/>
        <w:textAlignment w:val="baseline"/>
        <w:rPr>
          <w:sz w:val="24"/>
          <w:lang w:val="en-GB"/>
        </w:rPr>
      </w:pPr>
      <w:r w:rsidRPr="00565D01">
        <w:rPr>
          <w:sz w:val="24"/>
          <w:lang w:val="en-GB"/>
        </w:rPr>
        <w:t xml:space="preserve">studies and development of sharing conditions between multiple non-GSO FSS systems operating in the frequency bands listed in resolves </w:t>
      </w:r>
      <w:r w:rsidRPr="00565D01">
        <w:rPr>
          <w:i/>
          <w:sz w:val="24"/>
          <w:lang w:val="en-GB"/>
        </w:rPr>
        <w:t>1</w:t>
      </w:r>
      <w:r w:rsidRPr="00565D01">
        <w:rPr>
          <w:sz w:val="24"/>
          <w:lang w:val="en-GB"/>
        </w:rPr>
        <w:t xml:space="preserve"> above; </w:t>
      </w:r>
    </w:p>
    <w:p w:rsidR="00565D01" w:rsidRPr="00565D01" w:rsidP="00565D01">
      <w:pPr>
        <w:numPr>
          <w:ilvl w:val="0"/>
          <w:numId w:val="37"/>
        </w:num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contextualSpacing/>
        <w:textAlignment w:val="baseline"/>
        <w:rPr>
          <w:sz w:val="24"/>
          <w:lang w:val="en-GB"/>
        </w:rPr>
      </w:pPr>
      <w:r w:rsidRPr="00565D01">
        <w:rPr>
          <w:sz w:val="24"/>
          <w:lang w:val="en-GB"/>
        </w:rPr>
        <w:t xml:space="preserve">studies of possible necessary revisions to Resolution </w:t>
      </w:r>
      <w:r w:rsidRPr="00565D01">
        <w:rPr>
          <w:b/>
          <w:sz w:val="24"/>
          <w:lang w:val="en-GB"/>
        </w:rPr>
        <w:t>750</w:t>
      </w:r>
      <w:r w:rsidRPr="00565D01">
        <w:rPr>
          <w:sz w:val="24"/>
          <w:lang w:val="en-GB"/>
        </w:rPr>
        <w:t xml:space="preserve"> (</w:t>
      </w:r>
      <w:r w:rsidRPr="00565D01">
        <w:rPr>
          <w:b/>
          <w:sz w:val="24"/>
          <w:lang w:val="en-GB"/>
        </w:rPr>
        <w:t>Rev.WRC-[19]</w:t>
      </w:r>
      <w:r w:rsidRPr="00565D01">
        <w:rPr>
          <w:sz w:val="24"/>
          <w:lang w:val="en-GB"/>
        </w:rPr>
        <w:t xml:space="preserve">) to ensure protection of the EESS (passive) and space research (passive) in the frequency bands 86-92 GHz from non-GSO FSS transmission, taking into account recognizing d) above, including study of aggregate FSS interference effects from networks and systems operating or planned to operate in the frequency bands described in resolves to invite ITU-R 1 above; </w:t>
      </w:r>
    </w:p>
    <w:p w:rsidR="00565D01" w:rsidRPr="00565D01" w:rsidP="00565D01">
      <w:pPr>
        <w:numPr>
          <w:ilvl w:val="0"/>
          <w:numId w:val="37"/>
        </w:numPr>
        <w:tabs>
          <w:tab w:val="left" w:pos="576"/>
          <w:tab w:val="left" w:pos="792"/>
          <w:tab w:val="left" w:pos="1008"/>
          <w:tab w:val="left" w:pos="1134"/>
          <w:tab w:val="left" w:pos="1224"/>
          <w:tab w:val="left" w:pos="1440"/>
          <w:tab w:val="left" w:pos="1871"/>
          <w:tab w:val="left" w:pos="2268"/>
        </w:tabs>
        <w:overflowPunct w:val="0"/>
        <w:autoSpaceDE w:val="0"/>
        <w:autoSpaceDN w:val="0"/>
        <w:adjustRightInd w:val="0"/>
        <w:spacing w:before="120"/>
        <w:contextualSpacing/>
        <w:textAlignment w:val="baseline"/>
        <w:rPr>
          <w:sz w:val="24"/>
          <w:lang w:val="en-GB"/>
        </w:rPr>
      </w:pPr>
      <w:r w:rsidRPr="00565D01">
        <w:rPr>
          <w:sz w:val="24"/>
          <w:lang w:val="en-GB"/>
        </w:rPr>
        <w:t xml:space="preserve">studies towards ensuring protection of the radio astronomy frequency bands 76-86 GHz from non-GSO FSS transmissions, taking into account recognizing e) above, including study of aggregate FSS interference effects from networks and systems operating or planned to operate in the frequency bands described in resolves to invite ITU-R 1 above, </w:t>
      </w:r>
    </w:p>
    <w:p w:rsidR="00565D01" w:rsidRPr="00565D01" w:rsidP="00565D01">
      <w:pPr>
        <w:rPr>
          <w:sz w:val="24"/>
          <w:szCs w:val="24"/>
        </w:rPr>
      </w:pP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 xml:space="preserve">further resolves </w:t>
      </w:r>
    </w:p>
    <w:p w:rsidR="00565D01" w:rsidRPr="00565D01" w:rsidP="00565D01">
      <w:pPr>
        <w:rPr>
          <w:sz w:val="24"/>
          <w:szCs w:val="24"/>
        </w:rPr>
      </w:pPr>
    </w:p>
    <w:p w:rsidR="00565D01" w:rsidRPr="00565D01" w:rsidP="00565D01">
      <w:pPr>
        <w:rPr>
          <w:sz w:val="24"/>
          <w:szCs w:val="24"/>
        </w:rPr>
      </w:pPr>
      <w:r w:rsidRPr="00565D01">
        <w:rPr>
          <w:sz w:val="24"/>
          <w:szCs w:val="24"/>
        </w:rPr>
        <w:t xml:space="preserve">to invite WRC-23 to consider the results of the above studies and take appropriate action, </w:t>
      </w:r>
    </w:p>
    <w:p w:rsidR="00565D01" w:rsidRPr="00565D01" w:rsidP="00565D01">
      <w:pPr>
        <w:rPr>
          <w:sz w:val="24"/>
          <w:szCs w:val="24"/>
        </w:rPr>
      </w:pPr>
    </w:p>
    <w:p w:rsidR="00565D01" w:rsidRPr="00565D01" w:rsidP="00565D01">
      <w:pPr>
        <w:keepNext/>
        <w:keepLines/>
        <w:tabs>
          <w:tab w:val="left" w:pos="1134"/>
          <w:tab w:val="left" w:pos="1871"/>
          <w:tab w:val="left" w:pos="2268"/>
        </w:tabs>
        <w:overflowPunct w:val="0"/>
        <w:autoSpaceDE w:val="0"/>
        <w:autoSpaceDN w:val="0"/>
        <w:adjustRightInd w:val="0"/>
        <w:spacing w:before="160"/>
        <w:ind w:left="1134"/>
        <w:textAlignment w:val="baseline"/>
        <w:rPr>
          <w:i/>
          <w:sz w:val="24"/>
          <w:lang w:val="en-GB"/>
        </w:rPr>
      </w:pPr>
      <w:r w:rsidRPr="00565D01">
        <w:rPr>
          <w:i/>
          <w:sz w:val="24"/>
          <w:lang w:val="en-GB"/>
        </w:rPr>
        <w:t xml:space="preserve">invites administrations </w:t>
      </w:r>
    </w:p>
    <w:p w:rsidR="00565D01" w:rsidRPr="00565D01" w:rsidP="00565D01">
      <w:pPr>
        <w:rPr>
          <w:sz w:val="24"/>
          <w:szCs w:val="24"/>
        </w:rPr>
      </w:pPr>
    </w:p>
    <w:p w:rsidR="00565D01" w:rsidRPr="00565D01" w:rsidP="00565D01">
      <w:pPr>
        <w:rPr>
          <w:sz w:val="24"/>
          <w:szCs w:val="24"/>
        </w:rPr>
      </w:pPr>
      <w:r w:rsidRPr="00565D01">
        <w:rPr>
          <w:sz w:val="24"/>
          <w:szCs w:val="24"/>
        </w:rPr>
        <w:t>to participate in the studies by submitting contributions to ITU-R.</w:t>
      </w:r>
    </w:p>
    <w:p w:rsidR="00565D01" w:rsidRPr="00565D01" w:rsidP="00565D01">
      <w:pPr>
        <w:tabs>
          <w:tab w:val="left" w:pos="576"/>
          <w:tab w:val="left" w:pos="792"/>
          <w:tab w:val="left" w:pos="1008"/>
          <w:tab w:val="left" w:pos="1224"/>
          <w:tab w:val="left" w:pos="1440"/>
        </w:tabs>
        <w:rPr>
          <w:i/>
          <w:color w:val="000000"/>
          <w:sz w:val="24"/>
        </w:rPr>
      </w:pPr>
    </w:p>
    <w:p w:rsidR="00565D01" w:rsidRPr="00565D01" w:rsidP="00565D01">
      <w:pPr>
        <w:pBdr>
          <w:bottom w:val="single" w:sz="12" w:space="1" w:color="auto"/>
        </w:pBdr>
        <w:tabs>
          <w:tab w:val="left" w:pos="576"/>
          <w:tab w:val="left" w:pos="792"/>
          <w:tab w:val="left" w:pos="1008"/>
          <w:tab w:val="left" w:pos="1224"/>
          <w:tab w:val="left" w:pos="1440"/>
        </w:tabs>
        <w:rPr>
          <w:i/>
          <w:color w:val="000000"/>
          <w:sz w:val="24"/>
        </w:rPr>
      </w:pPr>
    </w:p>
    <w:p w:rsidR="00565D01" w:rsidRPr="00565D01" w:rsidP="00565D01">
      <w:pPr>
        <w:tabs>
          <w:tab w:val="left" w:pos="576"/>
          <w:tab w:val="left" w:pos="792"/>
          <w:tab w:val="left" w:pos="1008"/>
          <w:tab w:val="left" w:pos="1224"/>
          <w:tab w:val="left" w:pos="1440"/>
        </w:tabs>
        <w:jc w:val="center"/>
        <w:rPr>
          <w:rFonts w:eastAsia="Calibri"/>
          <w:sz w:val="24"/>
          <w:szCs w:val="22"/>
        </w:rPr>
      </w:pPr>
    </w:p>
    <w:p w:rsidR="00565D01" w:rsidRPr="00565D01" w:rsidP="00565D01">
      <w:pPr>
        <w:rPr>
          <w:rFonts w:eastAsia="Calibri"/>
          <w:sz w:val="24"/>
          <w:szCs w:val="22"/>
        </w:rPr>
      </w:pPr>
      <w:r w:rsidRPr="00565D01">
        <w:rPr>
          <w:rFonts w:eastAsia="Calibri"/>
          <w:sz w:val="24"/>
          <w:szCs w:val="22"/>
        </w:rPr>
        <w:br w:type="page"/>
      </w:r>
    </w:p>
    <w:p w:rsidR="00565D01" w:rsidRPr="00565D01" w:rsidP="00565D01">
      <w:pPr>
        <w:tabs>
          <w:tab w:val="left" w:pos="576"/>
          <w:tab w:val="left" w:pos="792"/>
          <w:tab w:val="left" w:pos="1008"/>
          <w:tab w:val="left" w:pos="1224"/>
          <w:tab w:val="left" w:pos="1440"/>
        </w:tabs>
        <w:jc w:val="center"/>
        <w:rPr>
          <w:rFonts w:ascii="TimesNewRomanPS-BoldMT" w:eastAsia="Calibri" w:hAnsi="TimesNewRomanPS-BoldMT" w:cs="TimesNewRomanPS-BoldMT"/>
          <w:b/>
          <w:bCs/>
          <w:sz w:val="24"/>
          <w:szCs w:val="24"/>
        </w:rPr>
      </w:pPr>
      <w:r w:rsidRPr="00565D01">
        <w:rPr>
          <w:rFonts w:ascii="TimesNewRomanPS-BoldMT" w:eastAsia="Calibri" w:hAnsi="TimesNewRomanPS-BoldMT" w:cs="TimesNewRomanPS-BoldMT"/>
          <w:b/>
          <w:bCs/>
          <w:sz w:val="24"/>
          <w:szCs w:val="24"/>
        </w:rPr>
        <w:t>ATTACHMENT</w:t>
      </w:r>
    </w:p>
    <w:p w:rsidR="00565D01" w:rsidRPr="00565D01" w:rsidP="00565D01">
      <w:pPr>
        <w:tabs>
          <w:tab w:val="left" w:pos="576"/>
          <w:tab w:val="left" w:pos="792"/>
          <w:tab w:val="left" w:pos="1008"/>
          <w:tab w:val="left" w:pos="1224"/>
          <w:tab w:val="left" w:pos="1440"/>
        </w:tabs>
        <w:rPr>
          <w:rFonts w:ascii="TimesNewRomanPS-BoldMT" w:eastAsia="Calibri" w:hAnsi="TimesNewRomanPS-BoldMT" w:cs="TimesNewRomanPS-BoldMT"/>
          <w:b/>
          <w:bCs/>
          <w:sz w:val="24"/>
          <w:szCs w:val="24"/>
        </w:rPr>
      </w:pPr>
    </w:p>
    <w:p w:rsidR="00565D01" w:rsidRPr="00565D01" w:rsidP="00565D01">
      <w:pPr>
        <w:tabs>
          <w:tab w:val="left" w:pos="576"/>
          <w:tab w:val="left" w:pos="792"/>
          <w:tab w:val="left" w:pos="1008"/>
          <w:tab w:val="left" w:pos="1224"/>
          <w:tab w:val="left" w:pos="1440"/>
        </w:tabs>
        <w:jc w:val="center"/>
        <w:rPr>
          <w:rFonts w:ascii="TimesNewRomanPS-BoldMT" w:eastAsia="Calibri" w:hAnsi="TimesNewRomanPS-BoldMT" w:cs="TimesNewRomanPS-BoldMT"/>
          <w:b/>
          <w:bCs/>
          <w:sz w:val="24"/>
          <w:szCs w:val="24"/>
        </w:rPr>
      </w:pPr>
      <w:r w:rsidRPr="00565D01">
        <w:rPr>
          <w:rFonts w:ascii="TimesNewRomanPS-BoldMT" w:eastAsia="Calibri" w:hAnsi="TimesNewRomanPS-BoldMT" w:cs="TimesNewRomanPS-BoldMT"/>
          <w:b/>
          <w:bCs/>
          <w:sz w:val="24"/>
          <w:szCs w:val="24"/>
        </w:rPr>
        <w:t>PROPOSAL FOR FUTURE AGENDA ITEM FOR [XXX]</w:t>
      </w: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p>
    <w:p w:rsidR="00565D01" w:rsidRPr="00565D01" w:rsidP="00565D01">
      <w:pPr>
        <w:keepNext/>
        <w:keepLines/>
        <w:tabs>
          <w:tab w:val="left" w:pos="1134"/>
          <w:tab w:val="left" w:pos="1871"/>
          <w:tab w:val="left" w:pos="2268"/>
        </w:tabs>
        <w:overflowPunct w:val="0"/>
        <w:autoSpaceDE w:val="0"/>
        <w:autoSpaceDN w:val="0"/>
        <w:adjustRightInd w:val="0"/>
        <w:spacing w:before="240"/>
        <w:textAlignment w:val="baseline"/>
        <w:rPr>
          <w:rFonts w:ascii="Times New Roman Bold" w:hAnsi="Times New Roman Bold"/>
          <w:b/>
          <w:sz w:val="28"/>
          <w:lang w:val="en-GB"/>
        </w:rPr>
      </w:pPr>
      <w:r w:rsidRPr="00565D01">
        <w:rPr>
          <w:rFonts w:ascii="TimesNewRomanPSMT" w:eastAsia="Calibri" w:hAnsi="TimesNewRomanPSMT" w:cs="TimesNewRomanPSMT"/>
          <w:b/>
          <w:sz w:val="24"/>
          <w:szCs w:val="24"/>
        </w:rPr>
        <w:t>Subject:</w:t>
      </w:r>
      <w:r w:rsidRPr="00565D01">
        <w:rPr>
          <w:rFonts w:ascii="TimesNewRomanPSMT" w:eastAsia="Calibri" w:hAnsi="TimesNewRomanPSMT" w:cs="TimesNewRomanPSMT"/>
          <w:sz w:val="24"/>
          <w:szCs w:val="24"/>
        </w:rPr>
        <w:t xml:space="preserve"> Proposed Future WRC Agenda Item for WRC-2023 to consider the results of studies on the</w:t>
      </w:r>
      <w:r w:rsidRPr="00565D01">
        <w:rPr>
          <w:rFonts w:eastAsia="Calibri"/>
          <w:b/>
          <w:iCs/>
          <w:color w:val="000000"/>
          <w:sz w:val="24"/>
          <w:szCs w:val="22"/>
        </w:rPr>
        <w:t xml:space="preserve"> technical, operational issues and regulatory provisions for non-geostationary fixed-satellite services satellite systems in the frequency bands 71-76GHz (space-to-Earth) and 81-86 GHz (Earth-to-space), and proposed new allocation to FSS in the 71-76GHz (Earth-to-space)</w:t>
      </w:r>
    </w:p>
    <w:p w:rsidR="00565D01" w:rsidRPr="00565D01" w:rsidP="00565D01">
      <w:pPr>
        <w:tabs>
          <w:tab w:val="left" w:pos="576"/>
          <w:tab w:val="left" w:pos="792"/>
          <w:tab w:val="left" w:pos="1008"/>
          <w:tab w:val="left" w:pos="1224"/>
          <w:tab w:val="left" w:pos="1440"/>
        </w:tabs>
        <w:rPr>
          <w:rFonts w:eastAsia="Calibri"/>
          <w:b/>
          <w:iCs/>
          <w:color w:val="000000"/>
          <w:sz w:val="24"/>
          <w:szCs w:val="22"/>
        </w:rPr>
      </w:pP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r w:rsidRPr="00565D01">
        <w:rPr>
          <w:rFonts w:ascii="TimesNewRomanPS-BoldMT" w:eastAsia="Calibri" w:hAnsi="TimesNewRomanPS-BoldMT" w:cs="TimesNewRomanPS-BoldMT"/>
          <w:b/>
          <w:bCs/>
          <w:sz w:val="24"/>
          <w:szCs w:val="24"/>
        </w:rPr>
        <w:t>Origin</w:t>
      </w:r>
      <w:r w:rsidRPr="00565D01">
        <w:rPr>
          <w:rFonts w:ascii="TimesNewRomanPSMT" w:eastAsia="Calibri" w:hAnsi="TimesNewRomanPSMT" w:cs="TimesNewRomanPSMT"/>
          <w:sz w:val="24"/>
          <w:szCs w:val="24"/>
        </w:rPr>
        <w:t>: United States of America</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tabs>
          <w:tab w:val="left" w:pos="576"/>
          <w:tab w:val="left" w:pos="792"/>
          <w:tab w:val="left" w:pos="1008"/>
          <w:tab w:val="left" w:pos="1224"/>
          <w:tab w:val="left" w:pos="1440"/>
        </w:tabs>
        <w:rPr>
          <w:rFonts w:ascii="TimesNewRomanPS-ItalicMT" w:eastAsia="Calibri" w:hAnsi="TimesNewRomanPS-ItalicMT" w:cs="TimesNewRomanPS-ItalicMT"/>
          <w:iCs/>
          <w:sz w:val="24"/>
          <w:szCs w:val="24"/>
        </w:rPr>
      </w:pPr>
      <w:r w:rsidRPr="00565D01">
        <w:rPr>
          <w:rFonts w:ascii="TimesNewRomanPS-ItalicMT" w:eastAsia="Calibri" w:hAnsi="TimesNewRomanPS-ItalicMT" w:cs="TimesNewRomanPS-ItalicMT"/>
          <w:i/>
          <w:iCs/>
          <w:sz w:val="24"/>
          <w:szCs w:val="24"/>
        </w:rPr>
        <w:t xml:space="preserve">Proposal: </w:t>
      </w:r>
      <w:r w:rsidRPr="00565D01">
        <w:rPr>
          <w:rFonts w:ascii="TimesNewRomanPS-ItalicMT" w:eastAsia="Calibri" w:hAnsi="TimesNewRomanPS-ItalicMT" w:cs="TimesNewRomanPS-ItalicMT"/>
          <w:iCs/>
          <w:sz w:val="24"/>
          <w:szCs w:val="24"/>
        </w:rPr>
        <w:t xml:space="preserve">Examine revision of Radio Regulation regarding non-geostationary Fixed-Satellite Service systems in the 71-76 GHz and 81-86GHz bands. </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tabs>
          <w:tab w:val="left" w:pos="576"/>
          <w:tab w:val="left" w:pos="792"/>
          <w:tab w:val="left" w:pos="1008"/>
          <w:tab w:val="left" w:pos="1224"/>
          <w:tab w:val="left" w:pos="1440"/>
        </w:tabs>
        <w:rPr>
          <w:rFonts w:eastAsia="Calibri"/>
          <w:b/>
          <w:bCs/>
          <w:i/>
          <w:iCs/>
          <w:sz w:val="24"/>
          <w:szCs w:val="24"/>
        </w:rPr>
      </w:pPr>
      <w:r w:rsidRPr="00565D01">
        <w:rPr>
          <w:rFonts w:eastAsia="Calibri"/>
          <w:b/>
          <w:bCs/>
          <w:i/>
          <w:iCs/>
          <w:sz w:val="24"/>
          <w:szCs w:val="24"/>
        </w:rPr>
        <w:t>Background/reason:</w:t>
      </w: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 xml:space="preserve">WRC-97 adopted </w:t>
      </w:r>
      <w:r w:rsidRPr="00565D01">
        <w:rPr>
          <w:rFonts w:eastAsia="Calibri"/>
          <w:b/>
          <w:sz w:val="24"/>
          <w:szCs w:val="22"/>
        </w:rPr>
        <w:t>5.523A</w:t>
      </w:r>
      <w:r w:rsidRPr="00565D01">
        <w:rPr>
          <w:rFonts w:eastAsia="Calibri"/>
          <w:sz w:val="24"/>
          <w:szCs w:val="22"/>
        </w:rPr>
        <w:t xml:space="preserve"> whereby the use of certain frequency bands by geostationary and non-geostationary fixed satellite service networks is subject to the application of the provisions of No. </w:t>
      </w:r>
      <w:r w:rsidRPr="00565D01">
        <w:rPr>
          <w:rFonts w:eastAsia="Calibri"/>
          <w:b/>
          <w:sz w:val="24"/>
          <w:szCs w:val="22"/>
        </w:rPr>
        <w:t>9.11A</w:t>
      </w:r>
      <w:r w:rsidRPr="00565D01">
        <w:rPr>
          <w:rFonts w:eastAsia="Calibri"/>
          <w:sz w:val="24"/>
          <w:szCs w:val="22"/>
        </w:rPr>
        <w:t xml:space="preserve"> and No. </w:t>
      </w:r>
      <w:r w:rsidRPr="00565D01">
        <w:rPr>
          <w:rFonts w:eastAsia="Calibri"/>
          <w:b/>
          <w:sz w:val="24"/>
          <w:szCs w:val="22"/>
        </w:rPr>
        <w:t>22.2</w:t>
      </w:r>
      <w:r w:rsidRPr="00565D01">
        <w:rPr>
          <w:rFonts w:eastAsia="Calibri"/>
          <w:sz w:val="24"/>
          <w:szCs w:val="22"/>
        </w:rPr>
        <w:t xml:space="preserve"> does not apply. This WRC action allows non-GSO satellite systems to operate in the bands referred to in </w:t>
      </w:r>
      <w:r w:rsidRPr="00565D01">
        <w:rPr>
          <w:rFonts w:eastAsia="Calibri"/>
          <w:b/>
          <w:sz w:val="24"/>
          <w:szCs w:val="22"/>
        </w:rPr>
        <w:t>5.523A</w:t>
      </w:r>
      <w:r w:rsidRPr="00565D01">
        <w:rPr>
          <w:rFonts w:eastAsia="Calibri"/>
          <w:sz w:val="24"/>
          <w:szCs w:val="22"/>
        </w:rPr>
        <w:t xml:space="preserve"> subject to coordination on a first come first served basis with respect to GSO satellite networks. WRC-97 also adopted provisional equivalent pfd (epfd) and aggregate epfd limits to be met by NGSO satellite systems operating in certain frequency bands. WRC-2000 adopted definitive epfd limits and expanded the ranges of frequency where they would apply. A NGSO satellite system meeting the epfd limits in the relevant frequency bands is deemed to be compliant with Article </w:t>
      </w:r>
      <w:r w:rsidRPr="00565D01">
        <w:rPr>
          <w:rFonts w:eastAsia="Calibri"/>
          <w:b/>
          <w:sz w:val="24"/>
          <w:szCs w:val="22"/>
        </w:rPr>
        <w:t>22.2</w:t>
      </w:r>
      <w:r w:rsidRPr="00565D01">
        <w:rPr>
          <w:rFonts w:eastAsia="Calibri"/>
          <w:sz w:val="24"/>
          <w:szCs w:val="22"/>
        </w:rPr>
        <w:t xml:space="preserve"> with respect to any GSO satellite network regardless of priority date. </w:t>
      </w:r>
    </w:p>
    <w:p w:rsidR="00565D01" w:rsidRPr="00565D01" w:rsidP="00565D01">
      <w:pPr>
        <w:tabs>
          <w:tab w:val="left" w:pos="576"/>
          <w:tab w:val="left" w:pos="792"/>
          <w:tab w:val="left" w:pos="1008"/>
          <w:tab w:val="left" w:pos="1224"/>
          <w:tab w:val="left" w:pos="1440"/>
        </w:tabs>
        <w:rPr>
          <w:rFonts w:eastAsia="Calibri"/>
          <w:b/>
          <w:sz w:val="24"/>
          <w:szCs w:val="22"/>
        </w:rPr>
      </w:pPr>
      <w:r w:rsidRPr="00565D01">
        <w:rPr>
          <w:sz w:val="24"/>
          <w:szCs w:val="24"/>
        </w:rPr>
        <w:t xml:space="preserve">WRC-19 will review the results of the studies and will consider taking appropriate regulatory actions for non-GSO satellite systems in the 37-51.4 GHz frequency range by adopting aggregate criteria not to be exceeded by non-GSO FSS systems in order to protect GSO FSS and GSO BSS networks against interference. </w:t>
      </w:r>
    </w:p>
    <w:p w:rsidR="00565D01" w:rsidRPr="00565D01" w:rsidP="00565D01">
      <w:pPr>
        <w:tabs>
          <w:tab w:val="left" w:pos="576"/>
          <w:tab w:val="left" w:pos="792"/>
          <w:tab w:val="left" w:pos="1008"/>
          <w:tab w:val="left" w:pos="1224"/>
          <w:tab w:val="left" w:pos="1440"/>
        </w:tabs>
        <w:rPr>
          <w:rFonts w:ascii="Times" w:eastAsia="Calibri" w:hAnsi="Times" w:cs="Times"/>
          <w:color w:val="000000"/>
          <w:sz w:val="24"/>
          <w:szCs w:val="24"/>
        </w:rPr>
      </w:pPr>
      <w:r w:rsidRPr="00565D01">
        <w:rPr>
          <w:rFonts w:ascii="Times" w:eastAsia="Calibri" w:hAnsi="Times" w:cs="Times"/>
          <w:color w:val="000000"/>
          <w:sz w:val="24"/>
          <w:szCs w:val="24"/>
        </w:rPr>
        <w:t>High mm-wave bands are particularly suitable for use as ultra-high capacity gateway links for large constellation non-GSO FSS systems using broadband service links.  In addition, these frequency bands are potentially suitable for broadband links for consumer and enterprise customers.  As a result, system trials of high mm-wave bands are progressing and technology prototypes are maturing.</w:t>
      </w:r>
    </w:p>
    <w:p w:rsidR="00565D01" w:rsidRPr="00565D01" w:rsidP="00565D01">
      <w:pPr>
        <w:tabs>
          <w:tab w:val="left" w:pos="576"/>
          <w:tab w:val="left" w:pos="792"/>
          <w:tab w:val="left" w:pos="1008"/>
          <w:tab w:val="left" w:pos="1224"/>
          <w:tab w:val="left" w:pos="1440"/>
        </w:tabs>
        <w:rPr>
          <w:rFonts w:eastAsia="Calibri"/>
          <w:sz w:val="24"/>
          <w:szCs w:val="22"/>
        </w:rPr>
      </w:pPr>
      <w:r w:rsidRPr="00565D01">
        <w:rPr>
          <w:rFonts w:eastAsia="Calibri"/>
          <w:sz w:val="24"/>
          <w:szCs w:val="22"/>
        </w:rPr>
        <w:t xml:space="preserve">However, there are currently no mechanisms in the RR establishing coordination procedures applicable between NGSO systems, nor methods of ensuring satisfactory co-existence with GSO networks, operating in the frequency bands currently allocated to the FSS in the range from </w:t>
      </w:r>
      <w:r w:rsidRPr="00565D01">
        <w:rPr>
          <w:sz w:val="24"/>
          <w:lang w:val="en-GB"/>
        </w:rPr>
        <w:t>71-76 GHz (space-to-Earth) and 81-86 GHz (Earth-to-space).</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tabs>
          <w:tab w:val="left" w:pos="576"/>
          <w:tab w:val="left" w:pos="792"/>
          <w:tab w:val="left" w:pos="1008"/>
          <w:tab w:val="left" w:pos="1224"/>
          <w:tab w:val="left" w:pos="1440"/>
        </w:tabs>
        <w:rPr>
          <w:rFonts w:eastAsia="Calibri"/>
          <w:b/>
          <w:bCs/>
          <w:i/>
          <w:iCs/>
          <w:sz w:val="24"/>
          <w:szCs w:val="24"/>
        </w:rPr>
      </w:pPr>
      <w:r w:rsidRPr="00565D01">
        <w:rPr>
          <w:rFonts w:eastAsia="Calibri"/>
          <w:b/>
          <w:bCs/>
          <w:i/>
          <w:iCs/>
          <w:sz w:val="24"/>
          <w:szCs w:val="24"/>
        </w:rPr>
        <w:t xml:space="preserve">Radiocommunication services concerned: </w:t>
      </w: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r w:rsidRPr="00565D01">
        <w:rPr>
          <w:rFonts w:ascii="TimesNewRomanPSMT" w:eastAsia="Calibri" w:hAnsi="TimesNewRomanPSMT" w:cs="TimesNewRomanPSMT"/>
          <w:sz w:val="24"/>
          <w:szCs w:val="24"/>
        </w:rPr>
        <w:t>Earth Exploration Satellite, Space research, Radio Astronomy, Fixed, Mobile, Fixed-Satellite</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r w:rsidRPr="00565D01">
        <w:rPr>
          <w:rFonts w:eastAsia="Calibri"/>
          <w:b/>
          <w:bCs/>
          <w:i/>
          <w:iCs/>
          <w:sz w:val="24"/>
          <w:szCs w:val="24"/>
        </w:rPr>
        <w:t xml:space="preserve">Indication of possible difficulties: </w:t>
      </w:r>
      <w:r w:rsidRPr="00565D01">
        <w:rPr>
          <w:rFonts w:ascii="TimesNewRomanPSMT" w:eastAsia="Calibri" w:hAnsi="TimesNewRomanPSMT" w:cs="TimesNewRomanPSMT"/>
          <w:sz w:val="24"/>
          <w:szCs w:val="24"/>
        </w:rPr>
        <w:t xml:space="preserve"> None foreseen</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rPr>
          <w:sz w:val="24"/>
          <w:szCs w:val="24"/>
        </w:rPr>
      </w:pPr>
      <w:r w:rsidRPr="00565D01">
        <w:rPr>
          <w:rFonts w:eastAsia="Calibri"/>
          <w:b/>
          <w:bCs/>
          <w:i/>
          <w:iCs/>
          <w:sz w:val="24"/>
          <w:szCs w:val="24"/>
        </w:rPr>
        <w:t xml:space="preserve">Previous/ongoing studies on the issue: </w:t>
      </w:r>
      <w:r w:rsidRPr="00565D01">
        <w:rPr>
          <w:rFonts w:eastAsia="Calibri"/>
          <w:b/>
          <w:bCs/>
          <w:i/>
          <w:iCs/>
          <w:sz w:val="24"/>
          <w:szCs w:val="24"/>
        </w:rPr>
        <w:br/>
      </w:r>
      <w:r w:rsidRPr="00565D01">
        <w:rPr>
          <w:rFonts w:ascii="TimesNewRomanPSMT" w:eastAsia="Calibri" w:hAnsi="TimesNewRomanPSMT" w:cs="TimesNewRomanPSMT"/>
          <w:sz w:val="24"/>
          <w:szCs w:val="24"/>
        </w:rPr>
        <w:t xml:space="preserve">a) Studied in the 2015-2019 preparatory cycle leading up to WRC-2019 considering to adopt </w:t>
      </w:r>
      <w:r w:rsidRPr="00565D01">
        <w:rPr>
          <w:sz w:val="24"/>
          <w:szCs w:val="24"/>
        </w:rPr>
        <w:t xml:space="preserve">provisions to quantify No. </w:t>
      </w:r>
      <w:r w:rsidRPr="00565D01">
        <w:rPr>
          <w:b/>
          <w:sz w:val="24"/>
          <w:szCs w:val="24"/>
        </w:rPr>
        <w:t>22.2</w:t>
      </w:r>
      <w:r w:rsidRPr="00565D01">
        <w:rPr>
          <w:sz w:val="24"/>
          <w:szCs w:val="24"/>
        </w:rPr>
        <w:t xml:space="preserve">, in order to establish protection of GSO FSS and BSS satellite </w:t>
      </w:r>
      <w:r w:rsidRPr="00565D01">
        <w:rPr>
          <w:sz w:val="24"/>
          <w:szCs w:val="24"/>
        </w:rPr>
        <w:t xml:space="preserve">networks from non-GSO FSS satellite systems in the 37-51.4 GHz frequency range; </w:t>
      </w:r>
      <w:r w:rsidRPr="00565D01">
        <w:rPr>
          <w:sz w:val="24"/>
          <w:szCs w:val="24"/>
        </w:rPr>
        <w:br/>
      </w:r>
      <w:r w:rsidRPr="00565D01">
        <w:rPr>
          <w:rFonts w:ascii="TimesNewRomanPSMT" w:eastAsia="Calibri" w:hAnsi="TimesNewRomanPSMT" w:cs="TimesNewRomanPSMT"/>
          <w:sz w:val="24"/>
          <w:szCs w:val="24"/>
        </w:rPr>
        <w:t xml:space="preserve">b) Studied in the 2015-2019 preparatory cycle leading to a </w:t>
      </w:r>
      <w:r w:rsidRPr="00565D01">
        <w:rPr>
          <w:sz w:val="24"/>
          <w:szCs w:val="24"/>
        </w:rPr>
        <w:t>Report ITU-R S.[E-band FSS characteristics] currently being developed to provide additional system characteristics of planned high mm-wave FSS network and systems</w:t>
      </w:r>
    </w:p>
    <w:p w:rsidR="00565D01" w:rsidRPr="00565D01" w:rsidP="00565D01">
      <w:pPr>
        <w:ind w:left="720"/>
        <w:contextualSpacing/>
        <w:rPr>
          <w:sz w:val="24"/>
          <w:szCs w:val="24"/>
        </w:rPr>
      </w:pP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tbl>
      <w:tblPr>
        <w:tblW w:w="0" w:type="auto"/>
        <w:tblBorders>
          <w:bottom w:val="single" w:sz="12" w:space="0" w:color="auto"/>
          <w:insideH w:val="single" w:sz="12" w:space="0" w:color="auto"/>
          <w:insideV w:val="single" w:sz="12" w:space="0" w:color="auto"/>
        </w:tblBorders>
        <w:tblCellMar>
          <w:left w:w="0" w:type="dxa"/>
          <w:right w:w="0" w:type="dxa"/>
        </w:tblCellMar>
        <w:tblLook w:val="04A0"/>
      </w:tblPr>
      <w:tblGrid>
        <w:gridCol w:w="3979"/>
        <w:gridCol w:w="5357"/>
      </w:tblGrid>
      <w:tr w:rsidTr="00AA2A77">
        <w:tblPrEx>
          <w:tblW w:w="0" w:type="auto"/>
          <w:tblBorders>
            <w:bottom w:val="single" w:sz="12" w:space="0" w:color="auto"/>
            <w:insideH w:val="single" w:sz="12" w:space="0" w:color="auto"/>
            <w:insideV w:val="single" w:sz="12" w:space="0" w:color="auto"/>
          </w:tblBorders>
          <w:tblCellMar>
            <w:left w:w="0" w:type="dxa"/>
            <w:right w:w="0" w:type="dxa"/>
          </w:tblCellMar>
          <w:tblLook w:val="04A0"/>
        </w:tblPrEx>
        <w:tc>
          <w:tcPr>
            <w:tcW w:w="3979" w:type="dxa"/>
            <w:tcBorders>
              <w:top w:val="nil"/>
              <w:left w:val="nil"/>
              <w:bottom w:val="single" w:sz="12" w:space="0" w:color="auto"/>
              <w:right w:val="single" w:sz="12" w:space="0" w:color="auto"/>
            </w:tcBorders>
            <w:hideMark/>
          </w:tcPr>
          <w:p w:rsidR="00565D01" w:rsidRPr="00565D01" w:rsidP="00565D01">
            <w:pPr>
              <w:framePr w:hSpace="181" w:wrap="notBeside" w:vAnchor="text" w:hAnchor="text" w:xAlign="center" w:y="1"/>
              <w:tabs>
                <w:tab w:val="left" w:pos="576"/>
                <w:tab w:val="left" w:pos="792"/>
                <w:tab w:val="left" w:pos="1008"/>
                <w:tab w:val="left" w:pos="1224"/>
                <w:tab w:val="left" w:pos="1440"/>
                <w:tab w:val="left" w:pos="4366"/>
              </w:tabs>
              <w:rPr>
                <w:rFonts w:eastAsia="Calibri"/>
                <w:bCs/>
                <w:iCs/>
                <w:color w:val="000000"/>
                <w:sz w:val="24"/>
                <w:szCs w:val="24"/>
              </w:rPr>
            </w:pPr>
            <w:r w:rsidRPr="00565D01">
              <w:rPr>
                <w:rFonts w:eastAsia="Calibri"/>
                <w:b/>
                <w:i/>
                <w:color w:val="000000"/>
                <w:sz w:val="24"/>
                <w:szCs w:val="24"/>
              </w:rPr>
              <w:t>Studies to be carried out by</w:t>
            </w:r>
            <w:r w:rsidRPr="00565D01">
              <w:rPr>
                <w:rFonts w:eastAsia="Calibri"/>
                <w:b/>
                <w:bCs/>
                <w:i/>
                <w:iCs/>
                <w:color w:val="000000"/>
                <w:sz w:val="24"/>
                <w:szCs w:val="24"/>
              </w:rPr>
              <w:t xml:space="preserve">: </w:t>
            </w:r>
            <w:r w:rsidRPr="00565D01">
              <w:rPr>
                <w:rFonts w:eastAsia="Calibri"/>
                <w:bCs/>
                <w:iCs/>
                <w:color w:val="000000"/>
                <w:sz w:val="24"/>
                <w:szCs w:val="24"/>
              </w:rPr>
              <w:t>ITU-R Study Group 4</w:t>
            </w:r>
          </w:p>
          <w:p w:rsidR="00565D01" w:rsidRPr="00565D01" w:rsidP="00565D01">
            <w:pPr>
              <w:framePr w:hSpace="181" w:wrap="notBeside" w:vAnchor="text" w:hAnchor="text" w:xAlign="center" w:y="1"/>
              <w:tabs>
                <w:tab w:val="left" w:pos="576"/>
                <w:tab w:val="left" w:pos="792"/>
                <w:tab w:val="left" w:pos="1008"/>
                <w:tab w:val="left" w:pos="1224"/>
                <w:tab w:val="left" w:pos="1440"/>
                <w:tab w:val="left" w:pos="4366"/>
              </w:tabs>
              <w:rPr>
                <w:rFonts w:eastAsia="Calibri"/>
                <w:b/>
                <w:bCs/>
                <w:i/>
                <w:iCs/>
                <w:color w:val="000000"/>
                <w:sz w:val="24"/>
                <w:szCs w:val="24"/>
              </w:rPr>
            </w:pPr>
          </w:p>
        </w:tc>
        <w:tc>
          <w:tcPr>
            <w:tcW w:w="5357" w:type="dxa"/>
            <w:tcBorders>
              <w:top w:val="nil"/>
              <w:left w:val="single" w:sz="12" w:space="0" w:color="auto"/>
              <w:bottom w:val="single" w:sz="12" w:space="0" w:color="auto"/>
              <w:right w:val="nil"/>
            </w:tcBorders>
          </w:tcPr>
          <w:p w:rsidR="00565D01" w:rsidRPr="00565D01" w:rsidP="00565D01">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bCs/>
                <w:i/>
                <w:color w:val="000000"/>
                <w:sz w:val="24"/>
                <w:szCs w:val="24"/>
              </w:rPr>
            </w:pPr>
            <w:r w:rsidRPr="00565D01">
              <w:rPr>
                <w:rFonts w:eastAsia="Calibri"/>
                <w:bCs/>
                <w:i/>
                <w:color w:val="000000"/>
                <w:sz w:val="24"/>
                <w:szCs w:val="24"/>
              </w:rPr>
              <w:t xml:space="preserve">with the participation of: </w:t>
            </w:r>
          </w:p>
          <w:p w:rsidR="00565D01" w:rsidRPr="00565D01" w:rsidP="00565D01">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iCs/>
                <w:color w:val="000000"/>
                <w:sz w:val="24"/>
                <w:szCs w:val="24"/>
              </w:rPr>
            </w:pPr>
          </w:p>
          <w:p w:rsidR="00565D01" w:rsidRPr="00565D01" w:rsidP="00565D01">
            <w:pPr>
              <w:framePr w:hSpace="181" w:wrap="notBeside" w:vAnchor="text" w:hAnchor="text" w:xAlign="center" w:y="1"/>
              <w:tabs>
                <w:tab w:val="left" w:pos="360"/>
                <w:tab w:val="left" w:pos="576"/>
                <w:tab w:val="left" w:pos="792"/>
                <w:tab w:val="left" w:pos="900"/>
                <w:tab w:val="left" w:pos="1008"/>
                <w:tab w:val="left" w:pos="1224"/>
                <w:tab w:val="left" w:pos="1440"/>
                <w:tab w:val="left" w:pos="4366"/>
              </w:tabs>
              <w:ind w:left="113"/>
              <w:rPr>
                <w:rFonts w:eastAsia="Calibri"/>
                <w:b/>
                <w:bCs/>
                <w:iCs/>
                <w:color w:val="000000"/>
                <w:sz w:val="24"/>
                <w:szCs w:val="24"/>
              </w:rPr>
            </w:pPr>
          </w:p>
        </w:tc>
      </w:tr>
    </w:tbl>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r w:rsidRPr="00565D01">
        <w:rPr>
          <w:rFonts w:eastAsia="Calibri"/>
          <w:b/>
          <w:bCs/>
          <w:i/>
          <w:iCs/>
          <w:sz w:val="24"/>
          <w:szCs w:val="24"/>
        </w:rPr>
        <w:t xml:space="preserve">ITU-R Study Groups concerned: </w:t>
      </w:r>
      <w:r w:rsidRPr="00565D01">
        <w:rPr>
          <w:rFonts w:ascii="TimesNewRomanPSMT" w:eastAsia="Calibri" w:hAnsi="TimesNewRomanPSMT" w:cs="TimesNewRomanPSMT"/>
          <w:sz w:val="24"/>
          <w:szCs w:val="24"/>
        </w:rPr>
        <w:t>SG 5 and SG 7</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r w:rsidRPr="00565D01">
        <w:rPr>
          <w:rFonts w:eastAsia="Calibri"/>
          <w:b/>
          <w:bCs/>
          <w:i/>
          <w:iCs/>
          <w:sz w:val="24"/>
          <w:szCs w:val="24"/>
        </w:rPr>
        <w:t>ITU resource implications, including financial implications (refer to CV126):</w:t>
      </w:r>
      <w:r w:rsidRPr="00565D01">
        <w:rPr>
          <w:rFonts w:ascii="TimesNewRomanPSMT" w:eastAsia="Calibri" w:hAnsi="TimesNewRomanPSMT" w:cs="TimesNewRomanPSMT"/>
          <w:sz w:val="24"/>
          <w:szCs w:val="24"/>
        </w:rPr>
        <w:t xml:space="preserve">  Minimal</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p>
    <w:p w:rsidR="00565D01" w:rsidRPr="00565D01" w:rsidP="00565D01">
      <w:pPr>
        <w:tabs>
          <w:tab w:val="left" w:pos="576"/>
          <w:tab w:val="left" w:pos="792"/>
          <w:tab w:val="left" w:pos="1008"/>
          <w:tab w:val="left" w:pos="1224"/>
          <w:tab w:val="left" w:pos="1440"/>
        </w:tabs>
        <w:rPr>
          <w:rFonts w:ascii="TimesNewRomanPSMT" w:eastAsia="Calibri" w:hAnsi="TimesNewRomanPSMT" w:cs="TimesNewRomanPSMT"/>
          <w:sz w:val="24"/>
          <w:szCs w:val="24"/>
        </w:rPr>
      </w:pPr>
      <w:r w:rsidRPr="00565D01">
        <w:rPr>
          <w:rFonts w:eastAsia="Calibri"/>
          <w:b/>
          <w:bCs/>
          <w:i/>
          <w:iCs/>
          <w:sz w:val="24"/>
          <w:szCs w:val="24"/>
        </w:rPr>
        <w:t xml:space="preserve">Common regional proposal: </w:t>
      </w:r>
      <w:r w:rsidRPr="00565D01">
        <w:rPr>
          <w:rFonts w:ascii="TimesNewRomanPSMT" w:eastAsia="Calibri" w:hAnsi="TimesNewRomanPSMT" w:cs="TimesNewRomanPSMT"/>
          <w:sz w:val="24"/>
          <w:szCs w:val="24"/>
        </w:rPr>
        <w:t xml:space="preserve">No </w:t>
      </w:r>
      <w:r w:rsidRPr="00565D01">
        <w:rPr>
          <w:rFonts w:ascii="TimesNewRomanPSMT" w:eastAsia="Calibri" w:hAnsi="TimesNewRomanPSMT" w:cs="TimesNewRomanPSMT"/>
          <w:sz w:val="24"/>
          <w:szCs w:val="24"/>
        </w:rPr>
        <w:tab/>
      </w:r>
      <w:r w:rsidRPr="00565D01">
        <w:rPr>
          <w:rFonts w:ascii="TimesNewRomanPSMT" w:eastAsia="Calibri" w:hAnsi="TimesNewRomanPSMT" w:cs="TimesNewRomanPSMT"/>
          <w:sz w:val="24"/>
          <w:szCs w:val="24"/>
        </w:rPr>
        <w:tab/>
      </w:r>
      <w:r w:rsidRPr="00565D01">
        <w:rPr>
          <w:rFonts w:eastAsia="Calibri"/>
          <w:b/>
          <w:bCs/>
          <w:i/>
          <w:iCs/>
          <w:sz w:val="24"/>
          <w:szCs w:val="24"/>
        </w:rPr>
        <w:t xml:space="preserve">Multicountry proposal: </w:t>
      </w:r>
      <w:r w:rsidRPr="00565D01">
        <w:rPr>
          <w:rFonts w:ascii="TimesNewRomanPSMT" w:eastAsia="Calibri" w:hAnsi="TimesNewRomanPSMT" w:cs="TimesNewRomanPSMT"/>
          <w:sz w:val="24"/>
          <w:szCs w:val="24"/>
        </w:rPr>
        <w:t>No</w:t>
      </w:r>
    </w:p>
    <w:p w:rsidR="00565D01" w:rsidRPr="00565D01" w:rsidP="00565D01">
      <w:pPr>
        <w:tabs>
          <w:tab w:val="left" w:pos="576"/>
          <w:tab w:val="left" w:pos="792"/>
          <w:tab w:val="left" w:pos="1008"/>
          <w:tab w:val="left" w:pos="1224"/>
          <w:tab w:val="left" w:pos="1440"/>
        </w:tabs>
        <w:ind w:firstLine="720"/>
        <w:rPr>
          <w:rFonts w:ascii="TimesNewRomanPS-ItalicMT" w:eastAsia="Calibri" w:hAnsi="TimesNewRomanPS-ItalicMT" w:cs="TimesNewRomanPS-ItalicMT"/>
          <w:i/>
          <w:iCs/>
          <w:sz w:val="24"/>
          <w:szCs w:val="24"/>
        </w:rPr>
      </w:pPr>
      <w:r w:rsidRPr="00565D01">
        <w:rPr>
          <w:rFonts w:ascii="TimesNewRomanPS-ItalicMT" w:eastAsia="Calibri" w:hAnsi="TimesNewRomanPS-ItalicMT" w:cs="TimesNewRomanPS-ItalicMT"/>
          <w:i/>
          <w:iCs/>
          <w:sz w:val="24"/>
          <w:szCs w:val="24"/>
        </w:rPr>
        <w:t>Number of countries:</w:t>
      </w:r>
    </w:p>
    <w:p w:rsidR="00565D01" w:rsidRPr="00565D01" w:rsidP="00565D01">
      <w:pPr>
        <w:pBdr>
          <w:bottom w:val="single" w:sz="12" w:space="1" w:color="auto"/>
        </w:pBdr>
        <w:tabs>
          <w:tab w:val="left" w:pos="576"/>
          <w:tab w:val="left" w:pos="794"/>
          <w:tab w:val="left" w:pos="1008"/>
          <w:tab w:val="left" w:pos="1191"/>
          <w:tab w:val="left" w:pos="1224"/>
          <w:tab w:val="left" w:pos="1440"/>
          <w:tab w:val="left" w:pos="1588"/>
          <w:tab w:val="left" w:pos="1985"/>
        </w:tabs>
        <w:rPr>
          <w:rFonts w:eastAsia="Calibri"/>
          <w:color w:val="000000"/>
          <w:sz w:val="24"/>
          <w:szCs w:val="24"/>
        </w:rPr>
      </w:pPr>
      <w:r w:rsidRPr="00565D01">
        <w:rPr>
          <w:rFonts w:eastAsia="Calibri"/>
          <w:color w:val="000000"/>
          <w:sz w:val="24"/>
          <w:szCs w:val="24"/>
        </w:rPr>
        <w:t>One</w:t>
      </w:r>
    </w:p>
    <w:p w:rsidR="00565D01" w:rsidRPr="00565D01" w:rsidP="00565D01">
      <w:pPr>
        <w:tabs>
          <w:tab w:val="left" w:pos="576"/>
          <w:tab w:val="left" w:pos="792"/>
          <w:tab w:val="left" w:pos="1008"/>
          <w:tab w:val="left" w:pos="1224"/>
          <w:tab w:val="left" w:pos="1440"/>
        </w:tabs>
        <w:rPr>
          <w:rFonts w:eastAsia="Calibri"/>
          <w:b/>
          <w:bCs/>
          <w:i/>
          <w:iCs/>
          <w:sz w:val="24"/>
          <w:szCs w:val="24"/>
        </w:rPr>
      </w:pPr>
      <w:r w:rsidRPr="00565D01">
        <w:rPr>
          <w:rFonts w:eastAsia="Calibri"/>
          <w:b/>
          <w:bCs/>
          <w:i/>
          <w:iCs/>
          <w:sz w:val="24"/>
          <w:szCs w:val="24"/>
        </w:rPr>
        <w:t>Remarks</w:t>
      </w:r>
    </w:p>
    <w:p w:rsidR="00565D01" w:rsidRPr="00565D01" w:rsidP="00565D01">
      <w:pPr>
        <w:tabs>
          <w:tab w:val="left" w:pos="576"/>
          <w:tab w:val="left" w:pos="792"/>
          <w:tab w:val="left" w:pos="1008"/>
          <w:tab w:val="left" w:pos="1224"/>
          <w:tab w:val="left" w:pos="1440"/>
        </w:tabs>
        <w:jc w:val="center"/>
        <w:rPr>
          <w:rFonts w:eastAsia="Calibri"/>
          <w:sz w:val="24"/>
          <w:szCs w:val="22"/>
        </w:rPr>
      </w:pPr>
    </w:p>
    <w:p w:rsidR="00565D01" w:rsidP="00565D01">
      <w:pPr>
        <w:spacing w:after="200" w:line="276" w:lineRule="auto"/>
        <w:jc w:val="center"/>
        <w:rPr>
          <w:b/>
          <w:sz w:val="24"/>
          <w:szCs w:val="24"/>
        </w:rPr>
      </w:pPr>
      <w:r>
        <w:rPr>
          <w:b/>
          <w:sz w:val="24"/>
          <w:szCs w:val="24"/>
        </w:rPr>
        <w:t>__________________</w:t>
      </w:r>
    </w:p>
    <w:p w:rsidR="00565D01">
      <w:pPr>
        <w:spacing w:after="200" w:line="276" w:lineRule="auto"/>
        <w:rPr>
          <w:b/>
          <w:sz w:val="24"/>
          <w:szCs w:val="24"/>
        </w:rPr>
      </w:pPr>
      <w:r>
        <w:rPr>
          <w:b/>
          <w:sz w:val="24"/>
          <w:szCs w:val="24"/>
        </w:rPr>
        <w:br w:type="page"/>
      </w:r>
    </w:p>
    <w:p w:rsidR="003B7CB6" w:rsidP="003B7CB6">
      <w:pPr>
        <w:spacing w:after="200" w:line="276" w:lineRule="auto"/>
        <w:rPr>
          <w:b/>
          <w:sz w:val="24"/>
          <w:szCs w:val="24"/>
        </w:rPr>
      </w:pPr>
      <w:r>
        <w:rPr>
          <w:b/>
          <w:sz w:val="24"/>
          <w:szCs w:val="24"/>
        </w:rPr>
        <w:t>DOCUMENT WAC/09</w:t>
      </w:r>
      <w:r w:rsidR="00565D01">
        <w:rPr>
          <w:b/>
          <w:sz w:val="24"/>
          <w:szCs w:val="24"/>
        </w:rPr>
        <w:t>7</w:t>
      </w:r>
      <w:r>
        <w:rPr>
          <w:b/>
          <w:sz w:val="24"/>
          <w:szCs w:val="24"/>
        </w:rPr>
        <w:t xml:space="preserve"> (11.03.19)</w:t>
      </w:r>
    </w:p>
    <w:p w:rsidR="00565D01" w:rsidRPr="00565D01" w:rsidP="00565D01">
      <w:pPr>
        <w:jc w:val="center"/>
        <w:rPr>
          <w:b/>
          <w:sz w:val="28"/>
          <w:szCs w:val="28"/>
          <w:u w:val="single"/>
        </w:rPr>
      </w:pPr>
      <w:r w:rsidRPr="00565D01">
        <w:rPr>
          <w:b/>
          <w:sz w:val="28"/>
          <w:szCs w:val="28"/>
        </w:rPr>
        <w:t>C</w:t>
      </w:r>
      <w:r w:rsidRPr="00565D01">
        <w:rPr>
          <w:b/>
          <w:sz w:val="28"/>
          <w:szCs w:val="28"/>
          <w:u w:val="single"/>
        </w:rPr>
        <w:t>omments of IWG-4 on NTIA Agenda Item 10 Proposal in Doc. IWG-4/056</w:t>
      </w:r>
    </w:p>
    <w:p w:rsidR="00565D01" w:rsidRPr="00565D01" w:rsidP="00565D01">
      <w:pPr>
        <w:jc w:val="center"/>
        <w:rPr>
          <w:b/>
          <w:sz w:val="28"/>
          <w:szCs w:val="28"/>
        </w:rPr>
      </w:pPr>
    </w:p>
    <w:p w:rsidR="00565D01" w:rsidRPr="00565D01" w:rsidP="00565D01">
      <w:pPr>
        <w:jc w:val="center"/>
        <w:rPr>
          <w:b/>
          <w:sz w:val="28"/>
          <w:szCs w:val="28"/>
        </w:rPr>
      </w:pPr>
      <w:r w:rsidRPr="00565D01">
        <w:rPr>
          <w:b/>
          <w:sz w:val="28"/>
          <w:szCs w:val="28"/>
        </w:rPr>
        <w:t>United States</w:t>
      </w:r>
    </w:p>
    <w:p w:rsidR="00565D01" w:rsidRPr="00565D01" w:rsidP="00565D01">
      <w:pPr>
        <w:jc w:val="center"/>
        <w:rPr>
          <w:b/>
          <w:sz w:val="28"/>
          <w:szCs w:val="28"/>
        </w:rPr>
      </w:pPr>
    </w:p>
    <w:p w:rsidR="00565D01" w:rsidRPr="00565D01" w:rsidP="00565D01">
      <w:pPr>
        <w:jc w:val="center"/>
        <w:rPr>
          <w:sz w:val="28"/>
          <w:szCs w:val="28"/>
        </w:rPr>
      </w:pPr>
      <w:r w:rsidRPr="00565D01">
        <w:rPr>
          <w:sz w:val="28"/>
          <w:szCs w:val="28"/>
        </w:rPr>
        <w:t>PROPOSALS FOR THE WORK OF THE CONFERENCE</w:t>
      </w:r>
    </w:p>
    <w:p w:rsidR="00565D01" w:rsidRPr="00565D01" w:rsidP="00565D01">
      <w:pPr>
        <w:spacing w:before="120"/>
        <w:rPr>
          <w:sz w:val="24"/>
          <w:szCs w:val="24"/>
        </w:rPr>
      </w:pPr>
    </w:p>
    <w:p w:rsidR="00565D01" w:rsidRPr="00565D01" w:rsidP="00565D01">
      <w:pPr>
        <w:keepNext/>
        <w:tabs>
          <w:tab w:val="left" w:pos="360"/>
          <w:tab w:val="left" w:pos="900"/>
        </w:tabs>
        <w:spacing w:after="120"/>
        <w:jc w:val="center"/>
        <w:outlineLvl w:val="0"/>
        <w:rPr>
          <w:bCs/>
          <w:sz w:val="28"/>
          <w:szCs w:val="28"/>
        </w:rPr>
      </w:pPr>
      <w:r w:rsidRPr="00565D01">
        <w:rPr>
          <w:bCs/>
          <w:sz w:val="28"/>
          <w:szCs w:val="28"/>
        </w:rPr>
        <w:t>Agenda item 10</w:t>
      </w:r>
    </w:p>
    <w:p w:rsidR="00565D01" w:rsidRPr="00565D01" w:rsidP="00565D01">
      <w:pPr>
        <w:rPr>
          <w:b/>
          <w:sz w:val="24"/>
          <w:szCs w:val="24"/>
        </w:rPr>
      </w:pPr>
    </w:p>
    <w:p w:rsidR="00565D01" w:rsidRPr="00565D01" w:rsidP="00565D01">
      <w:pPr>
        <w:rPr>
          <w:sz w:val="24"/>
          <w:szCs w:val="24"/>
        </w:rPr>
      </w:pPr>
      <w:r w:rsidRPr="00565D01">
        <w:rPr>
          <w:b/>
          <w:sz w:val="24"/>
          <w:szCs w:val="24"/>
        </w:rPr>
        <w:t>Agenda Item 10</w:t>
      </w:r>
      <w:r w:rsidRPr="00565D01">
        <w:rPr>
          <w:sz w:val="24"/>
          <w:szCs w:val="24"/>
        </w:rPr>
        <w:tab/>
        <w:t>to recommend to the Council items for inclusion in the agenda for the next WRC, and to give its views on the preliminary agenda for the subsequent conference and on possible agenda items for future conferences, in accordance with Article 7 of the Convention.</w:t>
      </w:r>
    </w:p>
    <w:p w:rsidR="00565D01" w:rsidRPr="00565D01" w:rsidP="00565D01">
      <w:pPr>
        <w:rPr>
          <w:sz w:val="24"/>
          <w:szCs w:val="24"/>
        </w:rPr>
      </w:pPr>
    </w:p>
    <w:p w:rsidR="00565D01" w:rsidRPr="00565D01" w:rsidP="00565D01">
      <w:pPr>
        <w:rPr>
          <w:sz w:val="24"/>
          <w:szCs w:val="24"/>
        </w:rPr>
      </w:pPr>
    </w:p>
    <w:p w:rsidR="00565D01" w:rsidRPr="00565D01" w:rsidP="00565D01">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r w:rsidRPr="00565D01">
        <w:rPr>
          <w:rFonts w:ascii="Times" w:hAnsi="Times"/>
          <w:b/>
          <w:sz w:val="24"/>
        </w:rPr>
        <w:t>Background</w:t>
      </w:r>
    </w:p>
    <w:p w:rsidR="00565D01" w:rsidRPr="00565D01" w:rsidP="00565D01">
      <w:pPr>
        <w:spacing w:before="100" w:beforeAutospacing="1"/>
        <w:jc w:val="both"/>
        <w:rPr>
          <w:sz w:val="24"/>
          <w:szCs w:val="24"/>
        </w:rPr>
      </w:pPr>
      <w:r w:rsidRPr="00565D01">
        <w:rPr>
          <w:sz w:val="24"/>
          <w:szCs w:val="24"/>
        </w:rPr>
        <w:t xml:space="preserve">The 2007 World Radiocommunication Conference (WRC-07) modified Appendix </w:t>
      </w:r>
      <w:r w:rsidRPr="00565D01">
        <w:rPr>
          <w:b/>
          <w:sz w:val="24"/>
          <w:szCs w:val="24"/>
        </w:rPr>
        <w:t>4</w:t>
      </w:r>
      <w:r w:rsidRPr="00565D01">
        <w:rPr>
          <w:sz w:val="24"/>
          <w:szCs w:val="24"/>
        </w:rPr>
        <w:t xml:space="preserve"> Annex 2 of the Radio Regulations to allow the characteristics of active and passive sensors to be filed in the ITU-R under the provisions of Articles </w:t>
      </w:r>
      <w:r w:rsidRPr="00565D01">
        <w:rPr>
          <w:b/>
          <w:sz w:val="24"/>
          <w:szCs w:val="24"/>
        </w:rPr>
        <w:t>9</w:t>
      </w:r>
      <w:r w:rsidRPr="00565D01">
        <w:rPr>
          <w:sz w:val="24"/>
          <w:szCs w:val="24"/>
        </w:rPr>
        <w:t xml:space="preserve"> and </w:t>
      </w:r>
      <w:r w:rsidRPr="00565D01">
        <w:rPr>
          <w:b/>
          <w:sz w:val="24"/>
          <w:szCs w:val="24"/>
        </w:rPr>
        <w:t>11</w:t>
      </w:r>
      <w:r w:rsidRPr="00565D01">
        <w:rPr>
          <w:sz w:val="24"/>
          <w:szCs w:val="24"/>
        </w:rPr>
        <w:t xml:space="preserve"> so they may be recorded in the Master International Frequency Register.  </w:t>
      </w:r>
    </w:p>
    <w:p w:rsidR="00565D01" w:rsidRPr="00565D01" w:rsidP="00565D01">
      <w:pPr>
        <w:spacing w:before="100" w:beforeAutospacing="1"/>
        <w:jc w:val="both"/>
        <w:rPr>
          <w:sz w:val="24"/>
          <w:szCs w:val="24"/>
        </w:rPr>
      </w:pPr>
      <w:r w:rsidRPr="00565D01">
        <w:rPr>
          <w:sz w:val="24"/>
          <w:szCs w:val="24"/>
        </w:rPr>
        <w:t xml:space="preserve">Any frequency assignment recorded in the Master Register with a favourable finding under No. </w:t>
      </w:r>
      <w:r w:rsidRPr="00565D01">
        <w:rPr>
          <w:b/>
          <w:sz w:val="24"/>
          <w:szCs w:val="24"/>
        </w:rPr>
        <w:t>11.31</w:t>
      </w:r>
      <w:r w:rsidRPr="00565D01">
        <w:rPr>
          <w:sz w:val="24"/>
          <w:szCs w:val="24"/>
        </w:rPr>
        <w:t xml:space="preserve"> shall have the right to international recognition. For such an assignment, this right means that other administrations shall take it into account when making their own assignments, in order to avoid harmful interference. (RR No. </w:t>
      </w:r>
      <w:r w:rsidRPr="00565D01">
        <w:rPr>
          <w:b/>
          <w:sz w:val="24"/>
          <w:szCs w:val="24"/>
        </w:rPr>
        <w:t>8.3</w:t>
      </w:r>
      <w:r w:rsidRPr="00565D01">
        <w:rPr>
          <w:sz w:val="24"/>
          <w:szCs w:val="24"/>
        </w:rPr>
        <w:t xml:space="preserve">)  Nevertheless, Nos. </w:t>
      </w:r>
      <w:r w:rsidRPr="00565D01">
        <w:rPr>
          <w:b/>
          <w:sz w:val="24"/>
          <w:szCs w:val="24"/>
        </w:rPr>
        <w:t>5.28</w:t>
      </w:r>
      <w:r w:rsidRPr="00565D01">
        <w:rPr>
          <w:sz w:val="24"/>
          <w:szCs w:val="24"/>
        </w:rPr>
        <w:t xml:space="preserve"> to </w:t>
      </w:r>
      <w:r w:rsidRPr="00565D01">
        <w:rPr>
          <w:b/>
          <w:sz w:val="24"/>
          <w:szCs w:val="24"/>
        </w:rPr>
        <w:t>5.31</w:t>
      </w:r>
      <w:r w:rsidRPr="00565D01">
        <w:rPr>
          <w:sz w:val="24"/>
          <w:szCs w:val="24"/>
        </w:rPr>
        <w:t xml:space="preserve"> place the conditions imposed on secondary services with regard to causing or claiming protection from harmful interference from other services.</w:t>
      </w:r>
    </w:p>
    <w:p w:rsidR="00565D01" w:rsidRPr="00565D01" w:rsidP="00565D01">
      <w:pPr>
        <w:spacing w:before="100" w:beforeAutospacing="1"/>
        <w:jc w:val="both"/>
        <w:rPr>
          <w:sz w:val="24"/>
          <w:szCs w:val="24"/>
        </w:rPr>
      </w:pPr>
      <w:r w:rsidRPr="00565D01">
        <w:rPr>
          <w:sz w:val="24"/>
          <w:szCs w:val="24"/>
        </w:rPr>
        <w:t xml:space="preserve">It is noted that passive remote sensors are detecting an increasing number of instances of interference events and the interference is distributed worldwide. </w:t>
      </w:r>
    </w:p>
    <w:p w:rsidR="00565D01" w:rsidRPr="00565D01" w:rsidP="00565D01">
      <w:pPr>
        <w:spacing w:before="100" w:beforeAutospacing="1"/>
        <w:jc w:val="both"/>
        <w:rPr>
          <w:sz w:val="24"/>
          <w:szCs w:val="24"/>
        </w:rPr>
      </w:pPr>
      <w:r w:rsidRPr="00565D01">
        <w:rPr>
          <w:sz w:val="24"/>
          <w:szCs w:val="24"/>
        </w:rPr>
        <w:t xml:space="preserve">Procedures are contained in Section VI of Article </w:t>
      </w:r>
      <w:r w:rsidRPr="00565D01">
        <w:rPr>
          <w:b/>
          <w:sz w:val="24"/>
          <w:szCs w:val="24"/>
        </w:rPr>
        <w:t>15</w:t>
      </w:r>
      <w:r w:rsidRPr="00565D01">
        <w:rPr>
          <w:sz w:val="24"/>
          <w:szCs w:val="24"/>
        </w:rPr>
        <w:t xml:space="preserve"> to address the actions to be taken when harmful interference occurs between networks authorized by different Administrations.  In particular, No. </w:t>
      </w:r>
      <w:r w:rsidRPr="00565D01">
        <w:rPr>
          <w:b/>
          <w:sz w:val="24"/>
          <w:szCs w:val="24"/>
        </w:rPr>
        <w:t>15.27</w:t>
      </w:r>
      <w:r w:rsidRPr="00565D01">
        <w:rPr>
          <w:sz w:val="24"/>
          <w:szCs w:val="24"/>
        </w:rPr>
        <w:t xml:space="preserve"> states full particulars relating to harmful interference shall, whenever possible, be given in the form indicated in Appendix </w:t>
      </w:r>
      <w:r w:rsidRPr="00565D01">
        <w:rPr>
          <w:b/>
          <w:sz w:val="24"/>
          <w:szCs w:val="24"/>
        </w:rPr>
        <w:t>10</w:t>
      </w:r>
      <w:r w:rsidRPr="00565D01">
        <w:rPr>
          <w:sz w:val="24"/>
          <w:szCs w:val="24"/>
        </w:rPr>
        <w:t xml:space="preserve">.  As Appendix </w:t>
      </w:r>
      <w:r w:rsidRPr="00565D01">
        <w:rPr>
          <w:b/>
          <w:sz w:val="24"/>
          <w:szCs w:val="24"/>
        </w:rPr>
        <w:t>10</w:t>
      </w:r>
      <w:r w:rsidRPr="00565D01">
        <w:rPr>
          <w:sz w:val="24"/>
          <w:szCs w:val="24"/>
        </w:rPr>
        <w:t xml:space="preserve"> was designed with terrestrial radiocommunication services in mind, its applicability related to harmful interference detected by EESS (passive) sensors is very limited.  Passive sensors have unique characteristics to detect the particulars of the interference using different parameters from those of stations used for radiocommunication.  Administrations have approved Recommendation ITU-R RS.2106-0 which provides data fields which should be used for reporting, detection and resolution of radio frequency interference to Earth exploration-satellite service (passive) sensors.  </w:t>
      </w:r>
    </w:p>
    <w:p w:rsidR="00565D01" w:rsidRPr="00565D01" w:rsidP="00565D01">
      <w:pPr>
        <w:keepNext/>
        <w:tabs>
          <w:tab w:val="left" w:pos="1134"/>
          <w:tab w:val="left" w:pos="1871"/>
          <w:tab w:val="left" w:pos="2268"/>
        </w:tabs>
        <w:overflowPunct w:val="0"/>
        <w:autoSpaceDE w:val="0"/>
        <w:autoSpaceDN w:val="0"/>
        <w:adjustRightInd w:val="0"/>
        <w:spacing w:before="160"/>
        <w:textAlignment w:val="baseline"/>
        <w:rPr>
          <w:rFonts w:ascii="Times" w:hAnsi="Times"/>
          <w:b/>
          <w:sz w:val="24"/>
        </w:rPr>
      </w:pPr>
      <w:r w:rsidRPr="00565D01">
        <w:rPr>
          <w:rFonts w:ascii="Times" w:hAnsi="Times"/>
          <w:b/>
          <w:sz w:val="24"/>
        </w:rPr>
        <w:t>Proposals</w:t>
      </w:r>
    </w:p>
    <w:p w:rsidR="00565D01" w:rsidRPr="00565D01" w:rsidP="00565D01">
      <w:pPr>
        <w:keepNext/>
        <w:tabs>
          <w:tab w:val="left" w:pos="1134"/>
          <w:tab w:val="left" w:pos="1871"/>
          <w:tab w:val="left" w:pos="2268"/>
        </w:tabs>
        <w:overflowPunct w:val="0"/>
        <w:autoSpaceDE w:val="0"/>
        <w:autoSpaceDN w:val="0"/>
        <w:adjustRightInd w:val="0"/>
        <w:spacing w:before="240"/>
        <w:textAlignment w:val="baseline"/>
        <w:rPr>
          <w:sz w:val="24"/>
        </w:rPr>
      </w:pPr>
      <w:r w:rsidRPr="00565D01">
        <w:rPr>
          <w:sz w:val="24"/>
        </w:rPr>
        <w:t>ADD</w:t>
      </w:r>
      <w:r w:rsidRPr="00565D01">
        <w:rPr>
          <w:sz w:val="24"/>
        </w:rPr>
        <w:tab/>
        <w:t>TBD/XXX/1</w:t>
      </w:r>
    </w:p>
    <w:p w:rsidR="00565D01" w:rsidRPr="00565D01" w:rsidP="00565D01">
      <w:pPr>
        <w:keepNext/>
        <w:keepLines/>
        <w:tabs>
          <w:tab w:val="left" w:pos="1134"/>
          <w:tab w:val="left" w:pos="1871"/>
          <w:tab w:val="left" w:pos="2268"/>
        </w:tabs>
        <w:overflowPunct w:val="0"/>
        <w:autoSpaceDE w:val="0"/>
        <w:autoSpaceDN w:val="0"/>
        <w:adjustRightInd w:val="0"/>
        <w:spacing w:before="720"/>
        <w:jc w:val="center"/>
        <w:textAlignment w:val="baseline"/>
        <w:rPr>
          <w:caps/>
          <w:sz w:val="28"/>
        </w:rPr>
      </w:pPr>
      <w:r w:rsidRPr="00565D01">
        <w:rPr>
          <w:caps/>
          <w:sz w:val="28"/>
        </w:rPr>
        <w:t>Draft New Resolution [xxx] (WRC-19)</w:t>
      </w:r>
    </w:p>
    <w:p w:rsidR="00565D01" w:rsidRPr="00565D01" w:rsidP="00565D01">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rPr>
      </w:pPr>
      <w:r w:rsidRPr="00565D01">
        <w:rPr>
          <w:rFonts w:ascii="Times New Roman Bold" w:hAnsi="Times New Roman Bold"/>
          <w:b/>
          <w:sz w:val="28"/>
        </w:rPr>
        <w:t>Agenda for the 2023 World Radiocommunication Conference</w:t>
      </w:r>
    </w:p>
    <w:p w:rsidR="00565D01" w:rsidRPr="00565D01" w:rsidP="00565D01">
      <w:pPr>
        <w:tabs>
          <w:tab w:val="left" w:pos="1134"/>
          <w:tab w:val="left" w:pos="1871"/>
          <w:tab w:val="left" w:pos="2268"/>
        </w:tabs>
        <w:overflowPunct w:val="0"/>
        <w:autoSpaceDE w:val="0"/>
        <w:autoSpaceDN w:val="0"/>
        <w:adjustRightInd w:val="0"/>
        <w:spacing w:before="360"/>
        <w:jc w:val="both"/>
        <w:textAlignment w:val="baseline"/>
        <w:rPr>
          <w:sz w:val="24"/>
        </w:rPr>
      </w:pPr>
      <w:r w:rsidRPr="00565D01">
        <w:rPr>
          <w:sz w:val="24"/>
        </w:rPr>
        <w:t>The World Radiocommunication Conference (</w:t>
      </w:r>
      <w:r w:rsidRPr="00565D01">
        <w:rPr>
          <w:sz w:val="24"/>
          <w:lang w:val="fr-FR"/>
        </w:rPr>
        <w:t>Sharm el-Sheikh</w:t>
      </w:r>
      <w:r w:rsidRPr="00565D01">
        <w:rPr>
          <w:sz w:val="24"/>
        </w:rPr>
        <w:t>, 2019),</w:t>
      </w:r>
    </w:p>
    <w:p w:rsidR="00565D01" w:rsidRPr="00565D01" w:rsidP="00565D01">
      <w:pPr>
        <w:rPr>
          <w:sz w:val="24"/>
          <w:szCs w:val="24"/>
        </w:rPr>
      </w:pPr>
      <w:r w:rsidRPr="00565D01">
        <w:rPr>
          <w:sz w:val="24"/>
          <w:szCs w:val="24"/>
        </w:rPr>
        <w:t>...</w:t>
      </w:r>
    </w:p>
    <w:p w:rsidR="00565D01" w:rsidRPr="00565D01" w:rsidP="00565D01">
      <w:pPr>
        <w:rPr>
          <w:sz w:val="24"/>
          <w:szCs w:val="24"/>
        </w:rPr>
      </w:pPr>
      <w:r w:rsidRPr="00565D01">
        <w:rPr>
          <w:b/>
          <w:sz w:val="24"/>
          <w:szCs w:val="24"/>
        </w:rPr>
        <w:t>X.X1</w:t>
      </w:r>
      <w:r w:rsidRPr="00565D01">
        <w:rPr>
          <w:b/>
          <w:sz w:val="24"/>
          <w:szCs w:val="24"/>
        </w:rPr>
        <w:tab/>
      </w:r>
      <w:r w:rsidRPr="00565D01">
        <w:rPr>
          <w:sz w:val="24"/>
          <w:szCs w:val="24"/>
        </w:rPr>
        <w:t xml:space="preserve">to consider </w:t>
      </w:r>
      <w:r w:rsidRPr="00565D01">
        <w:rPr>
          <w:sz w:val="24"/>
          <w:szCs w:val="24"/>
        </w:rPr>
        <w:t xml:space="preserve">modifying </w:t>
      </w:r>
      <w:r w:rsidRPr="00565D01">
        <w:rPr>
          <w:sz w:val="24"/>
          <w:szCs w:val="24"/>
        </w:rPr>
        <w:t xml:space="preserve">RR Appendix </w:t>
      </w:r>
      <w:r w:rsidRPr="00565D01">
        <w:rPr>
          <w:b/>
          <w:bCs/>
          <w:sz w:val="24"/>
          <w:szCs w:val="24"/>
        </w:rPr>
        <w:t>10</w:t>
      </w:r>
      <w:r w:rsidRPr="00565D01">
        <w:rPr>
          <w:sz w:val="24"/>
          <w:szCs w:val="24"/>
        </w:rPr>
        <w:t xml:space="preserve"> to improve the reporting and resolution of interference to Earth exploration-satellite service passive sensors  in accordance with Resolution </w:t>
      </w:r>
      <w:r w:rsidRPr="00565D01">
        <w:rPr>
          <w:b/>
          <w:sz w:val="24"/>
          <w:szCs w:val="24"/>
        </w:rPr>
        <w:t>YYY (WRC-19)</w:t>
      </w:r>
      <w:r w:rsidRPr="00565D01">
        <w:rPr>
          <w:sz w:val="24"/>
          <w:szCs w:val="24"/>
        </w:rPr>
        <w:t xml:space="preserve">, and without modification to the procedure for cases of harmful interference in Section VI of Article </w:t>
      </w:r>
      <w:r w:rsidRPr="00565D01">
        <w:rPr>
          <w:b/>
          <w:sz w:val="24"/>
          <w:szCs w:val="24"/>
        </w:rPr>
        <w:t>15</w:t>
      </w:r>
      <w:r w:rsidRPr="00565D01">
        <w:rPr>
          <w:sz w:val="24"/>
          <w:szCs w:val="24"/>
        </w:rPr>
        <w:t xml:space="preserve"> of the Radio Regulations;</w:t>
      </w:r>
    </w:p>
    <w:p w:rsidR="00565D01" w:rsidRPr="00565D01" w:rsidP="00565D01">
      <w:pPr>
        <w:keepNext/>
        <w:tabs>
          <w:tab w:val="left" w:pos="1134"/>
          <w:tab w:val="left" w:pos="1871"/>
          <w:tab w:val="left" w:pos="2268"/>
        </w:tabs>
        <w:overflowPunct w:val="0"/>
        <w:autoSpaceDE w:val="0"/>
        <w:autoSpaceDN w:val="0"/>
        <w:adjustRightInd w:val="0"/>
        <w:spacing w:before="240"/>
        <w:textAlignment w:val="baseline"/>
        <w:rPr>
          <w:b/>
          <w:sz w:val="24"/>
          <w:lang w:val="en-GB"/>
        </w:rPr>
      </w:pPr>
      <w:r w:rsidRPr="00565D01">
        <w:rPr>
          <w:bCs/>
          <w:sz w:val="24"/>
        </w:rPr>
        <w:t>Reasons:</w:t>
      </w:r>
      <w:r w:rsidRPr="00565D01">
        <w:rPr>
          <w:sz w:val="24"/>
        </w:rPr>
        <w:tab/>
        <w:t xml:space="preserve">To establish a </w:t>
      </w:r>
      <w:r w:rsidRPr="00565D01">
        <w:rPr>
          <w:sz w:val="24"/>
        </w:rPr>
        <w:t xml:space="preserve">form </w:t>
      </w:r>
      <w:r w:rsidRPr="00565D01">
        <w:rPr>
          <w:sz w:val="24"/>
        </w:rPr>
        <w:t>suitable for the reporting of cases of harmful interference to Earth exploration-satellite service passive sensors which is not currently available through the existing provisions of the Radio Regulations</w:t>
      </w:r>
    </w:p>
    <w:p w:rsidR="00565D01" w:rsidRPr="00565D01" w:rsidP="00565D01">
      <w:pPr>
        <w:keepNext/>
        <w:tabs>
          <w:tab w:val="left" w:pos="1134"/>
          <w:tab w:val="left" w:pos="1871"/>
          <w:tab w:val="left" w:pos="2268"/>
        </w:tabs>
        <w:overflowPunct w:val="0"/>
        <w:autoSpaceDE w:val="0"/>
        <w:autoSpaceDN w:val="0"/>
        <w:adjustRightInd w:val="0"/>
        <w:spacing w:before="240"/>
        <w:textAlignment w:val="baseline"/>
        <w:rPr>
          <w:sz w:val="24"/>
        </w:rPr>
      </w:pPr>
      <w:r w:rsidRPr="00565D01">
        <w:rPr>
          <w:sz w:val="24"/>
        </w:rPr>
        <w:t>ADD</w:t>
      </w:r>
      <w:r w:rsidRPr="00565D01">
        <w:rPr>
          <w:sz w:val="24"/>
        </w:rPr>
        <w:tab/>
        <w:t>TBD/XXX/2</w:t>
      </w:r>
    </w:p>
    <w:p w:rsidR="00565D01" w:rsidRPr="00565D01" w:rsidP="00565D01">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r w:rsidRPr="00565D01">
        <w:rPr>
          <w:caps/>
          <w:sz w:val="28"/>
          <w:lang w:val="fr-FR"/>
        </w:rPr>
        <w:t>Draft New Resolution [yyy] (WRC-19)</w:t>
      </w:r>
    </w:p>
    <w:p w:rsidR="00565D01" w:rsidRPr="00565D01" w:rsidP="00565D01">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lang w:val="en-GB"/>
        </w:rPr>
      </w:pPr>
      <w:r w:rsidRPr="00565D01">
        <w:rPr>
          <w:rFonts w:hAnsi="Times New Roman Bold"/>
          <w:b/>
          <w:sz w:val="28"/>
          <w:lang w:val="en-GB"/>
        </w:rPr>
        <w:t>Reporting of harmful interference to passive sensors in the Earth exploration-satellite service</w:t>
      </w:r>
    </w:p>
    <w:p w:rsidR="00565D01" w:rsidRPr="00565D01" w:rsidP="00565D01">
      <w:pPr>
        <w:tabs>
          <w:tab w:val="left" w:pos="1134"/>
          <w:tab w:val="left" w:pos="1871"/>
          <w:tab w:val="left" w:pos="2268"/>
        </w:tabs>
        <w:overflowPunct w:val="0"/>
        <w:autoSpaceDE w:val="0"/>
        <w:autoSpaceDN w:val="0"/>
        <w:adjustRightInd w:val="0"/>
        <w:spacing w:before="360" w:after="120"/>
        <w:jc w:val="both"/>
        <w:textAlignment w:val="baseline"/>
        <w:rPr>
          <w:sz w:val="24"/>
          <w:lang w:val="fr-FR"/>
        </w:rPr>
      </w:pPr>
      <w:r w:rsidRPr="00565D01">
        <w:rPr>
          <w:sz w:val="24"/>
          <w:lang w:val="fr-FR"/>
        </w:rPr>
        <w:t>The World Radiocommunication Conference (Sharm el-Sheikh, 2019),</w:t>
      </w:r>
    </w:p>
    <w:p w:rsidR="00565D01" w:rsidRPr="00565D01" w:rsidP="00565D01">
      <w:pPr>
        <w:spacing w:after="120"/>
        <w:rPr>
          <w:i/>
          <w:sz w:val="24"/>
          <w:szCs w:val="24"/>
        </w:rPr>
      </w:pPr>
      <w:r w:rsidRPr="00565D01">
        <w:rPr>
          <w:sz w:val="24"/>
          <w:szCs w:val="24"/>
        </w:rPr>
        <w:tab/>
      </w:r>
      <w:r w:rsidRPr="00565D01">
        <w:rPr>
          <w:i/>
          <w:sz w:val="24"/>
          <w:szCs w:val="24"/>
        </w:rPr>
        <w:t>considering</w:t>
      </w:r>
    </w:p>
    <w:p w:rsidR="00565D01" w:rsidRPr="00565D01" w:rsidP="00565D01">
      <w:pPr>
        <w:spacing w:after="120"/>
        <w:rPr>
          <w:sz w:val="24"/>
          <w:szCs w:val="24"/>
        </w:rPr>
      </w:pPr>
      <w:r w:rsidRPr="00565D01">
        <w:rPr>
          <w:i/>
          <w:sz w:val="24"/>
          <w:szCs w:val="24"/>
        </w:rPr>
        <w:t>a)</w:t>
      </w:r>
      <w:r w:rsidRPr="00565D01">
        <w:rPr>
          <w:sz w:val="24"/>
          <w:szCs w:val="24"/>
        </w:rPr>
        <w:tab/>
        <w:t>that passive sensors provide information critical to maintaining and improving the accuracy of weather forecasts and climate models, which contribute to the protection of life and preservation of property throughout the world;</w:t>
      </w:r>
    </w:p>
    <w:p w:rsidR="00565D01" w:rsidRPr="00565D01" w:rsidP="00565D01">
      <w:pPr>
        <w:spacing w:after="120"/>
        <w:rPr>
          <w:sz w:val="24"/>
          <w:szCs w:val="24"/>
        </w:rPr>
      </w:pPr>
      <w:r w:rsidRPr="00565D01">
        <w:rPr>
          <w:i/>
          <w:sz w:val="24"/>
          <w:szCs w:val="24"/>
        </w:rPr>
        <w:t>b)</w:t>
      </w:r>
      <w:r w:rsidRPr="00565D01">
        <w:rPr>
          <w:sz w:val="24"/>
          <w:szCs w:val="24"/>
        </w:rPr>
        <w:tab/>
        <w:t>that, in many cases, the frequencies used by Earth exploration-satellite service (passive) sensors are chosen to study natural phenomena producing radio emissions at frequencies determined by the laws of nature, and therefore shifting frequency to avoid or mitigate interference problems is not possible;</w:t>
      </w:r>
    </w:p>
    <w:p w:rsidR="00565D01" w:rsidRPr="00565D01" w:rsidP="00565D01">
      <w:pPr>
        <w:spacing w:after="120"/>
        <w:rPr>
          <w:sz w:val="24"/>
          <w:szCs w:val="24"/>
        </w:rPr>
      </w:pPr>
      <w:r w:rsidRPr="00565D01">
        <w:rPr>
          <w:i/>
          <w:sz w:val="24"/>
          <w:szCs w:val="24"/>
        </w:rPr>
        <w:t>c)</w:t>
      </w:r>
      <w:r w:rsidRPr="00565D01">
        <w:rPr>
          <w:sz w:val="24"/>
          <w:szCs w:val="24"/>
        </w:rPr>
        <w:tab/>
        <w:t xml:space="preserve">that </w:t>
      </w:r>
      <w:r w:rsidRPr="00565D01">
        <w:rPr>
          <w:sz w:val="24"/>
          <w:szCs w:val="24"/>
        </w:rPr>
        <w:t xml:space="preserve">some </w:t>
      </w:r>
      <w:r w:rsidRPr="00565D01">
        <w:rPr>
          <w:sz w:val="24"/>
          <w:szCs w:val="24"/>
        </w:rPr>
        <w:t xml:space="preserve">passive remote sensor operations </w:t>
      </w:r>
      <w:r w:rsidRPr="00565D01">
        <w:rPr>
          <w:sz w:val="24"/>
          <w:szCs w:val="24"/>
        </w:rPr>
        <w:t xml:space="preserve">in some frequency bands </w:t>
      </w:r>
      <w:r w:rsidRPr="00565D01">
        <w:rPr>
          <w:sz w:val="24"/>
          <w:szCs w:val="24"/>
        </w:rPr>
        <w:t>are impaired by an increasing number of cases of interference,</w:t>
      </w:r>
    </w:p>
    <w:p w:rsidR="00565D01" w:rsidRPr="00565D01" w:rsidP="00565D01">
      <w:pPr>
        <w:spacing w:after="120"/>
        <w:rPr>
          <w:i/>
          <w:sz w:val="24"/>
          <w:szCs w:val="24"/>
        </w:rPr>
      </w:pPr>
      <w:r w:rsidRPr="00565D01">
        <w:rPr>
          <w:sz w:val="24"/>
          <w:szCs w:val="24"/>
        </w:rPr>
        <w:tab/>
      </w:r>
      <w:r w:rsidRPr="00565D01">
        <w:rPr>
          <w:i/>
          <w:sz w:val="24"/>
          <w:szCs w:val="24"/>
        </w:rPr>
        <w:t>recognizing</w:t>
      </w:r>
    </w:p>
    <w:p w:rsidR="00565D01" w:rsidRPr="00565D01" w:rsidP="00565D01">
      <w:pPr>
        <w:spacing w:after="120"/>
        <w:rPr>
          <w:sz w:val="24"/>
          <w:szCs w:val="24"/>
        </w:rPr>
      </w:pPr>
      <w:r w:rsidRPr="00565D01">
        <w:rPr>
          <w:i/>
          <w:sz w:val="24"/>
          <w:szCs w:val="24"/>
        </w:rPr>
        <w:t>a)</w:t>
      </w:r>
      <w:r w:rsidRPr="00565D01">
        <w:rPr>
          <w:sz w:val="24"/>
          <w:szCs w:val="24"/>
        </w:rPr>
        <w:tab/>
        <w:t xml:space="preserve">that Section VI of Article </w:t>
      </w:r>
      <w:r w:rsidRPr="00565D01">
        <w:rPr>
          <w:b/>
          <w:sz w:val="24"/>
          <w:szCs w:val="24"/>
        </w:rPr>
        <w:t>15</w:t>
      </w:r>
      <w:r w:rsidRPr="00565D01">
        <w:rPr>
          <w:sz w:val="24"/>
          <w:szCs w:val="24"/>
        </w:rPr>
        <w:t xml:space="preserve"> of the Radio Regulations describes the procedure for the resolution of cases of harmful interference;</w:t>
      </w:r>
    </w:p>
    <w:p w:rsidR="00565D01" w:rsidRPr="00565D01" w:rsidP="00565D01">
      <w:pPr>
        <w:spacing w:after="120"/>
        <w:rPr>
          <w:sz w:val="24"/>
          <w:szCs w:val="24"/>
        </w:rPr>
      </w:pPr>
      <w:r w:rsidRPr="00565D01">
        <w:rPr>
          <w:i/>
          <w:sz w:val="24"/>
          <w:szCs w:val="24"/>
        </w:rPr>
        <w:t>b)</w:t>
      </w:r>
      <w:r w:rsidRPr="00565D01">
        <w:rPr>
          <w:sz w:val="24"/>
          <w:szCs w:val="24"/>
        </w:rPr>
        <w:tab/>
        <w:t xml:space="preserve">that </w:t>
      </w:r>
      <w:r w:rsidRPr="00565D01">
        <w:rPr>
          <w:sz w:val="24"/>
          <w:szCs w:val="24"/>
        </w:rPr>
        <w:t xml:space="preserve">under No. </w:t>
      </w:r>
      <w:r w:rsidRPr="00565D01">
        <w:rPr>
          <w:b/>
          <w:sz w:val="24"/>
          <w:szCs w:val="24"/>
        </w:rPr>
        <w:t xml:space="preserve">15.27, </w:t>
      </w:r>
      <w:r w:rsidRPr="00565D01">
        <w:rPr>
          <w:sz w:val="24"/>
          <w:szCs w:val="24"/>
        </w:rPr>
        <w:t xml:space="preserve">full particulars relating to harmful interference </w:t>
      </w:r>
      <w:r w:rsidRPr="00565D01">
        <w:rPr>
          <w:sz w:val="24"/>
          <w:szCs w:val="24"/>
        </w:rPr>
        <w:t xml:space="preserve">shall, whenever possible, be given in the form indicated in </w:t>
      </w:r>
      <w:r w:rsidRPr="00565D01">
        <w:rPr>
          <w:sz w:val="24"/>
          <w:szCs w:val="24"/>
        </w:rPr>
        <w:t xml:space="preserve">Appendix </w:t>
      </w:r>
      <w:r w:rsidRPr="00565D01">
        <w:rPr>
          <w:b/>
          <w:sz w:val="24"/>
          <w:szCs w:val="24"/>
        </w:rPr>
        <w:t>10</w:t>
      </w:r>
      <w:r w:rsidRPr="00565D01">
        <w:rPr>
          <w:b/>
          <w:sz w:val="24"/>
          <w:szCs w:val="24"/>
        </w:rPr>
        <w:t xml:space="preserve"> </w:t>
      </w:r>
      <w:r w:rsidRPr="00565D01">
        <w:rPr>
          <w:sz w:val="24"/>
          <w:szCs w:val="24"/>
        </w:rPr>
        <w:t>to the Radio Regulations</w:t>
      </w:r>
      <w:r w:rsidRPr="00565D01">
        <w:rPr>
          <w:sz w:val="24"/>
          <w:szCs w:val="24"/>
        </w:rPr>
        <w:t xml:space="preserve">; </w:t>
      </w:r>
    </w:p>
    <w:p w:rsidR="00565D01" w:rsidRPr="00565D01" w:rsidP="00565D01">
      <w:pPr>
        <w:spacing w:after="120"/>
        <w:rPr>
          <w:sz w:val="24"/>
          <w:szCs w:val="24"/>
        </w:rPr>
      </w:pPr>
      <w:r w:rsidRPr="00565D01">
        <w:rPr>
          <w:i/>
          <w:sz w:val="24"/>
          <w:szCs w:val="24"/>
        </w:rPr>
        <w:t>c)</w:t>
      </w:r>
      <w:r w:rsidRPr="00565D01">
        <w:rPr>
          <w:sz w:val="24"/>
          <w:szCs w:val="24"/>
        </w:rPr>
        <w:tab/>
        <w:t xml:space="preserve">that </w:t>
      </w:r>
      <w:r w:rsidRPr="00565D01">
        <w:rPr>
          <w:sz w:val="24"/>
          <w:szCs w:val="24"/>
        </w:rPr>
        <w:t xml:space="preserve">the applicability of the form in </w:t>
      </w:r>
      <w:r w:rsidRPr="00565D01">
        <w:rPr>
          <w:sz w:val="24"/>
          <w:szCs w:val="24"/>
        </w:rPr>
        <w:t xml:space="preserve">Appendix </w:t>
      </w:r>
      <w:r w:rsidRPr="00565D01">
        <w:rPr>
          <w:b/>
          <w:sz w:val="24"/>
          <w:szCs w:val="24"/>
        </w:rPr>
        <w:t>10</w:t>
      </w:r>
      <w:r w:rsidRPr="00565D01">
        <w:rPr>
          <w:sz w:val="24"/>
          <w:szCs w:val="24"/>
        </w:rPr>
        <w:t xml:space="preserve"> </w:t>
      </w:r>
      <w:r w:rsidRPr="00565D01">
        <w:rPr>
          <w:sz w:val="24"/>
          <w:szCs w:val="24"/>
        </w:rPr>
        <w:t>to harmful interference detected by EESS (passive) sensors is very limited,</w:t>
      </w:r>
    </w:p>
    <w:p w:rsidR="00565D01" w:rsidRPr="00565D01" w:rsidP="00565D01">
      <w:pPr>
        <w:spacing w:after="120"/>
        <w:rPr>
          <w:i/>
          <w:sz w:val="24"/>
          <w:szCs w:val="24"/>
        </w:rPr>
      </w:pPr>
      <w:r w:rsidRPr="00565D01">
        <w:rPr>
          <w:i/>
          <w:sz w:val="24"/>
          <w:szCs w:val="24"/>
        </w:rPr>
        <w:tab/>
        <w:t>further recognizing</w:t>
      </w:r>
    </w:p>
    <w:p w:rsidR="00565D01" w:rsidRPr="00565D01" w:rsidP="00565D01">
      <w:pPr>
        <w:spacing w:after="120"/>
        <w:rPr>
          <w:sz w:val="24"/>
          <w:szCs w:val="24"/>
        </w:rPr>
      </w:pPr>
      <w:r w:rsidRPr="00565D01">
        <w:rPr>
          <w:sz w:val="24"/>
          <w:szCs w:val="24"/>
        </w:rPr>
        <w:t xml:space="preserve">that </w:t>
      </w:r>
      <w:r w:rsidRPr="00565D01">
        <w:rPr>
          <w:sz w:val="24"/>
          <w:szCs w:val="24"/>
        </w:rPr>
        <w:t>Recommendation ITU-R RS.2106-0 “Detection and resolution of radio frequency interference to Earth exploration-satellite service (passive) sensors” provides a reporting form for recording and reporting the radio frequency interference to Earth exploration-satellite service (passive) sensors,</w:t>
      </w:r>
    </w:p>
    <w:p w:rsidR="00565D01" w:rsidRPr="00565D01" w:rsidP="00565D01">
      <w:pPr>
        <w:spacing w:after="120"/>
        <w:rPr>
          <w:i/>
          <w:sz w:val="24"/>
          <w:szCs w:val="24"/>
        </w:rPr>
      </w:pPr>
      <w:r w:rsidRPr="00565D01">
        <w:rPr>
          <w:sz w:val="24"/>
          <w:szCs w:val="24"/>
        </w:rPr>
        <w:tab/>
      </w:r>
      <w:r w:rsidRPr="00565D01">
        <w:rPr>
          <w:i/>
          <w:sz w:val="24"/>
          <w:szCs w:val="24"/>
        </w:rPr>
        <w:t>noting</w:t>
      </w:r>
    </w:p>
    <w:p w:rsidR="00565D01" w:rsidRPr="00565D01" w:rsidP="00565D01">
      <w:pPr>
        <w:spacing w:after="120"/>
        <w:rPr>
          <w:sz w:val="24"/>
          <w:szCs w:val="24"/>
        </w:rPr>
      </w:pPr>
      <w:r w:rsidRPr="00565D01">
        <w:rPr>
          <w:i/>
          <w:sz w:val="24"/>
          <w:szCs w:val="24"/>
        </w:rPr>
        <w:t>a)</w:t>
      </w:r>
      <w:r w:rsidRPr="00565D01">
        <w:rPr>
          <w:sz w:val="24"/>
          <w:szCs w:val="24"/>
        </w:rPr>
        <w:tab/>
        <w:t>that under RR No. </w:t>
      </w:r>
      <w:r w:rsidRPr="00565D01">
        <w:rPr>
          <w:b/>
          <w:sz w:val="24"/>
          <w:szCs w:val="24"/>
        </w:rPr>
        <w:t>4.7</w:t>
      </w:r>
      <w:r w:rsidRPr="00565D01">
        <w:rPr>
          <w:sz w:val="24"/>
          <w:szCs w:val="24"/>
        </w:rPr>
        <w:t xml:space="preserve"> for the purpose of resolving cases of harmful interference, the earth exploration-satellite (passive) service shall be afforded protection from different services in other bands only to the extent that these different services are protected from each other;</w:t>
      </w:r>
    </w:p>
    <w:p w:rsidR="00565D01" w:rsidRPr="00565D01" w:rsidP="00565D01">
      <w:pPr>
        <w:spacing w:after="120"/>
        <w:rPr>
          <w:sz w:val="24"/>
          <w:szCs w:val="24"/>
        </w:rPr>
      </w:pPr>
      <w:r w:rsidRPr="00565D01">
        <w:rPr>
          <w:i/>
          <w:sz w:val="24"/>
          <w:szCs w:val="24"/>
        </w:rPr>
        <w:t>b)</w:t>
      </w:r>
      <w:r w:rsidRPr="00565D01">
        <w:rPr>
          <w:sz w:val="24"/>
          <w:szCs w:val="24"/>
        </w:rPr>
        <w:tab/>
        <w:t>that RR Nos. </w:t>
      </w:r>
      <w:r w:rsidRPr="00565D01">
        <w:rPr>
          <w:b/>
          <w:sz w:val="24"/>
          <w:szCs w:val="24"/>
        </w:rPr>
        <w:t>5.28</w:t>
      </w:r>
      <w:r w:rsidRPr="00565D01">
        <w:rPr>
          <w:sz w:val="24"/>
          <w:szCs w:val="24"/>
        </w:rPr>
        <w:t xml:space="preserve"> to </w:t>
      </w:r>
      <w:r w:rsidRPr="00565D01">
        <w:rPr>
          <w:b/>
          <w:sz w:val="24"/>
          <w:szCs w:val="24"/>
        </w:rPr>
        <w:t>5.31</w:t>
      </w:r>
      <w:r w:rsidRPr="00565D01">
        <w:rPr>
          <w:sz w:val="24"/>
          <w:szCs w:val="24"/>
        </w:rPr>
        <w:t xml:space="preserve"> define the conditions imposed on secondary services with regard to causing or claiming protection from harmful interference from other services,</w:t>
      </w:r>
    </w:p>
    <w:p w:rsidR="00565D01" w:rsidRPr="00565D01" w:rsidP="00565D01">
      <w:pPr>
        <w:spacing w:after="120"/>
        <w:rPr>
          <w:i/>
          <w:sz w:val="24"/>
          <w:szCs w:val="24"/>
        </w:rPr>
      </w:pPr>
      <w:r w:rsidRPr="00565D01">
        <w:rPr>
          <w:sz w:val="24"/>
          <w:szCs w:val="24"/>
        </w:rPr>
        <w:tab/>
      </w:r>
      <w:r w:rsidRPr="00565D01">
        <w:rPr>
          <w:i/>
          <w:sz w:val="24"/>
          <w:szCs w:val="24"/>
        </w:rPr>
        <w:t>resolves to invite the ITU-R</w:t>
      </w:r>
    </w:p>
    <w:p w:rsidR="00565D01" w:rsidRPr="00565D01" w:rsidP="00565D01">
      <w:pPr>
        <w:spacing w:after="120"/>
        <w:rPr>
          <w:sz w:val="24"/>
          <w:szCs w:val="24"/>
        </w:rPr>
      </w:pPr>
      <w:r w:rsidRPr="00565D01">
        <w:rPr>
          <w:sz w:val="24"/>
          <w:szCs w:val="24"/>
        </w:rPr>
        <w:t xml:space="preserve">to conduct and complete, in time for WRC-23, ITU-R technical and regulatory studies appropriate to developing a form suitable for reporting cases of harmful interference to passive sensors that can be used in the procedure for the resolution of cases of harmful interference in Section VI of Article </w:t>
      </w:r>
      <w:r w:rsidRPr="00565D01">
        <w:rPr>
          <w:b/>
          <w:sz w:val="24"/>
          <w:szCs w:val="24"/>
        </w:rPr>
        <w:t>15</w:t>
      </w:r>
      <w:r w:rsidRPr="00565D01">
        <w:rPr>
          <w:sz w:val="24"/>
          <w:szCs w:val="24"/>
        </w:rPr>
        <w:t xml:space="preserve"> of the Radio Regulations, without modification to Article </w:t>
      </w:r>
      <w:r w:rsidRPr="00565D01">
        <w:rPr>
          <w:b/>
          <w:sz w:val="24"/>
          <w:szCs w:val="24"/>
        </w:rPr>
        <w:t>15</w:t>
      </w:r>
      <w:r w:rsidRPr="00565D01">
        <w:rPr>
          <w:sz w:val="24"/>
          <w:szCs w:val="24"/>
        </w:rPr>
        <w:t>,</w:t>
      </w:r>
    </w:p>
    <w:p w:rsidR="00565D01" w:rsidRPr="00565D01" w:rsidP="00565D01">
      <w:pPr>
        <w:spacing w:after="120"/>
        <w:rPr>
          <w:i/>
          <w:sz w:val="24"/>
          <w:szCs w:val="24"/>
        </w:rPr>
      </w:pPr>
      <w:r w:rsidRPr="00565D01">
        <w:rPr>
          <w:sz w:val="24"/>
          <w:szCs w:val="24"/>
        </w:rPr>
        <w:tab/>
      </w:r>
      <w:r w:rsidRPr="00565D01">
        <w:rPr>
          <w:i/>
          <w:sz w:val="24"/>
          <w:szCs w:val="24"/>
        </w:rPr>
        <w:t>invite</w:t>
      </w:r>
      <w:r w:rsidRPr="00565D01">
        <w:rPr>
          <w:i/>
          <w:sz w:val="24"/>
          <w:szCs w:val="24"/>
        </w:rPr>
        <w:t>s</w:t>
      </w:r>
      <w:r w:rsidRPr="00565D01">
        <w:rPr>
          <w:i/>
          <w:sz w:val="24"/>
          <w:szCs w:val="24"/>
        </w:rPr>
        <w:t xml:space="preserve"> the 2023 World Radiocommunication Conference</w:t>
      </w:r>
    </w:p>
    <w:p w:rsidR="00565D01" w:rsidRPr="00565D01" w:rsidP="00565D01">
      <w:pPr>
        <w:spacing w:after="120"/>
        <w:rPr>
          <w:sz w:val="24"/>
          <w:szCs w:val="24"/>
        </w:rPr>
      </w:pPr>
      <w:r w:rsidRPr="00565D01">
        <w:rPr>
          <w:sz w:val="24"/>
          <w:szCs w:val="24"/>
        </w:rPr>
        <w:t>to take into account the results of ITU-R studies</w:t>
      </w:r>
      <w:r w:rsidRPr="00565D01">
        <w:rPr>
          <w:sz w:val="24"/>
          <w:szCs w:val="24"/>
        </w:rPr>
        <w:t xml:space="preserve"> in </w:t>
      </w:r>
      <w:r w:rsidRPr="00565D01">
        <w:rPr>
          <w:i/>
          <w:sz w:val="24"/>
          <w:szCs w:val="24"/>
        </w:rPr>
        <w:t>resolves to invite the ITU-R</w:t>
      </w:r>
      <w:r w:rsidRPr="00565D01">
        <w:rPr>
          <w:sz w:val="24"/>
          <w:szCs w:val="24"/>
        </w:rPr>
        <w:t xml:space="preserve">, and consider the possibility of </w:t>
      </w:r>
      <w:r w:rsidRPr="00565D01">
        <w:rPr>
          <w:sz w:val="24"/>
          <w:szCs w:val="24"/>
        </w:rPr>
        <w:t xml:space="preserve">including </w:t>
      </w:r>
      <w:r w:rsidRPr="00565D01">
        <w:rPr>
          <w:sz w:val="24"/>
          <w:szCs w:val="24"/>
        </w:rPr>
        <w:t xml:space="preserve">within Appendix </w:t>
      </w:r>
      <w:r w:rsidRPr="00565D01">
        <w:rPr>
          <w:b/>
          <w:sz w:val="24"/>
          <w:szCs w:val="24"/>
        </w:rPr>
        <w:t>10</w:t>
      </w:r>
      <w:r w:rsidRPr="00565D01">
        <w:rPr>
          <w:sz w:val="24"/>
          <w:szCs w:val="24"/>
        </w:rPr>
        <w:t xml:space="preserve"> </w:t>
      </w:r>
      <w:r w:rsidRPr="00565D01">
        <w:rPr>
          <w:sz w:val="24"/>
          <w:szCs w:val="24"/>
        </w:rPr>
        <w:t xml:space="preserve">a form or forms </w:t>
      </w:r>
      <w:r w:rsidRPr="00565D01">
        <w:rPr>
          <w:sz w:val="24"/>
          <w:szCs w:val="24"/>
        </w:rPr>
        <w:t>suitable for reporting cases of harmful interference to passive sensors</w:t>
      </w:r>
    </w:p>
    <w:p w:rsidR="00565D01" w:rsidRPr="00565D01" w:rsidP="00565D01">
      <w:pPr>
        <w:spacing w:after="120"/>
        <w:rPr>
          <w:i/>
          <w:sz w:val="24"/>
          <w:szCs w:val="24"/>
        </w:rPr>
      </w:pPr>
      <w:r w:rsidRPr="00565D01">
        <w:rPr>
          <w:sz w:val="24"/>
          <w:szCs w:val="24"/>
        </w:rPr>
        <w:tab/>
      </w:r>
      <w:r w:rsidRPr="00565D01">
        <w:rPr>
          <w:i/>
          <w:sz w:val="24"/>
          <w:szCs w:val="24"/>
        </w:rPr>
        <w:t>invites administrations</w:t>
      </w:r>
    </w:p>
    <w:p w:rsidR="00565D01" w:rsidRPr="00565D01" w:rsidP="00565D01">
      <w:pPr>
        <w:spacing w:after="120"/>
        <w:rPr>
          <w:sz w:val="24"/>
          <w:szCs w:val="24"/>
        </w:rPr>
      </w:pPr>
      <w:r w:rsidRPr="00565D01">
        <w:rPr>
          <w:sz w:val="24"/>
          <w:szCs w:val="24"/>
        </w:rPr>
        <w:t>to participate actively in the studies by submitting contributions to ITU-R,</w:t>
      </w:r>
    </w:p>
    <w:p w:rsidR="00565D01" w:rsidRPr="00565D01" w:rsidP="00565D01">
      <w:pPr>
        <w:spacing w:after="120"/>
        <w:rPr>
          <w:i/>
          <w:sz w:val="24"/>
          <w:szCs w:val="24"/>
        </w:rPr>
      </w:pPr>
      <w:r w:rsidRPr="00565D01">
        <w:rPr>
          <w:i/>
          <w:sz w:val="24"/>
          <w:szCs w:val="24"/>
        </w:rPr>
        <w:tab/>
        <w:t>instructs the Secretary-General</w:t>
      </w:r>
    </w:p>
    <w:p w:rsidR="00565D01" w:rsidRPr="00565D01" w:rsidP="00565D01">
      <w:pPr>
        <w:rPr>
          <w:sz w:val="24"/>
          <w:szCs w:val="24"/>
        </w:rPr>
      </w:pPr>
      <w:r w:rsidRPr="00565D01">
        <w:rPr>
          <w:sz w:val="24"/>
          <w:szCs w:val="24"/>
        </w:rPr>
        <w:t>to bring this Resolution to the attention of the World Meteorological Organization (WMO) and other international and regional organizations concerned.</w:t>
      </w:r>
    </w:p>
    <w:p w:rsidR="00565D01" w:rsidRPr="00565D01" w:rsidP="00565D01">
      <w:pPr>
        <w:tabs>
          <w:tab w:val="left" w:pos="1134"/>
          <w:tab w:val="left" w:pos="1588"/>
          <w:tab w:val="left" w:pos="1985"/>
        </w:tabs>
        <w:overflowPunct w:val="0"/>
        <w:autoSpaceDE w:val="0"/>
        <w:autoSpaceDN w:val="0"/>
        <w:adjustRightInd w:val="0"/>
        <w:spacing w:before="120"/>
        <w:textAlignment w:val="baseline"/>
        <w:rPr>
          <w:sz w:val="24"/>
          <w:lang w:val="en-GB"/>
        </w:rPr>
      </w:pPr>
      <w:r w:rsidRPr="00565D01">
        <w:rPr>
          <w:b/>
          <w:sz w:val="24"/>
          <w:lang w:val="en-GB"/>
        </w:rPr>
        <w:t>Reasons:</w:t>
      </w:r>
      <w:r w:rsidRPr="00565D01">
        <w:rPr>
          <w:sz w:val="24"/>
          <w:lang w:val="en-GB"/>
        </w:rPr>
        <w:tab/>
        <w:t>A resolution will support the ITU-R studies needed under the relevant WRC-23 agenda item.</w:t>
      </w:r>
    </w:p>
    <w:p w:rsidR="00565D01" w:rsidRPr="00565D01" w:rsidP="00565D01">
      <w:pPr>
        <w:keepNext/>
        <w:tabs>
          <w:tab w:val="left" w:pos="1134"/>
          <w:tab w:val="left" w:pos="1871"/>
          <w:tab w:val="left" w:pos="2268"/>
        </w:tabs>
        <w:overflowPunct w:val="0"/>
        <w:autoSpaceDE w:val="0"/>
        <w:autoSpaceDN w:val="0"/>
        <w:adjustRightInd w:val="0"/>
        <w:spacing w:before="240"/>
        <w:textAlignment w:val="baseline"/>
        <w:rPr>
          <w:sz w:val="24"/>
        </w:rPr>
      </w:pPr>
      <w:r w:rsidRPr="00565D01">
        <w:rPr>
          <w:sz w:val="24"/>
        </w:rPr>
        <w:t>SUP</w:t>
      </w:r>
      <w:r w:rsidRPr="00565D01">
        <w:rPr>
          <w:sz w:val="24"/>
        </w:rPr>
        <w:tab/>
        <w:t>TBD/XXX/3</w:t>
      </w:r>
    </w:p>
    <w:p w:rsidR="00565D01" w:rsidRPr="00565D01" w:rsidP="00565D01">
      <w:pPr>
        <w:keepNext/>
        <w:keepLines/>
        <w:tabs>
          <w:tab w:val="left" w:pos="1134"/>
          <w:tab w:val="left" w:pos="1871"/>
          <w:tab w:val="left" w:pos="2268"/>
        </w:tabs>
        <w:overflowPunct w:val="0"/>
        <w:autoSpaceDE w:val="0"/>
        <w:autoSpaceDN w:val="0"/>
        <w:adjustRightInd w:val="0"/>
        <w:spacing w:before="720"/>
        <w:jc w:val="center"/>
        <w:textAlignment w:val="baseline"/>
        <w:rPr>
          <w:caps/>
          <w:sz w:val="28"/>
        </w:rPr>
      </w:pPr>
      <w:r w:rsidRPr="00565D01">
        <w:rPr>
          <w:caps/>
          <w:sz w:val="28"/>
        </w:rPr>
        <w:t>RESOLUTION 810 (WRC</w:t>
      </w:r>
      <w:r w:rsidRPr="00565D01">
        <w:rPr>
          <w:caps/>
          <w:sz w:val="28"/>
        </w:rPr>
        <w:noBreakHyphen/>
        <w:t>15)</w:t>
      </w:r>
    </w:p>
    <w:p w:rsidR="00565D01" w:rsidRPr="00565D01" w:rsidP="00565D01">
      <w:pPr>
        <w:keepNext/>
        <w:keepLines/>
        <w:tabs>
          <w:tab w:val="left" w:pos="1134"/>
          <w:tab w:val="left" w:pos="1871"/>
          <w:tab w:val="left" w:pos="2268"/>
        </w:tabs>
        <w:overflowPunct w:val="0"/>
        <w:autoSpaceDE w:val="0"/>
        <w:autoSpaceDN w:val="0"/>
        <w:adjustRightInd w:val="0"/>
        <w:spacing w:before="240"/>
        <w:jc w:val="center"/>
        <w:textAlignment w:val="baseline"/>
        <w:rPr>
          <w:rFonts w:ascii="Times New Roman Bold" w:hAnsi="Times New Roman Bold"/>
          <w:b/>
          <w:sz w:val="28"/>
        </w:rPr>
      </w:pPr>
      <w:r w:rsidRPr="00565D01">
        <w:rPr>
          <w:rFonts w:ascii="Times New Roman Bold" w:hAnsi="Times New Roman Bold"/>
          <w:b/>
          <w:sz w:val="28"/>
        </w:rPr>
        <w:t>Preliminary agenda for the 2023 World Radiocommunication Conference</w:t>
      </w:r>
    </w:p>
    <w:p w:rsidR="00565D01" w:rsidRPr="00565D01" w:rsidP="00565D01">
      <w:pPr>
        <w:tabs>
          <w:tab w:val="left" w:pos="1134"/>
          <w:tab w:val="left" w:pos="1588"/>
          <w:tab w:val="left" w:pos="1985"/>
        </w:tabs>
        <w:overflowPunct w:val="0"/>
        <w:autoSpaceDE w:val="0"/>
        <w:autoSpaceDN w:val="0"/>
        <w:adjustRightInd w:val="0"/>
        <w:spacing w:before="120"/>
        <w:textAlignment w:val="baseline"/>
        <w:rPr>
          <w:sz w:val="24"/>
        </w:rPr>
      </w:pPr>
      <w:r w:rsidRPr="00565D01">
        <w:rPr>
          <w:b/>
          <w:bCs/>
          <w:sz w:val="24"/>
        </w:rPr>
        <w:t>Reasons:</w:t>
      </w:r>
      <w:r w:rsidRPr="00565D01">
        <w:rPr>
          <w:sz w:val="24"/>
        </w:rPr>
        <w:tab/>
        <w:t>This Resolution must be suppressed, as WRC-19 will create a new Resolution that will include the agenda for WRC-23.</w:t>
      </w:r>
    </w:p>
    <w:p w:rsidR="00565D01" w:rsidRPr="00565D01" w:rsidP="00565D01">
      <w:pPr>
        <w:tabs>
          <w:tab w:val="left" w:pos="1134"/>
          <w:tab w:val="left" w:pos="1588"/>
          <w:tab w:val="left" w:pos="1985"/>
        </w:tabs>
        <w:overflowPunct w:val="0"/>
        <w:autoSpaceDE w:val="0"/>
        <w:autoSpaceDN w:val="0"/>
        <w:adjustRightInd w:val="0"/>
        <w:spacing w:before="120"/>
        <w:textAlignment w:val="baseline"/>
        <w:rPr>
          <w:sz w:val="24"/>
          <w:lang w:val="en-GB"/>
        </w:rPr>
      </w:pPr>
    </w:p>
    <w:p w:rsidR="00565D01" w:rsidRPr="00565D01" w:rsidP="00565D01">
      <w:pPr>
        <w:rPr>
          <w:sz w:val="24"/>
          <w:szCs w:val="24"/>
        </w:rPr>
        <w:sectPr w:rsidSect="006C7CB2">
          <w:headerReference w:type="default" r:id="rId17"/>
          <w:footerReference w:type="even" r:id="rId18"/>
          <w:footerReference w:type="default" r:id="rId19"/>
          <w:headerReference w:type="first" r:id="rId20"/>
          <w:pgSz w:w="11907" w:h="16834" w:code="9"/>
          <w:pgMar w:top="1411" w:right="1138" w:bottom="1411" w:left="1138" w:header="562" w:footer="562" w:gutter="0"/>
          <w:pgNumType w:start="1"/>
          <w:cols w:space="720"/>
          <w:docGrid w:linePitch="326"/>
        </w:sectPr>
      </w:pPr>
      <w:r w:rsidRPr="00565D01">
        <w:rPr>
          <w:sz w:val="24"/>
          <w:szCs w:val="24"/>
        </w:rPr>
        <w:t xml:space="preserve"> </w:t>
      </w:r>
    </w:p>
    <w:p w:rsidR="00565D01" w:rsidRPr="00565D01" w:rsidP="00565D01">
      <w:pPr>
        <w:keepNext/>
        <w:keepLines/>
        <w:tabs>
          <w:tab w:val="left" w:pos="1134"/>
          <w:tab w:val="left" w:pos="1871"/>
          <w:tab w:val="left" w:pos="2268"/>
        </w:tabs>
        <w:overflowPunct w:val="0"/>
        <w:autoSpaceDE w:val="0"/>
        <w:autoSpaceDN w:val="0"/>
        <w:adjustRightInd w:val="0"/>
        <w:spacing w:before="720"/>
        <w:jc w:val="center"/>
        <w:textAlignment w:val="baseline"/>
        <w:rPr>
          <w:sz w:val="28"/>
        </w:rPr>
      </w:pPr>
      <w:r w:rsidRPr="00565D01">
        <w:rPr>
          <w:sz w:val="28"/>
        </w:rPr>
        <w:t>ATTACHMENT</w:t>
      </w:r>
    </w:p>
    <w:p w:rsidR="00565D01" w:rsidRPr="00565D01" w:rsidP="00565D01">
      <w:pPr>
        <w:tabs>
          <w:tab w:val="left" w:pos="699"/>
          <w:tab w:val="left" w:pos="1080"/>
          <w:tab w:val="left" w:pos="7257"/>
          <w:tab w:val="left" w:pos="7920"/>
          <w:tab w:val="left" w:pos="8508"/>
          <w:tab w:val="left" w:pos="9216"/>
        </w:tabs>
        <w:spacing w:before="360"/>
        <w:jc w:val="center"/>
        <w:rPr>
          <w:b/>
          <w:sz w:val="24"/>
          <w:szCs w:val="24"/>
        </w:rPr>
      </w:pPr>
      <w:r w:rsidRPr="00565D01">
        <w:rPr>
          <w:b/>
          <w:sz w:val="24"/>
          <w:szCs w:val="24"/>
        </w:rPr>
        <w:t xml:space="preserve">PROPOSAL FOR ADDITIONAL AGENDA ITEM TO CONSIDER IMPLEMENTING A MECHANISM IN RR APPENDIX </w:t>
      </w:r>
      <w:r w:rsidRPr="00565D01">
        <w:rPr>
          <w:b/>
          <w:bCs/>
          <w:sz w:val="24"/>
          <w:szCs w:val="24"/>
        </w:rPr>
        <w:t>10</w:t>
      </w:r>
      <w:r w:rsidRPr="00565D01">
        <w:rPr>
          <w:b/>
          <w:sz w:val="24"/>
          <w:szCs w:val="24"/>
        </w:rPr>
        <w:t xml:space="preserve"> TO IMPROVE THE REPORTING AND RESOLUTION OF INTERFERENCE TO EARTH EXPLORATION-SATELLITE SERVICE PASSIVE SENSORS</w:t>
      </w:r>
    </w:p>
    <w:p w:rsidR="00565D01" w:rsidRPr="00565D01" w:rsidP="00565D01">
      <w:pPr>
        <w:tabs>
          <w:tab w:val="left" w:pos="1134"/>
          <w:tab w:val="left" w:pos="1871"/>
          <w:tab w:val="left" w:pos="2268"/>
        </w:tabs>
        <w:overflowPunct w:val="0"/>
        <w:autoSpaceDE w:val="0"/>
        <w:autoSpaceDN w:val="0"/>
        <w:adjustRightInd w:val="0"/>
        <w:spacing w:before="360"/>
        <w:jc w:val="both"/>
        <w:textAlignment w:val="baseline"/>
        <w:rPr>
          <w:sz w:val="24"/>
        </w:rPr>
      </w:pPr>
      <w:r w:rsidRPr="00565D01">
        <w:rPr>
          <w:b/>
          <w:bCs/>
          <w:i/>
          <w:iCs/>
          <w:sz w:val="24"/>
        </w:rPr>
        <w:t>Subject:</w:t>
      </w:r>
      <w:r w:rsidRPr="00565D01">
        <w:rPr>
          <w:sz w:val="24"/>
        </w:rPr>
        <w:t xml:space="preserve"> Proposed future WRC agenda item for WRC-23 to consider the processes for reporting and resolving harmful interference to passive sensors</w:t>
      </w:r>
    </w:p>
    <w:p w:rsidR="00565D01" w:rsidRPr="00565D01" w:rsidP="00565D01">
      <w:pPr>
        <w:pBdr>
          <w:bottom w:val="single" w:sz="12" w:space="1" w:color="auto"/>
        </w:pBdr>
        <w:tabs>
          <w:tab w:val="left" w:pos="794"/>
          <w:tab w:val="left" w:pos="1191"/>
          <w:tab w:val="left" w:pos="1588"/>
          <w:tab w:val="left" w:pos="1985"/>
        </w:tabs>
        <w:rPr>
          <w:sz w:val="24"/>
          <w:szCs w:val="24"/>
        </w:rPr>
      </w:pPr>
    </w:p>
    <w:p w:rsidR="00565D01" w:rsidRPr="00565D01" w:rsidP="00565D01">
      <w:pPr>
        <w:rPr>
          <w:b/>
          <w:spacing w:val="-1"/>
          <w:sz w:val="24"/>
          <w:szCs w:val="24"/>
        </w:rPr>
      </w:pPr>
    </w:p>
    <w:p w:rsidR="00565D01" w:rsidRPr="00565D01" w:rsidP="00565D01">
      <w:pPr>
        <w:rPr>
          <w:sz w:val="24"/>
          <w:szCs w:val="24"/>
        </w:rPr>
      </w:pPr>
      <w:r w:rsidRPr="00565D01">
        <w:rPr>
          <w:b/>
          <w:i/>
          <w:iCs/>
          <w:spacing w:val="-1"/>
          <w:sz w:val="24"/>
          <w:szCs w:val="24"/>
        </w:rPr>
        <w:t>Origin:</w:t>
      </w:r>
      <w:r w:rsidRPr="00565D01">
        <w:rPr>
          <w:b/>
          <w:i/>
          <w:iCs/>
          <w:sz w:val="24"/>
          <w:szCs w:val="24"/>
        </w:rPr>
        <w:t xml:space="preserve"> </w:t>
      </w:r>
      <w:r w:rsidRPr="00565D01">
        <w:rPr>
          <w:sz w:val="24"/>
          <w:szCs w:val="24"/>
        </w:rPr>
        <w:t>[TBD]</w:t>
      </w:r>
    </w:p>
    <w:p w:rsidR="00565D01" w:rsidRPr="00565D01" w:rsidP="00565D01">
      <w:pPr>
        <w:pBdr>
          <w:bottom w:val="single" w:sz="12" w:space="1" w:color="auto"/>
        </w:pBdr>
        <w:tabs>
          <w:tab w:val="left" w:pos="794"/>
          <w:tab w:val="left" w:pos="1191"/>
          <w:tab w:val="left" w:pos="1588"/>
          <w:tab w:val="left" w:pos="1985"/>
        </w:tabs>
        <w:rPr>
          <w:color w:val="000000"/>
          <w:sz w:val="24"/>
          <w:szCs w:val="24"/>
        </w:rPr>
      </w:pPr>
    </w:p>
    <w:p w:rsidR="00565D01" w:rsidRPr="00565D01" w:rsidP="00565D01">
      <w:pPr>
        <w:rPr>
          <w:sz w:val="24"/>
          <w:szCs w:val="24"/>
        </w:rPr>
      </w:pPr>
      <w:r w:rsidRPr="00565D01">
        <w:rPr>
          <w:b/>
          <w:bCs/>
          <w:i/>
          <w:iCs/>
          <w:color w:val="000000"/>
          <w:sz w:val="24"/>
          <w:szCs w:val="24"/>
        </w:rPr>
        <w:t>Proposal</w:t>
      </w:r>
      <w:r w:rsidRPr="00565D01">
        <w:rPr>
          <w:b/>
          <w:bCs/>
          <w:i/>
          <w:iCs/>
          <w:sz w:val="24"/>
          <w:szCs w:val="24"/>
        </w:rPr>
        <w:t>:</w:t>
      </w:r>
      <w:r w:rsidRPr="00565D01">
        <w:rPr>
          <w:i/>
          <w:iCs/>
          <w:color w:val="000000"/>
          <w:sz w:val="24"/>
          <w:szCs w:val="24"/>
        </w:rPr>
        <w:t xml:space="preserve"> </w:t>
      </w:r>
      <w:r w:rsidRPr="00565D01">
        <w:rPr>
          <w:sz w:val="24"/>
          <w:szCs w:val="24"/>
        </w:rPr>
        <w:t xml:space="preserve">To consider implementing a mechanism in RR Appendix </w:t>
      </w:r>
      <w:r w:rsidRPr="00565D01">
        <w:rPr>
          <w:b/>
          <w:bCs/>
          <w:sz w:val="24"/>
          <w:szCs w:val="24"/>
        </w:rPr>
        <w:t>10</w:t>
      </w:r>
      <w:r w:rsidRPr="00565D01">
        <w:rPr>
          <w:sz w:val="24"/>
          <w:szCs w:val="24"/>
        </w:rPr>
        <w:t xml:space="preserve"> to improve the reporting and resolution of interference to Earth exploration-satellite service passive sensors  in accordance with Resolution </w:t>
      </w:r>
      <w:r w:rsidRPr="00565D01">
        <w:rPr>
          <w:b/>
          <w:sz w:val="24"/>
          <w:szCs w:val="24"/>
        </w:rPr>
        <w:t>YYY (WRC-19)</w:t>
      </w:r>
      <w:r w:rsidRPr="00565D01">
        <w:rPr>
          <w:sz w:val="24"/>
          <w:szCs w:val="24"/>
        </w:rPr>
        <w:t>.</w:t>
      </w:r>
    </w:p>
    <w:p w:rsidR="00565D01" w:rsidRPr="00565D01" w:rsidP="00565D01">
      <w:pPr>
        <w:rPr>
          <w:sz w:val="24"/>
          <w:szCs w:val="24"/>
        </w:rPr>
      </w:pPr>
      <w:r w:rsidRPr="00565D01">
        <w:rPr>
          <w:b/>
          <w:i/>
          <w:color w:val="000000"/>
          <w:sz w:val="24"/>
          <w:szCs w:val="24"/>
        </w:rPr>
        <w:t>Background/reason</w:t>
      </w:r>
      <w:r w:rsidRPr="00565D01">
        <w:rPr>
          <w:b/>
          <w:bCs/>
          <w:i/>
          <w:iCs/>
          <w:color w:val="000000"/>
          <w:sz w:val="24"/>
          <w:szCs w:val="24"/>
        </w:rPr>
        <w:t>:</w:t>
      </w:r>
    </w:p>
    <w:p w:rsidR="00565D01" w:rsidRPr="00565D01" w:rsidP="00565D01">
      <w:pPr>
        <w:rPr>
          <w:sz w:val="24"/>
          <w:szCs w:val="24"/>
        </w:rPr>
      </w:pPr>
      <w:r w:rsidRPr="00565D01">
        <w:rPr>
          <w:sz w:val="24"/>
          <w:szCs w:val="24"/>
        </w:rPr>
        <w:t xml:space="preserve">Procedures are contained in Section VI of Article </w:t>
      </w:r>
      <w:r w:rsidRPr="00565D01">
        <w:rPr>
          <w:b/>
          <w:sz w:val="24"/>
          <w:szCs w:val="24"/>
        </w:rPr>
        <w:t>15</w:t>
      </w:r>
      <w:r w:rsidRPr="00565D01">
        <w:rPr>
          <w:sz w:val="24"/>
          <w:szCs w:val="24"/>
        </w:rPr>
        <w:t xml:space="preserve"> to address the actions to be taken when harmful interference occurs between networks authorized by different Administrations.  In particular, RR No. </w:t>
      </w:r>
      <w:r w:rsidRPr="00565D01">
        <w:rPr>
          <w:b/>
          <w:sz w:val="24"/>
          <w:szCs w:val="24"/>
        </w:rPr>
        <w:t>15.27</w:t>
      </w:r>
      <w:r w:rsidRPr="00565D01">
        <w:rPr>
          <w:sz w:val="24"/>
          <w:szCs w:val="24"/>
        </w:rPr>
        <w:t xml:space="preserve"> states full particulars relating to harmful interference shall, whenever possible, be given in the form indicated in Appendix </w:t>
      </w:r>
      <w:r w:rsidRPr="00565D01">
        <w:rPr>
          <w:b/>
          <w:sz w:val="24"/>
          <w:szCs w:val="24"/>
        </w:rPr>
        <w:t>10</w:t>
      </w:r>
      <w:r w:rsidRPr="00565D01">
        <w:rPr>
          <w:sz w:val="24"/>
          <w:szCs w:val="24"/>
        </w:rPr>
        <w:t xml:space="preserve">.  As Appendix </w:t>
      </w:r>
      <w:r w:rsidRPr="00565D01">
        <w:rPr>
          <w:b/>
          <w:sz w:val="24"/>
          <w:szCs w:val="24"/>
        </w:rPr>
        <w:t>10</w:t>
      </w:r>
      <w:r w:rsidRPr="00565D01">
        <w:rPr>
          <w:sz w:val="24"/>
          <w:szCs w:val="24"/>
        </w:rPr>
        <w:t xml:space="preserve"> was designed with terrestrial radiocommunication services in mind, its applicability related to harmful interference detected by EESS (passive) sensors is very limited.  Passive sensors have unique characteristics to detect the particulars of the interference using different parameters from those of stations used for radiocommunication.  The ITU-R has approved Recommendation ITU-R RS.2106 which provides data fields which should be used for the detection and resolution of radio frequency interference to Earth exploration-satellite service (passive) sensors.</w:t>
      </w:r>
    </w:p>
    <w:p w:rsidR="00565D01" w:rsidRPr="00565D01" w:rsidP="00565D01">
      <w:pPr>
        <w:pBdr>
          <w:bottom w:val="single" w:sz="12" w:space="1" w:color="auto"/>
        </w:pBdr>
        <w:rPr>
          <w:color w:val="000000"/>
          <w:sz w:val="24"/>
          <w:szCs w:val="24"/>
        </w:rPr>
      </w:pPr>
    </w:p>
    <w:p w:rsidR="00565D01" w:rsidRPr="00565D01" w:rsidP="00565D01">
      <w:pPr>
        <w:rPr>
          <w:bCs/>
          <w:color w:val="000000"/>
          <w:sz w:val="24"/>
          <w:szCs w:val="24"/>
        </w:rPr>
      </w:pPr>
      <w:r w:rsidRPr="00565D01">
        <w:rPr>
          <w:b/>
          <w:i/>
          <w:color w:val="000000"/>
          <w:sz w:val="24"/>
          <w:szCs w:val="24"/>
        </w:rPr>
        <w:t>Radiocommunication services concerned</w:t>
      </w:r>
      <w:r w:rsidRPr="00565D01">
        <w:rPr>
          <w:b/>
          <w:bCs/>
          <w:i/>
          <w:iCs/>
          <w:color w:val="000000"/>
          <w:sz w:val="24"/>
          <w:szCs w:val="24"/>
        </w:rPr>
        <w:t xml:space="preserve">: </w:t>
      </w:r>
      <w:r w:rsidRPr="00565D01">
        <w:rPr>
          <w:bCs/>
          <w:iCs/>
          <w:color w:val="000000"/>
          <w:sz w:val="24"/>
          <w:szCs w:val="24"/>
        </w:rPr>
        <w:t>Earth exploration-satellite service, fixed service, mobile service</w:t>
      </w:r>
    </w:p>
    <w:p w:rsidR="00565D01" w:rsidRPr="00565D01" w:rsidP="00565D01">
      <w:pPr>
        <w:pBdr>
          <w:bottom w:val="single" w:sz="12" w:space="1" w:color="auto"/>
        </w:pBdr>
        <w:rPr>
          <w:color w:val="000000"/>
          <w:sz w:val="24"/>
          <w:szCs w:val="24"/>
        </w:rPr>
      </w:pPr>
    </w:p>
    <w:p w:rsidR="00565D01" w:rsidRPr="00565D01" w:rsidP="00565D01">
      <w:pPr>
        <w:rPr>
          <w:b/>
          <w:bCs/>
          <w:i/>
          <w:color w:val="000000"/>
          <w:sz w:val="24"/>
          <w:szCs w:val="24"/>
        </w:rPr>
      </w:pPr>
      <w:r w:rsidRPr="00565D01">
        <w:rPr>
          <w:b/>
          <w:i/>
          <w:color w:val="000000"/>
          <w:sz w:val="24"/>
          <w:szCs w:val="24"/>
        </w:rPr>
        <w:t>Indication of possible difficulties</w:t>
      </w:r>
      <w:r w:rsidRPr="00565D01">
        <w:rPr>
          <w:b/>
          <w:bCs/>
          <w:i/>
          <w:iCs/>
          <w:color w:val="000000"/>
          <w:sz w:val="24"/>
          <w:szCs w:val="24"/>
        </w:rPr>
        <w:t>:</w:t>
      </w:r>
      <w:r w:rsidRPr="00565D01">
        <w:rPr>
          <w:bCs/>
          <w:iCs/>
          <w:color w:val="000000"/>
          <w:sz w:val="24"/>
          <w:szCs w:val="24"/>
        </w:rPr>
        <w:t xml:space="preserve"> None foreseen</w:t>
      </w:r>
    </w:p>
    <w:p w:rsidR="00565D01" w:rsidRPr="00565D01" w:rsidP="00565D01">
      <w:pPr>
        <w:pBdr>
          <w:bottom w:val="single" w:sz="12" w:space="1" w:color="auto"/>
        </w:pBdr>
        <w:rPr>
          <w:color w:val="000000"/>
          <w:sz w:val="24"/>
          <w:szCs w:val="24"/>
        </w:rPr>
      </w:pPr>
    </w:p>
    <w:p w:rsidR="00565D01" w:rsidRPr="00565D01" w:rsidP="00565D01">
      <w:pPr>
        <w:rPr>
          <w:b/>
          <w:bCs/>
          <w:i/>
          <w:color w:val="000000"/>
          <w:sz w:val="24"/>
          <w:szCs w:val="24"/>
        </w:rPr>
      </w:pPr>
      <w:r w:rsidRPr="00565D01">
        <w:rPr>
          <w:b/>
          <w:i/>
          <w:color w:val="000000"/>
          <w:sz w:val="24"/>
          <w:szCs w:val="24"/>
        </w:rPr>
        <w:t>Previous/ongoing studies on the issue</w:t>
      </w:r>
      <w:r w:rsidRPr="00565D01">
        <w:rPr>
          <w:b/>
          <w:bCs/>
          <w:i/>
          <w:iCs/>
          <w:color w:val="000000"/>
          <w:sz w:val="24"/>
          <w:szCs w:val="24"/>
        </w:rPr>
        <w:t>:</w:t>
      </w:r>
      <w:r w:rsidRPr="00565D01">
        <w:rPr>
          <w:bCs/>
          <w:iCs/>
          <w:color w:val="000000"/>
          <w:sz w:val="24"/>
          <w:szCs w:val="24"/>
        </w:rPr>
        <w:t xml:space="preserve"> ITU-R WP 7C has already developed Recommendation ITU-R RS.2106-0, Detection and resolution of radio frequency interference to Earth exploration-satellite service (passive) sensors</w:t>
      </w:r>
    </w:p>
    <w:p w:rsidR="00565D01" w:rsidRPr="00565D01" w:rsidP="00565D01">
      <w:pPr>
        <w:pBdr>
          <w:bottom w:val="single" w:sz="12" w:space="1" w:color="auto"/>
        </w:pBdr>
        <w:rPr>
          <w:color w:val="000000"/>
          <w:sz w:val="24"/>
          <w:szCs w:val="24"/>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A0"/>
      </w:tblPr>
      <w:tblGrid>
        <w:gridCol w:w="3979"/>
        <w:gridCol w:w="5357"/>
      </w:tblGrid>
      <w:tr w:rsidTr="00AA2A77">
        <w:tblPrEx>
          <w:tblW w:w="0" w:type="auto"/>
          <w:jc w:val="center"/>
          <w:tblBorders>
            <w:bottom w:val="single" w:sz="12" w:space="0" w:color="auto"/>
            <w:insideH w:val="single" w:sz="12" w:space="0" w:color="auto"/>
            <w:insideV w:val="single" w:sz="12" w:space="0" w:color="auto"/>
          </w:tblBorders>
          <w:tblCellMar>
            <w:left w:w="0" w:type="dxa"/>
            <w:right w:w="0" w:type="dxa"/>
          </w:tblCellMar>
          <w:tblLook w:val="00A0"/>
        </w:tblPrEx>
        <w:trPr>
          <w:jc w:val="center"/>
        </w:trPr>
        <w:tc>
          <w:tcPr>
            <w:tcW w:w="3979" w:type="dxa"/>
            <w:tcBorders>
              <w:top w:val="nil"/>
              <w:left w:val="nil"/>
            </w:tcBorders>
          </w:tcPr>
          <w:p w:rsidR="00565D01" w:rsidRPr="00565D01" w:rsidP="00565D01">
            <w:pPr>
              <w:framePr w:hSpace="181" w:wrap="notBeside" w:vAnchor="text" w:hAnchor="text" w:xAlign="center" w:y="1"/>
              <w:tabs>
                <w:tab w:val="left" w:pos="4366"/>
              </w:tabs>
              <w:rPr>
                <w:b/>
                <w:bCs/>
                <w:i/>
                <w:iCs/>
                <w:color w:val="000000"/>
                <w:sz w:val="24"/>
                <w:szCs w:val="24"/>
              </w:rPr>
            </w:pPr>
            <w:r w:rsidRPr="00565D01">
              <w:rPr>
                <w:b/>
                <w:i/>
                <w:color w:val="000000"/>
                <w:sz w:val="24"/>
                <w:szCs w:val="24"/>
              </w:rPr>
              <w:t>Studies to be carried out by</w:t>
            </w:r>
            <w:r w:rsidRPr="00565D01">
              <w:rPr>
                <w:b/>
                <w:bCs/>
                <w:i/>
                <w:iCs/>
                <w:color w:val="000000"/>
                <w:sz w:val="24"/>
                <w:szCs w:val="24"/>
              </w:rPr>
              <w:t xml:space="preserve">: </w:t>
            </w:r>
            <w:r w:rsidRPr="00565D01">
              <w:rPr>
                <w:bCs/>
                <w:iCs/>
                <w:color w:val="000000"/>
                <w:sz w:val="24"/>
                <w:szCs w:val="24"/>
              </w:rPr>
              <w:t>WP 7C</w:t>
            </w:r>
          </w:p>
        </w:tc>
        <w:tc>
          <w:tcPr>
            <w:tcW w:w="5357" w:type="dxa"/>
            <w:tcBorders>
              <w:top w:val="nil"/>
              <w:right w:val="nil"/>
            </w:tcBorders>
          </w:tcPr>
          <w:p w:rsidR="00565D01" w:rsidRPr="00565D01" w:rsidP="00565D01">
            <w:pPr>
              <w:framePr w:hSpace="181" w:wrap="notBeside" w:vAnchor="text" w:hAnchor="text" w:xAlign="center" w:y="1"/>
              <w:tabs>
                <w:tab w:val="left" w:pos="360"/>
                <w:tab w:val="left" w:pos="900"/>
                <w:tab w:val="left" w:pos="4366"/>
              </w:tabs>
              <w:ind w:left="113"/>
              <w:rPr>
                <w:b/>
                <w:iCs/>
                <w:color w:val="000000"/>
                <w:sz w:val="24"/>
                <w:szCs w:val="24"/>
              </w:rPr>
            </w:pPr>
            <w:r w:rsidRPr="00565D01">
              <w:rPr>
                <w:b/>
                <w:i/>
                <w:color w:val="000000"/>
                <w:sz w:val="24"/>
                <w:szCs w:val="24"/>
              </w:rPr>
              <w:t>with the participation of</w:t>
            </w:r>
            <w:r w:rsidRPr="00565D01">
              <w:rPr>
                <w:b/>
                <w:i/>
                <w:iCs/>
                <w:color w:val="000000"/>
                <w:sz w:val="24"/>
                <w:szCs w:val="24"/>
              </w:rPr>
              <w:t>:</w:t>
            </w:r>
          </w:p>
          <w:p w:rsidR="00565D01" w:rsidRPr="00565D01" w:rsidP="00565D01">
            <w:pPr>
              <w:framePr w:hSpace="181" w:wrap="notBeside" w:vAnchor="text" w:hAnchor="text" w:xAlign="center" w:y="1"/>
              <w:tabs>
                <w:tab w:val="left" w:pos="4366"/>
              </w:tabs>
              <w:rPr>
                <w:b/>
                <w:bCs/>
                <w:i/>
                <w:iCs/>
                <w:color w:val="000000"/>
                <w:sz w:val="24"/>
                <w:szCs w:val="24"/>
              </w:rPr>
            </w:pPr>
          </w:p>
        </w:tc>
      </w:tr>
    </w:tbl>
    <w:p w:rsidR="00565D01" w:rsidRPr="00565D01" w:rsidP="00565D01">
      <w:pPr>
        <w:rPr>
          <w:bCs/>
          <w:color w:val="000000"/>
          <w:sz w:val="24"/>
          <w:szCs w:val="24"/>
        </w:rPr>
      </w:pPr>
      <w:r w:rsidRPr="00565D01">
        <w:rPr>
          <w:b/>
          <w:i/>
          <w:color w:val="000000"/>
          <w:sz w:val="24"/>
          <w:szCs w:val="24"/>
        </w:rPr>
        <w:t>ITU-R Study Groups concerned</w:t>
      </w:r>
      <w:r w:rsidRPr="00565D01">
        <w:rPr>
          <w:b/>
          <w:bCs/>
          <w:i/>
          <w:iCs/>
          <w:color w:val="000000"/>
          <w:sz w:val="24"/>
          <w:szCs w:val="24"/>
        </w:rPr>
        <w:t>:</w:t>
      </w:r>
      <w:r w:rsidRPr="00565D01">
        <w:rPr>
          <w:bCs/>
          <w:iCs/>
          <w:color w:val="000000"/>
          <w:sz w:val="24"/>
          <w:szCs w:val="24"/>
        </w:rPr>
        <w:t xml:space="preserve"> SG 1, SG 5</w:t>
      </w:r>
    </w:p>
    <w:p w:rsidR="00565D01" w:rsidRPr="00565D01" w:rsidP="00565D01">
      <w:pPr>
        <w:pBdr>
          <w:bottom w:val="single" w:sz="12" w:space="1" w:color="auto"/>
        </w:pBdr>
        <w:rPr>
          <w:color w:val="000000"/>
          <w:sz w:val="24"/>
          <w:szCs w:val="24"/>
        </w:rPr>
      </w:pPr>
    </w:p>
    <w:p w:rsidR="00565D01" w:rsidRPr="00565D01" w:rsidP="00565D01">
      <w:pPr>
        <w:tabs>
          <w:tab w:val="left" w:pos="360"/>
          <w:tab w:val="left" w:pos="900"/>
        </w:tabs>
        <w:rPr>
          <w:b/>
          <w:i/>
          <w:iCs/>
          <w:color w:val="000000"/>
          <w:sz w:val="24"/>
          <w:szCs w:val="24"/>
        </w:rPr>
      </w:pPr>
      <w:r w:rsidRPr="00565D01">
        <w:rPr>
          <w:b/>
          <w:i/>
          <w:color w:val="000000"/>
          <w:sz w:val="24"/>
          <w:szCs w:val="24"/>
        </w:rPr>
        <w:t>ITU resource implications, including financial implications (refer to CV126)</w:t>
      </w:r>
      <w:r w:rsidRPr="00565D01">
        <w:rPr>
          <w:b/>
          <w:i/>
          <w:iCs/>
          <w:color w:val="000000"/>
          <w:sz w:val="24"/>
          <w:szCs w:val="24"/>
        </w:rPr>
        <w:t xml:space="preserve">: </w:t>
      </w:r>
      <w:r w:rsidRPr="00565D01">
        <w:rPr>
          <w:bCs/>
          <w:iCs/>
          <w:color w:val="000000"/>
          <w:sz w:val="24"/>
          <w:szCs w:val="24"/>
        </w:rPr>
        <w:t>Minimal</w:t>
      </w:r>
    </w:p>
    <w:p w:rsidR="00565D01" w:rsidRPr="00565D01" w:rsidP="00565D01">
      <w:pPr>
        <w:pBdr>
          <w:bottom w:val="single" w:sz="12" w:space="1" w:color="auto"/>
        </w:pBdr>
        <w:rPr>
          <w:color w:val="000000"/>
          <w:sz w:val="24"/>
          <w:szCs w:val="24"/>
        </w:rPr>
      </w:pPr>
    </w:p>
    <w:p w:rsidR="00565D01" w:rsidRPr="00565D01" w:rsidP="00565D01">
      <w:pPr>
        <w:tabs>
          <w:tab w:val="left" w:pos="4366"/>
        </w:tabs>
        <w:rPr>
          <w:color w:val="000000"/>
          <w:sz w:val="24"/>
          <w:szCs w:val="24"/>
        </w:rPr>
      </w:pPr>
      <w:r w:rsidRPr="00565D01">
        <w:rPr>
          <w:b/>
          <w:i/>
          <w:color w:val="000000"/>
          <w:sz w:val="24"/>
          <w:szCs w:val="24"/>
        </w:rPr>
        <w:t>Common regional proposal</w:t>
      </w:r>
      <w:r w:rsidRPr="00565D01">
        <w:rPr>
          <w:b/>
          <w:bCs/>
          <w:i/>
          <w:iCs/>
          <w:color w:val="000000"/>
          <w:sz w:val="24"/>
          <w:szCs w:val="24"/>
        </w:rPr>
        <w:t>:</w:t>
      </w:r>
      <w:r w:rsidRPr="00565D01">
        <w:rPr>
          <w:color w:val="000000"/>
          <w:sz w:val="24"/>
          <w:szCs w:val="24"/>
        </w:rPr>
        <w:t xml:space="preserve">  Yes/No</w:t>
      </w:r>
      <w:r w:rsidRPr="00565D01">
        <w:rPr>
          <w:color w:val="000000"/>
          <w:sz w:val="24"/>
          <w:szCs w:val="24"/>
        </w:rPr>
        <w:tab/>
      </w:r>
      <w:r w:rsidRPr="00565D01">
        <w:rPr>
          <w:b/>
          <w:i/>
          <w:color w:val="000000"/>
          <w:sz w:val="24"/>
          <w:szCs w:val="24"/>
        </w:rPr>
        <w:t>Multicountry proposal</w:t>
      </w:r>
      <w:r w:rsidRPr="00565D01">
        <w:rPr>
          <w:b/>
          <w:bCs/>
          <w:i/>
          <w:iCs/>
          <w:color w:val="000000"/>
          <w:sz w:val="24"/>
          <w:szCs w:val="24"/>
        </w:rPr>
        <w:t xml:space="preserve">:  </w:t>
      </w:r>
      <w:r w:rsidRPr="00565D01">
        <w:rPr>
          <w:color w:val="000000"/>
          <w:sz w:val="24"/>
          <w:szCs w:val="24"/>
        </w:rPr>
        <w:t>Yes/No</w:t>
      </w:r>
    </w:p>
    <w:p w:rsidR="00565D01" w:rsidRPr="00565D01" w:rsidP="00565D01">
      <w:pPr>
        <w:tabs>
          <w:tab w:val="left" w:pos="567"/>
          <w:tab w:val="left" w:pos="900"/>
          <w:tab w:val="left" w:pos="4366"/>
        </w:tabs>
        <w:rPr>
          <w:b/>
          <w:bCs/>
          <w:i/>
          <w:iCs/>
          <w:color w:val="000000"/>
          <w:sz w:val="24"/>
          <w:szCs w:val="24"/>
        </w:rPr>
      </w:pPr>
      <w:r w:rsidRPr="00565D01">
        <w:rPr>
          <w:i/>
          <w:iCs/>
          <w:color w:val="000000"/>
          <w:sz w:val="24"/>
          <w:szCs w:val="24"/>
        </w:rPr>
        <w:tab/>
      </w:r>
      <w:r w:rsidRPr="00565D01">
        <w:rPr>
          <w:b/>
          <w:bCs/>
          <w:i/>
          <w:iCs/>
          <w:color w:val="000000"/>
          <w:sz w:val="24"/>
          <w:szCs w:val="24"/>
        </w:rPr>
        <w:t>Number of countries:</w:t>
      </w:r>
    </w:p>
    <w:p w:rsidR="00565D01" w:rsidRPr="00565D01" w:rsidP="00565D01">
      <w:pPr>
        <w:pBdr>
          <w:bottom w:val="single" w:sz="12" w:space="1" w:color="auto"/>
        </w:pBdr>
        <w:rPr>
          <w:color w:val="000000"/>
          <w:sz w:val="24"/>
          <w:szCs w:val="24"/>
        </w:rPr>
      </w:pPr>
    </w:p>
    <w:p w:rsidR="00565D01" w:rsidRPr="00565D01" w:rsidP="00565D01">
      <w:pPr>
        <w:rPr>
          <w:color w:val="000000"/>
          <w:sz w:val="24"/>
          <w:szCs w:val="24"/>
        </w:rPr>
      </w:pPr>
      <w:r w:rsidRPr="00565D01">
        <w:rPr>
          <w:b/>
          <w:bCs/>
          <w:i/>
          <w:iCs/>
          <w:color w:val="000000"/>
          <w:sz w:val="24"/>
          <w:szCs w:val="24"/>
        </w:rPr>
        <w:t>Remarks</w:t>
      </w:r>
    </w:p>
    <w:p w:rsidR="00565D01" w:rsidRPr="00565D01" w:rsidP="00565D01">
      <w:pPr>
        <w:tabs>
          <w:tab w:val="left" w:pos="1134"/>
          <w:tab w:val="left" w:pos="1588"/>
          <w:tab w:val="left" w:pos="1985"/>
        </w:tabs>
        <w:overflowPunct w:val="0"/>
        <w:autoSpaceDE w:val="0"/>
        <w:autoSpaceDN w:val="0"/>
        <w:adjustRightInd w:val="0"/>
        <w:spacing w:before="120"/>
        <w:textAlignment w:val="baseline"/>
        <w:rPr>
          <w:sz w:val="24"/>
        </w:rPr>
      </w:pPr>
    </w:p>
    <w:p w:rsidR="00565D01" w:rsidRPr="00565D01" w:rsidP="00565D01">
      <w:pPr>
        <w:jc w:val="center"/>
        <w:rPr>
          <w:sz w:val="24"/>
          <w:szCs w:val="24"/>
        </w:rPr>
      </w:pPr>
      <w:r w:rsidRPr="00565D01">
        <w:rPr>
          <w:sz w:val="24"/>
          <w:szCs w:val="24"/>
        </w:rPr>
        <w:t>______________</w:t>
      </w:r>
    </w:p>
    <w:p w:rsidR="00565D01" w:rsidRPr="00565D01" w:rsidP="00565D01">
      <w:pPr>
        <w:rPr>
          <w:b/>
          <w:sz w:val="24"/>
          <w:szCs w:val="24"/>
        </w:rPr>
      </w:pPr>
    </w:p>
    <w:p w:rsidR="00565D01" w:rsidRPr="00565D01" w:rsidP="00565D01">
      <w:pPr>
        <w:rPr>
          <w:b/>
          <w:sz w:val="24"/>
          <w:szCs w:val="24"/>
        </w:rPr>
      </w:pPr>
    </w:p>
    <w:p w:rsidR="00565D01" w:rsidRPr="00565D01" w:rsidP="00565D01">
      <w:pPr>
        <w:rPr>
          <w:b/>
          <w:sz w:val="24"/>
          <w:szCs w:val="24"/>
        </w:rPr>
      </w:pPr>
    </w:p>
    <w:p w:rsidR="00565D01" w:rsidRPr="00565D01" w:rsidP="00565D01">
      <w:pPr>
        <w:rPr>
          <w:b/>
          <w:sz w:val="24"/>
          <w:szCs w:val="24"/>
        </w:rPr>
      </w:pPr>
    </w:p>
    <w:p w:rsidR="00565D01" w:rsidRPr="00565D01" w:rsidP="00565D01">
      <w:pPr>
        <w:rPr>
          <w:b/>
          <w:sz w:val="24"/>
          <w:szCs w:val="24"/>
        </w:rPr>
      </w:pPr>
    </w:p>
    <w:p w:rsidR="00565D01" w:rsidP="003B7CB6">
      <w:pPr>
        <w:spacing w:after="200" w:line="276" w:lineRule="auto"/>
        <w:rPr>
          <w:b/>
          <w:sz w:val="24"/>
          <w:szCs w:val="24"/>
        </w:rPr>
      </w:pPr>
    </w:p>
    <w:p w:rsidR="003D6AB7" w:rsidP="003D6AB7">
      <w:pPr>
        <w:pStyle w:val="PlainText"/>
        <w:spacing w:after="120"/>
        <w:rPr>
          <w:rFonts w:ascii="Times New Roman" w:hAnsi="Times New Roman"/>
          <w:sz w:val="24"/>
          <w:szCs w:val="24"/>
        </w:rPr>
      </w:pPr>
    </w:p>
    <w:sectPr w:rsidSect="007F2C6F">
      <w:headerReference w:type="default" r:id="rId21"/>
      <w:pgSz w:w="11907" w:h="16840" w:code="9"/>
      <w:pgMar w:top="1411" w:right="1138" w:bottom="1411" w:left="1138" w:header="562" w:footer="720" w:gutter="0"/>
      <w:paperSrc w:first="9149" w:other="9149"/>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B6" w:rsidRPr="002F7CB3" w:rsidP="003B7C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D01" w:rsidP="004E6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65D0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D01" w:rsidP="004E66AE">
    <w:pPr>
      <w:pStyle w:val="Footer"/>
      <w:ind w:right="360"/>
      <w:jc w:val="right"/>
    </w:pPr>
    <w:r w:rsidRPr="00FF6C10">
      <w:rPr>
        <w:sz w:val="20"/>
        <w:szCs w:val="20"/>
      </w:rPr>
      <w:fldChar w:fldCharType="begin"/>
    </w:r>
    <w:r w:rsidRPr="00FF6C10">
      <w:rPr>
        <w:sz w:val="20"/>
        <w:szCs w:val="20"/>
      </w:rPr>
      <w:instrText xml:space="preserve"> PAGE   \* MERGEFORMAT </w:instrText>
    </w:r>
    <w:r w:rsidRPr="00FF6C10">
      <w:rPr>
        <w:sz w:val="20"/>
        <w:szCs w:val="20"/>
      </w:rPr>
      <w:fldChar w:fldCharType="separate"/>
    </w:r>
    <w:r>
      <w:rPr>
        <w:noProof/>
        <w:sz w:val="20"/>
        <w:szCs w:val="20"/>
      </w:rPr>
      <w:t>2</w:t>
    </w:r>
    <w:r w:rsidRPr="00FF6C1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7CB6">
      <w:r>
        <w:separator/>
      </w:r>
    </w:p>
  </w:footnote>
  <w:footnote w:type="continuationSeparator" w:id="1">
    <w:p w:rsidR="003B7CB6">
      <w:r>
        <w:continuationSeparator/>
      </w:r>
    </w:p>
  </w:footnote>
  <w:footnote w:id="2">
    <w:p w:rsidR="003B7CB6" w:rsidRPr="005B4EE1" w:rsidP="00046568">
      <w:pPr>
        <w:pStyle w:val="FootnoteText"/>
      </w:pPr>
      <w:r>
        <w:rPr>
          <w:rStyle w:val="FootnoteReference"/>
        </w:rPr>
        <w:footnoteRef/>
      </w:r>
      <w:r>
        <w:t xml:space="preserve"> Manual on Required Communication Performance, ICAO Doc 9869 AN/462, 2006</w:t>
      </w:r>
    </w:p>
  </w:footnote>
  <w:footnote w:id="3">
    <w:p w:rsidR="003B7CB6" w:rsidRPr="003D7EFF" w:rsidP="00046568">
      <w:pPr>
        <w:pStyle w:val="FootnoteText"/>
      </w:pPr>
      <w:r>
        <w:rPr>
          <w:rStyle w:val="FootnoteReference"/>
        </w:rPr>
        <w:footnoteRef/>
      </w:r>
      <w:r>
        <w:t xml:space="preserve"> </w:t>
      </w:r>
      <w:r w:rsidRPr="00B84A43">
        <w:t>FSMP-WG08-Flimsy07 WRC-23 Agenda Item for HF Rev1 - Final.docx</w:t>
      </w:r>
    </w:p>
  </w:footnote>
  <w:footnote w:id="4">
    <w:p w:rsidR="003B7CB6" w:rsidRPr="00FB6DDF" w:rsidP="003B7CB6">
      <w:pPr>
        <w:pStyle w:val="FootnoteText"/>
      </w:pPr>
      <w:r>
        <w:rPr>
          <w:rStyle w:val="FootnoteReference"/>
        </w:rPr>
        <w:footnoteRef/>
      </w:r>
      <w:r>
        <w:t xml:space="preserve"> </w:t>
      </w:r>
      <w:r w:rsidRPr="00FB6DDF">
        <w:t xml:space="preserve">For the purpose of this Resolution, ENG represents all </w:t>
      </w:r>
      <w:r>
        <w:t xml:space="preserve">audio </w:t>
      </w:r>
      <w:r w:rsidRPr="00FB6DDF">
        <w:t>applications ancillary to broadcasting and programme making (SAB/SAP), such as electronic news gathering, electronic field production, TV outside broadcast, Program Making and Special Events (PMSE), wireless radio microphones and radio outside production and broadcast.</w:t>
      </w:r>
    </w:p>
    <w:p w:rsidR="003B7CB6" w:rsidP="003B7CB6">
      <w:pPr>
        <w:pStyle w:val="FootnoteText"/>
      </w:pPr>
    </w:p>
  </w:footnote>
  <w:footnote w:id="5">
    <w:p w:rsidR="003B7CB6" w:rsidP="003B7CB6">
      <w:pPr>
        <w:pStyle w:val="FootnoteText"/>
      </w:pPr>
      <w:r>
        <w:rPr>
          <w:rStyle w:val="FootnoteReference"/>
        </w:rPr>
        <w:footnoteRef/>
      </w:r>
      <w:r>
        <w:t xml:space="preserve"> </w:t>
      </w:r>
      <w:r w:rsidRPr="00A254A3">
        <w:t xml:space="preserve">Notwithstanding the “general incompatibility” of wireless microphone co-channel sharing with AMT, </w:t>
      </w:r>
      <w:r>
        <w:t>the United States</w:t>
      </w:r>
      <w:r w:rsidRPr="00A254A3">
        <w:t xml:space="preserve"> administration has allocated spectrum from 1435 - 1525 MHz for AMT with a secondary allocation for wireless microphones</w:t>
      </w:r>
      <w:r>
        <w:t xml:space="preserve">. </w:t>
      </w:r>
      <w:r w:rsidRPr="00A254A3">
        <w:t>This is subject to stringent coordination requirements.</w:t>
      </w:r>
    </w:p>
    <w:p w:rsidR="003B7CB6" w:rsidP="003B7CB6">
      <w:pPr>
        <w:pStyle w:val="FootnoteText"/>
      </w:pPr>
    </w:p>
  </w:footnote>
  <w:footnote w:id="6">
    <w:p w:rsidR="003B7CB6" w:rsidP="003B7CB6">
      <w:pPr>
        <w:pStyle w:val="FootnoteText"/>
      </w:pPr>
      <w:r>
        <w:rPr>
          <w:rStyle w:val="FootnoteReference"/>
        </w:rPr>
        <w:footnoteRef/>
      </w:r>
      <w:r>
        <w:t xml:space="preserve"> The term “tuning range” for ENG means a range of frequencies over which radio equipment is envisaged to be capable of operating; within this tuning range, the use in any one country of radio equipment from another country will be limited to the range of frequencies identified nationally in that one country for ENG, and will be operated in accordance with the related national conditions and requirements.</w:t>
      </w:r>
    </w:p>
    <w:p w:rsidR="003B7CB6" w:rsidP="003B7CB6">
      <w:pPr>
        <w:pStyle w:val="FootnoteText"/>
      </w:pPr>
    </w:p>
  </w:footnote>
  <w:footnote w:id="7">
    <w:p w:rsidR="003B7CB6" w:rsidRPr="006F5709" w:rsidP="003B7CB6">
      <w:pPr>
        <w:pStyle w:val="FootnoteText"/>
        <w:rPr>
          <w:sz w:val="22"/>
          <w:szCs w:val="22"/>
        </w:rPr>
      </w:pPr>
      <w:r w:rsidRPr="006F5709">
        <w:rPr>
          <w:rStyle w:val="FootnoteReference"/>
          <w:sz w:val="22"/>
          <w:szCs w:val="22"/>
        </w:rPr>
        <w:footnoteRef/>
      </w:r>
      <w:r w:rsidRPr="006F5709">
        <w:rPr>
          <w:sz w:val="22"/>
          <w:szCs w:val="22"/>
        </w:rPr>
        <w:t xml:space="preserve"> The use of the band 12.75-13.25 GHz (Earth-to-space) by geostationary-satellite systems in the fixed-satellite service </w:t>
      </w:r>
      <w:r>
        <w:rPr>
          <w:sz w:val="22"/>
          <w:szCs w:val="22"/>
        </w:rPr>
        <w:t>is</w:t>
      </w:r>
      <w:r w:rsidRPr="006F5709">
        <w:rPr>
          <w:sz w:val="22"/>
          <w:szCs w:val="22"/>
        </w:rPr>
        <w:t xml:space="preserve"> in accordance with the provisions of Appendix </w:t>
      </w:r>
      <w:r w:rsidRPr="00C47E3F">
        <w:rPr>
          <w:b/>
          <w:sz w:val="22"/>
          <w:szCs w:val="22"/>
        </w:rPr>
        <w:t>30B</w:t>
      </w:r>
      <w:r>
        <w:rPr>
          <w:sz w:val="22"/>
          <w:szCs w:val="22"/>
        </w:rPr>
        <w:t xml:space="preserve"> according to No. </w:t>
      </w:r>
      <w:r w:rsidRPr="00C47E3F">
        <w:rPr>
          <w:b/>
          <w:sz w:val="22"/>
          <w:szCs w:val="22"/>
        </w:rPr>
        <w:t>5.441</w:t>
      </w:r>
      <w:r w:rsidRPr="006F5709">
        <w:rPr>
          <w:sz w:val="22"/>
          <w:szCs w:val="22"/>
        </w:rPr>
        <w:t>.</w:t>
      </w:r>
    </w:p>
  </w:footnote>
  <w:footnote w:id="8">
    <w:p w:rsidR="003B7CB6" w:rsidRPr="006F5709" w:rsidP="003B7CB6">
      <w:pPr>
        <w:pStyle w:val="FootnoteText"/>
        <w:rPr>
          <w:sz w:val="22"/>
          <w:szCs w:val="22"/>
        </w:rPr>
      </w:pPr>
      <w:r w:rsidRPr="006F5709">
        <w:rPr>
          <w:rStyle w:val="FootnoteReference"/>
          <w:sz w:val="22"/>
          <w:szCs w:val="22"/>
        </w:rPr>
        <w:footnoteRef/>
      </w:r>
      <w:r w:rsidRPr="006F5709">
        <w:rPr>
          <w:sz w:val="22"/>
          <w:szCs w:val="22"/>
        </w:rPr>
        <w:t xml:space="preserve"> The use of the </w:t>
      </w:r>
      <w:r w:rsidRPr="00F03B6C">
        <w:rPr>
          <w:sz w:val="22"/>
          <w:szCs w:val="22"/>
        </w:rPr>
        <w:t>bands</w:t>
      </w:r>
      <w:r w:rsidRPr="005A20BD">
        <w:rPr>
          <w:sz w:val="22"/>
          <w:szCs w:val="22"/>
        </w:rPr>
        <w:t xml:space="preserve"> </w:t>
      </w:r>
      <w:r w:rsidRPr="00F03B6C">
        <w:rPr>
          <w:sz w:val="22"/>
          <w:szCs w:val="22"/>
        </w:rPr>
        <w:t>10.7-10.95 GHz (space-to-Earth) and 11.2-11.45 GHz (space-to-Earth) by geostationary</w:t>
      </w:r>
      <w:r w:rsidRPr="006F5709">
        <w:rPr>
          <w:sz w:val="22"/>
          <w:szCs w:val="22"/>
        </w:rPr>
        <w:t xml:space="preserve">-satellite systems in the fixed-satellite service </w:t>
      </w:r>
      <w:r>
        <w:rPr>
          <w:sz w:val="22"/>
          <w:szCs w:val="22"/>
        </w:rPr>
        <w:t>is</w:t>
      </w:r>
      <w:r w:rsidRPr="006F5709">
        <w:rPr>
          <w:sz w:val="22"/>
          <w:szCs w:val="22"/>
        </w:rPr>
        <w:t xml:space="preserve"> in accordance with the provisions of Appendix </w:t>
      </w:r>
      <w:r w:rsidRPr="00C47E3F">
        <w:rPr>
          <w:b/>
          <w:sz w:val="22"/>
          <w:szCs w:val="22"/>
        </w:rPr>
        <w:t>30B</w:t>
      </w:r>
      <w:r>
        <w:rPr>
          <w:sz w:val="22"/>
          <w:szCs w:val="22"/>
        </w:rPr>
        <w:t xml:space="preserve"> according to No. </w:t>
      </w:r>
      <w:r w:rsidRPr="00C47E3F">
        <w:rPr>
          <w:b/>
          <w:sz w:val="22"/>
          <w:szCs w:val="22"/>
        </w:rPr>
        <w:t>5.441</w:t>
      </w:r>
      <w:r w:rsidRPr="006F5709">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B6" w:rsidRPr="007D2A6D" w:rsidP="007D2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B6" w:rsidP="003B7CB6">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p w:rsidR="003B7CB6" w:rsidP="003B7C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B6" w:rsidP="003B7CB6">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w:t>
    </w:r>
  </w:p>
  <w:p w:rsidR="003B7CB6" w:rsidRPr="00BF16E1" w:rsidP="003B7C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D01" w:rsidP="008D49AF">
    <w:pPr>
      <w:pStyle w:val="Header"/>
      <w:jc w:val="right"/>
    </w:pPr>
    <w:r>
      <w:t>WAC/097 (11.03.19)</w:t>
    </w:r>
  </w:p>
  <w:p w:rsidR="00565D01" w:rsidP="008D49AF">
    <w:pPr>
      <w:pStyle w:val="Header"/>
      <w:jc w:val="right"/>
    </w:pPr>
    <w:r>
      <w:t>IWG-4/059 (04 March 2019)</w:t>
    </w:r>
  </w:p>
  <w:p w:rsidR="00565D01" w:rsidRPr="00921197" w:rsidP="004E66AE">
    <w:pPr>
      <w:pStyle w:val="Header"/>
      <w:tabs>
        <w:tab w:val="right" w:pos="9720"/>
        <w:tab w:val="right" w:pos="1296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D01" w:rsidRPr="00921197" w:rsidP="004E66AE">
    <w:pPr>
      <w:pStyle w:val="Header"/>
      <w:tabs>
        <w:tab w:val="right" w:pos="12960"/>
      </w:tabs>
      <w:rPr>
        <w:b/>
      </w:rPr>
    </w:pPr>
    <w:r>
      <w:rPr>
        <w:b/>
      </w:rPr>
      <w:t>FOR AGENDA</w:t>
    </w:r>
    <w:r>
      <w:rPr>
        <w:b/>
      </w:rPr>
      <w:tab/>
    </w:r>
    <w:r>
      <w:rPr>
        <w:b/>
      </w:rPr>
      <w:tab/>
      <w:t>Doc. 43xxx/1</w:t>
    </w:r>
    <w:r>
      <w:rPr>
        <w:b/>
      </w:rPr>
      <w:tab/>
    </w:r>
    <w:r>
      <w:rPr>
        <w:b/>
      </w:rPr>
      <w:tab/>
    </w:r>
  </w:p>
  <w:p w:rsidR="00565D01" w:rsidRPr="00921197" w:rsidP="004E66AE">
    <w:pPr>
      <w:pStyle w:val="Header"/>
      <w:tabs>
        <w:tab w:val="right" w:pos="1296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CB6" w:rsidRPr="00471292" w:rsidP="00471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A6CDB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F3B4E"/>
    <w:multiLevelType w:val="hybridMultilevel"/>
    <w:tmpl w:val="94F898D8"/>
    <w:lvl w:ilvl="0">
      <w:start w:val="1"/>
      <w:numFmt w:val="lowerLetter"/>
      <w:lvlText w:val="%1)"/>
      <w:lvlJc w:val="left"/>
      <w:pPr>
        <w:ind w:left="1140" w:hanging="420"/>
      </w:pPr>
      <w:rPr>
        <w:rFonts w:hint="default"/>
        <w:i/>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3565A7"/>
    <w:multiLevelType w:val="hybridMultilevel"/>
    <w:tmpl w:val="E02C75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2C6D8A"/>
    <w:multiLevelType w:val="hybridMultilevel"/>
    <w:tmpl w:val="A0D81DDC"/>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2BD7F41"/>
    <w:multiLevelType w:val="multilevel"/>
    <w:tmpl w:val="81F40B1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AED1EAC"/>
    <w:multiLevelType w:val="multilevel"/>
    <w:tmpl w:val="A746CBA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1C510DA5"/>
    <w:multiLevelType w:val="hybridMultilevel"/>
    <w:tmpl w:val="25463918"/>
    <w:lvl w:ilvl="0">
      <w:start w:val="1"/>
      <w:numFmt w:val="lowerLetter"/>
      <w:lvlText w:val="%1)"/>
      <w:lvlJc w:val="left"/>
      <w:pPr>
        <w:ind w:left="3600" w:hanging="360"/>
      </w:p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7">
    <w:nsid w:val="239B2D69"/>
    <w:multiLevelType w:val="hybridMultilevel"/>
    <w:tmpl w:val="8CFC2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9A97102"/>
    <w:multiLevelType w:val="hybridMultilevel"/>
    <w:tmpl w:val="78B2A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5D315D"/>
    <w:multiLevelType w:val="hybridMultilevel"/>
    <w:tmpl w:val="D2581F18"/>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585AFB"/>
    <w:multiLevelType w:val="hybridMultilevel"/>
    <w:tmpl w:val="51EC42A8"/>
    <w:lvl w:ilvl="0">
      <w:start w:val="1"/>
      <w:numFmt w:val="lowerLetter"/>
      <w:lvlText w:val="%1)"/>
      <w:lvlJc w:val="left"/>
      <w:pPr>
        <w:ind w:left="1080" w:hanging="360"/>
      </w:pPr>
      <w:rPr>
        <w:rFonts w:hint="default"/>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B9C1E30"/>
    <w:multiLevelType w:val="hybridMultilevel"/>
    <w:tmpl w:val="AAD2DB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DFF2C45"/>
    <w:multiLevelType w:val="hybridMultilevel"/>
    <w:tmpl w:val="347E4DE0"/>
    <w:lvl w:ilvl="0">
      <w:start w:val="1"/>
      <w:numFmt w:val="bullet"/>
      <w:lvlText w:val=""/>
      <w:lvlJc w:val="left"/>
      <w:pPr>
        <w:ind w:left="780" w:hanging="390"/>
      </w:pPr>
      <w:rPr>
        <w:rFonts w:ascii="Symbol" w:hAnsi="Symbol" w:hint="default"/>
      </w:rPr>
    </w:lvl>
    <w:lvl w:ilvl="1" w:tentative="1">
      <w:start w:val="1"/>
      <w:numFmt w:val="bullet"/>
      <w:lvlText w:val="o"/>
      <w:lvlJc w:val="left"/>
      <w:pPr>
        <w:ind w:left="1036" w:hanging="360"/>
      </w:pPr>
      <w:rPr>
        <w:rFonts w:ascii="Courier New" w:hAnsi="Courier New" w:cs="Courier New" w:hint="default"/>
      </w:rPr>
    </w:lvl>
    <w:lvl w:ilvl="2" w:tentative="1">
      <w:start w:val="1"/>
      <w:numFmt w:val="bullet"/>
      <w:lvlText w:val=""/>
      <w:lvlJc w:val="left"/>
      <w:pPr>
        <w:ind w:left="1756" w:hanging="360"/>
      </w:pPr>
      <w:rPr>
        <w:rFonts w:ascii="Wingdings" w:hAnsi="Wingdings" w:hint="default"/>
      </w:rPr>
    </w:lvl>
    <w:lvl w:ilvl="3" w:tentative="1">
      <w:start w:val="1"/>
      <w:numFmt w:val="bullet"/>
      <w:lvlText w:val=""/>
      <w:lvlJc w:val="left"/>
      <w:pPr>
        <w:ind w:left="2476" w:hanging="360"/>
      </w:pPr>
      <w:rPr>
        <w:rFonts w:ascii="Symbol" w:hAnsi="Symbol" w:hint="default"/>
      </w:rPr>
    </w:lvl>
    <w:lvl w:ilvl="4" w:tentative="1">
      <w:start w:val="1"/>
      <w:numFmt w:val="bullet"/>
      <w:lvlText w:val="o"/>
      <w:lvlJc w:val="left"/>
      <w:pPr>
        <w:ind w:left="3196" w:hanging="360"/>
      </w:pPr>
      <w:rPr>
        <w:rFonts w:ascii="Courier New" w:hAnsi="Courier New" w:cs="Courier New" w:hint="default"/>
      </w:rPr>
    </w:lvl>
    <w:lvl w:ilvl="5" w:tentative="1">
      <w:start w:val="1"/>
      <w:numFmt w:val="bullet"/>
      <w:lvlText w:val=""/>
      <w:lvlJc w:val="left"/>
      <w:pPr>
        <w:ind w:left="3916" w:hanging="360"/>
      </w:pPr>
      <w:rPr>
        <w:rFonts w:ascii="Wingdings" w:hAnsi="Wingdings" w:hint="default"/>
      </w:rPr>
    </w:lvl>
    <w:lvl w:ilvl="6" w:tentative="1">
      <w:start w:val="1"/>
      <w:numFmt w:val="bullet"/>
      <w:lvlText w:val=""/>
      <w:lvlJc w:val="left"/>
      <w:pPr>
        <w:ind w:left="4636" w:hanging="360"/>
      </w:pPr>
      <w:rPr>
        <w:rFonts w:ascii="Symbol" w:hAnsi="Symbol" w:hint="default"/>
      </w:rPr>
    </w:lvl>
    <w:lvl w:ilvl="7" w:tentative="1">
      <w:start w:val="1"/>
      <w:numFmt w:val="bullet"/>
      <w:lvlText w:val="o"/>
      <w:lvlJc w:val="left"/>
      <w:pPr>
        <w:ind w:left="5356" w:hanging="360"/>
      </w:pPr>
      <w:rPr>
        <w:rFonts w:ascii="Courier New" w:hAnsi="Courier New" w:cs="Courier New" w:hint="default"/>
      </w:rPr>
    </w:lvl>
    <w:lvl w:ilvl="8" w:tentative="1">
      <w:start w:val="1"/>
      <w:numFmt w:val="bullet"/>
      <w:lvlText w:val=""/>
      <w:lvlJc w:val="left"/>
      <w:pPr>
        <w:ind w:left="6076" w:hanging="360"/>
      </w:pPr>
      <w:rPr>
        <w:rFonts w:ascii="Wingdings" w:hAnsi="Wingdings" w:hint="default"/>
      </w:rPr>
    </w:lvl>
  </w:abstractNum>
  <w:abstractNum w:abstractNumId="13">
    <w:nsid w:val="40302D54"/>
    <w:multiLevelType w:val="hybridMultilevel"/>
    <w:tmpl w:val="56381834"/>
    <w:lvl w:ilvl="0">
      <w:start w:val="1"/>
      <w:numFmt w:val="decimal"/>
      <w:lvlText w:val="%1."/>
      <w:lvlJc w:val="left"/>
      <w:pPr>
        <w:ind w:left="10725" w:hanging="360"/>
      </w:pPr>
    </w:lvl>
    <w:lvl w:ilvl="1" w:tentative="1">
      <w:start w:val="1"/>
      <w:numFmt w:val="lowerLetter"/>
      <w:lvlText w:val="%2."/>
      <w:lvlJc w:val="left"/>
      <w:pPr>
        <w:ind w:left="11445" w:hanging="360"/>
      </w:pPr>
    </w:lvl>
    <w:lvl w:ilvl="2" w:tentative="1">
      <w:start w:val="1"/>
      <w:numFmt w:val="lowerRoman"/>
      <w:lvlText w:val="%3."/>
      <w:lvlJc w:val="right"/>
      <w:pPr>
        <w:ind w:left="12165" w:hanging="180"/>
      </w:pPr>
    </w:lvl>
    <w:lvl w:ilvl="3" w:tentative="1">
      <w:start w:val="1"/>
      <w:numFmt w:val="decimal"/>
      <w:lvlText w:val="%4."/>
      <w:lvlJc w:val="left"/>
      <w:pPr>
        <w:ind w:left="12885" w:hanging="360"/>
      </w:pPr>
    </w:lvl>
    <w:lvl w:ilvl="4" w:tentative="1">
      <w:start w:val="1"/>
      <w:numFmt w:val="lowerLetter"/>
      <w:lvlText w:val="%5."/>
      <w:lvlJc w:val="left"/>
      <w:pPr>
        <w:ind w:left="13605" w:hanging="360"/>
      </w:pPr>
    </w:lvl>
    <w:lvl w:ilvl="5" w:tentative="1">
      <w:start w:val="1"/>
      <w:numFmt w:val="lowerRoman"/>
      <w:lvlText w:val="%6."/>
      <w:lvlJc w:val="right"/>
      <w:pPr>
        <w:ind w:left="14325" w:hanging="180"/>
      </w:pPr>
    </w:lvl>
    <w:lvl w:ilvl="6" w:tentative="1">
      <w:start w:val="1"/>
      <w:numFmt w:val="decimal"/>
      <w:lvlText w:val="%7."/>
      <w:lvlJc w:val="left"/>
      <w:pPr>
        <w:ind w:left="15045" w:hanging="360"/>
      </w:pPr>
    </w:lvl>
    <w:lvl w:ilvl="7" w:tentative="1">
      <w:start w:val="1"/>
      <w:numFmt w:val="lowerLetter"/>
      <w:lvlText w:val="%8."/>
      <w:lvlJc w:val="left"/>
      <w:pPr>
        <w:ind w:left="15765" w:hanging="360"/>
      </w:pPr>
    </w:lvl>
    <w:lvl w:ilvl="8" w:tentative="1">
      <w:start w:val="1"/>
      <w:numFmt w:val="lowerRoman"/>
      <w:lvlText w:val="%9."/>
      <w:lvlJc w:val="right"/>
      <w:pPr>
        <w:ind w:left="16485" w:hanging="180"/>
      </w:pPr>
    </w:lvl>
  </w:abstractNum>
  <w:abstractNum w:abstractNumId="14">
    <w:nsid w:val="457319E4"/>
    <w:multiLevelType w:val="hybridMultilevel"/>
    <w:tmpl w:val="F9A6F35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64751E9"/>
    <w:multiLevelType w:val="hybridMultilevel"/>
    <w:tmpl w:val="97529908"/>
    <w:lvl w:ilvl="0">
      <w:start w:val="1"/>
      <w:numFmt w:val="decimal"/>
      <w:lvlText w:val="%1"/>
      <w:lvlJc w:val="left"/>
      <w:pPr>
        <w:ind w:left="1500" w:hanging="11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6BF4E9B"/>
    <w:multiLevelType w:val="multilevel"/>
    <w:tmpl w:val="C194BB1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4A9B5210"/>
    <w:multiLevelType w:val="multilevel"/>
    <w:tmpl w:val="49DAA5E4"/>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start w:val="6"/>
      <w:numFmt w:val="decimal"/>
      <w:lvlText w:val="%1.%2"/>
      <w:lvlJc w:val="left"/>
      <w:pPr>
        <w:ind w:left="73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abstractNum>
  <w:abstractNum w:abstractNumId="18">
    <w:nsid w:val="4AB67A0A"/>
    <w:multiLevelType w:val="multilevel"/>
    <w:tmpl w:val="6496385C"/>
    <w:lvl w:ilvl="0">
      <w:start w:val="1"/>
      <w:numFmt w:val="lowerLetter"/>
      <w:lvlText w:val="%1)"/>
      <w:lvlJc w:val="left"/>
      <w:pPr>
        <w:ind w:left="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9">
    <w:nsid w:val="4B763530"/>
    <w:multiLevelType w:val="hybridMultilevel"/>
    <w:tmpl w:val="E02C75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F180082"/>
    <w:multiLevelType w:val="hybridMultilevel"/>
    <w:tmpl w:val="BBE00192"/>
    <w:lvl w:ilvl="0">
      <w:start w:val="1"/>
      <w:numFmt w:val="lowerLetter"/>
      <w:lvlText w:val="%1)"/>
      <w:lvlJc w:val="left"/>
      <w:pPr>
        <w:ind w:left="360" w:hanging="360"/>
      </w:pPr>
      <w:rPr>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545B7BC0"/>
    <w:multiLevelType w:val="hybridMultilevel"/>
    <w:tmpl w:val="0FC67BF4"/>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FE18A2"/>
    <w:multiLevelType w:val="hybridMultilevel"/>
    <w:tmpl w:val="0428AE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CC36C82"/>
    <w:multiLevelType w:val="hybridMultilevel"/>
    <w:tmpl w:val="6172ADEE"/>
    <w:lvl w:ilvl="0">
      <w:start w:val="1"/>
      <w:numFmt w:val="decimal"/>
      <w:lvlText w:val="%1"/>
      <w:lvlJc w:val="left"/>
      <w:pPr>
        <w:ind w:left="1200" w:hanging="480"/>
      </w:pPr>
      <w:rPr>
        <w:rFonts w:ascii="TimesNewRomanPS-ItalicMT" w:hAnsi="TimesNewRomanPS-ItalicMT" w:cs="TimesNewRomanPS-ItalicMT" w:hint="default"/>
        <w:i w:val="0"/>
        <w:sz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E292129"/>
    <w:multiLevelType w:val="hybridMultilevel"/>
    <w:tmpl w:val="5BA4F574"/>
    <w:lvl w:ilvl="0">
      <w:start w:val="1"/>
      <w:numFmt w:val="lowerLetter"/>
      <w:lvlText w:val="%1)"/>
      <w:lvlJc w:val="left"/>
      <w:pPr>
        <w:ind w:left="360" w:hanging="360"/>
      </w:pPr>
      <w:rPr>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62A8237E"/>
    <w:multiLevelType w:val="hybridMultilevel"/>
    <w:tmpl w:val="E02C75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2CA201B"/>
    <w:multiLevelType w:val="hybridMultilevel"/>
    <w:tmpl w:val="0EF417EA"/>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4666DF7"/>
    <w:multiLevelType w:val="hybridMultilevel"/>
    <w:tmpl w:val="D9F414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6BD215E"/>
    <w:multiLevelType w:val="multilevel"/>
    <w:tmpl w:val="49DAA5E4"/>
    <w:lvl w:ilvl="0">
      <w:start w:val="2"/>
      <w:numFmt w:val="decimal"/>
      <w:lvlText w:val="%1"/>
      <w:lvlJc w:val="left"/>
      <w:pPr>
        <w:ind w:left="1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start w:val="6"/>
      <w:numFmt w:val="decimal"/>
      <w:lvlText w:val="%1.%2"/>
      <w:lvlJc w:val="left"/>
      <w:pPr>
        <w:ind w:left="73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abstractNum>
  <w:abstractNum w:abstractNumId="29">
    <w:nsid w:val="67C418C4"/>
    <w:multiLevelType w:val="hybridMultilevel"/>
    <w:tmpl w:val="C9AC5A4A"/>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B8B72F7"/>
    <w:multiLevelType w:val="hybridMultilevel"/>
    <w:tmpl w:val="E02C75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D006557"/>
    <w:multiLevelType w:val="hybridMultilevel"/>
    <w:tmpl w:val="A79CB25A"/>
    <w:lvl w:ilvl="0">
      <w:start w:val="1"/>
      <w:numFmt w:val="decimal"/>
      <w:lvlText w:val="%1."/>
      <w:lvlJc w:val="left"/>
      <w:pPr>
        <w:ind w:left="370" w:hanging="360"/>
      </w:pPr>
      <w:rPr>
        <w:rFonts w:hint="default"/>
      </w:rPr>
    </w:lvl>
    <w:lvl w:ilvl="1" w:tentative="1">
      <w:start w:val="1"/>
      <w:numFmt w:val="lowerLetter"/>
      <w:lvlText w:val="%2."/>
      <w:lvlJc w:val="left"/>
      <w:pPr>
        <w:ind w:left="1090" w:hanging="360"/>
      </w:pPr>
    </w:lvl>
    <w:lvl w:ilvl="2" w:tentative="1">
      <w:start w:val="1"/>
      <w:numFmt w:val="lowerRoman"/>
      <w:lvlText w:val="%3."/>
      <w:lvlJc w:val="right"/>
      <w:pPr>
        <w:ind w:left="1810" w:hanging="180"/>
      </w:pPr>
    </w:lvl>
    <w:lvl w:ilvl="3" w:tentative="1">
      <w:start w:val="1"/>
      <w:numFmt w:val="decimal"/>
      <w:lvlText w:val="%4."/>
      <w:lvlJc w:val="left"/>
      <w:pPr>
        <w:ind w:left="2530" w:hanging="360"/>
      </w:pPr>
    </w:lvl>
    <w:lvl w:ilvl="4" w:tentative="1">
      <w:start w:val="1"/>
      <w:numFmt w:val="lowerLetter"/>
      <w:lvlText w:val="%5."/>
      <w:lvlJc w:val="left"/>
      <w:pPr>
        <w:ind w:left="3250" w:hanging="360"/>
      </w:pPr>
    </w:lvl>
    <w:lvl w:ilvl="5" w:tentative="1">
      <w:start w:val="1"/>
      <w:numFmt w:val="lowerRoman"/>
      <w:lvlText w:val="%6."/>
      <w:lvlJc w:val="right"/>
      <w:pPr>
        <w:ind w:left="3970" w:hanging="180"/>
      </w:pPr>
    </w:lvl>
    <w:lvl w:ilvl="6" w:tentative="1">
      <w:start w:val="1"/>
      <w:numFmt w:val="decimal"/>
      <w:lvlText w:val="%7."/>
      <w:lvlJc w:val="left"/>
      <w:pPr>
        <w:ind w:left="4690" w:hanging="360"/>
      </w:pPr>
    </w:lvl>
    <w:lvl w:ilvl="7" w:tentative="1">
      <w:start w:val="1"/>
      <w:numFmt w:val="lowerLetter"/>
      <w:lvlText w:val="%8."/>
      <w:lvlJc w:val="left"/>
      <w:pPr>
        <w:ind w:left="5410" w:hanging="360"/>
      </w:pPr>
    </w:lvl>
    <w:lvl w:ilvl="8" w:tentative="1">
      <w:start w:val="1"/>
      <w:numFmt w:val="lowerRoman"/>
      <w:lvlText w:val="%9."/>
      <w:lvlJc w:val="right"/>
      <w:pPr>
        <w:ind w:left="6130" w:hanging="180"/>
      </w:pPr>
    </w:lvl>
  </w:abstractNum>
  <w:abstractNum w:abstractNumId="32">
    <w:nsid w:val="6D981DD6"/>
    <w:multiLevelType w:val="hybridMultilevel"/>
    <w:tmpl w:val="2FC4C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4B222B8"/>
    <w:multiLevelType w:val="hybridMultilevel"/>
    <w:tmpl w:val="702004A0"/>
    <w:lvl w:ilvl="0">
      <w:start w:val="5"/>
      <w:numFmt w:val="lowerLetter"/>
      <w:lvlText w:val="%1)"/>
      <w:lvlJc w:val="left"/>
      <w:pPr>
        <w:ind w:left="144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78052A42"/>
    <w:multiLevelType w:val="hybridMultilevel"/>
    <w:tmpl w:val="F51E34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C77278D"/>
    <w:multiLevelType w:val="hybridMultilevel"/>
    <w:tmpl w:val="E8D866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EE01F7A"/>
    <w:multiLevelType w:val="hybridMultilevel"/>
    <w:tmpl w:val="6F127056"/>
    <w:lvl w:ilvl="0">
      <w:start w:val="1"/>
      <w:numFmt w:val="decimal"/>
      <w:lvlText w:val="%1."/>
      <w:lvlJc w:val="left"/>
      <w:pPr>
        <w:ind w:left="10005" w:hanging="360"/>
      </w:pPr>
    </w:lvl>
    <w:lvl w:ilvl="1" w:tentative="1">
      <w:start w:val="1"/>
      <w:numFmt w:val="lowerLetter"/>
      <w:lvlText w:val="%2."/>
      <w:lvlJc w:val="left"/>
      <w:pPr>
        <w:ind w:left="10725" w:hanging="360"/>
      </w:pPr>
    </w:lvl>
    <w:lvl w:ilvl="2" w:tentative="1">
      <w:start w:val="1"/>
      <w:numFmt w:val="lowerRoman"/>
      <w:lvlText w:val="%3."/>
      <w:lvlJc w:val="right"/>
      <w:pPr>
        <w:ind w:left="11445" w:hanging="180"/>
      </w:pPr>
    </w:lvl>
    <w:lvl w:ilvl="3" w:tentative="1">
      <w:start w:val="1"/>
      <w:numFmt w:val="decimal"/>
      <w:lvlText w:val="%4."/>
      <w:lvlJc w:val="left"/>
      <w:pPr>
        <w:ind w:left="12165" w:hanging="360"/>
      </w:pPr>
    </w:lvl>
    <w:lvl w:ilvl="4" w:tentative="1">
      <w:start w:val="1"/>
      <w:numFmt w:val="lowerLetter"/>
      <w:lvlText w:val="%5."/>
      <w:lvlJc w:val="left"/>
      <w:pPr>
        <w:ind w:left="12885" w:hanging="360"/>
      </w:pPr>
    </w:lvl>
    <w:lvl w:ilvl="5" w:tentative="1">
      <w:start w:val="1"/>
      <w:numFmt w:val="lowerRoman"/>
      <w:lvlText w:val="%6."/>
      <w:lvlJc w:val="right"/>
      <w:pPr>
        <w:ind w:left="13605" w:hanging="180"/>
      </w:pPr>
    </w:lvl>
    <w:lvl w:ilvl="6" w:tentative="1">
      <w:start w:val="1"/>
      <w:numFmt w:val="decimal"/>
      <w:lvlText w:val="%7."/>
      <w:lvlJc w:val="left"/>
      <w:pPr>
        <w:ind w:left="14325" w:hanging="360"/>
      </w:pPr>
    </w:lvl>
    <w:lvl w:ilvl="7" w:tentative="1">
      <w:start w:val="1"/>
      <w:numFmt w:val="lowerLetter"/>
      <w:lvlText w:val="%8."/>
      <w:lvlJc w:val="left"/>
      <w:pPr>
        <w:ind w:left="15045" w:hanging="360"/>
      </w:pPr>
    </w:lvl>
    <w:lvl w:ilvl="8" w:tentative="1">
      <w:start w:val="1"/>
      <w:numFmt w:val="lowerRoman"/>
      <w:lvlText w:val="%9."/>
      <w:lvlJc w:val="right"/>
      <w:pPr>
        <w:ind w:left="15765" w:hanging="180"/>
      </w:pPr>
    </w:lvl>
  </w:abstractNum>
  <w:num w:numId="1">
    <w:abstractNumId w:val="8"/>
  </w:num>
  <w:num w:numId="2">
    <w:abstractNumId w:val="35"/>
  </w:num>
  <w:num w:numId="3">
    <w:abstractNumId w:val="27"/>
  </w:num>
  <w:num w:numId="4">
    <w:abstractNumId w:val="22"/>
  </w:num>
  <w:num w:numId="5">
    <w:abstractNumId w:val="21"/>
  </w:num>
  <w:num w:numId="6">
    <w:abstractNumId w:val="32"/>
  </w:num>
  <w:num w:numId="7">
    <w:abstractNumId w:val="36"/>
  </w:num>
  <w:num w:numId="8">
    <w:abstractNumId w:val="13"/>
  </w:num>
  <w:num w:numId="9">
    <w:abstractNumId w:val="15"/>
  </w:num>
  <w:num w:numId="10">
    <w:abstractNumId w:val="12"/>
  </w:num>
  <w:num w:numId="11">
    <w:abstractNumId w:val="29"/>
  </w:num>
  <w:num w:numId="12">
    <w:abstractNumId w:val="11"/>
  </w:num>
  <w:num w:numId="13">
    <w:abstractNumId w:val="3"/>
  </w:num>
  <w:num w:numId="14">
    <w:abstractNumId w:val="33"/>
  </w:num>
  <w:num w:numId="15">
    <w:abstractNumId w:val="7"/>
  </w:num>
  <w:num w:numId="16">
    <w:abstractNumId w:val="6"/>
  </w:num>
  <w:num w:numId="17">
    <w:abstractNumId w:val="14"/>
  </w:num>
  <w:num w:numId="18">
    <w:abstractNumId w:val="34"/>
  </w:num>
  <w:num w:numId="19">
    <w:abstractNumId w:val="0"/>
  </w:num>
  <w:num w:numId="20">
    <w:abstractNumId w:val="5"/>
  </w:num>
  <w:num w:numId="21">
    <w:abstractNumId w:val="16"/>
  </w:num>
  <w:num w:numId="22">
    <w:abstractNumId w:val="4"/>
  </w:num>
  <w:num w:numId="23">
    <w:abstractNumId w:val="18"/>
  </w:num>
  <w:num w:numId="24">
    <w:abstractNumId w:val="9"/>
  </w:num>
  <w:num w:numId="25">
    <w:abstractNumId w:val="26"/>
  </w:num>
  <w:num w:numId="26">
    <w:abstractNumId w:val="28"/>
  </w:num>
  <w:num w:numId="27">
    <w:abstractNumId w:val="17"/>
  </w:num>
  <w:num w:numId="28">
    <w:abstractNumId w:val="20"/>
  </w:num>
  <w:num w:numId="29">
    <w:abstractNumId w:val="24"/>
  </w:num>
  <w:num w:numId="30">
    <w:abstractNumId w:val="23"/>
  </w:num>
  <w:num w:numId="31">
    <w:abstractNumId w:val="1"/>
  </w:num>
  <w:num w:numId="32">
    <w:abstractNumId w:val="10"/>
  </w:num>
  <w:num w:numId="33">
    <w:abstractNumId w:val="2"/>
  </w:num>
  <w:num w:numId="34">
    <w:abstractNumId w:val="30"/>
  </w:num>
  <w:num w:numId="35">
    <w:abstractNumId w:val="25"/>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1D"/>
    <w:rsid w:val="000203FB"/>
    <w:rsid w:val="00026DCB"/>
    <w:rsid w:val="00046568"/>
    <w:rsid w:val="000B186B"/>
    <w:rsid w:val="000C759F"/>
    <w:rsid w:val="000D170F"/>
    <w:rsid w:val="001110F1"/>
    <w:rsid w:val="00111421"/>
    <w:rsid w:val="00130CBC"/>
    <w:rsid w:val="00130FB3"/>
    <w:rsid w:val="001374EB"/>
    <w:rsid w:val="001475AA"/>
    <w:rsid w:val="001557EE"/>
    <w:rsid w:val="0018543F"/>
    <w:rsid w:val="00194244"/>
    <w:rsid w:val="001C2AD7"/>
    <w:rsid w:val="001F5CB7"/>
    <w:rsid w:val="002119D0"/>
    <w:rsid w:val="00241B14"/>
    <w:rsid w:val="00241F98"/>
    <w:rsid w:val="0024723F"/>
    <w:rsid w:val="002735F2"/>
    <w:rsid w:val="002A4912"/>
    <w:rsid w:val="002B657C"/>
    <w:rsid w:val="002C33EC"/>
    <w:rsid w:val="002D12DF"/>
    <w:rsid w:val="002D2C87"/>
    <w:rsid w:val="002D4AF9"/>
    <w:rsid w:val="002F7CB3"/>
    <w:rsid w:val="00307801"/>
    <w:rsid w:val="00313A56"/>
    <w:rsid w:val="003265E7"/>
    <w:rsid w:val="00334FE2"/>
    <w:rsid w:val="00344EE5"/>
    <w:rsid w:val="003621D7"/>
    <w:rsid w:val="00395FCA"/>
    <w:rsid w:val="003B7CB6"/>
    <w:rsid w:val="003D6AB7"/>
    <w:rsid w:val="003D7EFF"/>
    <w:rsid w:val="0041348E"/>
    <w:rsid w:val="00432411"/>
    <w:rsid w:val="00434BB5"/>
    <w:rsid w:val="004373C7"/>
    <w:rsid w:val="00447227"/>
    <w:rsid w:val="00456721"/>
    <w:rsid w:val="00461195"/>
    <w:rsid w:val="00471292"/>
    <w:rsid w:val="004731A7"/>
    <w:rsid w:val="00474A9F"/>
    <w:rsid w:val="004C5047"/>
    <w:rsid w:val="004E66AE"/>
    <w:rsid w:val="004F2DC7"/>
    <w:rsid w:val="00502907"/>
    <w:rsid w:val="00526C67"/>
    <w:rsid w:val="00554500"/>
    <w:rsid w:val="00565D01"/>
    <w:rsid w:val="005832B5"/>
    <w:rsid w:val="005A20BD"/>
    <w:rsid w:val="005B4EE1"/>
    <w:rsid w:val="005D3228"/>
    <w:rsid w:val="005E2203"/>
    <w:rsid w:val="00606072"/>
    <w:rsid w:val="00613841"/>
    <w:rsid w:val="00646B4F"/>
    <w:rsid w:val="0064758F"/>
    <w:rsid w:val="00681928"/>
    <w:rsid w:val="0069794F"/>
    <w:rsid w:val="006A4E16"/>
    <w:rsid w:val="006F5709"/>
    <w:rsid w:val="00703E3F"/>
    <w:rsid w:val="00720D3B"/>
    <w:rsid w:val="00797294"/>
    <w:rsid w:val="007A6E94"/>
    <w:rsid w:val="007D2A6D"/>
    <w:rsid w:val="007F2C6F"/>
    <w:rsid w:val="008052CB"/>
    <w:rsid w:val="00833A1D"/>
    <w:rsid w:val="0089097E"/>
    <w:rsid w:val="00897114"/>
    <w:rsid w:val="008D49AF"/>
    <w:rsid w:val="00903DA6"/>
    <w:rsid w:val="00907B2B"/>
    <w:rsid w:val="00921197"/>
    <w:rsid w:val="00957C8D"/>
    <w:rsid w:val="00A10319"/>
    <w:rsid w:val="00A254A3"/>
    <w:rsid w:val="00A37D4B"/>
    <w:rsid w:val="00AB71A8"/>
    <w:rsid w:val="00AD0FD5"/>
    <w:rsid w:val="00B023DA"/>
    <w:rsid w:val="00B31101"/>
    <w:rsid w:val="00B371D0"/>
    <w:rsid w:val="00B40899"/>
    <w:rsid w:val="00B56654"/>
    <w:rsid w:val="00B742C3"/>
    <w:rsid w:val="00B74BE7"/>
    <w:rsid w:val="00B84A43"/>
    <w:rsid w:val="00BF16E1"/>
    <w:rsid w:val="00C0281D"/>
    <w:rsid w:val="00C11F36"/>
    <w:rsid w:val="00C44E33"/>
    <w:rsid w:val="00C47E3F"/>
    <w:rsid w:val="00C54A3B"/>
    <w:rsid w:val="00C66CA0"/>
    <w:rsid w:val="00C77349"/>
    <w:rsid w:val="00C96921"/>
    <w:rsid w:val="00CB62DB"/>
    <w:rsid w:val="00D02253"/>
    <w:rsid w:val="00D107DF"/>
    <w:rsid w:val="00D20CBC"/>
    <w:rsid w:val="00D62C79"/>
    <w:rsid w:val="00DA37FF"/>
    <w:rsid w:val="00DB1AC2"/>
    <w:rsid w:val="00DC5262"/>
    <w:rsid w:val="00E111DE"/>
    <w:rsid w:val="00E11F4B"/>
    <w:rsid w:val="00E22867"/>
    <w:rsid w:val="00E3484A"/>
    <w:rsid w:val="00E5524F"/>
    <w:rsid w:val="00F03B6C"/>
    <w:rsid w:val="00F05710"/>
    <w:rsid w:val="00F853BC"/>
    <w:rsid w:val="00FB6DDF"/>
    <w:rsid w:val="00FC1215"/>
    <w:rsid w:val="00FD31A2"/>
    <w:rsid w:val="00FD4DF9"/>
    <w:rsid w:val="00FF6C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1D"/>
    <w:pPr>
      <w:spacing w:after="0" w:line="240" w:lineRule="auto"/>
    </w:pPr>
    <w:rPr>
      <w:rFonts w:ascii="Times New Roman" w:eastAsia="Times New Roman" w:hAnsi="Times New Roman" w:cs="Times New Roman"/>
      <w:szCs w:val="20"/>
    </w:rPr>
  </w:style>
  <w:style w:type="paragraph" w:styleId="Heading1">
    <w:name w:val="heading 1"/>
    <w:aliases w:val="1,1st level,Chapter Style,H1,H1-TS,Huvudrubrik,NMP Heading 1,Section of paper,h1,h11,h111,h112,h113,h12,h121,h122,h123,h13,h131,h132,h133,h14,h141,h142,h143,h15,h151,h152,h153,h16,h161,h162,h163,h17,h18,h19,level 1,título 1"/>
    <w:basedOn w:val="Normal"/>
    <w:next w:val="Normal"/>
    <w:link w:val="Heading1Char"/>
    <w:qFormat/>
    <w:rsid w:val="00C77349"/>
    <w:pPr>
      <w:keepNext/>
      <w:tabs>
        <w:tab w:val="left" w:pos="360"/>
        <w:tab w:val="left" w:pos="900"/>
      </w:tabs>
      <w:outlineLvl w:val="0"/>
    </w:pPr>
    <w:rPr>
      <w:b/>
      <w:bCs/>
      <w:sz w:val="24"/>
      <w:u w:val="single"/>
    </w:rPr>
  </w:style>
  <w:style w:type="paragraph" w:styleId="Heading2">
    <w:name w:val="heading 2"/>
    <w:basedOn w:val="Normal"/>
    <w:next w:val="Normal"/>
    <w:link w:val="Heading2Char"/>
    <w:autoRedefine/>
    <w:qFormat/>
    <w:rsid w:val="003D6AB7"/>
    <w:pPr>
      <w:keepNext/>
      <w:tabs>
        <w:tab w:val="num" w:pos="0"/>
      </w:tabs>
      <w:spacing w:before="240" w:after="60"/>
      <w:outlineLvl w:val="1"/>
    </w:pPr>
    <w:rPr>
      <w:rFonts w:cs="Arial"/>
      <w:b/>
      <w:bCs/>
      <w:iCs/>
      <w:sz w:val="24"/>
      <w:szCs w:val="28"/>
    </w:rPr>
  </w:style>
  <w:style w:type="paragraph" w:styleId="Heading3">
    <w:name w:val="heading 3"/>
    <w:basedOn w:val="Heading2"/>
    <w:next w:val="Normal"/>
    <w:link w:val="Heading3Char"/>
    <w:autoRedefine/>
    <w:qFormat/>
    <w:rsid w:val="003D6AB7"/>
    <w:pPr>
      <w:outlineLvl w:val="2"/>
    </w:pPr>
    <w:rPr>
      <w:bCs w:val="0"/>
      <w:szCs w:val="26"/>
    </w:rPr>
  </w:style>
  <w:style w:type="paragraph" w:styleId="Heading4">
    <w:name w:val="heading 4"/>
    <w:basedOn w:val="Normal"/>
    <w:next w:val="Normal"/>
    <w:link w:val="Heading4Char"/>
    <w:qFormat/>
    <w:rsid w:val="003D6AB7"/>
    <w:pPr>
      <w:keepNext/>
      <w:tabs>
        <w:tab w:val="left" w:pos="360"/>
        <w:tab w:val="left" w:pos="900"/>
      </w:tabs>
      <w:outlineLvl w:val="3"/>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Footer,Page No,encabezado,h,he,header,header odd,header odd1,header odd11,header odd12,header odd2,header odd21,header odd3,header odd4,header odd5,header odd6,header odd7,header odd8,header odd9,header1,header2,header3,header4,header5,ho"/>
    <w:basedOn w:val="Normal"/>
    <w:link w:val="HeaderChar1"/>
    <w:uiPriority w:val="99"/>
    <w:rsid w:val="00526C67"/>
    <w:pPr>
      <w:tabs>
        <w:tab w:val="center" w:pos="4320"/>
        <w:tab w:val="right" w:pos="8640"/>
      </w:tabs>
    </w:pPr>
    <w:rPr>
      <w:sz w:val="24"/>
      <w:szCs w:val="24"/>
    </w:rPr>
  </w:style>
  <w:style w:type="character" w:customStyle="1" w:styleId="HeaderChar">
    <w:name w:val="Header Char"/>
    <w:aliases w:val="header odd11 Char,header odd3 Char,header odd4 Char,header odd5 Char,header odd6 Char,header1 Char,header2 Char,header3 Char"/>
    <w:basedOn w:val="DefaultParagraphFont"/>
    <w:uiPriority w:val="99"/>
    <w:rsid w:val="00526C67"/>
    <w:rPr>
      <w:rFonts w:ascii="Times New Roman" w:eastAsia="Times New Roman" w:hAnsi="Times New Roman" w:cs="Times New Roman"/>
      <w:szCs w:val="20"/>
    </w:rPr>
  </w:style>
  <w:style w:type="character" w:customStyle="1" w:styleId="HeaderChar1">
    <w:name w:val="Header Char1"/>
    <w:aliases w:val="Header/Footer Char,Page No Char,encabezado Char,h Char,he Char,header Char,header odd Char,header odd1 Char,header odd11 Char1,header odd12 Char,header odd2 Char,header odd21 Char,header odd3 Char1,header odd4 Char1,header odd5 Char1"/>
    <w:basedOn w:val="DefaultParagraphFont"/>
    <w:link w:val="Header"/>
    <w:rsid w:val="00526C67"/>
    <w:rPr>
      <w:rFonts w:ascii="Times New Roman" w:eastAsia="Times New Roman" w:hAnsi="Times New Roman" w:cs="Times New Roman"/>
      <w:sz w:val="24"/>
      <w:szCs w:val="24"/>
    </w:rPr>
  </w:style>
  <w:style w:type="character" w:customStyle="1" w:styleId="Heading1Char">
    <w:name w:val="Heading 1 Char"/>
    <w:aliases w:val="1 Char,1st level Char,Chapter Style Char,H1 Char,H1-TS Char,Huvudrubrik Char,NMP Heading 1 Char,Section of paper Char,h1 Char,h11 Char,h111 Char,h112 Char,h113 Char,h12 Char,h121 Char,h122 Char,h123 Char,h13 Char,h131 Char,h132 Char"/>
    <w:basedOn w:val="DefaultParagraphFont"/>
    <w:link w:val="Heading1"/>
    <w:rsid w:val="00C77349"/>
    <w:rPr>
      <w:rFonts w:ascii="Times New Roman" w:eastAsia="Times New Roman" w:hAnsi="Times New Roman" w:cs="Times New Roman"/>
      <w:b/>
      <w:bCs/>
      <w:sz w:val="24"/>
      <w:szCs w:val="20"/>
      <w:u w:val="single"/>
    </w:rPr>
  </w:style>
  <w:style w:type="paragraph" w:styleId="Footer">
    <w:name w:val="footer"/>
    <w:aliases w:val="footer odd,footer odd1,footer odd11,footer odd12,footer odd2,footer odd21,footer odd22,footer odd3,footer odd4,footer odd41,footer odd42,footer odd6,footer1,footer11,footer12,footer2,footer21,footer22,footer4,footer5,footer51,footer52"/>
    <w:basedOn w:val="Normal"/>
    <w:link w:val="FooterChar"/>
    <w:uiPriority w:val="99"/>
    <w:rsid w:val="00C77349"/>
    <w:pPr>
      <w:tabs>
        <w:tab w:val="center" w:pos="4320"/>
        <w:tab w:val="right" w:pos="8640"/>
      </w:tabs>
    </w:pPr>
    <w:rPr>
      <w:sz w:val="24"/>
      <w:szCs w:val="24"/>
    </w:rPr>
  </w:style>
  <w:style w:type="character" w:customStyle="1" w:styleId="FooterChar">
    <w:name w:val="Footer Char"/>
    <w:aliases w:val="footer odd Char,footer odd1 Char,footer odd11 Char,footer odd12 Char,footer odd2 Char,footer odd21 Char,footer odd22 Char,footer odd3 Char,footer odd4 Char,footer odd41 Char,footer odd42 Char,footer odd6 Char,footer1 Char,footer11 Char"/>
    <w:basedOn w:val="DefaultParagraphFont"/>
    <w:link w:val="Footer"/>
    <w:uiPriority w:val="99"/>
    <w:rsid w:val="00C77349"/>
    <w:rPr>
      <w:rFonts w:ascii="Times New Roman" w:eastAsia="Times New Roman" w:hAnsi="Times New Roman" w:cs="Times New Roman"/>
      <w:sz w:val="24"/>
      <w:szCs w:val="24"/>
    </w:rPr>
  </w:style>
  <w:style w:type="character" w:styleId="Hyperlink">
    <w:name w:val="Hyperlink"/>
    <w:rsid w:val="00C77349"/>
    <w:rPr>
      <w:rFonts w:cs="Times New Roman"/>
      <w:color w:val="0000FF"/>
      <w:u w:val="single"/>
    </w:rPr>
  </w:style>
  <w:style w:type="paragraph" w:styleId="PlainText">
    <w:name w:val="Plain Text"/>
    <w:basedOn w:val="Normal"/>
    <w:link w:val="PlainTextChar"/>
    <w:uiPriority w:val="99"/>
    <w:rsid w:val="00C77349"/>
    <w:rPr>
      <w:rFonts w:ascii="Courier New" w:hAnsi="Courier New" w:cs="Courier New"/>
      <w:sz w:val="20"/>
    </w:rPr>
  </w:style>
  <w:style w:type="character" w:customStyle="1" w:styleId="PlainTextChar">
    <w:name w:val="Plain Text Char"/>
    <w:basedOn w:val="DefaultParagraphFont"/>
    <w:link w:val="PlainText"/>
    <w:uiPriority w:val="99"/>
    <w:rsid w:val="00C77349"/>
    <w:rPr>
      <w:rFonts w:ascii="Courier New" w:eastAsia="Times New Roman" w:hAnsi="Courier New" w:cs="Courier New"/>
      <w:sz w:val="20"/>
      <w:szCs w:val="20"/>
    </w:rPr>
  </w:style>
  <w:style w:type="paragraph" w:styleId="ListParagraph">
    <w:name w:val="List Paragraph"/>
    <w:basedOn w:val="Normal"/>
    <w:link w:val="ListParagraphChar"/>
    <w:qFormat/>
    <w:rsid w:val="00C77349"/>
    <w:pPr>
      <w:tabs>
        <w:tab w:val="left" w:pos="576"/>
        <w:tab w:val="left" w:pos="792"/>
        <w:tab w:val="left" w:pos="1008"/>
        <w:tab w:val="left" w:pos="1224"/>
        <w:tab w:val="left" w:pos="1440"/>
      </w:tabs>
      <w:ind w:left="720"/>
      <w:contextualSpacing/>
    </w:pPr>
    <w:rPr>
      <w:rFonts w:eastAsia="Calibri"/>
      <w:sz w:val="24"/>
      <w:szCs w:val="22"/>
    </w:rPr>
  </w:style>
  <w:style w:type="paragraph" w:styleId="Subtitle">
    <w:name w:val="Subtitle"/>
    <w:basedOn w:val="Normal"/>
    <w:link w:val="SubtitleChar"/>
    <w:uiPriority w:val="11"/>
    <w:qFormat/>
    <w:rsid w:val="00C0281D"/>
    <w:pPr>
      <w:widowControl w:val="0"/>
      <w:tabs>
        <w:tab w:val="left" w:pos="360"/>
        <w:tab w:val="left" w:pos="576"/>
        <w:tab w:val="left" w:pos="792"/>
        <w:tab w:val="left" w:pos="1008"/>
        <w:tab w:val="left" w:pos="1224"/>
        <w:tab w:val="left" w:pos="1440"/>
      </w:tabs>
      <w:autoSpaceDE w:val="0"/>
      <w:autoSpaceDN w:val="0"/>
      <w:adjustRightInd w:val="0"/>
      <w:spacing w:after="60"/>
      <w:jc w:val="center"/>
    </w:pPr>
    <w:rPr>
      <w:rFonts w:ascii="Arial" w:hAnsi="Arial"/>
      <w:szCs w:val="24"/>
    </w:rPr>
  </w:style>
  <w:style w:type="character" w:customStyle="1" w:styleId="SubtitleChar">
    <w:name w:val="Subtitle Char"/>
    <w:basedOn w:val="DefaultParagraphFont"/>
    <w:link w:val="Subtitle"/>
    <w:uiPriority w:val="11"/>
    <w:rsid w:val="00C0281D"/>
    <w:rPr>
      <w:rFonts w:ascii="Arial" w:eastAsia="Times New Roman" w:hAnsi="Arial" w:cs="Times New Roman"/>
      <w:szCs w:val="24"/>
    </w:rPr>
  </w:style>
  <w:style w:type="character" w:customStyle="1" w:styleId="Heading2Char">
    <w:name w:val="Heading 2 Char"/>
    <w:basedOn w:val="DefaultParagraphFont"/>
    <w:link w:val="Heading2"/>
    <w:rsid w:val="003D6AB7"/>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D6AB7"/>
    <w:rPr>
      <w:rFonts w:ascii="Times New Roman" w:eastAsia="Times New Roman" w:hAnsi="Times New Roman" w:cs="Arial"/>
      <w:b/>
      <w:iCs/>
      <w:sz w:val="24"/>
      <w:szCs w:val="26"/>
    </w:rPr>
  </w:style>
  <w:style w:type="character" w:customStyle="1" w:styleId="Heading4Char">
    <w:name w:val="Heading 4 Char"/>
    <w:basedOn w:val="DefaultParagraphFont"/>
    <w:link w:val="Heading4"/>
    <w:rsid w:val="003D6AB7"/>
    <w:rPr>
      <w:rFonts w:ascii="Times New Roman" w:eastAsia="Times New Roman" w:hAnsi="Times New Roman" w:cs="Times New Roman"/>
      <w:i/>
      <w:iCs/>
      <w:sz w:val="24"/>
      <w:szCs w:val="20"/>
    </w:rPr>
  </w:style>
  <w:style w:type="paragraph" w:customStyle="1" w:styleId="ParaNum">
    <w:name w:val="ParaNum"/>
    <w:basedOn w:val="Normal"/>
    <w:rsid w:val="003D6AB7"/>
    <w:pPr>
      <w:widowControl w:val="0"/>
      <w:tabs>
        <w:tab w:val="left" w:pos="1440"/>
      </w:tabs>
      <w:spacing w:after="220"/>
      <w:ind w:firstLine="720"/>
      <w:jc w:val="both"/>
    </w:pPr>
  </w:style>
  <w:style w:type="paragraph" w:styleId="BodyText">
    <w:name w:val="Body Text"/>
    <w:basedOn w:val="Normal"/>
    <w:link w:val="BodyTextChar"/>
    <w:rsid w:val="003D6AB7"/>
    <w:pPr>
      <w:tabs>
        <w:tab w:val="left" w:pos="360"/>
        <w:tab w:val="left" w:pos="900"/>
      </w:tabs>
    </w:pPr>
    <w:rPr>
      <w:i/>
      <w:iCs/>
      <w:sz w:val="24"/>
      <w:lang w:val="x-none" w:eastAsia="x-none"/>
    </w:rPr>
  </w:style>
  <w:style w:type="character" w:customStyle="1" w:styleId="BodyTextChar">
    <w:name w:val="Body Text Char"/>
    <w:basedOn w:val="DefaultParagraphFont"/>
    <w:link w:val="BodyText"/>
    <w:rsid w:val="003D6AB7"/>
    <w:rPr>
      <w:rFonts w:ascii="Times New Roman" w:eastAsia="Times New Roman" w:hAnsi="Times New Roman" w:cs="Times New Roman"/>
      <w:i/>
      <w:iCs/>
      <w:sz w:val="24"/>
      <w:szCs w:val="20"/>
      <w:lang w:val="x-none" w:eastAsia="x-none"/>
    </w:rPr>
  </w:style>
  <w:style w:type="paragraph" w:customStyle="1" w:styleId="Default">
    <w:name w:val="Default"/>
    <w:rsid w:val="003D6A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D6A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3D6AB7"/>
    <w:pPr>
      <w:ind w:left="720"/>
    </w:pPr>
    <w:rPr>
      <w:sz w:val="24"/>
      <w:szCs w:val="24"/>
    </w:rPr>
  </w:style>
  <w:style w:type="paragraph" w:customStyle="1" w:styleId="enumlev1">
    <w:name w:val="enumlev1"/>
    <w:basedOn w:val="Normal"/>
    <w:link w:val="enumlev1Char"/>
    <w:rsid w:val="003D6AB7"/>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eastAsia="x-none"/>
    </w:rPr>
  </w:style>
  <w:style w:type="character" w:customStyle="1" w:styleId="enumlev1Char">
    <w:name w:val="enumlev1 Char"/>
    <w:link w:val="enumlev1"/>
    <w:rsid w:val="003D6AB7"/>
    <w:rPr>
      <w:rFonts w:ascii="Times New Roman" w:eastAsia="Times New Roman" w:hAnsi="Times New Roman" w:cs="Times New Roman"/>
      <w:sz w:val="24"/>
      <w:szCs w:val="20"/>
      <w:lang w:val="en-GB" w:eastAsia="x-none"/>
    </w:rPr>
  </w:style>
  <w:style w:type="paragraph" w:customStyle="1" w:styleId="Head">
    <w:name w:val="Head"/>
    <w:basedOn w:val="Normal"/>
    <w:rsid w:val="003D6AB7"/>
    <w:pPr>
      <w:tabs>
        <w:tab w:val="left" w:pos="993"/>
        <w:tab w:val="center" w:pos="9072"/>
      </w:tabs>
    </w:pPr>
    <w:rPr>
      <w:sz w:val="24"/>
      <w:lang w:val="en-GB"/>
    </w:rPr>
  </w:style>
  <w:style w:type="paragraph" w:customStyle="1" w:styleId="ArtNo">
    <w:name w:val="Art_No"/>
    <w:basedOn w:val="Normal"/>
    <w:next w:val="Normal"/>
    <w:link w:val="ArtNoChar"/>
    <w:rsid w:val="003D6AB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eastAsia="x-none"/>
    </w:rPr>
  </w:style>
  <w:style w:type="character" w:customStyle="1" w:styleId="ArtNoChar">
    <w:name w:val="Art_No Char"/>
    <w:link w:val="ArtNo"/>
    <w:locked/>
    <w:rsid w:val="003D6AB7"/>
    <w:rPr>
      <w:rFonts w:ascii="Times New Roman" w:eastAsia="Times New Roman" w:hAnsi="Times New Roman" w:cs="Times New Roman"/>
      <w:caps/>
      <w:sz w:val="28"/>
      <w:szCs w:val="20"/>
      <w:lang w:val="en-GB" w:eastAsia="x-none"/>
    </w:rPr>
  </w:style>
  <w:style w:type="paragraph" w:customStyle="1" w:styleId="Arttitle">
    <w:name w:val="Art_title"/>
    <w:basedOn w:val="Normal"/>
    <w:next w:val="Normal"/>
    <w:link w:val="ArttitleCar"/>
    <w:rsid w:val="003D6AB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eastAsia="x-none"/>
    </w:rPr>
  </w:style>
  <w:style w:type="character" w:customStyle="1" w:styleId="ArttitleCar">
    <w:name w:val="Art_title Car"/>
    <w:link w:val="Arttitle"/>
    <w:rsid w:val="003D6AB7"/>
    <w:rPr>
      <w:rFonts w:ascii="Times New Roman" w:eastAsia="Times New Roman" w:hAnsi="Times New Roman" w:cs="Times New Roman"/>
      <w:b/>
      <w:sz w:val="28"/>
      <w:szCs w:val="20"/>
      <w:lang w:val="en-GB" w:eastAsia="x-none"/>
    </w:rPr>
  </w:style>
  <w:style w:type="character" w:customStyle="1" w:styleId="href">
    <w:name w:val="href"/>
    <w:rsid w:val="003D6AB7"/>
  </w:style>
  <w:style w:type="paragraph" w:customStyle="1" w:styleId="Section1">
    <w:name w:val="Section_1"/>
    <w:basedOn w:val="Normal"/>
    <w:link w:val="Section1Char"/>
    <w:rsid w:val="003D6AB7"/>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3D6AB7"/>
    <w:rPr>
      <w:rFonts w:ascii="Times New Roman" w:hAnsi="Times New Roman"/>
      <w:b/>
    </w:rPr>
  </w:style>
  <w:style w:type="character" w:customStyle="1" w:styleId="Artref">
    <w:name w:val="Art_ref"/>
    <w:rsid w:val="003D6AB7"/>
  </w:style>
  <w:style w:type="paragraph" w:styleId="FootnoteText">
    <w:name w:val="footnote text"/>
    <w:aliases w:val="ALTS FOOTNOTE,DNV-FT,Footnote Text Char Char1,Footnote Text Char Char1 Char1 Char Char,Footnote Text Char1,Footnote Text Char1 Char1 Char1 Char,Footnote Text Char1 Char1 Char1 Char Char Char1,Footnote Text Char4 Char Char,footnote text"/>
    <w:basedOn w:val="Normal"/>
    <w:link w:val="FootnoteTextChar"/>
    <w:uiPriority w:val="99"/>
    <w:unhideWhenUsed/>
    <w:rsid w:val="003D6AB7"/>
    <w:rPr>
      <w:sz w:val="20"/>
    </w:rPr>
  </w:style>
  <w:style w:type="character" w:customStyle="1" w:styleId="FootnoteTextChar">
    <w:name w:val="Footnote Text Char"/>
    <w:aliases w:val="ALTS FOOTNOTE Char,DNV-FT Char,Footnote Text Char Char1 Char,Footnote Text Char Char1 Char1 Char Char Char,Footnote Text Char1 Char,Footnote Text Char1 Char1 Char1 Char Char,Footnote Text Char1 Char1 Char1 Char Char Char1 Char"/>
    <w:basedOn w:val="DefaultParagraphFont"/>
    <w:link w:val="FootnoteText"/>
    <w:uiPriority w:val="99"/>
    <w:rsid w:val="003D6AB7"/>
    <w:rPr>
      <w:rFonts w:ascii="Times New Roman" w:eastAsia="Times New Roman" w:hAnsi="Times New Roman" w:cs="Times New Roman"/>
      <w:sz w:val="20"/>
      <w:szCs w:val="20"/>
    </w:rPr>
  </w:style>
  <w:style w:type="character" w:styleId="FootnoteReference">
    <w:name w:val="footnote reference"/>
    <w:aliases w:val="(NECG) Footnote Reference,Appel note de bas de p,Appel note de bas de p + 11 pt,Appel note de bas de p1,Appel note de bas de p2,FR,Footnote,Footnote Reference/,Footnote symbol,Italic,R,Style 12,Style 124,Style 13,Style 17,Style 3,fr,o"/>
    <w:unhideWhenUsed/>
    <w:qFormat/>
    <w:rsid w:val="003D6AB7"/>
    <w:rPr>
      <w:vertAlign w:val="superscript"/>
    </w:rPr>
  </w:style>
  <w:style w:type="paragraph" w:styleId="BalloonText">
    <w:name w:val="Balloon Text"/>
    <w:basedOn w:val="Normal"/>
    <w:link w:val="BalloonTextChar"/>
    <w:rsid w:val="003D6AB7"/>
    <w:rPr>
      <w:rFonts w:ascii="Tahoma" w:hAnsi="Tahoma" w:cs="Tahoma"/>
      <w:sz w:val="16"/>
      <w:szCs w:val="16"/>
    </w:rPr>
  </w:style>
  <w:style w:type="character" w:customStyle="1" w:styleId="BalloonTextChar">
    <w:name w:val="Balloon Text Char"/>
    <w:basedOn w:val="DefaultParagraphFont"/>
    <w:link w:val="BalloonText"/>
    <w:rsid w:val="003D6AB7"/>
    <w:rPr>
      <w:rFonts w:ascii="Tahoma" w:eastAsia="Times New Roman" w:hAnsi="Tahoma" w:cs="Tahoma"/>
      <w:sz w:val="16"/>
      <w:szCs w:val="16"/>
    </w:rPr>
  </w:style>
  <w:style w:type="paragraph" w:customStyle="1" w:styleId="Tabletitle">
    <w:name w:val="Table_title"/>
    <w:basedOn w:val="Normal"/>
    <w:next w:val="Normal"/>
    <w:link w:val="TabletitleChar"/>
    <w:rsid w:val="003D6AB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3D6AB7"/>
    <w:rPr>
      <w:rFonts w:ascii="Times New Roman" w:eastAsia="Times New Roman" w:hAnsi="Times New Roman" w:cs="Times New Roman"/>
      <w:b/>
      <w:sz w:val="24"/>
      <w:szCs w:val="24"/>
      <w:lang w:val="fr-FR"/>
    </w:rPr>
  </w:style>
  <w:style w:type="character" w:customStyle="1" w:styleId="Tablefreq">
    <w:name w:val="Table_freq"/>
    <w:rsid w:val="003D6AB7"/>
    <w:rPr>
      <w:b/>
      <w:color w:val="FFCC00"/>
    </w:rPr>
  </w:style>
  <w:style w:type="paragraph" w:customStyle="1" w:styleId="TableTextS5">
    <w:name w:val="Table_TextS5"/>
    <w:basedOn w:val="Normal"/>
    <w:link w:val="TableTextS5Char"/>
    <w:rsid w:val="003D6AB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3D6AB7"/>
    <w:pPr>
      <w:overflowPunct w:val="0"/>
      <w:autoSpaceDE w:val="0"/>
      <w:autoSpaceDN w:val="0"/>
      <w:adjustRightInd w:val="0"/>
      <w:spacing w:before="80" w:after="80"/>
      <w:jc w:val="center"/>
      <w:textAlignment w:val="baseline"/>
    </w:pPr>
    <w:rPr>
      <w:b/>
      <w:sz w:val="20"/>
      <w:lang w:val="fr-FR"/>
    </w:rPr>
  </w:style>
  <w:style w:type="paragraph" w:styleId="Title">
    <w:name w:val="Title"/>
    <w:basedOn w:val="Normal"/>
    <w:link w:val="TitleChar"/>
    <w:qFormat/>
    <w:rsid w:val="003D6AB7"/>
    <w:pPr>
      <w:jc w:val="center"/>
    </w:pPr>
    <w:rPr>
      <w:b/>
      <w:bCs/>
      <w:sz w:val="24"/>
      <w:szCs w:val="24"/>
    </w:rPr>
  </w:style>
  <w:style w:type="character" w:customStyle="1" w:styleId="TitleChar">
    <w:name w:val="Title Char"/>
    <w:basedOn w:val="DefaultParagraphFont"/>
    <w:link w:val="Title"/>
    <w:rsid w:val="003D6AB7"/>
    <w:rPr>
      <w:rFonts w:ascii="Times New Roman" w:eastAsia="Times New Roman" w:hAnsi="Times New Roman" w:cs="Times New Roman"/>
      <w:b/>
      <w:bCs/>
      <w:sz w:val="24"/>
      <w:szCs w:val="24"/>
    </w:rPr>
  </w:style>
  <w:style w:type="paragraph" w:customStyle="1" w:styleId="Note">
    <w:name w:val="Note"/>
    <w:basedOn w:val="Normal"/>
    <w:link w:val="NoteChar"/>
    <w:rsid w:val="003D6AB7"/>
    <w:pPr>
      <w:tabs>
        <w:tab w:val="left" w:pos="284"/>
        <w:tab w:val="left" w:pos="1134"/>
        <w:tab w:val="left" w:pos="1871"/>
        <w:tab w:val="left" w:pos="2268"/>
      </w:tabs>
      <w:overflowPunct w:val="0"/>
      <w:autoSpaceDE w:val="0"/>
      <w:autoSpaceDN w:val="0"/>
      <w:adjustRightInd w:val="0"/>
      <w:spacing w:before="160"/>
      <w:jc w:val="both"/>
      <w:textAlignment w:val="baseline"/>
    </w:pPr>
    <w:rPr>
      <w:sz w:val="20"/>
      <w:lang w:val="fr-FR"/>
    </w:rPr>
  </w:style>
  <w:style w:type="character" w:customStyle="1" w:styleId="NoteChar">
    <w:name w:val="Note Char"/>
    <w:link w:val="Note"/>
    <w:rsid w:val="003D6AB7"/>
    <w:rPr>
      <w:rFonts w:ascii="Times New Roman" w:eastAsia="Times New Roman" w:hAnsi="Times New Roman" w:cs="Times New Roman"/>
      <w:sz w:val="20"/>
      <w:szCs w:val="20"/>
      <w:lang w:val="fr-FR"/>
    </w:rPr>
  </w:style>
  <w:style w:type="paragraph" w:customStyle="1" w:styleId="Proposal">
    <w:name w:val="Proposal"/>
    <w:basedOn w:val="Normal"/>
    <w:next w:val="Normal"/>
    <w:link w:val="ProposalChar"/>
    <w:rsid w:val="003D6AB7"/>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3D6AB7"/>
    <w:rPr>
      <w:rFonts w:ascii="Times New Roman" w:eastAsia="Times New Roman" w:hAnsi="Times New Roman" w:cs="Times New Roman"/>
      <w:sz w:val="24"/>
      <w:szCs w:val="20"/>
      <w:lang w:val="en-GB"/>
    </w:rPr>
  </w:style>
  <w:style w:type="character" w:customStyle="1" w:styleId="Section1Char">
    <w:name w:val="Section_1 Char"/>
    <w:link w:val="Section1"/>
    <w:locked/>
    <w:rsid w:val="003D6AB7"/>
    <w:rPr>
      <w:rFonts w:ascii="Times New Roman" w:eastAsia="Times New Roman" w:hAnsi="Times New Roman" w:cs="Times New Roman"/>
      <w:b/>
      <w:sz w:val="24"/>
      <w:szCs w:val="20"/>
      <w:lang w:val="en-GB"/>
    </w:rPr>
  </w:style>
  <w:style w:type="paragraph" w:customStyle="1" w:styleId="Note2">
    <w:name w:val="Note2"/>
    <w:basedOn w:val="Normal"/>
    <w:link w:val="Note2Char"/>
    <w:qFormat/>
    <w:rsid w:val="003D6AB7"/>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val="en-GB" w:eastAsia="x-none"/>
    </w:rPr>
  </w:style>
  <w:style w:type="character" w:customStyle="1" w:styleId="Note2Char">
    <w:name w:val="Note2 Char"/>
    <w:link w:val="Note2"/>
    <w:rsid w:val="003D6AB7"/>
    <w:rPr>
      <w:rFonts w:ascii="Times New Roman" w:eastAsia="Times New Roman" w:hAnsi="Times New Roman" w:cs="Times New Roman"/>
      <w:sz w:val="20"/>
      <w:szCs w:val="16"/>
      <w:lang w:val="en-GB" w:eastAsia="x-none"/>
    </w:rPr>
  </w:style>
  <w:style w:type="character" w:customStyle="1" w:styleId="TableheadChar">
    <w:name w:val="Table_head Char"/>
    <w:link w:val="Tablehead"/>
    <w:locked/>
    <w:rsid w:val="003D6AB7"/>
    <w:rPr>
      <w:rFonts w:ascii="Times New Roman" w:eastAsia="Times New Roman" w:hAnsi="Times New Roman" w:cs="Times New Roman"/>
      <w:b/>
      <w:sz w:val="20"/>
      <w:szCs w:val="20"/>
      <w:lang w:val="fr-FR"/>
    </w:rPr>
  </w:style>
  <w:style w:type="character" w:customStyle="1" w:styleId="TableTextS5Char">
    <w:name w:val="Table_TextS5 Char"/>
    <w:link w:val="TableTextS5"/>
    <w:rsid w:val="003D6AB7"/>
    <w:rPr>
      <w:rFonts w:ascii="Times New Roman" w:eastAsia="Times New Roman" w:hAnsi="Times New Roman" w:cs="Times New Roman"/>
      <w:sz w:val="20"/>
      <w:szCs w:val="20"/>
      <w:lang w:val="fr-FR"/>
    </w:rPr>
  </w:style>
  <w:style w:type="paragraph" w:customStyle="1" w:styleId="RepNo">
    <w:name w:val="Rep_No"/>
    <w:basedOn w:val="Normal"/>
    <w:next w:val="Normal"/>
    <w:rsid w:val="003D6AB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link w:val="RestitleChar"/>
    <w:rsid w:val="003D6AB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legend">
    <w:name w:val="Table_legend"/>
    <w:basedOn w:val="TableText"/>
    <w:link w:val="TablelegendChar"/>
    <w:rsid w:val="003D6AB7"/>
    <w:pPr>
      <w:keepNext w:val="0"/>
      <w:tabs>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val="0"/>
      <w:autoSpaceDN w:val="0"/>
      <w:adjustRightInd w:val="0"/>
      <w:spacing w:before="120" w:after="40" w:line="240" w:lineRule="auto"/>
      <w:jc w:val="left"/>
      <w:textAlignment w:val="baseline"/>
    </w:pPr>
    <w:rPr>
      <w:sz w:val="20"/>
      <w:lang w:eastAsia="x-none"/>
    </w:rPr>
  </w:style>
  <w:style w:type="paragraph" w:customStyle="1" w:styleId="TableNo">
    <w:name w:val="Table_No"/>
    <w:basedOn w:val="Normal"/>
    <w:next w:val="Tabletitle"/>
    <w:link w:val="TableNoChar"/>
    <w:rsid w:val="003D6AB7"/>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eastAsia="x-none"/>
    </w:rPr>
  </w:style>
  <w:style w:type="character" w:customStyle="1" w:styleId="TableNoChar">
    <w:name w:val="Table_No Char"/>
    <w:link w:val="TableNo"/>
    <w:locked/>
    <w:rsid w:val="003D6AB7"/>
    <w:rPr>
      <w:rFonts w:ascii="Times New Roman" w:eastAsia="Times New Roman" w:hAnsi="Times New Roman" w:cs="Times New Roman"/>
      <w:caps/>
      <w:sz w:val="20"/>
      <w:szCs w:val="20"/>
      <w:lang w:val="en-GB" w:eastAsia="x-none"/>
    </w:rPr>
  </w:style>
  <w:style w:type="paragraph" w:customStyle="1" w:styleId="TableText">
    <w:name w:val="Table_Text"/>
    <w:basedOn w:val="Normal"/>
    <w:rsid w:val="003D6AB7"/>
    <w:pPr>
      <w:keepNext/>
      <w:tabs>
        <w:tab w:val="left" w:pos="1134"/>
        <w:tab w:val="left" w:pos="1871"/>
        <w:tab w:val="left" w:pos="2268"/>
      </w:tabs>
      <w:suppressAutoHyphens/>
      <w:overflowPunct w:val="0"/>
      <w:autoSpaceDE w:val="0"/>
      <w:spacing w:before="100" w:after="100" w:line="190" w:lineRule="exact"/>
      <w:jc w:val="both"/>
    </w:pPr>
    <w:rPr>
      <w:sz w:val="18"/>
      <w:lang w:val="en-GB" w:eastAsia="zh-CN"/>
    </w:rPr>
  </w:style>
  <w:style w:type="character" w:customStyle="1" w:styleId="TablelegendChar">
    <w:name w:val="Table_legend Char"/>
    <w:link w:val="Tablelegend"/>
    <w:rsid w:val="003D6AB7"/>
    <w:rPr>
      <w:rFonts w:ascii="Times New Roman" w:eastAsia="Times New Roman" w:hAnsi="Times New Roman" w:cs="Times New Roman"/>
      <w:sz w:val="20"/>
      <w:szCs w:val="20"/>
      <w:lang w:val="en-GB" w:eastAsia="x-none"/>
    </w:rPr>
  </w:style>
  <w:style w:type="character" w:customStyle="1" w:styleId="ArtrefBold">
    <w:name w:val="Art_ref + Bold"/>
    <w:rsid w:val="003D6AB7"/>
    <w:rPr>
      <w:b/>
      <w:bCs/>
      <w:color w:val="auto"/>
    </w:rPr>
  </w:style>
  <w:style w:type="paragraph" w:customStyle="1" w:styleId="Tabletext0">
    <w:name w:val="Table_text"/>
    <w:basedOn w:val="Normal"/>
    <w:link w:val="TabletextChar"/>
    <w:qFormat/>
    <w:rsid w:val="003D6A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lang w:val="en-GB" w:eastAsia="x-none"/>
    </w:rPr>
  </w:style>
  <w:style w:type="character" w:customStyle="1" w:styleId="TabletextChar">
    <w:name w:val="Table_text Char"/>
    <w:link w:val="Tabletext0"/>
    <w:locked/>
    <w:rsid w:val="003D6AB7"/>
    <w:rPr>
      <w:rFonts w:ascii="Times New Roman" w:eastAsia="Times New Roman" w:hAnsi="Times New Roman" w:cs="Times New Roman"/>
      <w:sz w:val="20"/>
      <w:szCs w:val="20"/>
      <w:lang w:val="en-GB" w:eastAsia="x-none"/>
    </w:rPr>
  </w:style>
  <w:style w:type="character" w:customStyle="1" w:styleId="ArtrefBold0">
    <w:name w:val="Art_ref +  Bold"/>
    <w:rsid w:val="003D6AB7"/>
    <w:rPr>
      <w:b/>
      <w:color w:val="auto"/>
    </w:rPr>
  </w:style>
  <w:style w:type="paragraph" w:styleId="EndnoteText">
    <w:name w:val="endnote text"/>
    <w:basedOn w:val="Normal"/>
    <w:link w:val="EndnoteTextChar"/>
    <w:rsid w:val="003D6AB7"/>
    <w:rPr>
      <w:sz w:val="20"/>
    </w:rPr>
  </w:style>
  <w:style w:type="character" w:customStyle="1" w:styleId="EndnoteTextChar">
    <w:name w:val="Endnote Text Char"/>
    <w:basedOn w:val="DefaultParagraphFont"/>
    <w:link w:val="EndnoteText"/>
    <w:rsid w:val="003D6AB7"/>
    <w:rPr>
      <w:rFonts w:ascii="Times New Roman" w:eastAsia="Times New Roman" w:hAnsi="Times New Roman" w:cs="Times New Roman"/>
      <w:sz w:val="20"/>
      <w:szCs w:val="20"/>
    </w:rPr>
  </w:style>
  <w:style w:type="character" w:styleId="EndnoteReference">
    <w:name w:val="endnote reference"/>
    <w:rsid w:val="003D6AB7"/>
    <w:rPr>
      <w:vertAlign w:val="superscript"/>
    </w:rPr>
  </w:style>
  <w:style w:type="character" w:customStyle="1" w:styleId="HeaderChar2">
    <w:name w:val="Header Char2"/>
    <w:aliases w:val="Header/Footer Char1,Page No Char1,encabezado Char2,h Char2,he Char2,header odd Char2,header odd1 Char2,header odd2 Char2,header odd3 Char2,header odd4 Char2,header odd5 Char2,header odd6 Char2,header1 Char2,header2 Char2,header3 Char2"/>
    <w:uiPriority w:val="99"/>
    <w:locked/>
    <w:rsid w:val="003D6AB7"/>
    <w:rPr>
      <w:rFonts w:eastAsia="Times New Roman" w:cs="Times New Roman"/>
    </w:rPr>
  </w:style>
  <w:style w:type="character" w:customStyle="1" w:styleId="RestitleChar">
    <w:name w:val="Res_title Char"/>
    <w:link w:val="Restitle"/>
    <w:locked/>
    <w:rsid w:val="003D6AB7"/>
    <w:rPr>
      <w:rFonts w:ascii="Times New Roman Bold" w:eastAsia="Times New Roman" w:hAnsi="Times New Roman Bold" w:cs="Times New Roman"/>
      <w:b/>
      <w:sz w:val="28"/>
      <w:szCs w:val="20"/>
      <w:lang w:val="en-GB"/>
    </w:rPr>
  </w:style>
  <w:style w:type="character" w:customStyle="1" w:styleId="FootnoteTextChar3">
    <w:name w:val="Footnote Text Char3"/>
    <w:aliases w:val="ALTS FOOTNOTE Char1,DNV-FT Char1,Footnote Text Char Char1 Char1,Footnote Text Char Char1 Char1 Char Char Char1,Footnote Text Char1 Char1,Footnote Text Char1 Char1 Char1 Char Char1,Footnote Text Char4 Char Char Char1"/>
    <w:locked/>
    <w:rsid w:val="003D6AB7"/>
    <w:rPr>
      <w:rFonts w:eastAsia="Times New Roman" w:cs="Times New Roman"/>
    </w:rPr>
  </w:style>
  <w:style w:type="paragraph" w:customStyle="1" w:styleId="Normalaftertitle">
    <w:name w:val="Normal after title"/>
    <w:basedOn w:val="Normal"/>
    <w:next w:val="Normal"/>
    <w:link w:val="NormalaftertitleChar"/>
    <w:uiPriority w:val="99"/>
    <w:rsid w:val="003D6AB7"/>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3D6AB7"/>
    <w:rPr>
      <w:rFonts w:ascii="Times New Roman" w:eastAsia="Times New Roman" w:hAnsi="Times New Roman" w:cs="Times New Roman"/>
      <w:sz w:val="24"/>
      <w:szCs w:val="20"/>
      <w:lang w:val="fr-FR"/>
    </w:rPr>
  </w:style>
  <w:style w:type="character" w:customStyle="1" w:styleId="Appref">
    <w:name w:val="App_ref"/>
    <w:rsid w:val="003D6AB7"/>
  </w:style>
  <w:style w:type="character" w:styleId="PageNumber">
    <w:name w:val="page number"/>
    <w:rsid w:val="003D6AB7"/>
  </w:style>
  <w:style w:type="paragraph" w:customStyle="1" w:styleId="Annex">
    <w:name w:val="Annex_#"/>
    <w:basedOn w:val="Normal"/>
    <w:next w:val="AnnexTitle"/>
    <w:rsid w:val="003D6AB7"/>
    <w:pPr>
      <w:tabs>
        <w:tab w:val="left" w:pos="794"/>
        <w:tab w:val="left" w:pos="1191"/>
        <w:tab w:val="left" w:pos="1588"/>
        <w:tab w:val="left" w:pos="1985"/>
      </w:tabs>
      <w:spacing w:before="720"/>
      <w:jc w:val="center"/>
    </w:pPr>
    <w:rPr>
      <w:caps/>
      <w:lang w:val="en-GB"/>
    </w:rPr>
  </w:style>
  <w:style w:type="paragraph" w:customStyle="1" w:styleId="AnnexTitle">
    <w:name w:val="Annex_Title"/>
    <w:basedOn w:val="Normal"/>
    <w:next w:val="Normal"/>
    <w:rsid w:val="003D6AB7"/>
    <w:pPr>
      <w:tabs>
        <w:tab w:val="left" w:pos="794"/>
        <w:tab w:val="left" w:pos="1191"/>
        <w:tab w:val="left" w:pos="1588"/>
        <w:tab w:val="left" w:pos="1985"/>
      </w:tabs>
      <w:spacing w:before="240" w:after="284"/>
      <w:jc w:val="center"/>
    </w:pPr>
    <w:rPr>
      <w:b/>
      <w:lang w:val="en-GB"/>
    </w:rPr>
  </w:style>
  <w:style w:type="paragraph" w:customStyle="1" w:styleId="Title1">
    <w:name w:val="Title 1"/>
    <w:basedOn w:val="Normal"/>
    <w:next w:val="Normal"/>
    <w:rsid w:val="003D6AB7"/>
    <w:pPr>
      <w:spacing w:before="720"/>
      <w:jc w:val="center"/>
    </w:pPr>
    <w:rPr>
      <w:b/>
      <w:lang w:val="en-GB"/>
    </w:rPr>
  </w:style>
  <w:style w:type="paragraph" w:customStyle="1" w:styleId="ResNo">
    <w:name w:val="Res_No"/>
    <w:basedOn w:val="Normal"/>
    <w:next w:val="Normal"/>
    <w:link w:val="ResNoChar"/>
    <w:rsid w:val="003D6AB7"/>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3D6AB7"/>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CarCar1">
    <w:name w:val="Car Car1"/>
    <w:basedOn w:val="Normal"/>
    <w:rsid w:val="003D6AB7"/>
    <w:pPr>
      <w:tabs>
        <w:tab w:val="left" w:pos="540"/>
        <w:tab w:val="left" w:pos="1260"/>
        <w:tab w:val="left" w:pos="1800"/>
      </w:tabs>
      <w:spacing w:before="240" w:after="160" w:line="240" w:lineRule="exact"/>
    </w:pPr>
    <w:rPr>
      <w:rFonts w:ascii="Verdana" w:hAnsi="Verdana"/>
      <w:sz w:val="24"/>
    </w:rPr>
  </w:style>
  <w:style w:type="paragraph" w:customStyle="1" w:styleId="Indented">
    <w:name w:val="Indented"/>
    <w:autoRedefine/>
    <w:rsid w:val="003D6AB7"/>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after="0" w:line="240" w:lineRule="auto"/>
      <w:ind w:left="1008"/>
      <w:jc w:val="both"/>
    </w:pPr>
    <w:rPr>
      <w:rFonts w:ascii="CG Times" w:eastAsia="Times New Roman" w:hAnsi="CG Times" w:cs="CG Times"/>
      <w:noProof/>
      <w:color w:val="000000"/>
      <w:sz w:val="24"/>
      <w:szCs w:val="24"/>
    </w:rPr>
  </w:style>
  <w:style w:type="character" w:styleId="CommentReference">
    <w:name w:val="annotation reference"/>
    <w:rsid w:val="003D6AB7"/>
    <w:rPr>
      <w:sz w:val="16"/>
      <w:szCs w:val="16"/>
    </w:rPr>
  </w:style>
  <w:style w:type="paragraph" w:customStyle="1" w:styleId="Line">
    <w:name w:val="Line"/>
    <w:basedOn w:val="Normal"/>
    <w:next w:val="Normal"/>
    <w:rsid w:val="003D6AB7"/>
    <w:pPr>
      <w:pBdr>
        <w:top w:val="single" w:sz="6" w:space="1" w:color="auto"/>
      </w:pBdr>
      <w:overflowPunct w:val="0"/>
      <w:autoSpaceDE w:val="0"/>
      <w:autoSpaceDN w:val="0"/>
      <w:adjustRightInd w:val="0"/>
      <w:spacing w:before="240"/>
      <w:ind w:left="3997" w:right="3997"/>
      <w:jc w:val="center"/>
      <w:textAlignment w:val="baseline"/>
    </w:pPr>
    <w:rPr>
      <w:sz w:val="20"/>
      <w:lang w:val="en-GB"/>
    </w:rPr>
  </w:style>
  <w:style w:type="paragraph" w:customStyle="1" w:styleId="Tablefin">
    <w:name w:val="Table_fin"/>
    <w:basedOn w:val="Normal"/>
    <w:uiPriority w:val="99"/>
    <w:rsid w:val="003D6AB7"/>
    <w:pPr>
      <w:tabs>
        <w:tab w:val="left" w:pos="1871"/>
        <w:tab w:val="left" w:pos="2268"/>
      </w:tabs>
      <w:overflowPunct w:val="0"/>
      <w:autoSpaceDE w:val="0"/>
      <w:autoSpaceDN w:val="0"/>
      <w:adjustRightInd w:val="0"/>
      <w:jc w:val="both"/>
      <w:textAlignment w:val="baseline"/>
    </w:pPr>
    <w:rPr>
      <w:sz w:val="12"/>
      <w:lang w:val="fr-FR"/>
    </w:rPr>
  </w:style>
  <w:style w:type="character" w:customStyle="1" w:styleId="Tableref">
    <w:name w:val="Table_ref"/>
    <w:rsid w:val="003D6AB7"/>
    <w:rPr>
      <w:color w:val="3366FF"/>
    </w:rPr>
  </w:style>
  <w:style w:type="paragraph" w:customStyle="1" w:styleId="1Para">
    <w:name w:val="1Para"/>
    <w:basedOn w:val="Normal"/>
    <w:rsid w:val="003D6AB7"/>
    <w:pPr>
      <w:tabs>
        <w:tab w:val="left" w:pos="1440"/>
      </w:tabs>
      <w:spacing w:before="260" w:after="260"/>
      <w:jc w:val="both"/>
    </w:pPr>
    <w:rPr>
      <w:szCs w:val="22"/>
      <w:lang w:val="en-GB"/>
    </w:rPr>
  </w:style>
  <w:style w:type="character" w:customStyle="1" w:styleId="ResNoChar">
    <w:name w:val="Res_No Char"/>
    <w:link w:val="ResNo"/>
    <w:rsid w:val="003D6AB7"/>
    <w:rPr>
      <w:rFonts w:ascii="Times New Roman" w:eastAsia="Times New Roman" w:hAnsi="Times New Roman" w:cs="Times New Roman"/>
      <w:caps/>
      <w:sz w:val="28"/>
      <w:szCs w:val="20"/>
      <w:lang w:val="fr-FR"/>
    </w:rPr>
  </w:style>
  <w:style w:type="paragraph" w:customStyle="1" w:styleId="AppendixNo">
    <w:name w:val="Appendix_No"/>
    <w:basedOn w:val="Normal"/>
    <w:next w:val="Appendixtitle"/>
    <w:link w:val="AppendixNoChar"/>
    <w:rsid w:val="003D6AB7"/>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Appendixtitle">
    <w:name w:val="Appendix_title"/>
    <w:basedOn w:val="Normal"/>
    <w:next w:val="Normal"/>
    <w:link w:val="AppendixtitleChar"/>
    <w:rsid w:val="003D6AB7"/>
    <w:pPr>
      <w:keepNext/>
      <w:keepLines/>
      <w:overflowPunct w:val="0"/>
      <w:autoSpaceDE w:val="0"/>
      <w:autoSpaceDN w:val="0"/>
      <w:adjustRightInd w:val="0"/>
      <w:spacing w:before="160" w:after="80"/>
      <w:jc w:val="center"/>
      <w:textAlignment w:val="baseline"/>
    </w:pPr>
    <w:rPr>
      <w:b/>
      <w:noProof/>
      <w:sz w:val="28"/>
    </w:rPr>
  </w:style>
  <w:style w:type="character" w:customStyle="1" w:styleId="AppendixNoChar">
    <w:name w:val="Appendix_No Char"/>
    <w:link w:val="AppendixNo"/>
    <w:rsid w:val="003D6AB7"/>
    <w:rPr>
      <w:rFonts w:ascii="Times New Roman" w:eastAsia="Times New Roman" w:hAnsi="Times New Roman" w:cs="Times New Roman"/>
      <w:sz w:val="28"/>
      <w:szCs w:val="20"/>
      <w:lang w:val="fr-FR"/>
    </w:rPr>
  </w:style>
  <w:style w:type="paragraph" w:customStyle="1" w:styleId="Appendixref">
    <w:name w:val="Appendix_ref"/>
    <w:basedOn w:val="Normal"/>
    <w:next w:val="Appendixtitle"/>
    <w:rsid w:val="003D6AB7"/>
    <w:pPr>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Source">
    <w:name w:val="Source"/>
    <w:basedOn w:val="Normal"/>
    <w:next w:val="Normal"/>
    <w:uiPriority w:val="99"/>
    <w:rsid w:val="003D6AB7"/>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lang w:val="en-GB"/>
    </w:rPr>
  </w:style>
  <w:style w:type="paragraph" w:customStyle="1" w:styleId="headingb">
    <w:name w:val="heading_b"/>
    <w:basedOn w:val="Heading3"/>
    <w:next w:val="Normal"/>
    <w:rsid w:val="003D6AB7"/>
    <w:pPr>
      <w:keepLines/>
      <w:tabs>
        <w:tab w:val="clear" w:pos="0"/>
        <w:tab w:val="left" w:pos="794"/>
        <w:tab w:val="left" w:pos="2127"/>
        <w:tab w:val="left" w:pos="2410"/>
        <w:tab w:val="left" w:pos="2921"/>
        <w:tab w:val="left" w:pos="3261"/>
      </w:tabs>
      <w:spacing w:before="160" w:after="0"/>
      <w:outlineLvl w:val="9"/>
    </w:pPr>
    <w:rPr>
      <w:rFonts w:cs="Times New Roman"/>
      <w:iCs w:val="0"/>
      <w:szCs w:val="20"/>
      <w:lang w:val="en-GB" w:eastAsia="fr-FR"/>
    </w:rPr>
  </w:style>
  <w:style w:type="paragraph" w:customStyle="1" w:styleId="enumlev2">
    <w:name w:val="enumlev2"/>
    <w:basedOn w:val="Normal"/>
    <w:uiPriority w:val="99"/>
    <w:rsid w:val="003D6AB7"/>
    <w:pPr>
      <w:tabs>
        <w:tab w:val="left" w:pos="794"/>
        <w:tab w:val="left" w:pos="1191"/>
        <w:tab w:val="left" w:pos="1588"/>
        <w:tab w:val="left" w:pos="1985"/>
      </w:tabs>
      <w:overflowPunct w:val="0"/>
      <w:autoSpaceDE w:val="0"/>
      <w:autoSpaceDN w:val="0"/>
      <w:adjustRightInd w:val="0"/>
      <w:spacing w:before="80"/>
      <w:ind w:left="1191" w:hanging="397"/>
      <w:textAlignment w:val="baseline"/>
    </w:pPr>
    <w:rPr>
      <w:sz w:val="24"/>
      <w:lang w:val="en-GB"/>
    </w:rPr>
  </w:style>
  <w:style w:type="character" w:customStyle="1" w:styleId="ColorfulGrid-Accent1Char">
    <w:name w:val="Colorful Grid - Accent 1 Char"/>
    <w:link w:val="ColorfulGridAccent1"/>
    <w:uiPriority w:val="99"/>
    <w:rsid w:val="003D6AB7"/>
    <w:rPr>
      <w:i/>
      <w:iCs/>
      <w:color w:val="000000"/>
      <w:sz w:val="24"/>
      <w:szCs w:val="24"/>
    </w:rPr>
  </w:style>
  <w:style w:type="paragraph" w:customStyle="1" w:styleId="Normalaftertitle0">
    <w:name w:val="Normal_after_title"/>
    <w:basedOn w:val="Normal"/>
    <w:next w:val="Normal"/>
    <w:link w:val="NormalaftertitleChar0"/>
    <w:rsid w:val="003D6AB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0">
    <w:name w:val="Normal_after_title Char"/>
    <w:link w:val="Normalaftertitle0"/>
    <w:locked/>
    <w:rsid w:val="003D6AB7"/>
    <w:rPr>
      <w:rFonts w:ascii="Times New Roman" w:eastAsia="Times New Roman" w:hAnsi="Times New Roman" w:cs="Times New Roman"/>
      <w:sz w:val="24"/>
      <w:szCs w:val="20"/>
      <w:lang w:val="en-GB"/>
    </w:rPr>
  </w:style>
  <w:style w:type="paragraph" w:customStyle="1" w:styleId="AnnexNo">
    <w:name w:val="Annex_No"/>
    <w:basedOn w:val="Normal"/>
    <w:next w:val="Normal"/>
    <w:rsid w:val="003D6AB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Annextitle0">
    <w:name w:val="Annex_title"/>
    <w:basedOn w:val="Normal"/>
    <w:next w:val="Normal"/>
    <w:rsid w:val="003D6AB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FigureNo">
    <w:name w:val="Figure_No"/>
    <w:basedOn w:val="Normal"/>
    <w:next w:val="Normal"/>
    <w:rsid w:val="003D6AB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sz w:val="20"/>
      <w:lang w:val="en-GB"/>
    </w:rPr>
  </w:style>
  <w:style w:type="paragraph" w:customStyle="1" w:styleId="Figuretitle">
    <w:name w:val="Figure_title"/>
    <w:basedOn w:val="Normal"/>
    <w:next w:val="Normal"/>
    <w:rsid w:val="003D6AB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sz w:val="20"/>
      <w:lang w:val="en-GB"/>
    </w:rPr>
  </w:style>
  <w:style w:type="paragraph" w:customStyle="1" w:styleId="Figure">
    <w:name w:val="Figure"/>
    <w:basedOn w:val="Normal"/>
    <w:next w:val="Figuretitle"/>
    <w:rsid w:val="003D6AB7"/>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character" w:customStyle="1" w:styleId="CallChar">
    <w:name w:val="Call Char"/>
    <w:link w:val="Call"/>
    <w:locked/>
    <w:rsid w:val="003D6AB7"/>
    <w:rPr>
      <w:rFonts w:ascii="Times New Roman" w:eastAsia="Times New Roman" w:hAnsi="Times New Roman" w:cs="Times New Roman"/>
      <w:i/>
      <w:sz w:val="24"/>
      <w:szCs w:val="20"/>
      <w:lang w:val="en-GB"/>
    </w:rPr>
  </w:style>
  <w:style w:type="paragraph" w:customStyle="1" w:styleId="Rectitle">
    <w:name w:val="Rec_title"/>
    <w:basedOn w:val="Normal"/>
    <w:next w:val="Normal"/>
    <w:rsid w:val="003D6AB7"/>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paragraph" w:customStyle="1" w:styleId="ECCParagraph">
    <w:name w:val="ECC Paragraph"/>
    <w:basedOn w:val="Normal"/>
    <w:rsid w:val="003D6AB7"/>
    <w:pPr>
      <w:spacing w:after="240"/>
      <w:jc w:val="both"/>
    </w:pPr>
    <w:rPr>
      <w:rFonts w:ascii="Arial" w:hAnsi="Arial"/>
      <w:sz w:val="20"/>
      <w:szCs w:val="24"/>
    </w:rPr>
  </w:style>
  <w:style w:type="paragraph" w:customStyle="1" w:styleId="Equation">
    <w:name w:val="Equation"/>
    <w:basedOn w:val="Normal"/>
    <w:rsid w:val="003D6AB7"/>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3D6AB7"/>
    <w:pPr>
      <w:tabs>
        <w:tab w:val="right" w:pos="1871"/>
        <w:tab w:val="left" w:pos="2041"/>
      </w:tabs>
      <w:overflowPunct w:val="0"/>
      <w:autoSpaceDE w:val="0"/>
      <w:autoSpaceDN w:val="0"/>
      <w:adjustRightInd w:val="0"/>
      <w:spacing w:before="80"/>
      <w:ind w:left="2041" w:hanging="2041"/>
      <w:textAlignment w:val="baseline"/>
    </w:pPr>
    <w:rPr>
      <w:szCs w:val="20"/>
    </w:rPr>
  </w:style>
  <w:style w:type="paragraph" w:styleId="NormalWeb">
    <w:name w:val="Normal (Web)"/>
    <w:basedOn w:val="Normal"/>
    <w:uiPriority w:val="99"/>
    <w:unhideWhenUsed/>
    <w:rsid w:val="003D6AB7"/>
    <w:pPr>
      <w:spacing w:before="100" w:beforeAutospacing="1" w:after="100" w:afterAutospacing="1"/>
    </w:pPr>
    <w:rPr>
      <w:rFonts w:eastAsia="Calibri"/>
      <w:sz w:val="24"/>
      <w:szCs w:val="24"/>
    </w:rPr>
  </w:style>
  <w:style w:type="character" w:customStyle="1" w:styleId="msoins">
    <w:name w:val="msoins"/>
    <w:rsid w:val="003D6AB7"/>
  </w:style>
  <w:style w:type="character" w:customStyle="1" w:styleId="grame">
    <w:name w:val="grame"/>
    <w:rsid w:val="003D6AB7"/>
  </w:style>
  <w:style w:type="character" w:customStyle="1" w:styleId="TableNo0">
    <w:name w:val="Table_No Знак"/>
    <w:locked/>
    <w:rsid w:val="003D6AB7"/>
    <w:rPr>
      <w:rFonts w:ascii="Times New Roman" w:eastAsia="Times New Roman" w:hAnsi="Times New Roman" w:cs="Times New Roman"/>
      <w:caps/>
      <w:sz w:val="20"/>
      <w:szCs w:val="20"/>
      <w:lang w:val="en-GB"/>
    </w:rPr>
  </w:style>
  <w:style w:type="character" w:customStyle="1" w:styleId="Tabletitle0">
    <w:name w:val="Table_title Знак"/>
    <w:locked/>
    <w:rsid w:val="003D6AB7"/>
    <w:rPr>
      <w:rFonts w:ascii="Times New Roman Bold" w:eastAsia="Times New Roman" w:hAnsi="Times New Roman Bold" w:cs="Times New Roman"/>
      <w:b/>
      <w:sz w:val="20"/>
      <w:szCs w:val="20"/>
      <w:lang w:val="en-GB"/>
    </w:rPr>
  </w:style>
  <w:style w:type="paragraph" w:customStyle="1" w:styleId="Reasons">
    <w:name w:val="Reasons"/>
    <w:basedOn w:val="Normal"/>
    <w:link w:val="ReasonsChar"/>
    <w:qFormat/>
    <w:rsid w:val="003D6AB7"/>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AppendixtitleChar">
    <w:name w:val="Appendix_title Char"/>
    <w:link w:val="Appendixtitle"/>
    <w:rsid w:val="003D6AB7"/>
    <w:rPr>
      <w:rFonts w:ascii="Times New Roman" w:eastAsia="Times New Roman" w:hAnsi="Times New Roman" w:cs="Times New Roman"/>
      <w:b/>
      <w:noProof/>
      <w:sz w:val="28"/>
      <w:szCs w:val="20"/>
    </w:rPr>
  </w:style>
  <w:style w:type="paragraph" w:customStyle="1" w:styleId="TabletextHanging0">
    <w:name w:val="Table_text + Hanging:  0"/>
    <w:aliases w:val="5 cm"/>
    <w:basedOn w:val="Tabletext0"/>
    <w:rsid w:val="003D6AB7"/>
    <w:pPr>
      <w:ind w:left="284" w:hanging="284"/>
      <w:jc w:val="left"/>
      <w:textAlignment w:val="auto"/>
    </w:pPr>
    <w:rPr>
      <w:lang w:val="en-US" w:eastAsia="en-US"/>
    </w:rPr>
  </w:style>
  <w:style w:type="character" w:customStyle="1" w:styleId="ReasonsChar">
    <w:name w:val="Reasons Char"/>
    <w:link w:val="Reasons"/>
    <w:locked/>
    <w:rsid w:val="003D6AB7"/>
    <w:rPr>
      <w:rFonts w:ascii="Times New Roman" w:eastAsia="Times New Roman" w:hAnsi="Times New Roman" w:cs="Times New Roman"/>
      <w:sz w:val="24"/>
      <w:szCs w:val="20"/>
      <w:lang w:val="en-GB"/>
    </w:rPr>
  </w:style>
  <w:style w:type="paragraph" w:styleId="Index1">
    <w:name w:val="index 1"/>
    <w:basedOn w:val="Normal"/>
    <w:next w:val="Normal"/>
    <w:uiPriority w:val="99"/>
    <w:rsid w:val="003D6AB7"/>
    <w:pPr>
      <w:tabs>
        <w:tab w:val="left" w:pos="794"/>
        <w:tab w:val="left" w:pos="1191"/>
        <w:tab w:val="left" w:pos="1588"/>
        <w:tab w:val="left" w:pos="1985"/>
      </w:tabs>
      <w:spacing w:before="120"/>
    </w:pPr>
    <w:rPr>
      <w:sz w:val="24"/>
      <w:lang w:val="en-GB"/>
    </w:rPr>
  </w:style>
  <w:style w:type="paragraph" w:customStyle="1" w:styleId="ResTitle0">
    <w:name w:val="Res_Title"/>
    <w:basedOn w:val="Normal"/>
    <w:next w:val="Normal"/>
    <w:rsid w:val="003D6AB7"/>
    <w:pPr>
      <w:keepNext/>
      <w:keepLines/>
      <w:tabs>
        <w:tab w:val="left" w:pos="794"/>
        <w:tab w:val="left" w:pos="1191"/>
        <w:tab w:val="left" w:pos="1588"/>
        <w:tab w:val="left" w:pos="1985"/>
      </w:tabs>
      <w:spacing w:before="240"/>
      <w:jc w:val="center"/>
    </w:pPr>
    <w:rPr>
      <w:b/>
      <w:sz w:val="28"/>
      <w:lang w:val="en-GB"/>
    </w:rPr>
  </w:style>
  <w:style w:type="paragraph" w:customStyle="1" w:styleId="Headingb0">
    <w:name w:val="Heading_b"/>
    <w:basedOn w:val="Normal"/>
    <w:next w:val="Normal"/>
    <w:link w:val="HeadingbChar"/>
    <w:qFormat/>
    <w:rsid w:val="003D6AB7"/>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lang w:val="en-GB"/>
    </w:rPr>
  </w:style>
  <w:style w:type="character" w:customStyle="1" w:styleId="HeadingbChar">
    <w:name w:val="Heading_b Char"/>
    <w:link w:val="Headingb0"/>
    <w:locked/>
    <w:rsid w:val="003D6AB7"/>
    <w:rPr>
      <w:rFonts w:ascii="Times" w:eastAsia="Times New Roman" w:hAnsi="Times" w:cs="Times New Roman"/>
      <w:b/>
      <w:sz w:val="24"/>
      <w:szCs w:val="20"/>
      <w:lang w:val="en-GB"/>
    </w:rPr>
  </w:style>
  <w:style w:type="paragraph" w:customStyle="1" w:styleId="call0">
    <w:name w:val="call"/>
    <w:basedOn w:val="Normal"/>
    <w:next w:val="Normal"/>
    <w:rsid w:val="003D6AB7"/>
    <w:pPr>
      <w:keepNext/>
      <w:keepLines/>
      <w:tabs>
        <w:tab w:val="left" w:pos="794"/>
        <w:tab w:val="left" w:pos="1191"/>
        <w:tab w:val="left" w:pos="1588"/>
        <w:tab w:val="left" w:pos="1985"/>
      </w:tabs>
      <w:spacing w:before="160"/>
      <w:ind w:left="794"/>
    </w:pPr>
    <w:rPr>
      <w:i/>
      <w:sz w:val="24"/>
      <w:lang w:val="en-GB"/>
    </w:rPr>
  </w:style>
  <w:style w:type="paragraph" w:customStyle="1" w:styleId="PargrafodaLista1">
    <w:name w:val="Parágrafo da Lista1"/>
    <w:basedOn w:val="Normal"/>
    <w:rsid w:val="003D6AB7"/>
    <w:pPr>
      <w:spacing w:after="200" w:line="276" w:lineRule="auto"/>
      <w:ind w:left="720"/>
    </w:pPr>
    <w:rPr>
      <w:rFonts w:ascii="Calibri" w:hAnsi="Calibri" w:cs="Calibri"/>
      <w:szCs w:val="22"/>
      <w:lang w:val="pt-BR" w:eastAsia="pt-BR"/>
    </w:rPr>
  </w:style>
  <w:style w:type="character" w:styleId="Strong">
    <w:name w:val="Strong"/>
    <w:uiPriority w:val="1"/>
    <w:qFormat/>
    <w:rsid w:val="003D6AB7"/>
    <w:rPr>
      <w:rFonts w:cs="Times New Roman"/>
      <w:b/>
    </w:rPr>
  </w:style>
  <w:style w:type="paragraph" w:styleId="CommentText">
    <w:name w:val="annotation text"/>
    <w:basedOn w:val="Normal"/>
    <w:link w:val="CommentTextChar"/>
    <w:uiPriority w:val="99"/>
    <w:rsid w:val="003D6AB7"/>
    <w:rPr>
      <w:sz w:val="20"/>
    </w:rPr>
  </w:style>
  <w:style w:type="character" w:customStyle="1" w:styleId="CommentTextChar">
    <w:name w:val="Comment Text Char"/>
    <w:basedOn w:val="DefaultParagraphFont"/>
    <w:link w:val="CommentText"/>
    <w:uiPriority w:val="99"/>
    <w:rsid w:val="003D6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6AB7"/>
    <w:rPr>
      <w:b/>
      <w:bCs/>
    </w:rPr>
  </w:style>
  <w:style w:type="character" w:customStyle="1" w:styleId="CommentSubjectChar">
    <w:name w:val="Comment Subject Char"/>
    <w:basedOn w:val="CommentTextChar"/>
    <w:link w:val="CommentSubject"/>
    <w:rsid w:val="003D6AB7"/>
    <w:rPr>
      <w:rFonts w:ascii="Times New Roman" w:eastAsia="Times New Roman" w:hAnsi="Times New Roman" w:cs="Times New Roman"/>
      <w:b/>
      <w:bCs/>
      <w:sz w:val="20"/>
      <w:szCs w:val="20"/>
    </w:rPr>
  </w:style>
  <w:style w:type="character" w:customStyle="1" w:styleId="apple-converted-space">
    <w:name w:val="apple-converted-space"/>
    <w:rsid w:val="003D6AB7"/>
  </w:style>
  <w:style w:type="table" w:styleId="ColorfulGridAccent1">
    <w:name w:val="Colorful Grid Accent 1"/>
    <w:basedOn w:val="TableNormal"/>
    <w:link w:val="ColorfulGrid-Accent1Char"/>
    <w:uiPriority w:val="99"/>
    <w:semiHidden/>
    <w:unhideWhenUsed/>
    <w:rsid w:val="003D6AB7"/>
    <w:pPr>
      <w:spacing w:after="0" w:line="240" w:lineRule="auto"/>
    </w:pPr>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ParagraphChar">
    <w:name w:val="List Paragraph Char"/>
    <w:link w:val="ListParagraph"/>
    <w:locked/>
    <w:rsid w:val="003B7CB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image" Target="media/image2.emf" /><Relationship Id="rId16" Type="http://schemas.openxmlformats.org/officeDocument/2006/relationships/image" Target="media/image3.emf" /><Relationship Id="rId17" Type="http://schemas.openxmlformats.org/officeDocument/2006/relationships/header" Target="header6.xml" /><Relationship Id="rId18" Type="http://schemas.openxmlformats.org/officeDocument/2006/relationships/footer" Target="footer5.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