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19-175</w:t>
      </w:r>
    </w:p>
    <w:p w:rsidR="00013A8B" w:rsidRPr="00B20363" w:rsidP="00013A8B">
      <w:pPr>
        <w:spacing w:before="60"/>
        <w:jc w:val="right"/>
        <w:rPr>
          <w:b/>
          <w:sz w:val="24"/>
        </w:rPr>
      </w:pPr>
      <w:r>
        <w:rPr>
          <w:b/>
          <w:sz w:val="24"/>
        </w:rPr>
        <w:t xml:space="preserve">Released:  </w:t>
      </w:r>
      <w:r w:rsidR="00961CC3">
        <w:rPr>
          <w:b/>
          <w:sz w:val="24"/>
        </w:rPr>
        <w:t>March 12, 2019</w:t>
      </w:r>
    </w:p>
    <w:p w:rsidR="00013A8B" w:rsidP="00013A8B">
      <w:pPr>
        <w:jc w:val="right"/>
        <w:rPr>
          <w:sz w:val="24"/>
        </w:rPr>
      </w:pPr>
    </w:p>
    <w:p w:rsidR="00961CC3" w:rsidP="00961CC3">
      <w:pPr>
        <w:autoSpaceDE w:val="0"/>
        <w:autoSpaceDN w:val="0"/>
        <w:adjustRightInd w:val="0"/>
        <w:jc w:val="center"/>
        <w:rPr>
          <w:b/>
          <w:i/>
          <w:szCs w:val="22"/>
        </w:rPr>
      </w:pPr>
      <w:r>
        <w:rPr>
          <w:b/>
          <w:szCs w:val="22"/>
        </w:rPr>
        <w:t xml:space="preserve">WIRELINE COMPETITION BUREAU SEEKS TO DETERMINE PARTIES’ CONTINUING INTEREST IN SEVERAL PETITIONS FOR WAIVER OF VARIOUS HIGH-COST UNIVERSAL SERVICE FILING DEADLINES </w:t>
      </w:r>
    </w:p>
    <w:p w:rsidR="00961CC3" w:rsidP="00961CC3">
      <w:pPr>
        <w:autoSpaceDE w:val="0"/>
        <w:autoSpaceDN w:val="0"/>
        <w:adjustRightInd w:val="0"/>
        <w:rPr>
          <w:b/>
          <w:szCs w:val="22"/>
        </w:rPr>
      </w:pPr>
    </w:p>
    <w:p w:rsidR="00961CC3" w:rsidP="00961CC3">
      <w:pPr>
        <w:jc w:val="center"/>
        <w:rPr>
          <w:b/>
          <w:szCs w:val="22"/>
        </w:rPr>
      </w:pPr>
      <w:r>
        <w:rPr>
          <w:b/>
          <w:szCs w:val="22"/>
        </w:rPr>
        <w:t xml:space="preserve">WC Docket No. </w:t>
      </w:r>
      <w:r w:rsidRPr="00DF6A20">
        <w:rPr>
          <w:b/>
          <w:szCs w:val="22"/>
        </w:rPr>
        <w:t>10-90</w:t>
      </w:r>
    </w:p>
    <w:p w:rsidR="00961CC3" w:rsidP="00961CC3">
      <w:pPr>
        <w:jc w:val="center"/>
        <w:rPr>
          <w:b/>
          <w:szCs w:val="22"/>
        </w:rPr>
      </w:pPr>
      <w:r>
        <w:rPr>
          <w:b/>
          <w:szCs w:val="22"/>
        </w:rPr>
        <w:t xml:space="preserve">  WC Docket No. </w:t>
      </w:r>
      <w:r w:rsidRPr="00DF6A20">
        <w:rPr>
          <w:b/>
          <w:szCs w:val="22"/>
        </w:rPr>
        <w:t xml:space="preserve">09-197 </w:t>
      </w:r>
    </w:p>
    <w:p w:rsidR="00961CC3" w:rsidRPr="00DF6A20" w:rsidP="00961CC3">
      <w:pPr>
        <w:jc w:val="center"/>
        <w:rPr>
          <w:b/>
          <w:szCs w:val="22"/>
        </w:rPr>
      </w:pPr>
      <w:r>
        <w:rPr>
          <w:b/>
          <w:szCs w:val="22"/>
        </w:rPr>
        <w:t xml:space="preserve"> WC Docket No. 05-337</w:t>
      </w:r>
    </w:p>
    <w:p w:rsidR="00961CC3" w:rsidP="00961CC3">
      <w:pPr>
        <w:jc w:val="center"/>
        <w:rPr>
          <w:b/>
          <w:szCs w:val="22"/>
        </w:rPr>
      </w:pPr>
      <w:r>
        <w:rPr>
          <w:b/>
          <w:szCs w:val="22"/>
        </w:rPr>
        <w:t>CC Docket No. 96-45</w:t>
      </w:r>
    </w:p>
    <w:p w:rsidR="00961CC3" w:rsidP="00961CC3">
      <w:pPr>
        <w:rPr>
          <w:b/>
          <w:szCs w:val="22"/>
        </w:rPr>
      </w:pPr>
    </w:p>
    <w:p w:rsidR="00961CC3" w:rsidP="00961CC3">
      <w:pPr>
        <w:rPr>
          <w:b/>
          <w:szCs w:val="22"/>
        </w:rPr>
      </w:pPr>
      <w:r>
        <w:rPr>
          <w:b/>
          <w:szCs w:val="22"/>
        </w:rPr>
        <w:t>Deadline for Responses: April 26, 2019</w:t>
      </w:r>
    </w:p>
    <w:p w:rsidR="00961CC3" w:rsidP="00961CC3">
      <w:pPr>
        <w:rPr>
          <w:szCs w:val="22"/>
        </w:rPr>
      </w:pPr>
    </w:p>
    <w:p w:rsidR="00961CC3" w:rsidP="00961CC3">
      <w:pPr>
        <w:autoSpaceDE w:val="0"/>
        <w:autoSpaceDN w:val="0"/>
        <w:adjustRightInd w:val="0"/>
        <w:rPr>
          <w:rFonts w:ascii="TimesNewRoman" w:hAnsi="TimesNewRoman" w:cs="TimesNewRoman"/>
          <w:color w:val="010101"/>
          <w:szCs w:val="22"/>
        </w:rPr>
      </w:pPr>
      <w:r>
        <w:rPr>
          <w:szCs w:val="22"/>
        </w:rPr>
        <w:tab/>
      </w:r>
      <w:r>
        <w:rPr>
          <w:rFonts w:ascii="TimesNewRoman" w:hAnsi="TimesNewRoman" w:cs="TimesNewRoman"/>
          <w:color w:val="010101"/>
          <w:szCs w:val="22"/>
        </w:rPr>
        <w:t>The Wireline Competition Bureau has pending before it several petitions for waiver of various high-cost universal service filing deadlines.</w:t>
      </w:r>
      <w:r>
        <w:rPr>
          <w:szCs w:val="22"/>
        </w:rPr>
        <w:t xml:space="preserve">  </w:t>
      </w:r>
      <w:r>
        <w:rPr>
          <w:rFonts w:ascii="TimesNewRoman" w:hAnsi="TimesNewRoman" w:cs="TimesNewRoman"/>
          <w:color w:val="010101"/>
          <w:szCs w:val="22"/>
        </w:rPr>
        <w:t xml:space="preserve">Each of these petitions was filed at least one year prior to the date of this Public Notice and no comments or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submissions have been filed on these petitions for at least one year.  As part of the Commission’s ongoing effort to manage its dockets and reduce backlog,</w:t>
      </w:r>
      <w:r>
        <w:rPr>
          <w:rStyle w:val="FootnoteReference"/>
          <w:rFonts w:ascii="TimesNewRoman" w:hAnsi="TimesNewRoman" w:cs="TimesNewRoman"/>
          <w:color w:val="010101"/>
          <w:szCs w:val="22"/>
        </w:rPr>
        <w:footnoteReference w:id="3"/>
      </w:r>
      <w:r w:rsidRPr="00C85D4C">
        <w:rPr>
          <w:rFonts w:ascii="TimesNewRoman" w:hAnsi="TimesNewRoman" w:cs="TimesNewRoman"/>
          <w:color w:val="010101"/>
          <w:szCs w:val="22"/>
        </w:rPr>
        <w:t xml:space="preserve"> </w:t>
      </w:r>
      <w:r>
        <w:rPr>
          <w:rFonts w:ascii="TimesNewRoman" w:hAnsi="TimesNewRoman" w:cs="TimesNewRoman"/>
          <w:color w:val="010101"/>
          <w:szCs w:val="22"/>
        </w:rPr>
        <w:t xml:space="preserve">and </w:t>
      </w:r>
      <w:r>
        <w:rPr>
          <w:rFonts w:ascii="TimesNewRoman" w:hAnsi="TimesNewRoman" w:cs="TimesNewRoman"/>
          <w:color w:val="010101"/>
          <w:szCs w:val="22"/>
        </w:rPr>
        <w:t>in an effort to</w:t>
      </w:r>
      <w:r>
        <w:rPr>
          <w:rFonts w:ascii="TimesNewRoman" w:hAnsi="TimesNewRoman" w:cs="TimesNewRoman"/>
          <w:color w:val="010101"/>
          <w:szCs w:val="22"/>
        </w:rPr>
        <w:t xml:space="preserve"> avoid the need to address issues unnecessarily, the Bureau seeks to assess the parties’ continuing interests in these requests.  We therefore plan to dismiss each petition listed below without prejudice unless the petitioner comes forward within 45 days of the date of this Public Notice to state that it intends to pursue the petition.  The Bureau is sending copies of this Public Notice to the petitioners at the addresses listed on their petitions.</w:t>
      </w:r>
    </w:p>
    <w:p w:rsidR="00961CC3" w:rsidP="00961CC3">
      <w:pPr>
        <w:autoSpaceDE w:val="0"/>
        <w:autoSpaceDN w:val="0"/>
        <w:adjustRightInd w:val="0"/>
        <w:rPr>
          <w:rFonts w:ascii="TimesNewRoman" w:hAnsi="TimesNewRoman" w:cs="TimesNewRoman"/>
          <w:color w:val="010101"/>
          <w:szCs w:val="22"/>
        </w:rPr>
      </w:pPr>
    </w:p>
    <w:p w:rsidR="00961CC3" w:rsidRPr="00C85D4C" w:rsidP="00961CC3">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ab/>
        <w:t>These petitions and related information are listed below:</w:t>
      </w:r>
    </w:p>
    <w:p w:rsidR="00961CC3" w:rsidP="00961CC3">
      <w:pPr>
        <w:autoSpaceDE w:val="0"/>
        <w:autoSpaceDN w:val="0"/>
        <w:adjustRightInd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4230"/>
        <w:gridCol w:w="1800"/>
      </w:tblGrid>
      <w:tr w:rsidTr="009E459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988" w:type="dxa"/>
            <w:shd w:val="clear" w:color="auto" w:fill="auto"/>
          </w:tcPr>
          <w:p w:rsidR="00961CC3" w:rsidP="009E4597">
            <w:pPr>
              <w:autoSpaceDE w:val="0"/>
              <w:autoSpaceDN w:val="0"/>
              <w:adjustRightInd w:val="0"/>
              <w:rPr>
                <w:b/>
                <w:szCs w:val="22"/>
              </w:rPr>
            </w:pPr>
            <w:r>
              <w:rPr>
                <w:b/>
                <w:szCs w:val="22"/>
              </w:rPr>
              <w:t>Petitioner</w:t>
            </w:r>
          </w:p>
        </w:tc>
        <w:tc>
          <w:tcPr>
            <w:tcW w:w="4230" w:type="dxa"/>
            <w:shd w:val="clear" w:color="auto" w:fill="auto"/>
          </w:tcPr>
          <w:p w:rsidR="00961CC3" w:rsidP="009E4597">
            <w:pPr>
              <w:autoSpaceDE w:val="0"/>
              <w:autoSpaceDN w:val="0"/>
              <w:adjustRightInd w:val="0"/>
              <w:rPr>
                <w:b/>
                <w:szCs w:val="22"/>
              </w:rPr>
            </w:pPr>
            <w:r>
              <w:rPr>
                <w:b/>
                <w:szCs w:val="22"/>
              </w:rPr>
              <w:t>Petitions</w:t>
            </w:r>
          </w:p>
        </w:tc>
        <w:tc>
          <w:tcPr>
            <w:tcW w:w="1800" w:type="dxa"/>
            <w:shd w:val="clear" w:color="auto" w:fill="auto"/>
          </w:tcPr>
          <w:p w:rsidR="00961CC3" w:rsidP="009E4597">
            <w:pPr>
              <w:autoSpaceDE w:val="0"/>
              <w:autoSpaceDN w:val="0"/>
              <w:adjustRightInd w:val="0"/>
              <w:rPr>
                <w:b/>
                <w:szCs w:val="22"/>
              </w:rPr>
            </w:pPr>
            <w:r>
              <w:rPr>
                <w:b/>
                <w:szCs w:val="22"/>
              </w:rPr>
              <w:t>Date Petition Filed</w:t>
            </w:r>
          </w:p>
        </w:tc>
      </w:tr>
      <w:tr w:rsidTr="009E4597">
        <w:tblPrEx>
          <w:tblW w:w="0" w:type="auto"/>
          <w:tblLook w:val="04A0"/>
        </w:tblPrEx>
        <w:trPr>
          <w:cantSplit/>
        </w:trPr>
        <w:tc>
          <w:tcPr>
            <w:tcW w:w="2988" w:type="dxa"/>
            <w:shd w:val="clear" w:color="auto" w:fill="auto"/>
          </w:tcPr>
          <w:p w:rsidR="00961CC3" w:rsidP="009E4597">
            <w:pPr>
              <w:autoSpaceDE w:val="0"/>
              <w:autoSpaceDN w:val="0"/>
              <w:adjustRightInd w:val="0"/>
              <w:rPr>
                <w:szCs w:val="22"/>
              </w:rPr>
            </w:pPr>
            <w:r>
              <w:rPr>
                <w:szCs w:val="22"/>
              </w:rPr>
              <w:t xml:space="preserve">Madison River Telephone Company, LLC, </w:t>
            </w:r>
            <w:r>
              <w:rPr>
                <w:szCs w:val="22"/>
              </w:rPr>
              <w:t>MebTel</w:t>
            </w:r>
            <w:r>
              <w:rPr>
                <w:szCs w:val="22"/>
              </w:rPr>
              <w:t xml:space="preserve">, Inc., d/b/a </w:t>
            </w:r>
            <w:r>
              <w:rPr>
                <w:szCs w:val="22"/>
              </w:rPr>
              <w:t>MebTel</w:t>
            </w:r>
            <w:r>
              <w:rPr>
                <w:szCs w:val="22"/>
              </w:rPr>
              <w:t xml:space="preserve"> </w:t>
            </w:r>
            <w:r>
              <w:rPr>
                <w:szCs w:val="22"/>
              </w:rPr>
              <w:t>Communcations</w:t>
            </w:r>
            <w:r>
              <w:rPr>
                <w:szCs w:val="22"/>
              </w:rPr>
              <w:t xml:space="preserve">, </w:t>
            </w:r>
            <w:r>
              <w:rPr>
                <w:szCs w:val="22"/>
              </w:rPr>
              <w:t>MebTel</w:t>
            </w:r>
            <w:r>
              <w:rPr>
                <w:szCs w:val="22"/>
              </w:rPr>
              <w:t xml:space="preserve"> Long Distance Solutions, Inc., and Bell South Telecommunications, Inc., Bell South Long Distance, Inc.</w:t>
            </w:r>
          </w:p>
        </w:tc>
        <w:tc>
          <w:tcPr>
            <w:tcW w:w="4230" w:type="dxa"/>
            <w:shd w:val="clear" w:color="auto" w:fill="auto"/>
          </w:tcPr>
          <w:p w:rsidR="00961CC3" w:rsidP="009E4597">
            <w:r>
              <w:t>Joint Petition for Waiver of the Definition of “Study Area” of the Appendix-Glossary of Part 36 of the Commission’s Rules; Petition for Waiver of Section 690.3(e</w:t>
            </w:r>
            <w:r>
              <w:t>)(</w:t>
            </w:r>
            <w:r>
              <w:t>11) of the Commission’s Rules</w:t>
            </w:r>
          </w:p>
          <w:p w:rsidR="00961CC3" w:rsidP="009E4597">
            <w:pPr>
              <w:autoSpaceDE w:val="0"/>
              <w:autoSpaceDN w:val="0"/>
              <w:adjustRightInd w:val="0"/>
              <w:rPr>
                <w:szCs w:val="22"/>
              </w:rPr>
            </w:pPr>
          </w:p>
        </w:tc>
        <w:tc>
          <w:tcPr>
            <w:tcW w:w="1800" w:type="dxa"/>
            <w:shd w:val="clear" w:color="auto" w:fill="auto"/>
          </w:tcPr>
          <w:p w:rsidR="00961CC3" w:rsidP="009E4597">
            <w:pPr>
              <w:autoSpaceDE w:val="0"/>
              <w:autoSpaceDN w:val="0"/>
              <w:adjustRightInd w:val="0"/>
              <w:rPr>
                <w:szCs w:val="22"/>
              </w:rPr>
            </w:pPr>
            <w:r>
              <w:rPr>
                <w:szCs w:val="22"/>
              </w:rPr>
              <w:t>8/15/2006</w:t>
            </w:r>
          </w:p>
        </w:tc>
      </w:tr>
      <w:tr w:rsidTr="009E4597">
        <w:tblPrEx>
          <w:tblW w:w="0" w:type="auto"/>
          <w:tblLook w:val="04A0"/>
        </w:tblPrEx>
        <w:trPr>
          <w:cantSplit/>
        </w:trPr>
        <w:tc>
          <w:tcPr>
            <w:tcW w:w="2988" w:type="dxa"/>
            <w:shd w:val="clear" w:color="auto" w:fill="auto"/>
          </w:tcPr>
          <w:p w:rsidR="00961CC3" w:rsidP="009E4597">
            <w:r>
              <w:t>TDS Telecommunications Corp., FairPoint Communications, Inc., and Burke’s Garden Telephone Company (Rural ILECs)</w:t>
            </w:r>
          </w:p>
          <w:p w:rsidR="00961CC3" w:rsidP="009E4597">
            <w:pPr>
              <w:autoSpaceDE w:val="0"/>
              <w:autoSpaceDN w:val="0"/>
              <w:adjustRightInd w:val="0"/>
              <w:rPr>
                <w:szCs w:val="22"/>
              </w:rPr>
            </w:pPr>
          </w:p>
        </w:tc>
        <w:tc>
          <w:tcPr>
            <w:tcW w:w="4230" w:type="dxa"/>
            <w:shd w:val="clear" w:color="auto" w:fill="auto"/>
          </w:tcPr>
          <w:p w:rsidR="00961CC3" w:rsidP="009E4597">
            <w:pPr>
              <w:autoSpaceDE w:val="0"/>
              <w:autoSpaceDN w:val="0"/>
              <w:adjustRightInd w:val="0"/>
              <w:rPr>
                <w:szCs w:val="22"/>
              </w:rPr>
            </w:pPr>
            <w:r>
              <w:t>Petition for Revocation of Sprint/Nextel’s Designation as an Eligible Telecommunications Carrier in the State of Virginia</w:t>
            </w:r>
          </w:p>
        </w:tc>
        <w:tc>
          <w:tcPr>
            <w:tcW w:w="1800" w:type="dxa"/>
            <w:shd w:val="clear" w:color="auto" w:fill="auto"/>
          </w:tcPr>
          <w:p w:rsidR="00961CC3" w:rsidP="009E4597">
            <w:pPr>
              <w:autoSpaceDE w:val="0"/>
              <w:autoSpaceDN w:val="0"/>
              <w:adjustRightInd w:val="0"/>
              <w:rPr>
                <w:szCs w:val="22"/>
              </w:rPr>
            </w:pPr>
            <w:r>
              <w:rPr>
                <w:szCs w:val="22"/>
              </w:rPr>
              <w:t>6/04/2007</w:t>
            </w:r>
          </w:p>
        </w:tc>
      </w:tr>
      <w:tr w:rsidTr="009E4597">
        <w:tblPrEx>
          <w:tblW w:w="0" w:type="auto"/>
          <w:tblLook w:val="04A0"/>
        </w:tblPrEx>
        <w:trPr>
          <w:cantSplit/>
        </w:trPr>
        <w:tc>
          <w:tcPr>
            <w:tcW w:w="2988" w:type="dxa"/>
            <w:shd w:val="clear" w:color="auto" w:fill="auto"/>
          </w:tcPr>
          <w:p w:rsidR="00961CC3" w:rsidP="009E4597">
            <w:pPr>
              <w:autoSpaceDE w:val="0"/>
              <w:autoSpaceDN w:val="0"/>
              <w:adjustRightInd w:val="0"/>
              <w:rPr>
                <w:szCs w:val="22"/>
              </w:rPr>
            </w:pPr>
            <w:r>
              <w:rPr>
                <w:szCs w:val="22"/>
              </w:rPr>
              <w:t>Michigan Access, Inc.</w:t>
            </w:r>
          </w:p>
        </w:tc>
        <w:tc>
          <w:tcPr>
            <w:tcW w:w="4230" w:type="dxa"/>
            <w:shd w:val="clear" w:color="auto" w:fill="auto"/>
          </w:tcPr>
          <w:p w:rsidR="00961CC3" w:rsidP="009E4597">
            <w:pPr>
              <w:autoSpaceDE w:val="0"/>
              <w:autoSpaceDN w:val="0"/>
              <w:adjustRightInd w:val="0"/>
              <w:rPr>
                <w:szCs w:val="22"/>
              </w:rPr>
            </w:pPr>
            <w:r w:rsidRPr="00380B6E">
              <w:rPr>
                <w:szCs w:val="22"/>
              </w:rPr>
              <w:t>Emergency Petition for Waiver of the Commission’s Rules to Designate Michigan Access an Incumbent Local Exchange Carrier in Two Unserved Areas in Northeast Michigan</w:t>
            </w:r>
            <w:r>
              <w:rPr>
                <w:szCs w:val="22"/>
              </w:rPr>
              <w:t>;</w:t>
            </w:r>
            <w:r w:rsidRPr="00380B6E">
              <w:rPr>
                <w:szCs w:val="22"/>
              </w:rPr>
              <w:t xml:space="preserve"> Petition for Waivers of the Commission’s Rules to Allow New Local Exchange Carrier to Participate in NECA Tariffs and Pools and Obtain Accelerated USF Support</w:t>
            </w:r>
          </w:p>
        </w:tc>
        <w:tc>
          <w:tcPr>
            <w:tcW w:w="1800" w:type="dxa"/>
            <w:shd w:val="clear" w:color="auto" w:fill="auto"/>
          </w:tcPr>
          <w:p w:rsidR="00961CC3" w:rsidP="009E4597">
            <w:pPr>
              <w:autoSpaceDE w:val="0"/>
              <w:autoSpaceDN w:val="0"/>
              <w:adjustRightInd w:val="0"/>
              <w:rPr>
                <w:szCs w:val="22"/>
              </w:rPr>
            </w:pPr>
            <w:r>
              <w:rPr>
                <w:szCs w:val="22"/>
              </w:rPr>
              <w:t>9/30/2009</w:t>
            </w:r>
          </w:p>
        </w:tc>
      </w:tr>
      <w:tr w:rsidTr="009E4597">
        <w:tblPrEx>
          <w:tblW w:w="0" w:type="auto"/>
          <w:tblLook w:val="04A0"/>
        </w:tblPrEx>
        <w:trPr>
          <w:cantSplit/>
        </w:trPr>
        <w:tc>
          <w:tcPr>
            <w:tcW w:w="2988" w:type="dxa"/>
            <w:shd w:val="clear" w:color="auto" w:fill="auto"/>
          </w:tcPr>
          <w:p w:rsidR="00961CC3" w:rsidP="009E4597">
            <w:pPr>
              <w:autoSpaceDE w:val="0"/>
              <w:autoSpaceDN w:val="0"/>
              <w:adjustRightInd w:val="0"/>
              <w:rPr>
                <w:szCs w:val="22"/>
              </w:rPr>
            </w:pPr>
            <w:r>
              <w:rPr>
                <w:szCs w:val="22"/>
              </w:rPr>
              <w:t>Worldcall</w:t>
            </w:r>
            <w:r>
              <w:rPr>
                <w:szCs w:val="22"/>
              </w:rPr>
              <w:t xml:space="preserve"> Interconnect, Inc. (WCX)</w:t>
            </w:r>
          </w:p>
        </w:tc>
        <w:tc>
          <w:tcPr>
            <w:tcW w:w="4230" w:type="dxa"/>
            <w:shd w:val="clear" w:color="auto" w:fill="auto"/>
          </w:tcPr>
          <w:p w:rsidR="00961CC3" w:rsidP="009E4597">
            <w:pPr>
              <w:autoSpaceDE w:val="0"/>
              <w:autoSpaceDN w:val="0"/>
              <w:adjustRightInd w:val="0"/>
              <w:rPr>
                <w:szCs w:val="22"/>
              </w:rPr>
            </w:pPr>
            <w:r>
              <w:rPr>
                <w:szCs w:val="22"/>
              </w:rPr>
              <w:t>Application for Review of the Bureau’s Denial of WCX’s Petition for ETC Status in New York State</w:t>
            </w:r>
          </w:p>
        </w:tc>
        <w:tc>
          <w:tcPr>
            <w:tcW w:w="1800" w:type="dxa"/>
            <w:shd w:val="clear" w:color="auto" w:fill="auto"/>
          </w:tcPr>
          <w:p w:rsidR="00961CC3" w:rsidP="009E4597">
            <w:pPr>
              <w:autoSpaceDE w:val="0"/>
              <w:autoSpaceDN w:val="0"/>
              <w:adjustRightInd w:val="0"/>
              <w:rPr>
                <w:szCs w:val="22"/>
              </w:rPr>
            </w:pPr>
            <w:r>
              <w:rPr>
                <w:szCs w:val="22"/>
              </w:rPr>
              <w:t>5/27/2011</w:t>
            </w:r>
          </w:p>
        </w:tc>
      </w:tr>
      <w:tr w:rsidTr="009E4597">
        <w:tblPrEx>
          <w:tblW w:w="0" w:type="auto"/>
          <w:tblLook w:val="04A0"/>
        </w:tblPrEx>
        <w:trPr>
          <w:cantSplit/>
        </w:trPr>
        <w:tc>
          <w:tcPr>
            <w:tcW w:w="2988" w:type="dxa"/>
            <w:shd w:val="clear" w:color="auto" w:fill="auto"/>
          </w:tcPr>
          <w:p w:rsidR="00961CC3" w:rsidP="009E4597">
            <w:pPr>
              <w:autoSpaceDE w:val="0"/>
              <w:autoSpaceDN w:val="0"/>
              <w:adjustRightInd w:val="0"/>
              <w:rPr>
                <w:szCs w:val="22"/>
              </w:rPr>
            </w:pPr>
            <w:r>
              <w:rPr>
                <w:szCs w:val="22"/>
              </w:rPr>
              <w:t>Dell Telephone Cooperative</w:t>
            </w:r>
          </w:p>
        </w:tc>
        <w:tc>
          <w:tcPr>
            <w:tcW w:w="4230" w:type="dxa"/>
            <w:shd w:val="clear" w:color="auto" w:fill="auto"/>
          </w:tcPr>
          <w:p w:rsidR="00961CC3" w:rsidP="009E4597">
            <w:pPr>
              <w:autoSpaceDE w:val="0"/>
              <w:autoSpaceDN w:val="0"/>
              <w:adjustRightInd w:val="0"/>
              <w:rPr>
                <w:szCs w:val="22"/>
              </w:rPr>
            </w:pPr>
            <w:r>
              <w:rPr>
                <w:szCs w:val="22"/>
              </w:rPr>
              <w:t xml:space="preserve">Application for Review of the Bureau’s order </w:t>
            </w:r>
            <w:r>
              <w:t xml:space="preserve">dismissing without prejudice Dell Telephone’s petition for waiver certain universal service rules adopted in </w:t>
            </w:r>
            <w:r w:rsidRPr="00491F91">
              <w:rPr>
                <w:i/>
              </w:rPr>
              <w:t>USF/ICC Transformation Order</w:t>
            </w:r>
          </w:p>
        </w:tc>
        <w:tc>
          <w:tcPr>
            <w:tcW w:w="1800" w:type="dxa"/>
            <w:shd w:val="clear" w:color="auto" w:fill="auto"/>
          </w:tcPr>
          <w:p w:rsidR="00961CC3" w:rsidP="009E4597">
            <w:pPr>
              <w:autoSpaceDE w:val="0"/>
              <w:autoSpaceDN w:val="0"/>
              <w:adjustRightInd w:val="0"/>
              <w:rPr>
                <w:szCs w:val="22"/>
              </w:rPr>
            </w:pPr>
            <w:r>
              <w:rPr>
                <w:szCs w:val="22"/>
              </w:rPr>
              <w:t>5/30/2013</w:t>
            </w:r>
          </w:p>
        </w:tc>
      </w:tr>
    </w:tbl>
    <w:p w:rsidR="00961CC3" w:rsidP="00961CC3">
      <w:pPr>
        <w:autoSpaceDE w:val="0"/>
        <w:autoSpaceDN w:val="0"/>
        <w:adjustRightInd w:val="0"/>
        <w:rPr>
          <w:szCs w:val="22"/>
        </w:rPr>
      </w:pPr>
    </w:p>
    <w:p w:rsidR="00961CC3" w:rsidP="00961CC3">
      <w:pPr>
        <w:autoSpaceDE w:val="0"/>
        <w:autoSpaceDN w:val="0"/>
        <w:adjustRightInd w:val="0"/>
        <w:ind w:firstLine="720"/>
        <w:rPr>
          <w:rFonts w:ascii="TimesNewRoman" w:hAnsi="TimesNewRoman" w:cs="TimesNewRoman"/>
          <w:color w:val="010101"/>
          <w:szCs w:val="22"/>
        </w:rPr>
      </w:pPr>
      <w:r>
        <w:rPr>
          <w:rFonts w:ascii="TimesNewRoman" w:hAnsi="TimesNewRoman" w:cs="TimesNewRoman"/>
          <w:color w:val="010101"/>
          <w:szCs w:val="22"/>
        </w:rPr>
        <w:t>Pursuant to section 1.419 of the Commission’s rules, any petitioner intending to pursue its petition must file a letter stating that on or before the date indicated above.</w:t>
      </w:r>
      <w:r>
        <w:rPr>
          <w:rStyle w:val="FootnoteReference"/>
          <w:rFonts w:ascii="TimesNewRoman" w:hAnsi="TimesNewRoman" w:cs="TimesNewRoman"/>
          <w:color w:val="010101"/>
          <w:szCs w:val="22"/>
        </w:rPr>
        <w:footnoteReference w:id="4"/>
      </w:r>
      <w:r>
        <w:rPr>
          <w:rFonts w:ascii="TimesNewRoman" w:hAnsi="TimesNewRoman" w:cs="TimesNewRoman"/>
          <w:color w:val="010101"/>
          <w:szCs w:val="22"/>
        </w:rPr>
        <w:t xml:space="preserve">  The letter should reference </w:t>
      </w:r>
      <w:r>
        <w:rPr>
          <w:rFonts w:ascii="TimesNewRoman,Bold" w:hAnsi="TimesNewRoman,Bold" w:cs="TimesNewRoman,Bold"/>
          <w:b/>
          <w:bCs/>
          <w:color w:val="010101"/>
          <w:szCs w:val="22"/>
        </w:rPr>
        <w:t xml:space="preserve">WC Docket Nos. 10-90, 05-337, 09-137 </w:t>
      </w:r>
      <w:r>
        <w:rPr>
          <w:rFonts w:ascii="TimesNewRoman" w:hAnsi="TimesNewRoman" w:cs="TimesNewRoman"/>
          <w:color w:val="010101"/>
          <w:szCs w:val="22"/>
        </w:rPr>
        <w:t xml:space="preserve">and </w:t>
      </w:r>
      <w:r>
        <w:rPr>
          <w:rFonts w:ascii="TimesNewRoman,Bold" w:hAnsi="TimesNewRoman,Bold" w:cs="TimesNewRoman,Bold"/>
          <w:b/>
          <w:bCs/>
          <w:color w:val="010101"/>
          <w:szCs w:val="22"/>
        </w:rPr>
        <w:t>CC Docket No. 96-45</w:t>
      </w:r>
      <w:r>
        <w:rPr>
          <w:rFonts w:ascii="TimesNewRoman" w:hAnsi="TimesNewRoman" w:cs="TimesNewRoman"/>
          <w:color w:val="010101"/>
          <w:szCs w:val="22"/>
        </w:rPr>
        <w:t>, as appropriate, and may be filed using the Commission’s Electronic Comment Filing System (ECFS) or by filing paper copies.</w:t>
      </w:r>
    </w:p>
    <w:p w:rsidR="00961CC3" w:rsidP="00961CC3">
      <w:pPr>
        <w:autoSpaceDE w:val="0"/>
        <w:autoSpaceDN w:val="0"/>
        <w:adjustRightInd w:val="0"/>
        <w:rPr>
          <w:szCs w:val="22"/>
        </w:rPr>
      </w:pPr>
    </w:p>
    <w:p w:rsidR="00961CC3" w:rsidP="00961CC3">
      <w:pPr>
        <w:widowControl/>
        <w:numPr>
          <w:ilvl w:val="0"/>
          <w:numId w:val="7"/>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Electronic Filers: Letters may be filed electronically using the Internet by accessing the ECFS:</w:t>
      </w:r>
    </w:p>
    <w:p w:rsidR="00961CC3" w:rsidP="00961CC3">
      <w:pPr>
        <w:autoSpaceDE w:val="0"/>
        <w:autoSpaceDN w:val="0"/>
        <w:adjustRightInd w:val="0"/>
        <w:ind w:firstLine="720"/>
        <w:rPr>
          <w:rFonts w:ascii="TimesNewRoman" w:hAnsi="TimesNewRoman" w:cs="TimesNewRoman"/>
          <w:color w:val="010101"/>
          <w:szCs w:val="22"/>
        </w:rPr>
      </w:pPr>
      <w:r>
        <w:rPr>
          <w:rFonts w:ascii="TimesNewRoman" w:hAnsi="TimesNewRoman" w:cs="TimesNewRoman"/>
          <w:color w:val="0101FF"/>
          <w:szCs w:val="22"/>
        </w:rPr>
        <w:t xml:space="preserve">  </w:t>
      </w:r>
      <w:hyperlink r:id="rId5" w:history="1">
        <w:r w:rsidRPr="009B2744">
          <w:rPr>
            <w:rStyle w:val="Hyperlink"/>
            <w:rFonts w:ascii="TimesNewRoman" w:hAnsi="TimesNewRoman" w:cs="TimesNewRoman"/>
            <w:szCs w:val="22"/>
          </w:rPr>
          <w:t>http://fjallfoss.fcc.gov/ecfs2/</w:t>
        </w:r>
      </w:hyperlink>
      <w:r>
        <w:rPr>
          <w:rFonts w:ascii="TimesNewRoman" w:hAnsi="TimesNewRoman" w:cs="TimesNewRoman"/>
          <w:color w:val="010101"/>
          <w:szCs w:val="22"/>
        </w:rPr>
        <w:t>.</w:t>
      </w:r>
    </w:p>
    <w:p w:rsidR="00961CC3" w:rsidP="00961CC3">
      <w:pPr>
        <w:autoSpaceDE w:val="0"/>
        <w:autoSpaceDN w:val="0"/>
        <w:adjustRightInd w:val="0"/>
        <w:ind w:firstLine="720"/>
        <w:rPr>
          <w:rFonts w:ascii="TimesNewRoman" w:hAnsi="TimesNewRoman" w:cs="TimesNewRoman"/>
          <w:color w:val="010101"/>
          <w:szCs w:val="22"/>
        </w:rPr>
      </w:pPr>
    </w:p>
    <w:p w:rsidR="00961CC3" w:rsidRPr="00115536" w:rsidP="00961CC3">
      <w:pPr>
        <w:widowControl/>
        <w:numPr>
          <w:ilvl w:val="0"/>
          <w:numId w:val="7"/>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 xml:space="preserve">Paper Filers: Parties who choose to file by paper must file an original and one copy of each filing. Because more than one docket number appears in the caption of this proceeding, filers must submit two additional copies for the additional docket number. Filings can be sent by hand or messenger delivery, by commercial overnight courier, or by first-class or overnight U.S. Postal Service mail. All filings must be addressed to the Commission’s Secretary, Office of the </w:t>
      </w:r>
      <w:r w:rsidRPr="00115536">
        <w:rPr>
          <w:rFonts w:ascii="TimesNewRoman" w:hAnsi="TimesNewRoman" w:cs="TimesNewRoman"/>
          <w:color w:val="010101"/>
          <w:szCs w:val="22"/>
        </w:rPr>
        <w:t>Secretary, Federal Communications Commission.</w:t>
      </w:r>
    </w:p>
    <w:p w:rsidR="00961CC3" w:rsidP="00961CC3">
      <w:pPr>
        <w:ind w:firstLine="720"/>
        <w:rPr>
          <w:rFonts w:ascii="TimesNewRoman" w:hAnsi="TimesNewRoman" w:cs="TimesNewRoman"/>
          <w:color w:val="010101"/>
          <w:szCs w:val="22"/>
        </w:rPr>
      </w:pPr>
    </w:p>
    <w:p w:rsidR="00961CC3" w:rsidP="00961CC3">
      <w:pPr>
        <w:widowControl/>
        <w:numPr>
          <w:ilvl w:val="1"/>
          <w:numId w:val="7"/>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All hand-delivered or messenger-delivered paper filings for the Commission’s Secretary must be delivered to FCC Headquarters at 445 12</w:t>
      </w:r>
      <w:r>
        <w:rPr>
          <w:rFonts w:ascii="TimesNewRoman" w:hAnsi="TimesNewRoman" w:cs="TimesNewRoman"/>
          <w:color w:val="010101"/>
          <w:sz w:val="14"/>
          <w:szCs w:val="14"/>
        </w:rPr>
        <w:t xml:space="preserve">th </w:t>
      </w:r>
      <w:r>
        <w:rPr>
          <w:rFonts w:ascii="TimesNewRoman" w:hAnsi="TimesNewRoman" w:cs="TimesNewRoman"/>
          <w:color w:val="010101"/>
          <w:szCs w:val="22"/>
        </w:rPr>
        <w:t xml:space="preserve">St., SW, Room TW-A325, Washington, DC 20554. The filing hours are 8:00 a.m. to 7:00 p.m. All hand deliveries must be held together with rubber bands or fasteners. Any envelopes and boxes must be disposed of </w:t>
      </w:r>
      <w:r w:rsidRPr="00616534">
        <w:rPr>
          <w:rFonts w:ascii="TimesNewRoman" w:hAnsi="TimesNewRoman" w:cs="TimesNewRoman"/>
          <w:color w:val="010101"/>
          <w:szCs w:val="22"/>
          <w:u w:val="single"/>
        </w:rPr>
        <w:t>before</w:t>
      </w:r>
      <w:r>
        <w:rPr>
          <w:rFonts w:ascii="TimesNewRoman" w:hAnsi="TimesNewRoman" w:cs="TimesNewRoman"/>
          <w:color w:val="010101"/>
          <w:szCs w:val="22"/>
        </w:rPr>
        <w:t xml:space="preserve"> entering the building.</w:t>
      </w:r>
    </w:p>
    <w:p w:rsidR="00961CC3" w:rsidP="00961CC3">
      <w:pPr>
        <w:autoSpaceDE w:val="0"/>
        <w:autoSpaceDN w:val="0"/>
        <w:adjustRightInd w:val="0"/>
        <w:ind w:left="1440"/>
        <w:rPr>
          <w:rFonts w:ascii="TimesNewRoman" w:hAnsi="TimesNewRoman" w:cs="TimesNewRoman"/>
          <w:color w:val="010101"/>
          <w:szCs w:val="22"/>
        </w:rPr>
      </w:pPr>
    </w:p>
    <w:p w:rsidR="00961CC3" w:rsidP="00961CC3">
      <w:pPr>
        <w:widowControl/>
        <w:numPr>
          <w:ilvl w:val="1"/>
          <w:numId w:val="7"/>
        </w:numPr>
        <w:autoSpaceDE w:val="0"/>
        <w:autoSpaceDN w:val="0"/>
        <w:adjustRightInd w:val="0"/>
        <w:rPr>
          <w:rFonts w:ascii="TimesNewRoman" w:hAnsi="TimesNewRoman" w:cs="TimesNewRoman"/>
          <w:color w:val="010101"/>
          <w:szCs w:val="22"/>
        </w:rPr>
      </w:pPr>
      <w:r w:rsidRPr="00115536">
        <w:rPr>
          <w:rFonts w:ascii="TimesNewRoman" w:hAnsi="TimesNewRoman" w:cs="TimesNewRoman"/>
          <w:color w:val="010101"/>
          <w:szCs w:val="22"/>
        </w:rPr>
        <w:t>Commercial overnight mail (other than U.S. Postal Service Express Mail and Priority Mail) must be sent to 9300 East Hampton Drive, Capitol Heights, MD 20743.</w:t>
      </w:r>
    </w:p>
    <w:p w:rsidR="00961CC3" w:rsidP="00961CC3">
      <w:pPr>
        <w:pStyle w:val="ListParagraph"/>
        <w:rPr>
          <w:rFonts w:ascii="TimesNewRoman" w:hAnsi="TimesNewRoman" w:cs="TimesNewRoman"/>
          <w:color w:val="010101"/>
          <w:szCs w:val="22"/>
        </w:rPr>
      </w:pPr>
    </w:p>
    <w:p w:rsidR="00961CC3" w:rsidRPr="00115536" w:rsidP="00961CC3">
      <w:pPr>
        <w:widowControl/>
        <w:numPr>
          <w:ilvl w:val="1"/>
          <w:numId w:val="7"/>
        </w:numPr>
        <w:autoSpaceDE w:val="0"/>
        <w:autoSpaceDN w:val="0"/>
        <w:adjustRightInd w:val="0"/>
        <w:rPr>
          <w:rFonts w:ascii="TimesNewRoman" w:hAnsi="TimesNewRoman" w:cs="TimesNewRoman"/>
          <w:color w:val="010101"/>
          <w:szCs w:val="22"/>
        </w:rPr>
      </w:pPr>
      <w:r w:rsidRPr="00115536">
        <w:rPr>
          <w:rFonts w:ascii="TimesNewRoman" w:hAnsi="TimesNewRoman" w:cs="TimesNewRoman"/>
          <w:color w:val="010101"/>
          <w:szCs w:val="22"/>
        </w:rPr>
        <w:t>U.S. Postal Service first-class, Express, and Priority mail must be addressed to 445 12</w:t>
      </w:r>
      <w:r w:rsidRPr="00115536">
        <w:rPr>
          <w:rFonts w:ascii="TimesNewRoman" w:hAnsi="TimesNewRoman" w:cs="TimesNewRoman"/>
          <w:color w:val="010101"/>
          <w:sz w:val="14"/>
          <w:szCs w:val="14"/>
          <w:vertAlign w:val="superscript"/>
        </w:rPr>
        <w:t>th</w:t>
      </w:r>
      <w:r w:rsidRPr="00115536">
        <w:rPr>
          <w:rFonts w:ascii="TimesNewRoman" w:hAnsi="TimesNewRoman" w:cs="TimesNewRoman"/>
          <w:color w:val="010101"/>
          <w:sz w:val="14"/>
          <w:szCs w:val="14"/>
        </w:rPr>
        <w:t xml:space="preserve"> </w:t>
      </w:r>
      <w:r w:rsidRPr="00115536">
        <w:rPr>
          <w:rFonts w:ascii="TimesNewRoman" w:hAnsi="TimesNewRoman" w:cs="TimesNewRoman"/>
          <w:color w:val="010101"/>
          <w:szCs w:val="22"/>
        </w:rPr>
        <w:t>Street, SW, Washington DC 20554.</w:t>
      </w:r>
    </w:p>
    <w:p w:rsidR="00961CC3" w:rsidP="00961CC3">
      <w:pPr>
        <w:ind w:firstLine="720"/>
        <w:rPr>
          <w:szCs w:val="22"/>
        </w:rPr>
      </w:pPr>
    </w:p>
    <w:p w:rsidR="00961CC3" w:rsidRPr="001936F2" w:rsidP="00961CC3">
      <w:pPr>
        <w:autoSpaceDE w:val="0"/>
        <w:autoSpaceDN w:val="0"/>
        <w:adjustRightInd w:val="0"/>
        <w:spacing w:line="360" w:lineRule="auto"/>
        <w:rPr>
          <w:rFonts w:ascii="TimesNewRoman,Bold" w:hAnsi="TimesNewRoman,Bold" w:cs="TimesNewRoman,Bold"/>
          <w:b/>
          <w:bCs/>
          <w:color w:val="010101"/>
          <w:szCs w:val="22"/>
        </w:rPr>
      </w:pPr>
      <w:r>
        <w:rPr>
          <w:rFonts w:ascii="TimesNewRoman,Bold" w:hAnsi="TimesNewRoman,Bold" w:cs="TimesNewRoman,Bold"/>
          <w:b/>
          <w:bCs/>
          <w:color w:val="010101"/>
          <w:szCs w:val="22"/>
        </w:rPr>
        <w:t>In addition, a copy of each letter should be sent to:</w:t>
      </w:r>
    </w:p>
    <w:p w:rsidR="00961CC3" w:rsidP="00961CC3">
      <w:pPr>
        <w:widowControl/>
        <w:numPr>
          <w:ilvl w:val="0"/>
          <w:numId w:val="7"/>
        </w:numPr>
        <w:autoSpaceDE w:val="0"/>
        <w:autoSpaceDN w:val="0"/>
        <w:adjustRightInd w:val="0"/>
        <w:rPr>
          <w:rFonts w:ascii="TimesNewRoman,Bold" w:hAnsi="TimesNewRoman,Bold" w:cs="TimesNewRoman,Bold"/>
          <w:b/>
          <w:bCs/>
          <w:color w:val="010101"/>
          <w:szCs w:val="22"/>
        </w:rPr>
      </w:pPr>
      <w:r>
        <w:rPr>
          <w:rFonts w:ascii="TimesNewRoman" w:hAnsi="TimesNewRoman" w:cs="TimesNewRoman"/>
          <w:color w:val="010101"/>
          <w:szCs w:val="22"/>
        </w:rPr>
        <w:t>Lauren Garry, Telecommunications Access Policy Division, Wireline Competition Bureau, 445 12th Street, SW, Room 4-C405, Washington, DC 20554; e-mail: Lauren.Garry@fcc.gov</w:t>
      </w:r>
      <w:r>
        <w:rPr>
          <w:rFonts w:ascii="TimesNewRoman,Bold" w:hAnsi="TimesNewRoman,Bold" w:cs="TimesNewRoman,Bold"/>
          <w:b/>
          <w:bCs/>
          <w:color w:val="010101"/>
          <w:szCs w:val="22"/>
        </w:rPr>
        <w:t>.</w:t>
      </w:r>
    </w:p>
    <w:p w:rsidR="00961CC3" w:rsidP="00961CC3">
      <w:pPr>
        <w:ind w:firstLine="720"/>
        <w:rPr>
          <w:szCs w:val="22"/>
        </w:rPr>
      </w:pPr>
    </w:p>
    <w:p w:rsidR="00961CC3" w:rsidRPr="000448EF" w:rsidP="00961CC3">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ab/>
        <w:t xml:space="preserve">People with Disabilities: To request materials in accessible formats for people with disabilities (Braille, large print, electronic files, audio format), send an e-mail to </w:t>
      </w:r>
      <w:r>
        <w:rPr>
          <w:rFonts w:ascii="TimesNewRoman" w:hAnsi="TimesNewRoman" w:cs="TimesNewRoman"/>
          <w:color w:val="0101FF"/>
          <w:szCs w:val="22"/>
        </w:rPr>
        <w:t xml:space="preserve">fcc504@fcc.gov </w:t>
      </w:r>
      <w:r>
        <w:rPr>
          <w:rFonts w:ascii="TimesNewRoman" w:hAnsi="TimesNewRoman" w:cs="TimesNewRoman"/>
          <w:color w:val="010101"/>
          <w:szCs w:val="22"/>
        </w:rPr>
        <w:t>or call the Consumer &amp; Governmental Affairs Bureau at (202) 418-0530 (voice), (202) 418-0432 (tty).</w:t>
      </w:r>
    </w:p>
    <w:p w:rsidR="00961CC3" w:rsidP="00961CC3">
      <w:pPr>
        <w:ind w:firstLine="720"/>
        <w:rPr>
          <w:szCs w:val="22"/>
        </w:rPr>
      </w:pPr>
    </w:p>
    <w:p w:rsidR="00961CC3" w:rsidRPr="007B46FF" w:rsidP="00961CC3">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ab/>
        <w:t xml:space="preserve">The proceedings this Public Notice initiates shall be treated as “permit-but-disclose” proceedings in accordance with the Commission’s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rules.</w:t>
      </w:r>
      <w:r>
        <w:rPr>
          <w:rStyle w:val="FootnoteReference"/>
          <w:rFonts w:ascii="TimesNewRoman" w:hAnsi="TimesNewRoman" w:cs="TimesNewRoman"/>
          <w:color w:val="010101"/>
          <w:szCs w:val="22"/>
        </w:rPr>
        <w:footnoteReference w:id="5"/>
      </w:r>
      <w:r>
        <w:rPr>
          <w:rFonts w:ascii="TimesNewRoman" w:hAnsi="TimesNewRoman" w:cs="TimesNewRoman"/>
          <w:color w:val="010101"/>
          <w:szCs w:val="22"/>
        </w:rPr>
        <w:t xml:space="preserve"> </w:t>
      </w:r>
      <w:r>
        <w:rPr>
          <w:rFonts w:ascii="TimesNewRoman" w:hAnsi="TimesNewRoman" w:cs="TimesNewRoman"/>
          <w:color w:val="010101"/>
          <w:sz w:val="14"/>
          <w:szCs w:val="14"/>
        </w:rPr>
        <w:t xml:space="preserve"> </w:t>
      </w:r>
      <w:r>
        <w:rPr>
          <w:rFonts w:ascii="TimesNewRoman" w:hAnsi="TimesNewRoman" w:cs="TimesNewRoman"/>
          <w:color w:val="010101"/>
          <w:szCs w:val="22"/>
        </w:rPr>
        <w:t xml:space="preserve">Persons making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p</w:t>
      </w:r>
      <w:bookmarkStart w:id="0" w:name="_GoBack"/>
      <w:bookmarkEnd w:id="0"/>
      <w:r>
        <w:rPr>
          <w:rFonts w:ascii="TimesNewRoman" w:hAnsi="TimesNewRoman" w:cs="TimesNewRoman"/>
          <w:color w:val="010101"/>
          <w:szCs w:val="22"/>
        </w:rPr>
        <w:t xml:space="preserve">resentations must file a copy of any written presentation or a memorandum summarizing any oral presentation within two business days after the presentation (unless a different deadline applicable to the Sunshine period applies).  Persons making oral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presentations are reminded that memoranda summarizing the presentation must (1) list all persons attending or otherwise participating in the meeting at which the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meetings are deemed to be written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presentations and must be filed consistent with rule 1.1206(b).  In proceedings governed by rule 1.49(f) or for which the Commission has made available a method of electronic filing, written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presentations and memoranda summarizing oral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presentations, and all attachments thereto, must be filed through the electronic comment filing system available for that proceeding, and must be filed in their native format (</w:t>
      </w:r>
      <w:r>
        <w:rPr>
          <w:rFonts w:ascii="TimesNewRoman,Italic" w:hAnsi="TimesNewRoman,Italic" w:cs="TimesNewRoman,Italic"/>
          <w:i/>
          <w:iCs/>
          <w:color w:val="010101"/>
          <w:szCs w:val="22"/>
        </w:rPr>
        <w:t>e.g.</w:t>
      </w:r>
      <w:r>
        <w:rPr>
          <w:rFonts w:ascii="TimesNewRoman" w:hAnsi="TimesNewRoman" w:cs="TimesNewRoman"/>
          <w:color w:val="010101"/>
          <w:szCs w:val="22"/>
        </w:rPr>
        <w:t xml:space="preserve">, .doc, .xml, .ppt, searchable .pdf).  Participants in these proceedings should familiarize themselves with the Commission’s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rules.</w:t>
      </w:r>
    </w:p>
    <w:p w:rsidR="00961CC3" w:rsidP="00961CC3">
      <w:pPr>
        <w:ind w:firstLine="720"/>
        <w:rPr>
          <w:szCs w:val="22"/>
        </w:rPr>
      </w:pPr>
    </w:p>
    <w:p w:rsidR="00961CC3" w:rsidP="00961CC3">
      <w:pPr>
        <w:ind w:firstLine="720"/>
        <w:rPr>
          <w:szCs w:val="22"/>
        </w:rPr>
      </w:pPr>
      <w:r>
        <w:rPr>
          <w:szCs w:val="22"/>
        </w:rPr>
        <w:t>For further information, please contact Lauren Garry, Telecommunications Access Policy Division, Wireline Competition Bureau at (202) 418-0942 or TTY (202) 418-0484.</w:t>
      </w:r>
    </w:p>
    <w:p w:rsidR="00961CC3" w:rsidP="00961CC3">
      <w:pPr>
        <w:ind w:firstLine="720"/>
        <w:rPr>
          <w:szCs w:val="22"/>
        </w:rPr>
      </w:pPr>
    </w:p>
    <w:p w:rsidR="00961CC3" w:rsidP="00961CC3">
      <w:pPr>
        <w:ind w:firstLine="720"/>
        <w:rPr>
          <w:szCs w:val="22"/>
        </w:rPr>
      </w:pPr>
    </w:p>
    <w:p w:rsidR="00961CC3" w:rsidP="00961CC3">
      <w:pPr>
        <w:jc w:val="center"/>
        <w:rPr>
          <w:b/>
          <w:szCs w:val="22"/>
        </w:rPr>
      </w:pPr>
      <w:r>
        <w:rPr>
          <w:b/>
        </w:rPr>
        <w:t>- FCC -</w:t>
      </w:r>
    </w:p>
    <w:p w:rsidR="00F96F63" w:rsidRPr="00930ECF" w:rsidP="00F96F63">
      <w:pPr>
        <w:rPr>
          <w:sz w:val="24"/>
        </w:rPr>
      </w:pPr>
      <w:bookmarkStart w:id="1" w:name="TOChere"/>
    </w:p>
    <w:bookmarkEnd w:id="1"/>
    <w:p w:rsidR="00F96F63" w:rsidP="00F96F63">
      <w:pPr>
        <w:rPr>
          <w:sz w:val="24"/>
        </w:rPr>
      </w:pPr>
    </w:p>
    <w:p w:rsidR="00930ECF" w:rsidRPr="00930ECF" w:rsidP="00F96F63">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7D5D">
      <w:r>
        <w:separator/>
      </w:r>
    </w:p>
  </w:footnote>
  <w:footnote w:type="continuationSeparator" w:id="1">
    <w:p w:rsidR="001D7D5D">
      <w:pPr>
        <w:rPr>
          <w:sz w:val="20"/>
        </w:rPr>
      </w:pPr>
      <w:r>
        <w:rPr>
          <w:sz w:val="20"/>
        </w:rPr>
        <w:t xml:space="preserve">(Continued from previous page)  </w:t>
      </w:r>
      <w:r>
        <w:rPr>
          <w:sz w:val="20"/>
        </w:rPr>
        <w:separator/>
      </w:r>
    </w:p>
  </w:footnote>
  <w:footnote w:type="continuationNotice" w:id="2">
    <w:p w:rsidR="001D7D5D" w:rsidP="00910F12">
      <w:pPr>
        <w:jc w:val="right"/>
        <w:rPr>
          <w:sz w:val="20"/>
        </w:rPr>
      </w:pPr>
      <w:r>
        <w:rPr>
          <w:sz w:val="20"/>
        </w:rPr>
        <w:t>(continued….)</w:t>
      </w:r>
    </w:p>
  </w:footnote>
  <w:footnote w:id="3">
    <w:p w:rsidR="00961CC3" w:rsidP="00961CC3">
      <w:pPr>
        <w:autoSpaceDE w:val="0"/>
        <w:autoSpaceDN w:val="0"/>
        <w:adjustRightInd w:val="0"/>
        <w:rPr>
          <w:rFonts w:ascii="TimesNewRoman,Italic" w:hAnsi="TimesNewRoman,Italic" w:cs="TimesNewRoman,Italic"/>
          <w:i/>
          <w:iCs/>
          <w:color w:val="010101"/>
          <w:sz w:val="20"/>
        </w:rPr>
      </w:pPr>
      <w:r>
        <w:rPr>
          <w:rStyle w:val="FootnoteReference"/>
        </w:rPr>
        <w:footnoteRef/>
      </w:r>
      <w:r>
        <w:t xml:space="preserve"> </w:t>
      </w:r>
      <w:r>
        <w:rPr>
          <w:rFonts w:ascii="TimesNewRoman,Italic" w:hAnsi="TimesNewRoman,Italic" w:cs="TimesNewRoman,Italic"/>
          <w:i/>
          <w:iCs/>
          <w:color w:val="010101"/>
          <w:sz w:val="20"/>
        </w:rPr>
        <w:t>Cf. Amendment of Certain of the Commission’s Part 1 Rules of Practice and Procedure and Part 0 Rules of</w:t>
      </w:r>
    </w:p>
    <w:p w:rsidR="00961CC3" w:rsidP="00961CC3">
      <w:pPr>
        <w:autoSpaceDE w:val="0"/>
        <w:autoSpaceDN w:val="0"/>
        <w:adjustRightInd w:val="0"/>
        <w:rPr>
          <w:rFonts w:ascii="TimesNewRoman" w:hAnsi="TimesNewRoman" w:cs="TimesNewRoman"/>
          <w:color w:val="010101"/>
          <w:sz w:val="20"/>
        </w:rPr>
      </w:pPr>
      <w:r>
        <w:rPr>
          <w:rFonts w:ascii="TimesNewRoman,Italic" w:hAnsi="TimesNewRoman,Italic" w:cs="TimesNewRoman,Italic"/>
          <w:i/>
          <w:iCs/>
          <w:color w:val="010101"/>
          <w:sz w:val="20"/>
        </w:rPr>
        <w:t>Commission Organization</w:t>
      </w:r>
      <w:r>
        <w:rPr>
          <w:rFonts w:ascii="TimesNewRoman" w:hAnsi="TimesNewRoman" w:cs="TimesNewRoman"/>
          <w:color w:val="010101"/>
          <w:sz w:val="20"/>
        </w:rPr>
        <w:t>, GC Docket No. 10-44, Report and Order, 26 FCC Rcd 1594, 1604, paras. 23-24 (2011)</w:t>
      </w:r>
    </w:p>
    <w:p w:rsidR="00961CC3" w:rsidP="00961CC3">
      <w:pPr>
        <w:autoSpaceDE w:val="0"/>
        <w:autoSpaceDN w:val="0"/>
        <w:adjustRightInd w:val="0"/>
        <w:rPr>
          <w:rFonts w:ascii="TimesNewRoman" w:hAnsi="TimesNewRoman" w:cs="TimesNewRoman"/>
          <w:color w:val="010101"/>
          <w:sz w:val="20"/>
        </w:rPr>
      </w:pPr>
      <w:r>
        <w:rPr>
          <w:rFonts w:ascii="TimesNewRoman" w:hAnsi="TimesNewRoman" w:cs="TimesNewRoman"/>
          <w:color w:val="010101"/>
          <w:sz w:val="20"/>
        </w:rPr>
        <w:t>(termination of dormant proceedings).</w:t>
      </w:r>
    </w:p>
    <w:p w:rsidR="00961CC3" w:rsidP="00961CC3">
      <w:pPr>
        <w:autoSpaceDE w:val="0"/>
        <w:autoSpaceDN w:val="0"/>
        <w:adjustRightInd w:val="0"/>
      </w:pPr>
    </w:p>
  </w:footnote>
  <w:footnote w:id="4">
    <w:p w:rsidR="00961CC3" w:rsidP="00961CC3">
      <w:pPr>
        <w:pStyle w:val="FootnoteText"/>
      </w:pPr>
      <w:r>
        <w:rPr>
          <w:rStyle w:val="FootnoteReference"/>
        </w:rPr>
        <w:footnoteRef/>
      </w:r>
      <w:r>
        <w:t xml:space="preserve"> </w:t>
      </w:r>
      <w:r>
        <w:rPr>
          <w:rFonts w:ascii="TimesNewRoman" w:hAnsi="TimesNewRoman" w:cs="TimesNewRoman"/>
          <w:color w:val="010101"/>
        </w:rPr>
        <w:t>47 C.F.R. § 1.419.</w:t>
      </w:r>
    </w:p>
  </w:footnote>
  <w:footnote w:id="5">
    <w:p w:rsidR="00961CC3" w:rsidP="00961CC3">
      <w:pPr>
        <w:pStyle w:val="FootnoteText"/>
      </w:pPr>
      <w:r>
        <w:rPr>
          <w:rStyle w:val="FootnoteReference"/>
        </w:rPr>
        <w:footnoteRef/>
      </w:r>
      <w:r>
        <w:t xml:space="preserve"> </w:t>
      </w:r>
      <w:r>
        <w:rPr>
          <w:rFonts w:ascii="TimesNewRoman" w:hAnsi="TimesNewRoman" w:cs="TimesNewRoman"/>
          <w:color w:val="010101"/>
        </w:rPr>
        <w:t xml:space="preserve">47 C.F.R. §§ 1.1200 </w:t>
      </w:r>
      <w:r>
        <w:rPr>
          <w:rFonts w:ascii="TimesNewRoman,Italic" w:hAnsi="TimesNewRoman,Italic" w:cs="TimesNewRoman,Italic"/>
          <w:i/>
          <w:iCs/>
          <w:color w:val="010101"/>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D01F5">
      <w:rPr>
        <w:b/>
      </w:rPr>
      <w:t>DA 19-175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D57D1A"/>
    <w:multiLevelType w:val="hybridMultilevel"/>
    <w:tmpl w:val="6C20A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C3"/>
    <w:rsid w:val="000072CE"/>
    <w:rsid w:val="00013A8B"/>
    <w:rsid w:val="00021445"/>
    <w:rsid w:val="00036039"/>
    <w:rsid w:val="00037F90"/>
    <w:rsid w:val="000448EF"/>
    <w:rsid w:val="000875BF"/>
    <w:rsid w:val="00096D8C"/>
    <w:rsid w:val="000C0B65"/>
    <w:rsid w:val="000E3D42"/>
    <w:rsid w:val="000E5884"/>
    <w:rsid w:val="00115536"/>
    <w:rsid w:val="00122BD5"/>
    <w:rsid w:val="001936F2"/>
    <w:rsid w:val="001979D9"/>
    <w:rsid w:val="001D6BCF"/>
    <w:rsid w:val="001D7D5D"/>
    <w:rsid w:val="001E01CA"/>
    <w:rsid w:val="002060D9"/>
    <w:rsid w:val="00226822"/>
    <w:rsid w:val="00260594"/>
    <w:rsid w:val="00285017"/>
    <w:rsid w:val="002A2D2E"/>
    <w:rsid w:val="00343749"/>
    <w:rsid w:val="00357D50"/>
    <w:rsid w:val="00380B6E"/>
    <w:rsid w:val="003925DC"/>
    <w:rsid w:val="003B0550"/>
    <w:rsid w:val="003B694F"/>
    <w:rsid w:val="003F171C"/>
    <w:rsid w:val="00412FC5"/>
    <w:rsid w:val="00422276"/>
    <w:rsid w:val="004242F1"/>
    <w:rsid w:val="00445A00"/>
    <w:rsid w:val="00451B0F"/>
    <w:rsid w:val="0046125F"/>
    <w:rsid w:val="00487524"/>
    <w:rsid w:val="00491F91"/>
    <w:rsid w:val="00496106"/>
    <w:rsid w:val="004C12D0"/>
    <w:rsid w:val="004C2EE3"/>
    <w:rsid w:val="004E4A22"/>
    <w:rsid w:val="00511968"/>
    <w:rsid w:val="0055614C"/>
    <w:rsid w:val="00607BA5"/>
    <w:rsid w:val="00616534"/>
    <w:rsid w:val="00626EB6"/>
    <w:rsid w:val="006353A3"/>
    <w:rsid w:val="00655D03"/>
    <w:rsid w:val="00683F84"/>
    <w:rsid w:val="006A6A81"/>
    <w:rsid w:val="006D01F5"/>
    <w:rsid w:val="006E26AF"/>
    <w:rsid w:val="006F7393"/>
    <w:rsid w:val="0070224F"/>
    <w:rsid w:val="007115F7"/>
    <w:rsid w:val="00785689"/>
    <w:rsid w:val="0079754B"/>
    <w:rsid w:val="007A1E6D"/>
    <w:rsid w:val="007B46FF"/>
    <w:rsid w:val="00822CE0"/>
    <w:rsid w:val="00837C62"/>
    <w:rsid w:val="00841AB1"/>
    <w:rsid w:val="008C22FD"/>
    <w:rsid w:val="00910F12"/>
    <w:rsid w:val="00926503"/>
    <w:rsid w:val="00930ECF"/>
    <w:rsid w:val="00961CC3"/>
    <w:rsid w:val="009838BC"/>
    <w:rsid w:val="009B2744"/>
    <w:rsid w:val="009E4597"/>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85D4C"/>
    <w:rsid w:val="00C90D6A"/>
    <w:rsid w:val="00CC72B6"/>
    <w:rsid w:val="00D0218D"/>
    <w:rsid w:val="00D216CD"/>
    <w:rsid w:val="00DA2529"/>
    <w:rsid w:val="00DB130A"/>
    <w:rsid w:val="00DC10A1"/>
    <w:rsid w:val="00DC655F"/>
    <w:rsid w:val="00DD7EBD"/>
    <w:rsid w:val="00DF62B6"/>
    <w:rsid w:val="00DF6A20"/>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EE4F266-2729-4AA9-B728-CD32F696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961CC3"/>
  </w:style>
  <w:style w:type="paragraph" w:styleId="ListParagraph">
    <w:name w:val="List Paragraph"/>
    <w:basedOn w:val="Normal"/>
    <w:uiPriority w:val="34"/>
    <w:qFormat/>
    <w:rsid w:val="00961CC3"/>
    <w:pPr>
      <w:widowControl/>
      <w:ind w:left="720"/>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