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206E3" w:rsidP="008206E3" w14:paraId="247449B3" w14:textId="77777777">
      <w:pPr>
        <w:jc w:val="center"/>
        <w:rPr>
          <w:b/>
        </w:rPr>
      </w:pPr>
      <w:r w:rsidRPr="0070224F">
        <w:rPr>
          <w:rFonts w:ascii="Times New Roman Bold" w:hAnsi="Times New Roman Bold"/>
          <w:b/>
          <w:kern w:val="0"/>
          <w:szCs w:val="22"/>
        </w:rPr>
        <w:t>Before</w:t>
      </w:r>
      <w:r>
        <w:rPr>
          <w:b/>
        </w:rPr>
        <w:t xml:space="preserve"> the</w:t>
      </w:r>
    </w:p>
    <w:p w:rsidR="008206E3" w:rsidP="008206E3" w14:paraId="1C3C2CA0" w14:textId="77777777">
      <w:pPr>
        <w:pStyle w:val="StyleBoldCentered"/>
      </w:pPr>
      <w:r>
        <w:t>F</w:t>
      </w:r>
      <w:r>
        <w:rPr>
          <w:caps w:val="0"/>
        </w:rPr>
        <w:t>ederal Communications Commission</w:t>
      </w:r>
    </w:p>
    <w:p w:rsidR="008206E3" w:rsidP="008206E3" w14:paraId="4B88AC5F" w14:textId="77777777">
      <w:pPr>
        <w:pStyle w:val="StyleBoldCentered"/>
      </w:pPr>
      <w:r>
        <w:rPr>
          <w:caps w:val="0"/>
        </w:rPr>
        <w:t>Washington, D.C. 20554</w:t>
      </w:r>
    </w:p>
    <w:p w:rsidR="008206E3" w:rsidP="008206E3" w14:paraId="5549A5D5" w14:textId="77777777"/>
    <w:p w:rsidR="008206E3" w:rsidP="008206E3" w14:paraId="056BB6BF" w14:textId="77777777"/>
    <w:tbl>
      <w:tblPr>
        <w:tblW w:w="0" w:type="auto"/>
        <w:tblLayout w:type="fixed"/>
        <w:tblLook w:val="0000"/>
      </w:tblPr>
      <w:tblGrid>
        <w:gridCol w:w="4698"/>
        <w:gridCol w:w="630"/>
        <w:gridCol w:w="4248"/>
      </w:tblGrid>
      <w:tr w14:paraId="0E574AFA" w14:textId="77777777" w:rsidTr="00BB4441">
        <w:tblPrEx>
          <w:tblW w:w="0" w:type="auto"/>
          <w:tblLayout w:type="fixed"/>
          <w:tblLook w:val="0000"/>
        </w:tblPrEx>
        <w:tc>
          <w:tcPr>
            <w:tcW w:w="4698" w:type="dxa"/>
          </w:tcPr>
          <w:p w:rsidR="008206E3" w:rsidP="00BB4441" w14:paraId="104E731D" w14:textId="77777777">
            <w:pPr>
              <w:tabs>
                <w:tab w:val="center" w:pos="4680"/>
              </w:tabs>
              <w:suppressAutoHyphens/>
              <w:rPr>
                <w:spacing w:val="-2"/>
              </w:rPr>
            </w:pPr>
            <w:r>
              <w:rPr>
                <w:spacing w:val="-2"/>
              </w:rPr>
              <w:t>In the Matter of</w:t>
            </w:r>
          </w:p>
          <w:p w:rsidR="008206E3" w:rsidP="00BB4441" w14:paraId="2CA2DC14" w14:textId="77777777">
            <w:pPr>
              <w:tabs>
                <w:tab w:val="center" w:pos="4680"/>
              </w:tabs>
              <w:suppressAutoHyphens/>
              <w:rPr>
                <w:spacing w:val="-2"/>
              </w:rPr>
            </w:pPr>
          </w:p>
          <w:p w:rsidR="008206E3" w:rsidRPr="007115F7" w:rsidP="00BB4441" w14:paraId="7EE1BC1C" w14:textId="77777777">
            <w:pPr>
              <w:tabs>
                <w:tab w:val="center" w:pos="4680"/>
              </w:tabs>
              <w:suppressAutoHyphens/>
              <w:rPr>
                <w:spacing w:val="-2"/>
              </w:rPr>
            </w:pPr>
            <w:r>
              <w:rPr>
                <w:spacing w:val="-2"/>
              </w:rPr>
              <w:t>Termination of Certain Proceedings as Dormant</w:t>
            </w:r>
          </w:p>
        </w:tc>
        <w:tc>
          <w:tcPr>
            <w:tcW w:w="630" w:type="dxa"/>
          </w:tcPr>
          <w:p w:rsidR="008206E3" w:rsidP="00BB4441" w14:paraId="34FA7E00" w14:textId="77777777">
            <w:pPr>
              <w:tabs>
                <w:tab w:val="center" w:pos="4680"/>
              </w:tabs>
              <w:suppressAutoHyphens/>
              <w:rPr>
                <w:b/>
                <w:spacing w:val="-2"/>
              </w:rPr>
            </w:pPr>
            <w:r>
              <w:rPr>
                <w:b/>
                <w:spacing w:val="-2"/>
              </w:rPr>
              <w:t>)</w:t>
            </w:r>
          </w:p>
          <w:p w:rsidR="008206E3" w:rsidP="00BB4441" w14:paraId="08C09B59" w14:textId="77777777">
            <w:pPr>
              <w:tabs>
                <w:tab w:val="center" w:pos="4680"/>
              </w:tabs>
              <w:suppressAutoHyphens/>
              <w:rPr>
                <w:b/>
                <w:spacing w:val="-2"/>
              </w:rPr>
            </w:pPr>
            <w:r>
              <w:rPr>
                <w:b/>
                <w:spacing w:val="-2"/>
              </w:rPr>
              <w:t>)</w:t>
            </w:r>
          </w:p>
          <w:p w:rsidR="008206E3" w:rsidP="00BB4441" w14:paraId="60145489" w14:textId="77777777">
            <w:pPr>
              <w:tabs>
                <w:tab w:val="center" w:pos="4680"/>
              </w:tabs>
              <w:suppressAutoHyphens/>
              <w:rPr>
                <w:b/>
                <w:spacing w:val="-2"/>
              </w:rPr>
            </w:pPr>
            <w:r>
              <w:rPr>
                <w:b/>
                <w:spacing w:val="-2"/>
              </w:rPr>
              <w:t>)</w:t>
            </w:r>
          </w:p>
          <w:p w:rsidR="008206E3" w:rsidRPr="00283C54" w:rsidP="00BB4441" w14:paraId="06FBF63F" w14:textId="77777777">
            <w:pPr>
              <w:tabs>
                <w:tab w:val="center" w:pos="4680"/>
              </w:tabs>
              <w:suppressAutoHyphens/>
              <w:rPr>
                <w:b/>
                <w:spacing w:val="-2"/>
              </w:rPr>
            </w:pPr>
          </w:p>
        </w:tc>
        <w:tc>
          <w:tcPr>
            <w:tcW w:w="4248" w:type="dxa"/>
          </w:tcPr>
          <w:p w:rsidR="008206E3" w:rsidP="00BB4441" w14:paraId="0B2286A3" w14:textId="77777777">
            <w:pPr>
              <w:tabs>
                <w:tab w:val="center" w:pos="4680"/>
              </w:tabs>
              <w:suppressAutoHyphens/>
              <w:rPr>
                <w:spacing w:val="-2"/>
              </w:rPr>
            </w:pPr>
          </w:p>
          <w:p w:rsidR="008206E3" w:rsidP="00BB4441" w14:paraId="4693D416" w14:textId="77777777">
            <w:pPr>
              <w:pStyle w:val="TOAHeading"/>
              <w:tabs>
                <w:tab w:val="center" w:pos="4680"/>
                <w:tab w:val="clear" w:pos="9360"/>
              </w:tabs>
              <w:rPr>
                <w:spacing w:val="-2"/>
              </w:rPr>
            </w:pPr>
          </w:p>
          <w:p w:rsidR="008206E3" w:rsidP="00BB4441" w14:paraId="303C24AA" w14:textId="77777777">
            <w:pPr>
              <w:tabs>
                <w:tab w:val="center" w:pos="4680"/>
              </w:tabs>
              <w:suppressAutoHyphens/>
              <w:rPr>
                <w:spacing w:val="-2"/>
              </w:rPr>
            </w:pPr>
            <w:r>
              <w:rPr>
                <w:spacing w:val="-2"/>
              </w:rPr>
              <w:t>CG Docket No. 1</w:t>
            </w:r>
            <w:r w:rsidR="00D74DD9">
              <w:rPr>
                <w:spacing w:val="-2"/>
              </w:rPr>
              <w:t>8</w:t>
            </w:r>
            <w:r>
              <w:rPr>
                <w:spacing w:val="-2"/>
              </w:rPr>
              <w:t>-2</w:t>
            </w:r>
            <w:r w:rsidR="00D74DD9">
              <w:rPr>
                <w:spacing w:val="-2"/>
              </w:rPr>
              <w:t>7</w:t>
            </w:r>
            <w:r>
              <w:rPr>
                <w:spacing w:val="-2"/>
              </w:rPr>
              <w:t>2</w:t>
            </w:r>
          </w:p>
        </w:tc>
      </w:tr>
    </w:tbl>
    <w:p w:rsidR="008206E3" w:rsidP="008206E3" w14:paraId="45E41BA8" w14:textId="77777777"/>
    <w:p w:rsidR="008206E3" w:rsidP="008206E3" w14:paraId="5B05D6C5" w14:textId="77777777">
      <w:pPr>
        <w:pStyle w:val="StyleBoldCentered"/>
      </w:pPr>
      <w:r>
        <w:t>ORDER</w:t>
      </w:r>
    </w:p>
    <w:p w:rsidR="008206E3" w:rsidP="008206E3" w14:paraId="0A0D1C23" w14:textId="77777777">
      <w:pPr>
        <w:tabs>
          <w:tab w:val="left" w:pos="-720"/>
        </w:tabs>
        <w:suppressAutoHyphens/>
        <w:spacing w:line="227" w:lineRule="auto"/>
        <w:rPr>
          <w:spacing w:val="-2"/>
        </w:rPr>
      </w:pPr>
    </w:p>
    <w:p w:rsidR="008206E3" w:rsidP="008206E3" w14:paraId="33FD12A7" w14:textId="6C40C63E">
      <w:pPr>
        <w:tabs>
          <w:tab w:val="left" w:pos="720"/>
          <w:tab w:val="right" w:pos="9360"/>
        </w:tabs>
        <w:suppressAutoHyphens/>
        <w:spacing w:line="227" w:lineRule="auto"/>
        <w:rPr>
          <w:spacing w:val="-2"/>
        </w:rPr>
      </w:pPr>
      <w:r>
        <w:rPr>
          <w:b/>
          <w:spacing w:val="-2"/>
        </w:rPr>
        <w:t xml:space="preserve">Adopted:  </w:t>
      </w:r>
      <w:r w:rsidR="00A43B67">
        <w:rPr>
          <w:b/>
          <w:spacing w:val="-2"/>
        </w:rPr>
        <w:t>March</w:t>
      </w:r>
      <w:r w:rsidR="00645DB7">
        <w:rPr>
          <w:b/>
          <w:spacing w:val="-2"/>
        </w:rPr>
        <w:t xml:space="preserve"> </w:t>
      </w:r>
      <w:r w:rsidR="003C2DBE">
        <w:rPr>
          <w:b/>
          <w:spacing w:val="-2"/>
        </w:rPr>
        <w:t>13</w:t>
      </w:r>
      <w:r w:rsidR="00645DB7">
        <w:rPr>
          <w:b/>
          <w:spacing w:val="-2"/>
        </w:rPr>
        <w:t xml:space="preserve">, </w:t>
      </w:r>
      <w:r w:rsidR="00A43B67">
        <w:rPr>
          <w:b/>
          <w:spacing w:val="-2"/>
        </w:rPr>
        <w:t>2019</w:t>
      </w:r>
      <w:r>
        <w:rPr>
          <w:b/>
          <w:spacing w:val="-2"/>
        </w:rPr>
        <w:tab/>
        <w:t xml:space="preserve">Released:  </w:t>
      </w:r>
      <w:r w:rsidR="00BF758A">
        <w:rPr>
          <w:b/>
          <w:spacing w:val="-2"/>
        </w:rPr>
        <w:t xml:space="preserve">March </w:t>
      </w:r>
      <w:r w:rsidR="003C2DBE">
        <w:rPr>
          <w:b/>
          <w:spacing w:val="-2"/>
        </w:rPr>
        <w:t>13</w:t>
      </w:r>
      <w:r w:rsidR="00645DB7">
        <w:rPr>
          <w:b/>
          <w:spacing w:val="-2"/>
        </w:rPr>
        <w:t>, 201</w:t>
      </w:r>
      <w:r w:rsidR="00BF758A">
        <w:rPr>
          <w:b/>
          <w:spacing w:val="-2"/>
        </w:rPr>
        <w:t>9</w:t>
      </w:r>
    </w:p>
    <w:p w:rsidR="008206E3" w:rsidP="008206E3" w14:paraId="0EC16364" w14:textId="77777777"/>
    <w:p w:rsidR="008206E3" w:rsidP="008206E3" w14:paraId="2C0EBB30" w14:textId="77777777">
      <w:pPr>
        <w:rPr>
          <w:spacing w:val="-2"/>
        </w:rPr>
      </w:pPr>
      <w:r>
        <w:t xml:space="preserve">By the </w:t>
      </w:r>
      <w:r>
        <w:rPr>
          <w:spacing w:val="-2"/>
        </w:rPr>
        <w:t>Chief, Consumer &amp; Governmental Affairs Bureau:</w:t>
      </w:r>
    </w:p>
    <w:p w:rsidR="008206E3" w:rsidP="008206E3" w14:paraId="4C2FDB55" w14:textId="77777777">
      <w:pPr>
        <w:rPr>
          <w:spacing w:val="-2"/>
        </w:rPr>
      </w:pPr>
    </w:p>
    <w:p w:rsidR="008206E3" w:rsidP="008206E3" w14:paraId="62FE1CE0" w14:textId="77777777"/>
    <w:p w:rsidR="008206E3" w:rsidP="008206E3" w14:paraId="49A6A4C7" w14:textId="77777777">
      <w:pPr>
        <w:pStyle w:val="Heading1"/>
      </w:pPr>
      <w:r>
        <w:t>INTRODUCTION</w:t>
      </w:r>
    </w:p>
    <w:p w:rsidR="008206E3" w:rsidP="008206E3" w14:paraId="190C333F" w14:textId="77777777">
      <w:pPr>
        <w:pStyle w:val="ParaNum"/>
      </w:pPr>
      <w:r>
        <w:t>By this Order, the Consumer &amp; Governmental Affairs Bureau (CGB</w:t>
      </w:r>
      <w:bookmarkStart w:id="0" w:name="_GoBack"/>
      <w:bookmarkEnd w:id="0"/>
      <w:r>
        <w:t>) terminates, as dormant, the proceedings listed on the Attachment hereto.</w:t>
      </w:r>
      <w:r>
        <w:rPr>
          <w:rStyle w:val="FootnoteReference"/>
        </w:rPr>
        <w:footnoteReference w:id="3"/>
      </w:r>
      <w:r>
        <w:t xml:space="preserve">  We believe that termination of these proceedings furthers the Commission’s organizational goals of increasing the efficiency of its decision-making, modernizing the agency’s processes in the digital age, and enhancing the openness and transparency of Commission proceedings for practitioners and the public.  </w:t>
      </w:r>
    </w:p>
    <w:p w:rsidR="008206E3" w:rsidP="008206E3" w14:paraId="0416C045" w14:textId="0EFF5D8C">
      <w:pPr>
        <w:pStyle w:val="Heading1"/>
      </w:pPr>
      <w:r>
        <w:t>Background</w:t>
      </w:r>
      <w:r w:rsidR="006A0F02">
        <w:t xml:space="preserve"> AND DIscussion</w:t>
      </w:r>
    </w:p>
    <w:p w:rsidR="008206E3" w:rsidP="008206E3" w14:paraId="77DADC5F" w14:textId="77777777">
      <w:pPr>
        <w:pStyle w:val="ParaNum"/>
      </w:pPr>
      <w:r>
        <w:t xml:space="preserve">On February 4, 2011, the Commission released a Report and Order that, </w:t>
      </w:r>
      <w:r w:rsidRPr="004B67A0">
        <w:rPr>
          <w:i/>
          <w:iCs/>
        </w:rPr>
        <w:t>inter alia,</w:t>
      </w:r>
      <w:r>
        <w:t xml:space="preserve"> amended Section 0.141 of the Commission’s organizational rules to delegate authority to the Chief of CGB to conduct periodic review of all open dockets with the objective of terminating those that were inactive.</w:t>
      </w:r>
      <w:r>
        <w:rPr>
          <w:rStyle w:val="FootnoteReference"/>
          <w:sz w:val="22"/>
          <w:szCs w:val="22"/>
        </w:rPr>
        <w:footnoteReference w:id="4"/>
      </w:r>
      <w:r>
        <w:t xml:space="preserve">  The Commission stated that termination of such proceedings also would include the dismissal as moot of any pending petition, motion, or other request for relief in the terminated proceeding that was procedural in nature or otherwise did not address the merits of the proceeding.</w:t>
      </w:r>
      <w:r>
        <w:rPr>
          <w:rStyle w:val="FootnoteReference"/>
          <w:sz w:val="22"/>
          <w:szCs w:val="22"/>
        </w:rPr>
        <w:footnoteReference w:id="5"/>
      </w:r>
      <w:r>
        <w:t xml:space="preserve">  </w:t>
      </w:r>
    </w:p>
    <w:p w:rsidR="008206E3" w:rsidP="008206E3" w14:paraId="22452964" w14:textId="334A610A">
      <w:pPr>
        <w:pStyle w:val="ParaNum"/>
      </w:pPr>
      <w:r>
        <w:t xml:space="preserve">Following the release of the </w:t>
      </w:r>
      <w:r w:rsidRPr="004B67A0">
        <w:rPr>
          <w:i/>
          <w:iCs/>
        </w:rPr>
        <w:t>Procedure Order</w:t>
      </w:r>
      <w:r>
        <w:t xml:space="preserve">, CGB, in consultation with the relevant bureaus and offices, conducted a review of all open dockets and identified those dockets that could potentially be terminated.  As a result of that process, CGB issued the </w:t>
      </w:r>
      <w:r w:rsidRPr="004B67A0">
        <w:rPr>
          <w:i/>
          <w:iCs/>
        </w:rPr>
        <w:t>First Dormant Proceedings Termination Public Notice</w:t>
      </w:r>
      <w:r>
        <w:t>, listing the open dockets under consideration for termination, and providing interested parties the opportunity to file comments on those proposed terminations.</w:t>
      </w:r>
      <w:r>
        <w:rPr>
          <w:rStyle w:val="FootnoteReference"/>
        </w:rPr>
        <w:footnoteReference w:id="6"/>
      </w:r>
      <w:r>
        <w:t xml:space="preserve">  After completion of the comment cycle, by Order released November 1, 2011, CGB terminated as dormant the docketed </w:t>
      </w:r>
      <w:r>
        <w:t>proceedings listed in the Attachment thereto.</w:t>
      </w:r>
      <w:r>
        <w:rPr>
          <w:rStyle w:val="FootnoteReference"/>
        </w:rPr>
        <w:footnoteReference w:id="7"/>
      </w:r>
      <w:r>
        <w:t xml:space="preserve">  Further dormant proceeding terminations followed</w:t>
      </w:r>
      <w:r w:rsidR="006A0F02">
        <w:t xml:space="preserve"> using the same process</w:t>
      </w:r>
      <w:r>
        <w:t>.</w:t>
      </w:r>
      <w:r>
        <w:rPr>
          <w:rStyle w:val="FootnoteReference"/>
        </w:rPr>
        <w:footnoteReference w:id="8"/>
      </w:r>
    </w:p>
    <w:p w:rsidR="008206E3" w:rsidP="008206E3" w14:paraId="5251A4FD" w14:textId="7FDA417D">
      <w:pPr>
        <w:pStyle w:val="ParaNum"/>
        <w:tabs>
          <w:tab w:val="left" w:pos="1530"/>
        </w:tabs>
      </w:pPr>
      <w:r>
        <w:t xml:space="preserve">On </w:t>
      </w:r>
      <w:r w:rsidR="00105BF8">
        <w:t>September 12</w:t>
      </w:r>
      <w:r>
        <w:t xml:space="preserve">, </w:t>
      </w:r>
      <w:r w:rsidR="00105BF8">
        <w:t>2018</w:t>
      </w:r>
      <w:r>
        <w:t xml:space="preserve">, CGB released the </w:t>
      </w:r>
      <w:r w:rsidR="00105BF8">
        <w:rPr>
          <w:i/>
        </w:rPr>
        <w:t>Seventh</w:t>
      </w:r>
      <w:r w:rsidRPr="004B67A0">
        <w:rPr>
          <w:i/>
          <w:iCs/>
        </w:rPr>
        <w:t xml:space="preserve"> Dormant Proceedings Termination Public Notice</w:t>
      </w:r>
      <w:r w:rsidRPr="00F200A0" w:rsidR="006A0F02">
        <w:rPr>
          <w:iCs/>
        </w:rPr>
        <w:t>,</w:t>
      </w:r>
      <w:r w:rsidRPr="00F200A0">
        <w:rPr>
          <w:iCs/>
        </w:rPr>
        <w:t xml:space="preserve"> </w:t>
      </w:r>
      <w:r>
        <w:t>with comments and reply comments due 30 and 45 days after date of publicatio</w:t>
      </w:r>
      <w:r w:rsidR="00105BF8">
        <w:t>n in the Federal Register (November</w:t>
      </w:r>
      <w:r>
        <w:t xml:space="preserve"> </w:t>
      </w:r>
      <w:r w:rsidR="00105BF8">
        <w:t>1</w:t>
      </w:r>
      <w:r>
        <w:t>6, 201</w:t>
      </w:r>
      <w:r w:rsidR="00105BF8">
        <w:t>8</w:t>
      </w:r>
      <w:r w:rsidR="000F0783">
        <w:t>,</w:t>
      </w:r>
      <w:r>
        <w:t xml:space="preserve"> and </w:t>
      </w:r>
      <w:r w:rsidR="00105BF8">
        <w:t>December 3</w:t>
      </w:r>
      <w:r>
        <w:t>, 201</w:t>
      </w:r>
      <w:r w:rsidR="00105BF8">
        <w:t>8</w:t>
      </w:r>
      <w:r>
        <w:t>, respectively).</w:t>
      </w:r>
      <w:r>
        <w:rPr>
          <w:rStyle w:val="FootnoteReference"/>
        </w:rPr>
        <w:footnoteReference w:id="9"/>
      </w:r>
      <w:r>
        <w:t xml:space="preserve">  </w:t>
      </w:r>
    </w:p>
    <w:p w:rsidR="008206E3" w:rsidRPr="003E5440" w:rsidP="008206E3" w14:paraId="49D9D100" w14:textId="7F6030D0">
      <w:pPr>
        <w:pStyle w:val="ParaNum"/>
      </w:pPr>
      <w:r>
        <w:t xml:space="preserve">We received no responsive comments to the </w:t>
      </w:r>
      <w:r>
        <w:rPr>
          <w:i/>
          <w:iCs/>
        </w:rPr>
        <w:t>Seventh</w:t>
      </w:r>
      <w:r w:rsidRPr="004B67A0">
        <w:rPr>
          <w:i/>
          <w:iCs/>
        </w:rPr>
        <w:t xml:space="preserve"> Dormant Proceedings Termination Public Notice</w:t>
      </w:r>
      <w:r>
        <w:t>.</w:t>
      </w:r>
      <w:r>
        <w:rPr>
          <w:rStyle w:val="FootnoteReference"/>
        </w:rPr>
        <w:footnoteReference w:id="10"/>
      </w:r>
      <w:r>
        <w:t xml:space="preserve">   Therefore, CGB finds no justification for keeping open any of the dockets, and</w:t>
      </w:r>
      <w:r w:rsidRPr="003E5440" w:rsidR="00F864AD">
        <w:t xml:space="preserve"> we terminate the proceedings listed in the Attachment to this Order</w:t>
      </w:r>
      <w:r w:rsidR="006A0F02">
        <w:t>.</w:t>
      </w:r>
      <w:r>
        <w:rPr>
          <w:vertAlign w:val="superscript"/>
        </w:rPr>
        <w:footnoteReference w:id="11"/>
      </w:r>
      <w:r w:rsidR="00BC60AD">
        <w:t xml:space="preserve">.  </w:t>
      </w:r>
    </w:p>
    <w:p w:rsidR="008206E3" w:rsidP="008206E3" w14:paraId="4433BF6C" w14:textId="77777777">
      <w:pPr>
        <w:pStyle w:val="Heading1"/>
      </w:pPr>
      <w:r>
        <w:t>procedural matters</w:t>
      </w:r>
    </w:p>
    <w:p w:rsidR="008206E3" w:rsidP="008206E3" w14:paraId="10436495" w14:textId="5E45A316">
      <w:pPr>
        <w:pStyle w:val="ParaNum"/>
      </w:pPr>
      <w:r>
        <w:t>Upon publication of this Order in the Federal Register, the proceedings listed in the Attachment hereto will be terminated in the Electronic Comment Filing System (ECFS).  The record in the terminated proceedings will remain part of the Commission’s official records, and the various pleadings, orders, and other documents in these proceedings will continue to be accessible to the public, post-termination.</w:t>
      </w:r>
      <w:r w:rsidRPr="363F9BAD">
        <w:t xml:space="preserve">  </w:t>
      </w:r>
      <w:r>
        <w:t>Furthermore, s</w:t>
      </w:r>
      <w:r w:rsidRPr="00115822">
        <w:t xml:space="preserve">hould no petitions for reconsideration, applications for review, or petitions for judicial review </w:t>
      </w:r>
      <w:r>
        <w:t xml:space="preserve">of this Order </w:t>
      </w:r>
      <w:r w:rsidRPr="00115822">
        <w:t xml:space="preserve">be timely filed, the </w:t>
      </w:r>
      <w:r>
        <w:t>above-captioned proceeding</w:t>
      </w:r>
      <w:r w:rsidRPr="00115822">
        <w:t xml:space="preserve"> shall be terminated, and the docket will be closed</w:t>
      </w:r>
      <w:r w:rsidRPr="363F9BAD">
        <w:t>.</w:t>
      </w:r>
    </w:p>
    <w:p w:rsidR="00754C82" w:rsidP="00754C82" w14:paraId="1A1C16B4" w14:textId="77777777">
      <w:pPr>
        <w:pStyle w:val="ParaNum"/>
      </w:pPr>
      <w:r>
        <w:rPr>
          <w:u w:val="single"/>
        </w:rPr>
        <w:t>People with Disabilities</w:t>
      </w:r>
      <w:r w:rsidRPr="00DE707F">
        <w:t>.</w:t>
      </w:r>
      <w:r>
        <w:t xml:space="preserve"> </w:t>
      </w:r>
      <w:r w:rsidRPr="00DE707F">
        <w:t xml:space="preserve"> </w:t>
      </w:r>
      <w:r w:rsidRPr="002547E9">
        <w:t xml:space="preserve">To request materials in accessible formats for people with disabilities (braille, large print, electronic files, audio format), send an e-mail to </w:t>
      </w:r>
      <w:hyperlink r:id="rId5" w:history="1">
        <w:r w:rsidRPr="002547E9">
          <w:rPr>
            <w:color w:val="0000FF"/>
            <w:u w:val="single"/>
          </w:rPr>
          <w:t>fcc504@fcc.gov</w:t>
        </w:r>
      </w:hyperlink>
      <w:r w:rsidRPr="002547E9">
        <w:t xml:space="preserve"> or call the Consumer &amp; Governmental Affairs Bureau at 202-418-0530 (voice), 202-418-0432 (</w:t>
      </w:r>
      <w:r w:rsidRPr="002547E9">
        <w:t>tty</w:t>
      </w:r>
      <w:r w:rsidRPr="002547E9">
        <w:t>).</w:t>
      </w:r>
    </w:p>
    <w:p w:rsidR="008206E3" w:rsidP="008206E3" w14:paraId="04767383" w14:textId="77777777">
      <w:pPr>
        <w:pStyle w:val="ParaNum"/>
      </w:pPr>
      <w:r>
        <w:t xml:space="preserve">For additional information concerning this Order, please contact </w:t>
      </w:r>
      <w:r w:rsidR="003149DC">
        <w:t>Daniel Margolis</w:t>
      </w:r>
      <w:r>
        <w:t xml:space="preserve"> at (202) 418-13</w:t>
      </w:r>
      <w:r w:rsidR="003149DC">
        <w:t>77</w:t>
      </w:r>
      <w:r>
        <w:t>, or via e-mail at</w:t>
      </w:r>
      <w:r w:rsidR="003149DC">
        <w:t xml:space="preserve"> </w:t>
      </w:r>
      <w:hyperlink r:id="rId6" w:history="1">
        <w:r w:rsidRPr="004E4A51" w:rsidR="003149DC">
          <w:rPr>
            <w:rStyle w:val="Hyperlink"/>
          </w:rPr>
          <w:t>daniel.margolis@fcc.gov</w:t>
        </w:r>
      </w:hyperlink>
      <w:r w:rsidR="003149DC">
        <w:t xml:space="preserve">. </w:t>
      </w:r>
      <w:r w:rsidRPr="363F9BAD">
        <w:t xml:space="preserve"> </w:t>
      </w:r>
    </w:p>
    <w:p w:rsidR="008206E3" w:rsidP="008206E3" w14:paraId="4F3A11BA" w14:textId="77777777">
      <w:pPr>
        <w:pStyle w:val="Heading1"/>
      </w:pPr>
      <w:r>
        <w:t>ordering clauses</w:t>
      </w:r>
    </w:p>
    <w:p w:rsidR="008206E3" w:rsidP="008206E3" w14:paraId="01C6DBB3" w14:textId="77777777">
      <w:pPr>
        <w:pStyle w:val="ParaNum"/>
      </w:pPr>
      <w:r>
        <w:t xml:space="preserve">Accordingly, </w:t>
      </w:r>
      <w:r w:rsidRPr="004B67A0">
        <w:rPr>
          <w:b/>
          <w:bCs/>
        </w:rPr>
        <w:t>IT IS ORDERED</w:t>
      </w:r>
      <w:r>
        <w:t>, pursuant to the authority contained in Sections 4(i) and 4(j) of the Communications Act, 47 U</w:t>
      </w:r>
      <w:r w:rsidRPr="363F9BAD">
        <w:t>.</w:t>
      </w:r>
      <w:r>
        <w:t>S</w:t>
      </w:r>
      <w:r w:rsidRPr="363F9BAD">
        <w:t>.</w:t>
      </w:r>
      <w:r>
        <w:t>C</w:t>
      </w:r>
      <w:r w:rsidRPr="363F9BAD">
        <w:t xml:space="preserve">. </w:t>
      </w:r>
      <w:r>
        <w:t>Sections 154(i) and (j), and Section 0.141 of the Commission’s rules, 47 CFR Section 0.141, that the proceedings set forth in the Attachment hereto are TERMINATED.</w:t>
      </w:r>
    </w:p>
    <w:p w:rsidR="008206E3" w:rsidP="008206E3" w14:paraId="44E70E4F" w14:textId="77777777">
      <w:pPr>
        <w:pStyle w:val="ParaNum"/>
        <w:widowControl/>
      </w:pPr>
      <w:r>
        <w:t xml:space="preserve"> </w:t>
      </w:r>
      <w:r w:rsidRPr="008206E3">
        <w:rPr>
          <w:b/>
        </w:rPr>
        <w:t>IT IS FURTHER ORDERED</w:t>
      </w:r>
      <w:r w:rsidRPr="00E00A69">
        <w:t xml:space="preserve"> that should no petitions for reconsideration, applications for review, or petitions for judicial review of this Order be timely filed, the above-captioned proceeding shall be </w:t>
      </w:r>
      <w:r>
        <w:t>TERMINATED</w:t>
      </w:r>
      <w:r w:rsidRPr="00E00A69">
        <w:t>, and the docket will be closed</w:t>
      </w:r>
      <w:r>
        <w:t>.</w:t>
      </w:r>
    </w:p>
    <w:p w:rsidR="008206E3" w:rsidP="008206E3" w14:paraId="6F1CD3F3" w14:textId="77777777">
      <w:pPr>
        <w:pStyle w:val="ParaNum"/>
        <w:numPr>
          <w:ilvl w:val="0"/>
          <w:numId w:val="0"/>
        </w:numPr>
        <w:ind w:firstLine="720"/>
      </w:pPr>
    </w:p>
    <w:p w:rsidR="008206E3" w:rsidP="008206E3" w14:paraId="3FFC0DA9" w14:textId="77777777">
      <w:pPr>
        <w:pStyle w:val="ParaNum"/>
        <w:numPr>
          <w:ilvl w:val="0"/>
          <w:numId w:val="0"/>
        </w:numPr>
        <w:ind w:left="3600" w:firstLine="720"/>
      </w:pPr>
      <w:r>
        <w:t>FEDERAL COMMUNICATIONS COMMISSION</w:t>
      </w:r>
    </w:p>
    <w:p w:rsidR="008206E3" w:rsidP="008206E3" w14:paraId="43A4D3F3" w14:textId="77777777">
      <w:pPr>
        <w:pStyle w:val="ParaNum"/>
        <w:numPr>
          <w:ilvl w:val="0"/>
          <w:numId w:val="0"/>
        </w:numPr>
        <w:ind w:left="3600" w:firstLine="720"/>
      </w:pPr>
    </w:p>
    <w:p w:rsidR="008206E3" w:rsidP="008206E3" w14:paraId="2563FD07" w14:textId="77777777">
      <w:pPr>
        <w:pStyle w:val="ParaNum"/>
        <w:numPr>
          <w:ilvl w:val="0"/>
          <w:numId w:val="0"/>
        </w:numPr>
        <w:ind w:left="3600" w:firstLine="720"/>
      </w:pPr>
    </w:p>
    <w:p w:rsidR="008206E3" w:rsidP="008206E3" w14:paraId="07EEB0AA" w14:textId="77777777">
      <w:pPr>
        <w:pStyle w:val="ParaNum"/>
        <w:numPr>
          <w:ilvl w:val="0"/>
          <w:numId w:val="0"/>
        </w:numPr>
        <w:spacing w:after="0"/>
        <w:ind w:left="3600" w:firstLine="720"/>
      </w:pPr>
      <w:r>
        <w:t xml:space="preserve">G. Patrick Webre, Chief </w:t>
      </w:r>
    </w:p>
    <w:p w:rsidR="008206E3" w:rsidRPr="004C5F2E" w:rsidP="008206E3" w14:paraId="6AFC294B" w14:textId="77777777">
      <w:pPr>
        <w:pStyle w:val="ParaNum"/>
        <w:numPr>
          <w:ilvl w:val="0"/>
          <w:numId w:val="0"/>
        </w:numPr>
        <w:spacing w:after="0"/>
        <w:ind w:left="3600" w:firstLine="720"/>
      </w:pPr>
      <w:r>
        <w:t>Consumer &amp; Governmental Affairs Bureau</w:t>
      </w:r>
    </w:p>
    <w:p w:rsidR="008206E3" w:rsidP="008206E3" w14:paraId="66C923A5" w14:textId="77777777">
      <w:pPr>
        <w:pStyle w:val="ParaNum"/>
        <w:numPr>
          <w:ilvl w:val="0"/>
          <w:numId w:val="0"/>
        </w:numPr>
        <w:ind w:left="720"/>
        <w:rPr>
          <w:highlight w:val="yellow"/>
        </w:rPr>
        <w:sectPr w:rsidSect="004363ED">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pPr>
    </w:p>
    <w:p w:rsidR="008206E3" w:rsidP="008206E3" w14:paraId="4D696574" w14:textId="77777777">
      <w:pPr>
        <w:pStyle w:val="ParaNum"/>
        <w:numPr>
          <w:ilvl w:val="0"/>
          <w:numId w:val="0"/>
        </w:numPr>
        <w:ind w:left="720"/>
        <w:rPr>
          <w:b/>
          <w:bCs/>
          <w:color w:val="242021"/>
          <w:position w:val="-1"/>
          <w:sz w:val="52"/>
          <w:szCs w:val="52"/>
        </w:rPr>
      </w:pPr>
    </w:p>
    <w:p w:rsidR="008206E3" w:rsidP="008206E3" w14:paraId="5F65FE49" w14:textId="77777777">
      <w:pPr>
        <w:pStyle w:val="ParaNum"/>
        <w:numPr>
          <w:ilvl w:val="0"/>
          <w:numId w:val="0"/>
        </w:numPr>
        <w:ind w:left="720"/>
        <w:rPr>
          <w:b/>
          <w:bCs/>
          <w:color w:val="242021"/>
          <w:position w:val="-1"/>
          <w:sz w:val="52"/>
          <w:szCs w:val="52"/>
        </w:rPr>
      </w:pPr>
    </w:p>
    <w:p w:rsidR="008206E3" w:rsidP="008206E3" w14:paraId="66D92CFB" w14:textId="77777777">
      <w:pPr>
        <w:pStyle w:val="ParaNum"/>
        <w:numPr>
          <w:ilvl w:val="0"/>
          <w:numId w:val="0"/>
        </w:numPr>
        <w:ind w:left="720"/>
        <w:rPr>
          <w:b/>
          <w:bCs/>
          <w:color w:val="242021"/>
          <w:position w:val="-1"/>
          <w:sz w:val="52"/>
          <w:szCs w:val="52"/>
        </w:rPr>
      </w:pPr>
    </w:p>
    <w:p w:rsidR="008206E3" w:rsidP="008206E3" w14:paraId="349F79B1" w14:textId="77777777">
      <w:pPr>
        <w:pStyle w:val="ParaNum"/>
        <w:numPr>
          <w:ilvl w:val="0"/>
          <w:numId w:val="0"/>
        </w:numPr>
        <w:ind w:left="720"/>
        <w:rPr>
          <w:b/>
          <w:bCs/>
          <w:color w:val="242021"/>
          <w:position w:val="-1"/>
          <w:sz w:val="52"/>
          <w:szCs w:val="52"/>
        </w:rPr>
      </w:pPr>
    </w:p>
    <w:p w:rsidR="008206E3" w:rsidP="008206E3" w14:paraId="650C5357" w14:textId="77777777">
      <w:pPr>
        <w:pStyle w:val="ParaNum"/>
        <w:numPr>
          <w:ilvl w:val="0"/>
          <w:numId w:val="0"/>
        </w:numPr>
        <w:ind w:left="720"/>
        <w:rPr>
          <w:b/>
          <w:bCs/>
          <w:color w:val="242021"/>
          <w:position w:val="-1"/>
          <w:sz w:val="52"/>
          <w:szCs w:val="52"/>
        </w:rPr>
      </w:pPr>
    </w:p>
    <w:p w:rsidR="008206E3" w:rsidP="008206E3" w14:paraId="24E61ADB" w14:textId="77777777">
      <w:pPr>
        <w:pStyle w:val="ParaNum"/>
        <w:numPr>
          <w:ilvl w:val="0"/>
          <w:numId w:val="0"/>
        </w:numPr>
        <w:ind w:left="720"/>
        <w:rPr>
          <w:b/>
          <w:bCs/>
          <w:color w:val="242021"/>
          <w:position w:val="-1"/>
          <w:sz w:val="52"/>
          <w:szCs w:val="52"/>
        </w:rPr>
      </w:pPr>
    </w:p>
    <w:p w:rsidR="008206E3" w:rsidP="008206E3" w14:paraId="2AA10CC4" w14:textId="77777777">
      <w:pPr>
        <w:pStyle w:val="ParaNum"/>
        <w:numPr>
          <w:ilvl w:val="0"/>
          <w:numId w:val="0"/>
        </w:numPr>
        <w:ind w:left="720"/>
        <w:jc w:val="center"/>
        <w:rPr>
          <w:b/>
          <w:bCs/>
          <w:color w:val="242021"/>
          <w:position w:val="-1"/>
          <w:sz w:val="52"/>
          <w:szCs w:val="52"/>
        </w:rPr>
      </w:pPr>
    </w:p>
    <w:p w:rsidR="008206E3" w:rsidP="008206E3" w14:paraId="7F73806F" w14:textId="77777777">
      <w:pPr>
        <w:pStyle w:val="ParaNum"/>
        <w:numPr>
          <w:ilvl w:val="0"/>
          <w:numId w:val="0"/>
        </w:numPr>
        <w:ind w:left="720"/>
        <w:jc w:val="center"/>
        <w:rPr>
          <w:b/>
          <w:bCs/>
          <w:color w:val="242021"/>
          <w:position w:val="-1"/>
          <w:sz w:val="52"/>
          <w:szCs w:val="52"/>
        </w:rPr>
      </w:pPr>
    </w:p>
    <w:p w:rsidR="008206E3" w:rsidRPr="00802192" w:rsidP="008206E3" w14:paraId="0D131C3C" w14:textId="77777777">
      <w:pPr>
        <w:pStyle w:val="ParaNum"/>
        <w:numPr>
          <w:ilvl w:val="0"/>
          <w:numId w:val="0"/>
        </w:numPr>
        <w:ind w:left="720"/>
        <w:jc w:val="center"/>
        <w:rPr>
          <w:highlight w:val="yellow"/>
        </w:rPr>
      </w:pPr>
      <w:r w:rsidRPr="006B66B9">
        <w:rPr>
          <w:b/>
          <w:bCs/>
          <w:color w:val="242021"/>
          <w:position w:val="-1"/>
          <w:sz w:val="52"/>
          <w:szCs w:val="52"/>
        </w:rPr>
        <w:t>ATTACHMENT</w:t>
      </w:r>
    </w:p>
    <w:p w:rsidR="002C00E8" w:rsidRPr="008206E3" w:rsidP="008206E3" w14:paraId="312EF1A8" w14:textId="77777777"/>
    <w:sectPr w:rsidSect="008206E3">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rsidP="0055614C" w14:paraId="0EF739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06E3" w14:paraId="3D7182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rsidP="0055614C" w14:paraId="12399DFC" w14:textId="77777777">
    <w:pPr>
      <w:pStyle w:val="Footer"/>
      <w:framePr w:wrap="around" w:vAnchor="text" w:hAnchor="margin" w:xAlign="center" w:y="1"/>
    </w:pPr>
    <w:r>
      <w:fldChar w:fldCharType="begin"/>
    </w:r>
    <w:r>
      <w:instrText xml:space="preserve">PAGE  </w:instrText>
    </w:r>
    <w:r>
      <w:fldChar w:fldCharType="separate"/>
    </w:r>
    <w:r w:rsidR="00870D16">
      <w:rPr>
        <w:noProof/>
      </w:rPr>
      <w:t>2</w:t>
    </w:r>
    <w:r>
      <w:fldChar w:fldCharType="end"/>
    </w:r>
  </w:p>
  <w:p w:rsidR="008206E3" w14:paraId="476E90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14:paraId="07513D2E"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5DEE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847FC3"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DA4F62"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ECE8C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5FF9" w14:paraId="0CA096E9" w14:textId="77777777">
      <w:r>
        <w:separator/>
      </w:r>
    </w:p>
  </w:footnote>
  <w:footnote w:type="continuationSeparator" w:id="1">
    <w:p w:rsidR="00D45FF9" w:rsidP="00C721AC" w14:paraId="720427A5" w14:textId="77777777">
      <w:pPr>
        <w:spacing w:before="120"/>
        <w:rPr>
          <w:sz w:val="20"/>
        </w:rPr>
      </w:pPr>
      <w:r>
        <w:continuationSeparator/>
      </w:r>
    </w:p>
  </w:footnote>
  <w:footnote w:type="continuationNotice" w:id="2">
    <w:p w:rsidR="00D45FF9" w:rsidP="00C721AC" w14:paraId="3C8B1AFD" w14:textId="77777777">
      <w:pPr>
        <w:jc w:val="right"/>
        <w:rPr>
          <w:sz w:val="20"/>
        </w:rPr>
      </w:pPr>
    </w:p>
  </w:footnote>
  <w:footnote w:id="3">
    <w:p w:rsidR="008206E3" w:rsidRPr="00511B21" w:rsidP="008206E3" w14:paraId="7811D047" w14:textId="77777777">
      <w:pPr>
        <w:pStyle w:val="FootnoteText"/>
      </w:pPr>
      <w:r>
        <w:rPr>
          <w:rStyle w:val="FootnoteReference"/>
        </w:rPr>
        <w:footnoteRef/>
      </w:r>
      <w:r>
        <w:t xml:space="preserve"> We note that all of the proceedings listed on the Attachment hereto were also listed in the Attachment to the </w:t>
      </w:r>
      <w:r>
        <w:rPr>
          <w:i/>
        </w:rPr>
        <w:t xml:space="preserve">Termination of Certain Proceedings as Dormant </w:t>
      </w:r>
      <w:r>
        <w:t xml:space="preserve">Public Notice released on </w:t>
      </w:r>
      <w:r w:rsidR="00D74DD9">
        <w:t>September 12</w:t>
      </w:r>
      <w:r>
        <w:t>, 201</w:t>
      </w:r>
      <w:r w:rsidR="00D74DD9">
        <w:t>8</w:t>
      </w:r>
      <w:r>
        <w:t xml:space="preserve">.  </w:t>
      </w:r>
      <w:r>
        <w:rPr>
          <w:i/>
        </w:rPr>
        <w:t>Consumer &amp; Governmental Affairs Bureau Seeks Comment on Termination of Certain Proceedings as Dormant</w:t>
      </w:r>
      <w:r>
        <w:t xml:space="preserve">, Public Notice, DA </w:t>
      </w:r>
      <w:r w:rsidR="00D74DD9">
        <w:t>18-941</w:t>
      </w:r>
      <w:r>
        <w:t xml:space="preserve"> (CGB </w:t>
      </w:r>
      <w:r w:rsidR="00D74DD9">
        <w:t>20</w:t>
      </w:r>
      <w:r w:rsidR="00E766C9">
        <w:t>1</w:t>
      </w:r>
      <w:r w:rsidR="00D74DD9">
        <w:t>8</w:t>
      </w:r>
      <w:r>
        <w:t xml:space="preserve">) </w:t>
      </w:r>
      <w:r w:rsidRPr="0017358E">
        <w:t>(</w:t>
      </w:r>
      <w:r w:rsidRPr="0040250E">
        <w:t>“</w:t>
      </w:r>
      <w:r w:rsidR="00D74DD9">
        <w:rPr>
          <w:i/>
        </w:rPr>
        <w:t>Seventh</w:t>
      </w:r>
      <w:r w:rsidRPr="0017358E">
        <w:rPr>
          <w:i/>
        </w:rPr>
        <w:t xml:space="preserve"> Dormant Proceedings Termination Public Notice</w:t>
      </w:r>
      <w:r w:rsidRPr="0040250E">
        <w:t>”).</w:t>
      </w:r>
    </w:p>
  </w:footnote>
  <w:footnote w:id="4">
    <w:p w:rsidR="008206E3" w:rsidP="008206E3" w14:paraId="5E702FCC" w14:textId="77777777">
      <w:pPr>
        <w:pStyle w:val="FootnoteText"/>
      </w:pPr>
      <w:r>
        <w:rPr>
          <w:rStyle w:val="FootnoteReference"/>
        </w:rPr>
        <w:footnoteRef/>
      </w:r>
      <w:r>
        <w:t xml:space="preserve"> </w:t>
      </w:r>
      <w:r>
        <w:rPr>
          <w:i/>
        </w:rPr>
        <w:t>Amendment of Certain of the Commission’s Part 1 Rules of Practice and Procedure and Part 0 Rules of Commission Organization</w:t>
      </w:r>
      <w:r>
        <w:t>, CG Docket No. 10-44, Report and Order, 26 FCC Rcd 1594 (2011) (“</w:t>
      </w:r>
      <w:r>
        <w:rPr>
          <w:i/>
        </w:rPr>
        <w:t>Procedure Order</w:t>
      </w:r>
      <w:r>
        <w:t xml:space="preserve">”). </w:t>
      </w:r>
    </w:p>
  </w:footnote>
  <w:footnote w:id="5">
    <w:p w:rsidR="008206E3" w:rsidP="008206E3" w14:paraId="10E696A1" w14:textId="77777777">
      <w:pPr>
        <w:pStyle w:val="FootnoteText"/>
        <w:tabs>
          <w:tab w:val="center" w:pos="5400"/>
        </w:tabs>
      </w:pPr>
      <w:r>
        <w:rPr>
          <w:rStyle w:val="FootnoteReference"/>
        </w:rPr>
        <w:footnoteRef/>
      </w:r>
      <w:r>
        <w:t xml:space="preserve"> </w:t>
      </w:r>
      <w:r>
        <w:rPr>
          <w:i/>
        </w:rPr>
        <w:t>Id.</w:t>
      </w:r>
      <w:r>
        <w:t xml:space="preserve"> at 1604, para. 24.       </w:t>
      </w:r>
      <w:r>
        <w:tab/>
      </w:r>
    </w:p>
  </w:footnote>
  <w:footnote w:id="6">
    <w:p w:rsidR="008206E3" w:rsidP="008206E3" w14:paraId="792D5914" w14:textId="77777777">
      <w:pPr>
        <w:pStyle w:val="FootnoteText"/>
      </w:pPr>
      <w:r>
        <w:rPr>
          <w:rStyle w:val="FootnoteReference"/>
        </w:rPr>
        <w:footnoteRef/>
      </w:r>
      <w:r>
        <w:t xml:space="preserve"> </w:t>
      </w:r>
      <w:r>
        <w:rPr>
          <w:i/>
        </w:rPr>
        <w:t>Consumer &amp; Governmental Affairs Bureau Seeks Comment on Termination of Certain Proceedings as Dormant</w:t>
      </w:r>
      <w:r>
        <w:t xml:space="preserve">, 26 FCC Rcd 7850 (CGB 2011) </w:t>
      </w:r>
      <w:r w:rsidRPr="0040250E">
        <w:t>(“</w:t>
      </w:r>
      <w:r>
        <w:rPr>
          <w:i/>
        </w:rPr>
        <w:t>First Dormant Proceedings Termination Public Notice</w:t>
      </w:r>
      <w:r w:rsidRPr="0040250E">
        <w:t>”).</w:t>
      </w:r>
    </w:p>
  </w:footnote>
  <w:footnote w:id="7">
    <w:p w:rsidR="008206E3" w:rsidP="008206E3" w14:paraId="5BBF561D" w14:textId="77777777">
      <w:pPr>
        <w:pStyle w:val="FootnoteText"/>
      </w:pPr>
      <w:r>
        <w:rPr>
          <w:rStyle w:val="FootnoteReference"/>
        </w:rPr>
        <w:footnoteRef/>
      </w:r>
      <w:r>
        <w:t xml:space="preserve"> </w:t>
      </w:r>
      <w:r>
        <w:rPr>
          <w:i/>
          <w:iCs/>
        </w:rPr>
        <w:t>Termination</w:t>
      </w:r>
      <w:r>
        <w:rPr>
          <w:i/>
          <w:iCs/>
          <w:spacing w:val="-9"/>
        </w:rPr>
        <w:t xml:space="preserve"> </w:t>
      </w:r>
      <w:r>
        <w:rPr>
          <w:i/>
          <w:iCs/>
        </w:rPr>
        <w:t>of</w:t>
      </w:r>
      <w:r>
        <w:rPr>
          <w:i/>
          <w:iCs/>
          <w:spacing w:val="-1"/>
        </w:rPr>
        <w:t xml:space="preserve"> </w:t>
      </w:r>
      <w:r>
        <w:rPr>
          <w:i/>
          <w:iCs/>
        </w:rPr>
        <w:t>Certain</w:t>
      </w:r>
      <w:r>
        <w:rPr>
          <w:i/>
          <w:iCs/>
          <w:spacing w:val="-5"/>
        </w:rPr>
        <w:t xml:space="preserve"> </w:t>
      </w:r>
      <w:r>
        <w:rPr>
          <w:i/>
          <w:iCs/>
        </w:rPr>
        <w:t>Proceedings</w:t>
      </w:r>
      <w:r>
        <w:rPr>
          <w:i/>
          <w:iCs/>
          <w:spacing w:val="-9"/>
        </w:rPr>
        <w:t xml:space="preserve"> </w:t>
      </w:r>
      <w:r>
        <w:rPr>
          <w:i/>
          <w:iCs/>
        </w:rPr>
        <w:t>as</w:t>
      </w:r>
      <w:r>
        <w:rPr>
          <w:i/>
          <w:iCs/>
          <w:spacing w:val="-1"/>
        </w:rPr>
        <w:t xml:space="preserve"> </w:t>
      </w:r>
      <w:r>
        <w:rPr>
          <w:i/>
          <w:iCs/>
        </w:rPr>
        <w:t>Dormant</w:t>
      </w:r>
      <w:r>
        <w:t>,</w:t>
      </w:r>
      <w:r>
        <w:rPr>
          <w:spacing w:val="-8"/>
        </w:rPr>
        <w:t xml:space="preserve"> </w:t>
      </w:r>
      <w:r>
        <w:t>Order,</w:t>
      </w:r>
      <w:r>
        <w:rPr>
          <w:spacing w:val="-5"/>
        </w:rPr>
        <w:t xml:space="preserve"> </w:t>
      </w:r>
      <w:r>
        <w:t>26</w:t>
      </w:r>
      <w:r>
        <w:rPr>
          <w:spacing w:val="-2"/>
        </w:rPr>
        <w:t xml:space="preserve"> </w:t>
      </w:r>
      <w:r>
        <w:t>FCC</w:t>
      </w:r>
      <w:r>
        <w:rPr>
          <w:spacing w:val="-4"/>
        </w:rPr>
        <w:t xml:space="preserve"> </w:t>
      </w:r>
      <w:r>
        <w:t>Rcd</w:t>
      </w:r>
      <w:r>
        <w:rPr>
          <w:spacing w:val="-3"/>
        </w:rPr>
        <w:t xml:space="preserve"> </w:t>
      </w:r>
      <w:r>
        <w:t>15312</w:t>
      </w:r>
      <w:r>
        <w:rPr>
          <w:spacing w:val="-5"/>
        </w:rPr>
        <w:t xml:space="preserve"> </w:t>
      </w:r>
      <w:r>
        <w:t>(CGB</w:t>
      </w:r>
      <w:r>
        <w:rPr>
          <w:spacing w:val="-5"/>
        </w:rPr>
        <w:t xml:space="preserve"> </w:t>
      </w:r>
      <w:r>
        <w:t>2011) (“</w:t>
      </w:r>
      <w:r>
        <w:rPr>
          <w:i/>
        </w:rPr>
        <w:t>First Dormant Proceedings Termination Order</w:t>
      </w:r>
      <w:r w:rsidRPr="00DF6250">
        <w:t>”).</w:t>
      </w:r>
    </w:p>
  </w:footnote>
  <w:footnote w:id="8">
    <w:p w:rsidR="008206E3" w:rsidRPr="007F764F" w:rsidP="008206E3" w14:paraId="56578E7F" w14:textId="77777777">
      <w:pPr>
        <w:pStyle w:val="FootnoteText"/>
        <w:rPr>
          <w:i/>
        </w:rPr>
      </w:pPr>
      <w:r>
        <w:rPr>
          <w:rStyle w:val="FootnoteReference"/>
        </w:rPr>
        <w:footnoteRef/>
      </w:r>
      <w:r>
        <w:t xml:space="preserve"> </w:t>
      </w:r>
      <w:r w:rsidRPr="008868E5">
        <w:rPr>
          <w:i/>
        </w:rPr>
        <w:t>See</w:t>
      </w:r>
      <w:r>
        <w:t xml:space="preserve"> </w:t>
      </w:r>
      <w:r w:rsidRPr="00E9704F">
        <w:rPr>
          <w:i/>
          <w:color w:val="242021"/>
        </w:rPr>
        <w:t>Consumer &amp; Governmental Affairs Bureau Seeks Comment on Termination of Certain Proceedings as Dormant</w:t>
      </w:r>
      <w:r w:rsidRPr="00E9704F">
        <w:rPr>
          <w:color w:val="242021"/>
        </w:rPr>
        <w:t>, 27 FCC Rcd 1613 (CGB</w:t>
      </w:r>
      <w:r w:rsidRPr="00E9704F">
        <w:rPr>
          <w:color w:val="242021"/>
          <w:spacing w:val="-5"/>
        </w:rPr>
        <w:t xml:space="preserve"> </w:t>
      </w:r>
      <w:r w:rsidRPr="00E9704F">
        <w:rPr>
          <w:color w:val="242021"/>
        </w:rPr>
        <w:t>2012)</w:t>
      </w:r>
      <w:r>
        <w:rPr>
          <w:color w:val="242021"/>
        </w:rPr>
        <w:t>;</w:t>
      </w:r>
      <w:r w:rsidRPr="008868E5">
        <w:rPr>
          <w:i/>
          <w:iCs/>
          <w:color w:val="242021"/>
        </w:rPr>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rPr>
        <w:t>,</w:t>
      </w:r>
      <w:r w:rsidRPr="00E9704F">
        <w:rPr>
          <w:color w:val="242021"/>
          <w:spacing w:val="-8"/>
        </w:rPr>
        <w:t xml:space="preserve"> </w:t>
      </w:r>
      <w:r w:rsidRPr="00E9704F">
        <w:rPr>
          <w:color w:val="242021"/>
        </w:rPr>
        <w:t>Order</w:t>
      </w:r>
      <w:r w:rsidRPr="00E9704F">
        <w:t xml:space="preserve">, 27 FCC Rcd 11284 </w:t>
      </w:r>
      <w:r w:rsidRPr="00E9704F">
        <w:rPr>
          <w:color w:val="242021"/>
        </w:rPr>
        <w:t>(CGB</w:t>
      </w:r>
      <w:r w:rsidRPr="00E9704F">
        <w:rPr>
          <w:color w:val="242021"/>
          <w:spacing w:val="-5"/>
        </w:rPr>
        <w:t xml:space="preserve"> </w:t>
      </w:r>
      <w:r w:rsidRPr="00E9704F">
        <w:rPr>
          <w:color w:val="242021"/>
        </w:rPr>
        <w:t>2012)</w:t>
      </w:r>
      <w:r>
        <w:rPr>
          <w:color w:val="242021"/>
        </w:rPr>
        <w:t>;</w:t>
      </w:r>
      <w:r w:rsidRPr="008868E5">
        <w:rPr>
          <w:i/>
          <w:color w:val="242021"/>
        </w:rPr>
        <w:t xml:space="preserve"> </w:t>
      </w:r>
      <w:r w:rsidRPr="00E9704F">
        <w:rPr>
          <w:i/>
          <w:color w:val="242021"/>
        </w:rPr>
        <w:t>Consumer &amp; Governmental Affairs Bureau Seeks Comment on Termination of Certain Proceedings as Dormant</w:t>
      </w:r>
      <w:r>
        <w:rPr>
          <w:color w:val="242021"/>
        </w:rPr>
        <w:t>, 29 FCC Rcd 7664</w:t>
      </w:r>
      <w:r w:rsidRPr="00E9704F">
        <w:rPr>
          <w:color w:val="242021"/>
        </w:rPr>
        <w:t xml:space="preserve"> (CGB</w:t>
      </w:r>
      <w:r w:rsidRPr="00E9704F">
        <w:rPr>
          <w:color w:val="242021"/>
          <w:spacing w:val="-5"/>
        </w:rPr>
        <w:t xml:space="preserve"> </w:t>
      </w:r>
      <w:r w:rsidRPr="00E9704F">
        <w:rPr>
          <w:color w:val="242021"/>
        </w:rPr>
        <w:t>2014)</w:t>
      </w:r>
      <w:r>
        <w:rPr>
          <w:color w:val="242021"/>
        </w:rPr>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spacing w:val="-8"/>
        </w:rPr>
        <w:t xml:space="preserve">, </w:t>
      </w:r>
      <w:r w:rsidRPr="00E9704F">
        <w:rPr>
          <w:color w:val="242021"/>
        </w:rPr>
        <w:t>Order, 29 FCC Rcd 11017 (CGB 2014)</w:t>
      </w:r>
      <w:r>
        <w:rPr>
          <w:color w:val="242021"/>
        </w:rPr>
        <w:t xml:space="preserve">; </w:t>
      </w:r>
      <w:r w:rsidRPr="00E9704F">
        <w:rPr>
          <w:i/>
        </w:rPr>
        <w:t>Consumer &amp; Governmental Affairs Bureau Seeks Comment on Termination of Certain Proceedings as Dormant</w:t>
      </w:r>
      <w:r w:rsidRPr="00E9704F">
        <w:t>, 29 FCC Rcd 11168 (CGB 2014)</w:t>
      </w:r>
      <w:r>
        <w:t xml:space="preserve">; </w:t>
      </w:r>
      <w:r w:rsidRPr="00E9704F">
        <w:rPr>
          <w:i/>
        </w:rPr>
        <w:t>Termination of Certain Proceedings as Dormant</w:t>
      </w:r>
      <w:r w:rsidRPr="00E9704F">
        <w:t>, Order, 29 FCC Rcd 16059 (CGB 2014)</w:t>
      </w:r>
      <w:r>
        <w:t xml:space="preserve">; </w:t>
      </w:r>
      <w:r w:rsidRPr="00E9704F">
        <w:rPr>
          <w:i/>
        </w:rPr>
        <w:t>Consumer &amp; Governmental Affairs Bureau Seeks Comment on Termination of Certain Proceedings as Dormant</w:t>
      </w:r>
      <w:r w:rsidRPr="00E9704F">
        <w:t>,</w:t>
      </w:r>
      <w:r>
        <w:t xml:space="preserve"> 31 FCC Rcd 1205 (CGB 2016); </w:t>
      </w:r>
      <w:r w:rsidRPr="00E9704F">
        <w:rPr>
          <w:i/>
        </w:rPr>
        <w:t>Termination of Certain Proceedings as Dormant</w:t>
      </w:r>
      <w:r w:rsidRPr="00E9704F">
        <w:t xml:space="preserve">, Order, </w:t>
      </w:r>
      <w:r>
        <w:t>31 FCC Rcd 7584 (CGB 2016)</w:t>
      </w:r>
      <w:r w:rsidR="005837E5">
        <w:t xml:space="preserve">; </w:t>
      </w:r>
      <w:r w:rsidR="003E5440">
        <w:rPr>
          <w:i/>
        </w:rPr>
        <w:t>Consumer &amp; Governmental Affairs Bureau Seeks Comment on Termination of Certain Proceedings as Dormant</w:t>
      </w:r>
      <w:r w:rsidR="003E5440">
        <w:t xml:space="preserve">, 32 FCC Rcd 369 (CGB 2017); </w:t>
      </w:r>
      <w:r w:rsidR="003E5440">
        <w:rPr>
          <w:i/>
        </w:rPr>
        <w:t>Termination of Certain Proceedings as Dormant</w:t>
      </w:r>
      <w:r w:rsidR="003E5440">
        <w:t>, Order, 33 FCC Rcd 53 (CGB 201</w:t>
      </w:r>
      <w:r w:rsidR="00990BB6">
        <w:t>8</w:t>
      </w:r>
      <w:r w:rsidR="003E5440">
        <w:t>)</w:t>
      </w:r>
      <w:r>
        <w:t>.</w:t>
      </w:r>
    </w:p>
  </w:footnote>
  <w:footnote w:id="9">
    <w:p w:rsidR="008206E3" w:rsidP="008206E3" w14:paraId="7802708E" w14:textId="77777777">
      <w:pPr>
        <w:pStyle w:val="FootnoteText"/>
      </w:pPr>
      <w:r>
        <w:rPr>
          <w:rStyle w:val="FootnoteReference"/>
        </w:rPr>
        <w:footnoteRef/>
      </w:r>
      <w:r>
        <w:t xml:space="preserve"> </w:t>
      </w:r>
      <w:r w:rsidR="00105BF8">
        <w:rPr>
          <w:i/>
        </w:rPr>
        <w:t>Seventh</w:t>
      </w:r>
      <w:r>
        <w:rPr>
          <w:i/>
        </w:rPr>
        <w:t xml:space="preserve"> </w:t>
      </w:r>
      <w:r w:rsidRPr="003576A8">
        <w:rPr>
          <w:i/>
        </w:rPr>
        <w:t>Dormant Proceedings Termination Public Notice, supra.</w:t>
      </w:r>
    </w:p>
  </w:footnote>
  <w:footnote w:id="10">
    <w:p w:rsidR="000F0783" w:rsidRPr="00DE1FE7" w:rsidP="000F0783" w14:paraId="662B254F" w14:textId="77777777">
      <w:pPr>
        <w:pStyle w:val="FootnoteText"/>
      </w:pPr>
      <w:r>
        <w:rPr>
          <w:rStyle w:val="FootnoteReference"/>
        </w:rPr>
        <w:footnoteRef/>
      </w:r>
      <w:r>
        <w:t xml:space="preserve"> Two express comments were received in the above-captioned docket, but they appear to have been misfiled because they are not responsive to the </w:t>
      </w:r>
      <w:r>
        <w:rPr>
          <w:i/>
        </w:rPr>
        <w:t>Seventh Dormant Proceedings Termination Public Notice</w:t>
      </w:r>
      <w:r>
        <w:t xml:space="preserve">. </w:t>
      </w:r>
    </w:p>
  </w:footnote>
  <w:footnote w:id="11">
    <w:p w:rsidR="008206E3" w:rsidP="008206E3" w14:paraId="22A35F10" w14:textId="77777777">
      <w:pPr>
        <w:pStyle w:val="FootnoteText"/>
      </w:pPr>
      <w:r>
        <w:rPr>
          <w:rStyle w:val="FootnoteReference"/>
        </w:rPr>
        <w:footnoteRef/>
      </w:r>
      <w:r>
        <w:t xml:space="preserve"> </w:t>
      </w:r>
      <w:r>
        <w:rPr>
          <w:spacing w:val="-1"/>
        </w:rPr>
        <w:t>An</w:t>
      </w:r>
      <w:r>
        <w:t>y</w:t>
      </w:r>
      <w:r>
        <w:rPr>
          <w:spacing w:val="-5"/>
        </w:rPr>
        <w:t xml:space="preserve"> </w:t>
      </w:r>
      <w:r>
        <w:rPr>
          <w:spacing w:val="-1"/>
        </w:rPr>
        <w:t>part</w:t>
      </w:r>
      <w:r>
        <w:t>y</w:t>
      </w:r>
      <w:r>
        <w:rPr>
          <w:spacing w:val="-5"/>
        </w:rPr>
        <w:t xml:space="preserve"> </w:t>
      </w:r>
      <w:r>
        <w:rPr>
          <w:spacing w:val="-1"/>
        </w:rPr>
        <w:t>aggrieve</w:t>
      </w:r>
      <w:r>
        <w:t>d</w:t>
      </w:r>
      <w:r>
        <w:rPr>
          <w:spacing w:val="-5"/>
        </w:rPr>
        <w:t xml:space="preserve"> </w:t>
      </w:r>
      <w:r>
        <w:rPr>
          <w:spacing w:val="-1"/>
        </w:rPr>
        <w:t>b</w:t>
      </w:r>
      <w:r>
        <w:t>y</w:t>
      </w:r>
      <w:r>
        <w:rPr>
          <w:spacing w:val="-5"/>
        </w:rPr>
        <w:t xml:space="preserve"> </w:t>
      </w:r>
      <w:r>
        <w:t>a</w:t>
      </w:r>
      <w:r>
        <w:rPr>
          <w:spacing w:val="-5"/>
        </w:rPr>
        <w:t xml:space="preserve"> </w:t>
      </w:r>
      <w:r>
        <w:rPr>
          <w:spacing w:val="-1"/>
        </w:rPr>
        <w:t>terminatio</w:t>
      </w:r>
      <w:r>
        <w:t>n</w:t>
      </w:r>
      <w:r>
        <w:rPr>
          <w:spacing w:val="-5"/>
        </w:rPr>
        <w:t xml:space="preserve"> </w:t>
      </w:r>
      <w:r>
        <w:rPr>
          <w:spacing w:val="-1"/>
        </w:rPr>
        <w:t>unde</w:t>
      </w:r>
      <w:r>
        <w:t>r</w:t>
      </w:r>
      <w:r>
        <w:rPr>
          <w:spacing w:val="-5"/>
        </w:rPr>
        <w:t xml:space="preserve"> </w:t>
      </w:r>
      <w:r>
        <w:rPr>
          <w:spacing w:val="-1"/>
        </w:rPr>
        <w:t>thi</w:t>
      </w:r>
      <w:r>
        <w:t>s</w:t>
      </w:r>
      <w:r>
        <w:rPr>
          <w:spacing w:val="-5"/>
        </w:rPr>
        <w:t xml:space="preserve"> </w:t>
      </w:r>
      <w:r>
        <w:rPr>
          <w:spacing w:val="-1"/>
        </w:rPr>
        <w:t>delegatio</w:t>
      </w:r>
      <w:r>
        <w:t>n</w:t>
      </w:r>
      <w:r>
        <w:rPr>
          <w:spacing w:val="-5"/>
        </w:rPr>
        <w:t xml:space="preserve"> </w:t>
      </w:r>
      <w:r>
        <w:rPr>
          <w:spacing w:val="-1"/>
        </w:rPr>
        <w:t>o</w:t>
      </w:r>
      <w:r>
        <w:t>f</w:t>
      </w:r>
      <w:r>
        <w:rPr>
          <w:spacing w:val="-5"/>
        </w:rPr>
        <w:t xml:space="preserve"> </w:t>
      </w:r>
      <w:r>
        <w:rPr>
          <w:spacing w:val="-1"/>
        </w:rPr>
        <w:t>authorit</w:t>
      </w:r>
      <w:r>
        <w:t>y</w:t>
      </w:r>
      <w:r>
        <w:rPr>
          <w:spacing w:val="-5"/>
        </w:rPr>
        <w:t xml:space="preserve"> </w:t>
      </w:r>
      <w:r>
        <w:rPr>
          <w:spacing w:val="-1"/>
        </w:rPr>
        <w:t>ma</w:t>
      </w:r>
      <w:r>
        <w:t>y</w:t>
      </w:r>
      <w:r>
        <w:rPr>
          <w:spacing w:val="-4"/>
        </w:rPr>
        <w:t xml:space="preserve"> </w:t>
      </w:r>
      <w:r>
        <w:rPr>
          <w:spacing w:val="-1"/>
        </w:rPr>
        <w:t>fil</w:t>
      </w:r>
      <w:r>
        <w:t>e</w:t>
      </w:r>
      <w:r>
        <w:rPr>
          <w:spacing w:val="-5"/>
        </w:rPr>
        <w:t xml:space="preserve"> </w:t>
      </w:r>
      <w:r>
        <w:t>a</w:t>
      </w:r>
      <w:r>
        <w:rPr>
          <w:spacing w:val="-5"/>
        </w:rPr>
        <w:t xml:space="preserve"> </w:t>
      </w:r>
      <w:r>
        <w:rPr>
          <w:spacing w:val="-1"/>
        </w:rPr>
        <w:t>petitio</w:t>
      </w:r>
      <w:r>
        <w:t>n</w:t>
      </w:r>
      <w:r>
        <w:rPr>
          <w:spacing w:val="-5"/>
        </w:rPr>
        <w:t xml:space="preserve"> </w:t>
      </w:r>
      <w:r>
        <w:rPr>
          <w:spacing w:val="-1"/>
        </w:rPr>
        <w:t>fo</w:t>
      </w:r>
      <w:r>
        <w:t>r</w:t>
      </w:r>
      <w:r>
        <w:rPr>
          <w:spacing w:val="-5"/>
        </w:rPr>
        <w:t xml:space="preserve"> </w:t>
      </w:r>
      <w:r>
        <w:rPr>
          <w:spacing w:val="-1"/>
        </w:rPr>
        <w:t>reconsideratio</w:t>
      </w:r>
      <w:r>
        <w:t>n</w:t>
      </w:r>
      <w:r>
        <w:rPr>
          <w:spacing w:val="-5"/>
        </w:rPr>
        <w:t xml:space="preserve"> </w:t>
      </w:r>
      <w:r>
        <w:rPr>
          <w:spacing w:val="-1"/>
        </w:rPr>
        <w:t>with</w:t>
      </w:r>
      <w:r>
        <w:rPr>
          <w:spacing w:val="-1"/>
          <w:w w:val="99"/>
        </w:rPr>
        <w:t xml:space="preserve"> </w:t>
      </w:r>
      <w:r>
        <w:t>CGB</w:t>
      </w:r>
      <w:r>
        <w:rPr>
          <w:spacing w:val="-5"/>
        </w:rPr>
        <w:t xml:space="preserve"> </w:t>
      </w:r>
      <w:r>
        <w:t>or</w:t>
      </w:r>
      <w:r>
        <w:rPr>
          <w:spacing w:val="-4"/>
        </w:rPr>
        <w:t xml:space="preserve"> </w:t>
      </w:r>
      <w:r>
        <w:t>an</w:t>
      </w:r>
      <w:r>
        <w:rPr>
          <w:spacing w:val="-4"/>
        </w:rPr>
        <w:t xml:space="preserve"> </w:t>
      </w:r>
      <w:r>
        <w:t>application</w:t>
      </w:r>
      <w:r>
        <w:rPr>
          <w:spacing w:val="-5"/>
        </w:rPr>
        <w:t xml:space="preserve"> </w:t>
      </w:r>
      <w:r>
        <w:t>for</w:t>
      </w:r>
      <w:r>
        <w:rPr>
          <w:spacing w:val="-4"/>
        </w:rPr>
        <w:t xml:space="preserve"> </w:t>
      </w:r>
      <w:r>
        <w:t>review</w:t>
      </w:r>
      <w:r>
        <w:rPr>
          <w:spacing w:val="-9"/>
        </w:rPr>
        <w:t xml:space="preserve"> </w:t>
      </w:r>
      <w:r>
        <w:rPr>
          <w:spacing w:val="-2"/>
        </w:rPr>
        <w:t>wit</w:t>
      </w:r>
      <w:r>
        <w:t>h</w:t>
      </w:r>
      <w:r>
        <w:rPr>
          <w:spacing w:val="-5"/>
        </w:rPr>
        <w:t xml:space="preserve"> </w:t>
      </w:r>
      <w:r>
        <w:rPr>
          <w:spacing w:val="-2"/>
        </w:rPr>
        <w:t>th</w:t>
      </w:r>
      <w:r>
        <w:t>e</w:t>
      </w:r>
      <w:r>
        <w:rPr>
          <w:spacing w:val="-5"/>
        </w:rPr>
        <w:t xml:space="preserve"> </w:t>
      </w:r>
      <w:r>
        <w:rPr>
          <w:spacing w:val="-2"/>
        </w:rPr>
        <w:t>ful</w:t>
      </w:r>
      <w:r>
        <w:t>l</w:t>
      </w:r>
      <w:r>
        <w:rPr>
          <w:spacing w:val="-6"/>
        </w:rPr>
        <w:t xml:space="preserve"> </w:t>
      </w:r>
      <w:r>
        <w:rPr>
          <w:spacing w:val="-2"/>
        </w:rPr>
        <w:t>Commis</w:t>
      </w:r>
      <w:r>
        <w:rPr>
          <w:spacing w:val="-1"/>
        </w:rPr>
        <w:t>sio</w:t>
      </w:r>
      <w:r>
        <w:t>n.</w:t>
      </w:r>
      <w:r>
        <w:rPr>
          <w:spacing w:val="42"/>
        </w:rPr>
        <w:t xml:space="preserve"> </w:t>
      </w:r>
      <w:r>
        <w:rPr>
          <w:i/>
        </w:rPr>
        <w:t>Procedure</w:t>
      </w:r>
      <w:r>
        <w:rPr>
          <w:i/>
          <w:spacing w:val="-5"/>
        </w:rPr>
        <w:t xml:space="preserve"> </w:t>
      </w:r>
      <w:r>
        <w:rPr>
          <w:i/>
        </w:rPr>
        <w:t>Orde</w:t>
      </w:r>
      <w:r>
        <w:rPr>
          <w:i/>
          <w:spacing w:val="-1"/>
        </w:rPr>
        <w:t>r</w:t>
      </w:r>
      <w:r>
        <w:t>,</w:t>
      </w:r>
      <w:r>
        <w:rPr>
          <w:spacing w:val="-4"/>
        </w:rPr>
        <w:t xml:space="preserve"> </w:t>
      </w:r>
      <w:r>
        <w:t>26</w:t>
      </w:r>
      <w:r>
        <w:rPr>
          <w:spacing w:val="-4"/>
        </w:rPr>
        <w:t xml:space="preserve"> </w:t>
      </w:r>
      <w:r>
        <w:t>FCC</w:t>
      </w:r>
      <w:r>
        <w:rPr>
          <w:spacing w:val="-5"/>
        </w:rPr>
        <w:t xml:space="preserve"> </w:t>
      </w:r>
      <w:r>
        <w:t>Rcd</w:t>
      </w:r>
      <w:r>
        <w:rPr>
          <w:spacing w:val="-3"/>
        </w:rPr>
        <w:t xml:space="preserve"> </w:t>
      </w:r>
      <w:r>
        <w:t>at</w:t>
      </w:r>
      <w:r>
        <w:rPr>
          <w:spacing w:val="-4"/>
        </w:rPr>
        <w:t xml:space="preserve"> </w:t>
      </w:r>
      <w:r>
        <w:t>1604,</w:t>
      </w:r>
      <w:r>
        <w:rPr>
          <w:spacing w:val="-3"/>
        </w:rPr>
        <w:t xml:space="preserve"> </w:t>
      </w:r>
      <w:r>
        <w:t>paras.</w:t>
      </w:r>
      <w:r>
        <w:rPr>
          <w:spacing w:val="-3"/>
        </w:rPr>
        <w:t xml:space="preserve"> </w:t>
      </w:r>
      <w:r>
        <w:t>2</w:t>
      </w:r>
      <w:r>
        <w:rPr>
          <w:spacing w:val="1"/>
        </w:rPr>
        <w:t>3</w:t>
      </w:r>
      <w:r>
        <w:rPr>
          <w:spacing w:val="-2"/>
        </w:rPr>
        <w:t>-</w:t>
      </w:r>
      <w:r>
        <w:rPr>
          <w:spacing w:val="1"/>
        </w:rPr>
        <w:t>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rsidP="00810B6F" w14:paraId="74A59F21" w14:textId="480EF9ED">
    <w:pPr>
      <w:pStyle w:val="Header"/>
      <w:rPr>
        <w:b w:val="0"/>
      </w:rPr>
    </w:pPr>
    <w:r>
      <w:tab/>
      <w:t>Federal Communications Commission</w:t>
    </w:r>
    <w:r>
      <w:tab/>
      <w:t xml:space="preserve">DA </w:t>
    </w:r>
    <w:r w:rsidR="00645DB7">
      <w:t>1</w:t>
    </w:r>
    <w:r w:rsidR="00616534">
      <w:t>9</w:t>
    </w:r>
    <w:r w:rsidR="00645DB7">
      <w:t>-</w:t>
    </w:r>
    <w:r w:rsidR="000516ED">
      <w:t>179</w:t>
    </w:r>
  </w:p>
  <w:p w:rsidR="008206E3" w14:paraId="10D69E6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8206E3" w14:paraId="148811D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rsidP="00810B6F" w14:paraId="7CBEFADF" w14:textId="10D0E080">
    <w:pPr>
      <w:pStyle w:val="Header"/>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00F864AD">
      <w:tab/>
      <w:t>Federal Communications Commission</w:t>
    </w:r>
    <w:r w:rsidR="00F864AD">
      <w:tab/>
    </w:r>
    <w:r w:rsidR="00F864AD">
      <w:rPr>
        <w:spacing w:val="-2"/>
      </w:rPr>
      <w:t xml:space="preserve">DA </w:t>
    </w:r>
    <w:r w:rsidR="00645DB7">
      <w:rPr>
        <w:spacing w:val="-2"/>
      </w:rPr>
      <w:t>1</w:t>
    </w:r>
    <w:r w:rsidR="00D74DD9">
      <w:rPr>
        <w:spacing w:val="-2"/>
      </w:rPr>
      <w:t>9</w:t>
    </w:r>
    <w:r w:rsidR="00F864AD">
      <w:rPr>
        <w:spacing w:val="-2"/>
      </w:rPr>
      <w:t>-</w:t>
    </w:r>
    <w:r w:rsidR="000516ED">
      <w:rPr>
        <w:spacing w:val="-2"/>
      </w:rPr>
      <w:t>179</w:t>
    </w:r>
  </w:p>
  <w:p w:rsidR="008206E3" w:rsidP="00810B6F" w14:paraId="45AB399E" w14:textId="77777777">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465818"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24BB48" w14:textId="77777777">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00F864AD">
      <w:tab/>
      <w:t>Federal Communications Commission</w:t>
    </w:r>
    <w:r w:rsidR="00F864AD">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2700"/>
        </w:tabs>
        <w:ind w:left="162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E3"/>
    <w:rsid w:val="00003F91"/>
    <w:rsid w:val="00036039"/>
    <w:rsid w:val="00037F90"/>
    <w:rsid w:val="000516ED"/>
    <w:rsid w:val="000875BF"/>
    <w:rsid w:val="00096D8C"/>
    <w:rsid w:val="000B4E1D"/>
    <w:rsid w:val="000B5BAA"/>
    <w:rsid w:val="000C0B65"/>
    <w:rsid w:val="000D79B1"/>
    <w:rsid w:val="000E05FE"/>
    <w:rsid w:val="000E3D42"/>
    <w:rsid w:val="000E4B4E"/>
    <w:rsid w:val="000F0783"/>
    <w:rsid w:val="00105BF8"/>
    <w:rsid w:val="00115822"/>
    <w:rsid w:val="00122BD5"/>
    <w:rsid w:val="00133F79"/>
    <w:rsid w:val="0017358E"/>
    <w:rsid w:val="00194A66"/>
    <w:rsid w:val="001B10DC"/>
    <w:rsid w:val="001D6BCF"/>
    <w:rsid w:val="001E01CA"/>
    <w:rsid w:val="002547E9"/>
    <w:rsid w:val="002723A6"/>
    <w:rsid w:val="00275CF5"/>
    <w:rsid w:val="0028301F"/>
    <w:rsid w:val="00283C54"/>
    <w:rsid w:val="00285017"/>
    <w:rsid w:val="002967E4"/>
    <w:rsid w:val="002A2D2E"/>
    <w:rsid w:val="002C00E8"/>
    <w:rsid w:val="003149DC"/>
    <w:rsid w:val="00343749"/>
    <w:rsid w:val="003437A3"/>
    <w:rsid w:val="003576A8"/>
    <w:rsid w:val="003660ED"/>
    <w:rsid w:val="003B0550"/>
    <w:rsid w:val="003B694F"/>
    <w:rsid w:val="003C2DBE"/>
    <w:rsid w:val="003D57DC"/>
    <w:rsid w:val="003E5440"/>
    <w:rsid w:val="003F171C"/>
    <w:rsid w:val="0040250E"/>
    <w:rsid w:val="00412FC5"/>
    <w:rsid w:val="00422276"/>
    <w:rsid w:val="004242F1"/>
    <w:rsid w:val="00425FCB"/>
    <w:rsid w:val="00445A00"/>
    <w:rsid w:val="00451B0F"/>
    <w:rsid w:val="0048071D"/>
    <w:rsid w:val="00485B41"/>
    <w:rsid w:val="004B67A0"/>
    <w:rsid w:val="004C28FA"/>
    <w:rsid w:val="004C2EE3"/>
    <w:rsid w:val="004C5F2E"/>
    <w:rsid w:val="004D72C2"/>
    <w:rsid w:val="004E4A22"/>
    <w:rsid w:val="004E4A51"/>
    <w:rsid w:val="00511968"/>
    <w:rsid w:val="00511B21"/>
    <w:rsid w:val="00517E78"/>
    <w:rsid w:val="0055614C"/>
    <w:rsid w:val="0057127A"/>
    <w:rsid w:val="005837E5"/>
    <w:rsid w:val="0059557D"/>
    <w:rsid w:val="005E14C2"/>
    <w:rsid w:val="00607BA5"/>
    <w:rsid w:val="0061180A"/>
    <w:rsid w:val="00616534"/>
    <w:rsid w:val="00626EB6"/>
    <w:rsid w:val="00645DB7"/>
    <w:rsid w:val="00655D03"/>
    <w:rsid w:val="00683388"/>
    <w:rsid w:val="00683F84"/>
    <w:rsid w:val="006A0F02"/>
    <w:rsid w:val="006A6A81"/>
    <w:rsid w:val="006B66B9"/>
    <w:rsid w:val="006F7393"/>
    <w:rsid w:val="0070224F"/>
    <w:rsid w:val="007115F7"/>
    <w:rsid w:val="00723691"/>
    <w:rsid w:val="0072392C"/>
    <w:rsid w:val="00754C82"/>
    <w:rsid w:val="0077695A"/>
    <w:rsid w:val="00785689"/>
    <w:rsid w:val="0079754B"/>
    <w:rsid w:val="007A1E6D"/>
    <w:rsid w:val="007B0EB2"/>
    <w:rsid w:val="007C17E0"/>
    <w:rsid w:val="007D685A"/>
    <w:rsid w:val="007F764F"/>
    <w:rsid w:val="00802192"/>
    <w:rsid w:val="00810B6F"/>
    <w:rsid w:val="008206E3"/>
    <w:rsid w:val="00822CE0"/>
    <w:rsid w:val="00841AB1"/>
    <w:rsid w:val="00843804"/>
    <w:rsid w:val="00870D16"/>
    <w:rsid w:val="008868E5"/>
    <w:rsid w:val="00890699"/>
    <w:rsid w:val="008C68F1"/>
    <w:rsid w:val="009041AA"/>
    <w:rsid w:val="00921803"/>
    <w:rsid w:val="00926503"/>
    <w:rsid w:val="009726D8"/>
    <w:rsid w:val="009764C4"/>
    <w:rsid w:val="009836AD"/>
    <w:rsid w:val="00990BB6"/>
    <w:rsid w:val="009B0FD5"/>
    <w:rsid w:val="009D62F1"/>
    <w:rsid w:val="009F76DB"/>
    <w:rsid w:val="00A2067E"/>
    <w:rsid w:val="00A240CE"/>
    <w:rsid w:val="00A26FD7"/>
    <w:rsid w:val="00A32C3B"/>
    <w:rsid w:val="00A41736"/>
    <w:rsid w:val="00A43B67"/>
    <w:rsid w:val="00A45F4F"/>
    <w:rsid w:val="00A600A9"/>
    <w:rsid w:val="00AA55B7"/>
    <w:rsid w:val="00AA5B9E"/>
    <w:rsid w:val="00AB2407"/>
    <w:rsid w:val="00AB53DF"/>
    <w:rsid w:val="00AE3103"/>
    <w:rsid w:val="00B033D1"/>
    <w:rsid w:val="00B07E5C"/>
    <w:rsid w:val="00B61149"/>
    <w:rsid w:val="00B811F7"/>
    <w:rsid w:val="00BA5DC6"/>
    <w:rsid w:val="00BA6196"/>
    <w:rsid w:val="00BB4441"/>
    <w:rsid w:val="00BC60AD"/>
    <w:rsid w:val="00BC6D8C"/>
    <w:rsid w:val="00BF758A"/>
    <w:rsid w:val="00C34006"/>
    <w:rsid w:val="00C426B1"/>
    <w:rsid w:val="00C542D2"/>
    <w:rsid w:val="00C6127F"/>
    <w:rsid w:val="00C62994"/>
    <w:rsid w:val="00C66160"/>
    <w:rsid w:val="00C721AC"/>
    <w:rsid w:val="00C90D6A"/>
    <w:rsid w:val="00CA247E"/>
    <w:rsid w:val="00CC72B6"/>
    <w:rsid w:val="00D0218D"/>
    <w:rsid w:val="00D051EF"/>
    <w:rsid w:val="00D25FB5"/>
    <w:rsid w:val="00D40562"/>
    <w:rsid w:val="00D44223"/>
    <w:rsid w:val="00D45FF9"/>
    <w:rsid w:val="00D74DD9"/>
    <w:rsid w:val="00DA2529"/>
    <w:rsid w:val="00DB130A"/>
    <w:rsid w:val="00DB2EBB"/>
    <w:rsid w:val="00DB3624"/>
    <w:rsid w:val="00DC10A1"/>
    <w:rsid w:val="00DC655F"/>
    <w:rsid w:val="00DD0B59"/>
    <w:rsid w:val="00DD7EBD"/>
    <w:rsid w:val="00DE1FE7"/>
    <w:rsid w:val="00DE707F"/>
    <w:rsid w:val="00DF6250"/>
    <w:rsid w:val="00DF62B6"/>
    <w:rsid w:val="00E00A69"/>
    <w:rsid w:val="00E07225"/>
    <w:rsid w:val="00E16406"/>
    <w:rsid w:val="00E43FCC"/>
    <w:rsid w:val="00E5409F"/>
    <w:rsid w:val="00E5768A"/>
    <w:rsid w:val="00E766C9"/>
    <w:rsid w:val="00E9704F"/>
    <w:rsid w:val="00EE6488"/>
    <w:rsid w:val="00F021FA"/>
    <w:rsid w:val="00F111B8"/>
    <w:rsid w:val="00F200A0"/>
    <w:rsid w:val="00F60C33"/>
    <w:rsid w:val="00F62E97"/>
    <w:rsid w:val="00F64209"/>
    <w:rsid w:val="00F864AD"/>
    <w:rsid w:val="00F93BF5"/>
    <w:rsid w:val="00FC43E3"/>
    <w:rsid w:val="0DA5D2EE"/>
    <w:rsid w:val="363F9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ACA301A-A69B-491F-8DDA-A03B5B98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6E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1440"/>
        <w:tab w:val="clear" w:pos="270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8206E3"/>
  </w:style>
  <w:style w:type="character" w:customStyle="1" w:styleId="ParaNumChar">
    <w:name w:val="ParaNum Char"/>
    <w:link w:val="ParaNum"/>
    <w:rsid w:val="008206E3"/>
    <w:rPr>
      <w:snapToGrid w:val="0"/>
      <w:kern w:val="28"/>
      <w:sz w:val="22"/>
    </w:rPr>
  </w:style>
  <w:style w:type="character" w:customStyle="1" w:styleId="UnresolvedMention1">
    <w:name w:val="Unresolved Mention1"/>
    <w:uiPriority w:val="99"/>
    <w:semiHidden/>
    <w:unhideWhenUsed/>
    <w:rsid w:val="003149DC"/>
    <w:rPr>
      <w:color w:val="605E5C"/>
      <w:shd w:val="clear" w:color="auto" w:fill="E1DFDD"/>
    </w:rPr>
  </w:style>
  <w:style w:type="paragraph" w:styleId="BalloonText">
    <w:name w:val="Balloon Text"/>
    <w:basedOn w:val="Normal"/>
    <w:link w:val="BalloonTextChar"/>
    <w:rsid w:val="000E4B4E"/>
    <w:rPr>
      <w:rFonts w:ascii="Segoe UI" w:hAnsi="Segoe UI" w:cs="Segoe UI"/>
      <w:sz w:val="18"/>
      <w:szCs w:val="18"/>
    </w:rPr>
  </w:style>
  <w:style w:type="character" w:customStyle="1" w:styleId="BalloonTextChar">
    <w:name w:val="Balloon Text Char"/>
    <w:basedOn w:val="DefaultParagraphFont"/>
    <w:link w:val="BalloonText"/>
    <w:rsid w:val="000E4B4E"/>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daniel.margoli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