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515" w:rsidP="00913CEC" w14:paraId="1C8C15C6" w14:textId="69D4BAA0">
      <w:pPr>
        <w:tabs>
          <w:tab w:val="left" w:pos="855"/>
          <w:tab w:val="center" w:pos="4680"/>
        </w:tabs>
        <w:spacing w:after="120" w:line="480" w:lineRule="auto"/>
        <w:jc w:val="center"/>
        <w:rPr>
          <w:b/>
        </w:rPr>
      </w:pPr>
      <w:bookmarkStart w:id="0" w:name="_Ref279671408"/>
      <w:r>
        <w:rPr>
          <w:b/>
        </w:rPr>
        <w:t xml:space="preserve">Appendix </w:t>
      </w:r>
      <w:r w:rsidR="00945ED8">
        <w:rPr>
          <w:b/>
        </w:rPr>
        <w:t>A</w:t>
      </w:r>
    </w:p>
    <w:p w:rsidR="009E2BCE" w:rsidRPr="00276F41" w:rsidP="00913CEC" w14:paraId="22DA969E" w14:textId="191BCB1D">
      <w:pPr>
        <w:tabs>
          <w:tab w:val="left" w:pos="855"/>
          <w:tab w:val="center" w:pos="4680"/>
        </w:tabs>
        <w:spacing w:after="120" w:line="480" w:lineRule="auto"/>
        <w:jc w:val="center"/>
        <w:rPr>
          <w:b/>
        </w:rPr>
      </w:pPr>
      <w:r w:rsidRPr="00876512">
        <w:rPr>
          <w:b/>
        </w:rPr>
        <w:t xml:space="preserve">Reconfiguration </w:t>
      </w:r>
      <w:r w:rsidRPr="00276F41" w:rsidR="00E12DE8">
        <w:rPr>
          <w:b/>
        </w:rPr>
        <w:t>Technical Guide</w:t>
      </w:r>
    </w:p>
    <w:p w:rsidR="00E97E1C" w:rsidP="00831878" w14:paraId="34ABED6B" w14:textId="6B1761C9">
      <w:pPr>
        <w:pStyle w:val="AttachmentHeading3"/>
        <w:numPr>
          <w:ilvl w:val="2"/>
          <w:numId w:val="3"/>
        </w:numPr>
        <w:contextualSpacing/>
        <w:rPr>
          <w:rFonts w:hint="eastAsia"/>
        </w:rPr>
      </w:pPr>
      <w:r>
        <w:t>Introduction</w:t>
      </w:r>
      <w:bookmarkEnd w:id="0"/>
    </w:p>
    <w:p w:rsidR="00876512" w:rsidRPr="00AE1270" w:rsidP="006D4E3A" w14:paraId="46BEAA00" w14:textId="08692D24">
      <w:pPr>
        <w:pStyle w:val="p1"/>
        <w:spacing w:after="240"/>
        <w:rPr>
          <w:sz w:val="22"/>
          <w:szCs w:val="22"/>
        </w:rPr>
      </w:pPr>
      <w:r w:rsidRPr="00BE6A3A">
        <w:rPr>
          <w:sz w:val="22"/>
          <w:szCs w:val="22"/>
        </w:rPr>
        <w:t xml:space="preserve">This document </w:t>
      </w:r>
      <w:r w:rsidR="00964AEC">
        <w:rPr>
          <w:sz w:val="22"/>
          <w:szCs w:val="22"/>
        </w:rPr>
        <w:t xml:space="preserve">details </w:t>
      </w:r>
      <w:r w:rsidRPr="00BE6A3A">
        <w:rPr>
          <w:sz w:val="22"/>
          <w:szCs w:val="22"/>
        </w:rPr>
        <w:t>the procedures the Commission will employ to determine the Commission’s proposed reconfiguration (Option 1 in the Initial Commitment System) and the constraints an incumbent must satisfy for an acceptable alternative reconfiguration (Option 2 in the Initial Commitment System)</w:t>
      </w:r>
      <w:r w:rsidR="00964AEC">
        <w:rPr>
          <w:sz w:val="22"/>
          <w:szCs w:val="22"/>
        </w:rPr>
        <w:t xml:space="preserve"> and</w:t>
      </w:r>
      <w:r w:rsidRPr="00BD2F42" w:rsidR="00964AEC">
        <w:rPr>
          <w:sz w:val="22"/>
          <w:szCs w:val="22"/>
        </w:rPr>
        <w:t xml:space="preserve"> supplement</w:t>
      </w:r>
      <w:r w:rsidR="00964AEC">
        <w:rPr>
          <w:sz w:val="22"/>
          <w:szCs w:val="22"/>
        </w:rPr>
        <w:t>s</w:t>
      </w:r>
      <w:r w:rsidRPr="00BD2F42" w:rsidR="00964AEC">
        <w:rPr>
          <w:sz w:val="22"/>
          <w:szCs w:val="22"/>
        </w:rPr>
        <w:t xml:space="preserve"> the descriptions of those processes in the </w:t>
      </w:r>
      <w:r w:rsidRPr="00037D70" w:rsidR="00964AEC">
        <w:rPr>
          <w:i/>
          <w:sz w:val="22"/>
          <w:szCs w:val="22"/>
        </w:rPr>
        <w:t>Initial 39 GHz Reconfiguration Public Notice</w:t>
      </w:r>
      <w:r w:rsidRPr="00BE6A3A" w:rsidR="00964AEC">
        <w:rPr>
          <w:sz w:val="22"/>
          <w:szCs w:val="22"/>
        </w:rPr>
        <w:t>.</w:t>
      </w:r>
      <w:r>
        <w:rPr>
          <w:rStyle w:val="FootnoteReference"/>
          <w:szCs w:val="22"/>
        </w:rPr>
        <w:footnoteReference w:id="2"/>
      </w:r>
      <w:r w:rsidRPr="00BE6A3A">
        <w:rPr>
          <w:sz w:val="22"/>
          <w:szCs w:val="22"/>
        </w:rPr>
        <w:t xml:space="preserve">  If an incumbent selects either Option 1 or Option 2 in the Initial Commitment System, it ultimate</w:t>
      </w:r>
      <w:bookmarkStart w:id="2" w:name="_GoBack"/>
      <w:bookmarkEnd w:id="2"/>
      <w:r w:rsidRPr="00BE6A3A">
        <w:rPr>
          <w:sz w:val="22"/>
          <w:szCs w:val="22"/>
        </w:rPr>
        <w:t>ly</w:t>
      </w:r>
      <w:r w:rsidRPr="00423A2C">
        <w:rPr>
          <w:sz w:val="22"/>
          <w:szCs w:val="22"/>
        </w:rPr>
        <w:t xml:space="preserve"> </w:t>
      </w:r>
      <w:r w:rsidRPr="00BE6A3A">
        <w:rPr>
          <w:sz w:val="22"/>
          <w:szCs w:val="22"/>
        </w:rPr>
        <w:t xml:space="preserve">will receive modified licenses that reflect </w:t>
      </w:r>
      <w:r w:rsidRPr="00AE1270">
        <w:rPr>
          <w:sz w:val="22"/>
          <w:szCs w:val="22"/>
        </w:rPr>
        <w:t>these reconfiguration processes</w:t>
      </w:r>
      <w:r w:rsidRPr="00BE6A3A">
        <w:rPr>
          <w:sz w:val="22"/>
          <w:szCs w:val="22"/>
        </w:rPr>
        <w:t xml:space="preserve">. </w:t>
      </w:r>
      <w:r w:rsidRPr="00AE1270">
        <w:rPr>
          <w:sz w:val="22"/>
          <w:szCs w:val="22"/>
        </w:rPr>
        <w:t xml:space="preserve"> </w:t>
      </w:r>
    </w:p>
    <w:p w:rsidR="00876512" w:rsidRPr="00804C98" w:rsidP="00876512" w14:paraId="7F14D850" w14:textId="77777777">
      <w:pPr>
        <w:pStyle w:val="p1"/>
        <w:rPr>
          <w:sz w:val="22"/>
          <w:szCs w:val="22"/>
        </w:rPr>
      </w:pPr>
      <w:r w:rsidRPr="00804C98">
        <w:rPr>
          <w:sz w:val="22"/>
          <w:szCs w:val="22"/>
        </w:rPr>
        <w:t xml:space="preserve">There are three main steps to the process: </w:t>
      </w:r>
    </w:p>
    <w:p w:rsidR="00876512" w:rsidRPr="00804C98" w:rsidP="00876512" w14:paraId="5DBB763D" w14:textId="64CB8ECD">
      <w:pPr>
        <w:pStyle w:val="p1"/>
        <w:ind w:left="1440" w:hanging="720"/>
        <w:rPr>
          <w:sz w:val="22"/>
          <w:szCs w:val="22"/>
        </w:rPr>
      </w:pPr>
      <w:r w:rsidRPr="00804C98">
        <w:rPr>
          <w:sz w:val="22"/>
          <w:szCs w:val="22"/>
        </w:rPr>
        <w:t>1.</w:t>
      </w:r>
      <w:r w:rsidRPr="00804C98">
        <w:rPr>
          <w:sz w:val="22"/>
          <w:szCs w:val="22"/>
        </w:rPr>
        <w:tab/>
        <w:t xml:space="preserve">For each incumbent with 39 GHz licenses, </w:t>
      </w:r>
      <w:r>
        <w:rPr>
          <w:sz w:val="22"/>
          <w:szCs w:val="22"/>
        </w:rPr>
        <w:t xml:space="preserve">identify </w:t>
      </w:r>
      <w:r w:rsidRPr="00804C98">
        <w:rPr>
          <w:sz w:val="22"/>
          <w:szCs w:val="22"/>
        </w:rPr>
        <w:t xml:space="preserve">the PEA or PEAs where it currently has holdings and </w:t>
      </w:r>
      <w:r>
        <w:rPr>
          <w:sz w:val="22"/>
          <w:szCs w:val="22"/>
        </w:rPr>
        <w:t xml:space="preserve">determine </w:t>
      </w:r>
      <w:r w:rsidRPr="00804C98">
        <w:rPr>
          <w:sz w:val="22"/>
          <w:szCs w:val="22"/>
        </w:rPr>
        <w:t xml:space="preserve">the total holdings within </w:t>
      </w:r>
      <w:r>
        <w:rPr>
          <w:sz w:val="22"/>
          <w:szCs w:val="22"/>
        </w:rPr>
        <w:t xml:space="preserve">each </w:t>
      </w:r>
      <w:r w:rsidRPr="00804C98">
        <w:rPr>
          <w:sz w:val="22"/>
          <w:szCs w:val="22"/>
        </w:rPr>
        <w:t xml:space="preserve">PEA. (Section </w:t>
      </w:r>
      <w:r w:rsidR="00DB02CF">
        <w:rPr>
          <w:sz w:val="22"/>
          <w:szCs w:val="22"/>
        </w:rPr>
        <w:t>2</w:t>
      </w:r>
      <w:r w:rsidRPr="00804C98">
        <w:rPr>
          <w:sz w:val="22"/>
          <w:szCs w:val="22"/>
        </w:rPr>
        <w:t>)</w:t>
      </w:r>
    </w:p>
    <w:p w:rsidR="00876512" w:rsidRPr="00804C98" w:rsidP="00876512" w14:paraId="7BB3E1B1" w14:textId="70322B02">
      <w:pPr>
        <w:ind w:left="1440" w:hanging="720"/>
        <w:rPr>
          <w:szCs w:val="22"/>
        </w:rPr>
      </w:pPr>
      <w:r w:rsidRPr="00804C98">
        <w:rPr>
          <w:szCs w:val="22"/>
        </w:rPr>
        <w:t>2.</w:t>
      </w:r>
      <w:r w:rsidRPr="00804C98">
        <w:rPr>
          <w:szCs w:val="22"/>
        </w:rPr>
        <w:tab/>
        <w:t>For each incumbent, determin</w:t>
      </w:r>
      <w:r>
        <w:rPr>
          <w:szCs w:val="22"/>
        </w:rPr>
        <w:t>e</w:t>
      </w:r>
      <w:r w:rsidRPr="00804C98">
        <w:rPr>
          <w:szCs w:val="22"/>
        </w:rPr>
        <w:t xml:space="preserve"> the reconfiguration whereby the FCC combines an incumbent’s partial block holdings into full 100 megahertz PEA spectrum blocks and at most one partial PEA block. (Section </w:t>
      </w:r>
      <w:r w:rsidR="00DB02CF">
        <w:rPr>
          <w:szCs w:val="22"/>
        </w:rPr>
        <w:t>3</w:t>
      </w:r>
      <w:r w:rsidRPr="00804C98">
        <w:rPr>
          <w:szCs w:val="22"/>
        </w:rPr>
        <w:t>)</w:t>
      </w:r>
    </w:p>
    <w:p w:rsidR="00876512" w:rsidRPr="00DB02CF" w:rsidP="00876512" w14:paraId="3EE633D8" w14:textId="1A9027E7">
      <w:pPr>
        <w:ind w:left="1440" w:hanging="720"/>
      </w:pPr>
      <w:r w:rsidRPr="00804C98">
        <w:rPr>
          <w:szCs w:val="22"/>
        </w:rPr>
        <w:t>3.</w:t>
      </w:r>
      <w:r w:rsidRPr="00804C98">
        <w:rPr>
          <w:szCs w:val="22"/>
        </w:rPr>
        <w:tab/>
        <w:t>For each incumbent that chooses to retain a single partial PEA block, determin</w:t>
      </w:r>
      <w:r>
        <w:rPr>
          <w:szCs w:val="22"/>
        </w:rPr>
        <w:t>e</w:t>
      </w:r>
      <w:r w:rsidRPr="00804C98">
        <w:rPr>
          <w:szCs w:val="22"/>
        </w:rPr>
        <w:t xml:space="preserve"> the geographic area within the PEA that will constitute the geographic boundaries of the partial PEA block that will result in a modified license. (Section </w:t>
      </w:r>
      <w:r w:rsidR="00DB02CF">
        <w:rPr>
          <w:szCs w:val="22"/>
        </w:rPr>
        <w:t>4</w:t>
      </w:r>
      <w:r w:rsidRPr="00804C98">
        <w:rPr>
          <w:szCs w:val="22"/>
        </w:rPr>
        <w:t>)</w:t>
      </w:r>
    </w:p>
    <w:p w:rsidR="0063312C" w:rsidP="00831878" w14:paraId="2834ED06" w14:textId="2BBE6A0F">
      <w:pPr>
        <w:pStyle w:val="AttachmentHeading3"/>
        <w:numPr>
          <w:ilvl w:val="2"/>
          <w:numId w:val="3"/>
        </w:numPr>
        <w:contextualSpacing/>
        <w:rPr>
          <w:rFonts w:hint="eastAsia"/>
        </w:rPr>
      </w:pPr>
      <w:r w:rsidRPr="00876512">
        <w:t xml:space="preserve">Determining </w:t>
      </w:r>
      <w:r>
        <w:t>E</w:t>
      </w:r>
      <w:r w:rsidRPr="00876512">
        <w:t xml:space="preserve">xisting </w:t>
      </w:r>
      <w:r>
        <w:t>H</w:t>
      </w:r>
      <w:r w:rsidRPr="00876512">
        <w:t xml:space="preserve">oldings for </w:t>
      </w:r>
      <w:r>
        <w:t>E</w:t>
      </w:r>
      <w:r w:rsidRPr="00876512">
        <w:t xml:space="preserve">ach </w:t>
      </w:r>
      <w:r>
        <w:t>L</w:t>
      </w:r>
      <w:r w:rsidRPr="00876512">
        <w:t xml:space="preserve">icensee in </w:t>
      </w:r>
      <w:r>
        <w:t>E</w:t>
      </w:r>
      <w:r w:rsidRPr="00876512">
        <w:t>ach PEA</w:t>
      </w:r>
    </w:p>
    <w:p w:rsidR="001D0AE1" w:rsidP="00CB5103" w14:paraId="2787F7F3" w14:textId="154CE877">
      <w:pPr>
        <w:spacing w:after="240"/>
        <w:rPr>
          <w:szCs w:val="22"/>
        </w:rPr>
      </w:pPr>
      <w:r w:rsidRPr="00804C98">
        <w:rPr>
          <w:szCs w:val="22"/>
        </w:rPr>
        <w:t xml:space="preserve">We </w:t>
      </w:r>
      <w:r w:rsidR="00A2094D">
        <w:rPr>
          <w:szCs w:val="22"/>
        </w:rPr>
        <w:t xml:space="preserve">will </w:t>
      </w:r>
      <w:r w:rsidRPr="00804C98">
        <w:rPr>
          <w:szCs w:val="22"/>
        </w:rPr>
        <w:t>determine an incumbent’s holdings by identifying how many two</w:t>
      </w:r>
      <w:r w:rsidR="00FB0CC6">
        <w:rPr>
          <w:szCs w:val="22"/>
        </w:rPr>
        <w:t>-</w:t>
      </w:r>
      <w:r w:rsidRPr="00804C98">
        <w:rPr>
          <w:szCs w:val="22"/>
        </w:rPr>
        <w:t>kilometer by two</w:t>
      </w:r>
      <w:r w:rsidR="00FB0CC6">
        <w:rPr>
          <w:szCs w:val="22"/>
        </w:rPr>
        <w:t>-</w:t>
      </w:r>
      <w:r w:rsidRPr="00804C98">
        <w:rPr>
          <w:szCs w:val="22"/>
        </w:rPr>
        <w:t>kilometer (2x2</w:t>
      </w:r>
      <w:r w:rsidR="00FB0CC6">
        <w:rPr>
          <w:szCs w:val="22"/>
        </w:rPr>
        <w:t> </w:t>
      </w:r>
      <w:r w:rsidRPr="00804C98">
        <w:rPr>
          <w:szCs w:val="22"/>
        </w:rPr>
        <w:t xml:space="preserve">km) grid cells are contained within an existing license. </w:t>
      </w:r>
      <w:r w:rsidR="00A2094D">
        <w:rPr>
          <w:szCs w:val="22"/>
        </w:rPr>
        <w:t>In particular, we describe below t</w:t>
      </w:r>
      <w:r w:rsidRPr="00804C98">
        <w:rPr>
          <w:szCs w:val="22"/>
        </w:rPr>
        <w:t xml:space="preserve">he process </w:t>
      </w:r>
      <w:r w:rsidR="00A2094D">
        <w:rPr>
          <w:szCs w:val="22"/>
        </w:rPr>
        <w:t>we will use</w:t>
      </w:r>
      <w:r w:rsidRPr="00804C98" w:rsidR="00A2094D">
        <w:rPr>
          <w:szCs w:val="22"/>
        </w:rPr>
        <w:t xml:space="preserve"> </w:t>
      </w:r>
      <w:r w:rsidR="00A2094D">
        <w:rPr>
          <w:szCs w:val="22"/>
        </w:rPr>
        <w:t>for creating</w:t>
      </w:r>
      <w:r w:rsidRPr="00804C98" w:rsidR="00A2094D">
        <w:rPr>
          <w:szCs w:val="22"/>
        </w:rPr>
        <w:t xml:space="preserve"> </w:t>
      </w:r>
      <w:r w:rsidRPr="00804C98">
        <w:rPr>
          <w:szCs w:val="22"/>
        </w:rPr>
        <w:t>the 2x2</w:t>
      </w:r>
      <w:r w:rsidR="00FB0CC6">
        <w:rPr>
          <w:szCs w:val="22"/>
        </w:rPr>
        <w:t> </w:t>
      </w:r>
      <w:r w:rsidRPr="00804C98">
        <w:rPr>
          <w:szCs w:val="22"/>
        </w:rPr>
        <w:t xml:space="preserve">km uniform grid, </w:t>
      </w:r>
      <w:r w:rsidR="00A2094D">
        <w:rPr>
          <w:szCs w:val="22"/>
        </w:rPr>
        <w:t xml:space="preserve">for calculating </w:t>
      </w:r>
      <w:r w:rsidRPr="00804C98">
        <w:rPr>
          <w:szCs w:val="22"/>
        </w:rPr>
        <w:t xml:space="preserve">each grid cell’s associated population-weighted internal point, and </w:t>
      </w:r>
      <w:r>
        <w:rPr>
          <w:szCs w:val="22"/>
        </w:rPr>
        <w:t xml:space="preserve">for associating </w:t>
      </w:r>
      <w:r w:rsidRPr="00804C98">
        <w:rPr>
          <w:szCs w:val="22"/>
        </w:rPr>
        <w:t xml:space="preserve">a grid cell with a license.  This process is based upon the methodology used by the Commission’s </w:t>
      </w:r>
      <w:r w:rsidRPr="00804C98">
        <w:rPr>
          <w:i/>
          <w:szCs w:val="22"/>
        </w:rPr>
        <w:t>TVStudy</w:t>
      </w:r>
      <w:r w:rsidRPr="00804C98">
        <w:rPr>
          <w:szCs w:val="22"/>
        </w:rPr>
        <w:t xml:space="preserve"> software to measure station-to-station and Inter-service Interference (ISIX) during the </w:t>
      </w:r>
      <w:r w:rsidR="00713A49">
        <w:rPr>
          <w:szCs w:val="22"/>
        </w:rPr>
        <w:t>b</w:t>
      </w:r>
      <w:r w:rsidRPr="00804C98" w:rsidR="00713A49">
        <w:rPr>
          <w:szCs w:val="22"/>
        </w:rPr>
        <w:t xml:space="preserve">roadcast </w:t>
      </w:r>
      <w:r w:rsidR="00713A49">
        <w:rPr>
          <w:szCs w:val="22"/>
        </w:rPr>
        <w:t>i</w:t>
      </w:r>
      <w:r w:rsidRPr="00804C98" w:rsidR="00713A49">
        <w:rPr>
          <w:szCs w:val="22"/>
        </w:rPr>
        <w:t xml:space="preserve">ncentive </w:t>
      </w:r>
      <w:r w:rsidR="00713A49">
        <w:rPr>
          <w:szCs w:val="22"/>
        </w:rPr>
        <w:t>a</w:t>
      </w:r>
      <w:r w:rsidRPr="00804C98" w:rsidR="00713A49">
        <w:rPr>
          <w:szCs w:val="22"/>
        </w:rPr>
        <w:t>uction</w:t>
      </w:r>
      <w:r>
        <w:rPr>
          <w:rStyle w:val="FootnoteReference"/>
          <w:szCs w:val="22"/>
        </w:rPr>
        <w:footnoteReference w:id="3"/>
      </w:r>
      <w:r>
        <w:rPr>
          <w:szCs w:val="22"/>
        </w:rPr>
        <w:t xml:space="preserve"> with certain adjustments.</w:t>
      </w:r>
    </w:p>
    <w:p w:rsidR="00876512" w:rsidRPr="00AE1270" w:rsidP="00CB5103" w14:paraId="11DD5754" w14:textId="0B4FB00B">
      <w:pPr>
        <w:widowControl/>
        <w:spacing w:after="240"/>
      </w:pPr>
      <w:r w:rsidRPr="00804C98">
        <w:rPr>
          <w:szCs w:val="22"/>
        </w:rPr>
        <w:t xml:space="preserve">While the </w:t>
      </w:r>
      <w:r w:rsidRPr="00804C98">
        <w:rPr>
          <w:i/>
          <w:szCs w:val="22"/>
        </w:rPr>
        <w:t>TVStudy</w:t>
      </w:r>
      <w:r w:rsidRPr="00804C98">
        <w:rPr>
          <w:szCs w:val="22"/>
        </w:rPr>
        <w:t xml:space="preserve"> software calculated a global 2x2</w:t>
      </w:r>
      <w:r w:rsidR="009745FC">
        <w:rPr>
          <w:szCs w:val="22"/>
        </w:rPr>
        <w:t> </w:t>
      </w:r>
      <w:r w:rsidRPr="00804C98">
        <w:rPr>
          <w:szCs w:val="22"/>
        </w:rPr>
        <w:t xml:space="preserve">km grid, in order to minimize areal distortion as the algorithm moves away from the equator, the </w:t>
      </w:r>
      <w:r w:rsidRPr="00804C98">
        <w:rPr>
          <w:i/>
          <w:szCs w:val="22"/>
        </w:rPr>
        <w:t>TVStudy</w:t>
      </w:r>
      <w:r w:rsidRPr="00804C98">
        <w:rPr>
          <w:szCs w:val="22"/>
        </w:rPr>
        <w:t xml:space="preserve"> algorithm varied the width of each cell across bands of latitude.</w:t>
      </w:r>
      <w:r>
        <w:rPr>
          <w:rStyle w:val="FootnoteReference"/>
          <w:szCs w:val="22"/>
        </w:rPr>
        <w:footnoteReference w:id="4"/>
      </w:r>
      <w:r w:rsidRPr="00BE6A3A">
        <w:rPr>
          <w:szCs w:val="22"/>
        </w:rPr>
        <w:t xml:space="preserve">  As a result, that </w:t>
      </w:r>
      <w:r w:rsidR="00752D85">
        <w:rPr>
          <w:szCs w:val="22"/>
        </w:rPr>
        <w:t>software</w:t>
      </w:r>
      <w:r w:rsidRPr="00BE6A3A" w:rsidR="00752D85">
        <w:rPr>
          <w:szCs w:val="22"/>
        </w:rPr>
        <w:t xml:space="preserve"> </w:t>
      </w:r>
      <w:r w:rsidRPr="00BE6A3A">
        <w:rPr>
          <w:szCs w:val="22"/>
        </w:rPr>
        <w:t>does not necessarily result in consistently sized and shaped grid cells.</w:t>
      </w:r>
      <w:r w:rsidR="009745FC">
        <w:rPr>
          <w:szCs w:val="22"/>
        </w:rPr>
        <w:t xml:space="preserve"> </w:t>
      </w:r>
      <w:r w:rsidR="001D0AE1">
        <w:rPr>
          <w:szCs w:val="22"/>
        </w:rPr>
        <w:t xml:space="preserve"> </w:t>
      </w:r>
      <w:r w:rsidRPr="00804C98">
        <w:t>In contrast, the process detailed below first generates a uniform grid with 2x2</w:t>
      </w:r>
      <w:r w:rsidR="009745FC">
        <w:t> </w:t>
      </w:r>
      <w:r w:rsidRPr="00804C98">
        <w:t>km cells for each contiguous part of the United States using locally-appropriate equal area map projections.</w:t>
      </w:r>
      <w:r w:rsidRPr="00BE6A3A">
        <w:t xml:space="preserve">  Since the reconfiguration methodology analyzes the </w:t>
      </w:r>
      <w:r w:rsidRPr="00AE1270">
        <w:t>MHz-pops of each license on a per-PEA basis, the appropriate 2x2</w:t>
      </w:r>
      <w:r w:rsidR="009745FC">
        <w:t> </w:t>
      </w:r>
      <w:r w:rsidRPr="00AE1270">
        <w:t xml:space="preserve">km uniform grid is then overlaid on the GIS boundary data of each PEA.  For each grid cell in the PEA, a single population-weighted “internal point” (i.e., a point that falls within the grid cell geometry) is </w:t>
      </w:r>
      <w:r w:rsidRPr="00AE1270">
        <w:t xml:space="preserve">calculated </w:t>
      </w:r>
      <w:r w:rsidR="00C50DB8">
        <w:t xml:space="preserve">from the U.S. Census Bureau’s 2010 data </w:t>
      </w:r>
      <w:r w:rsidRPr="00AE1270">
        <w:t xml:space="preserve">using the same </w:t>
      </w:r>
      <w:r w:rsidR="00C50DB8">
        <w:t>methodology employed</w:t>
      </w:r>
      <w:r w:rsidRPr="00AE1270" w:rsidR="00C50DB8">
        <w:t xml:space="preserve"> </w:t>
      </w:r>
      <w:r w:rsidRPr="00AE1270">
        <w:t xml:space="preserve">by the </w:t>
      </w:r>
      <w:r w:rsidRPr="00AE1270">
        <w:rPr>
          <w:i/>
        </w:rPr>
        <w:t>TVStudy</w:t>
      </w:r>
      <w:r w:rsidRPr="00AE1270">
        <w:t xml:space="preserve"> software.</w:t>
      </w:r>
      <w:r>
        <w:rPr>
          <w:rStyle w:val="FootnoteReference"/>
          <w:szCs w:val="22"/>
        </w:rPr>
        <w:footnoteReference w:id="5"/>
      </w:r>
    </w:p>
    <w:p w:rsidR="00876512" w:rsidRPr="00804C98" w:rsidP="00831878" w14:paraId="0E78E7B9" w14:textId="265D0A17">
      <w:pPr>
        <w:pStyle w:val="p1"/>
        <w:spacing w:before="240" w:after="240"/>
        <w:rPr>
          <w:i/>
          <w:sz w:val="22"/>
          <w:szCs w:val="22"/>
        </w:rPr>
      </w:pPr>
      <w:r w:rsidRPr="00804C98">
        <w:rPr>
          <w:i/>
          <w:sz w:val="22"/>
          <w:szCs w:val="22"/>
        </w:rPr>
        <w:t>Creating the 2x2</w:t>
      </w:r>
      <w:r w:rsidR="00D827C2">
        <w:rPr>
          <w:i/>
          <w:sz w:val="22"/>
          <w:szCs w:val="22"/>
        </w:rPr>
        <w:t> </w:t>
      </w:r>
      <w:r w:rsidRPr="00804C98">
        <w:rPr>
          <w:i/>
          <w:sz w:val="22"/>
          <w:szCs w:val="22"/>
        </w:rPr>
        <w:t>km Uniform Grid</w:t>
      </w:r>
    </w:p>
    <w:p w:rsidR="00876512" w:rsidRPr="00BE6A3A" w:rsidP="00876512" w14:paraId="4F5E5E47" w14:textId="392D56A0">
      <w:pPr>
        <w:pStyle w:val="p1"/>
        <w:spacing w:after="240"/>
        <w:rPr>
          <w:sz w:val="22"/>
          <w:szCs w:val="22"/>
        </w:rPr>
      </w:pPr>
      <w:r w:rsidRPr="00804C98">
        <w:rPr>
          <w:sz w:val="22"/>
          <w:szCs w:val="22"/>
        </w:rPr>
        <w:t>For each contiguous area of the United States (comprised of one or more PEAs), a uniform grid with cells of equal area (2</w:t>
      </w:r>
      <w:r w:rsidR="00C50DB8">
        <w:rPr>
          <w:sz w:val="22"/>
          <w:szCs w:val="22"/>
        </w:rPr>
        <w:t>x</w:t>
      </w:r>
      <w:r w:rsidRPr="00804C98">
        <w:rPr>
          <w:sz w:val="22"/>
          <w:szCs w:val="22"/>
        </w:rPr>
        <w:t>2</w:t>
      </w:r>
      <w:r w:rsidR="00D827C2">
        <w:rPr>
          <w:sz w:val="22"/>
          <w:szCs w:val="22"/>
        </w:rPr>
        <w:t> </w:t>
      </w:r>
      <w:r w:rsidRPr="00804C98">
        <w:rPr>
          <w:sz w:val="22"/>
          <w:szCs w:val="22"/>
        </w:rPr>
        <w:t>km) is generated, resulting in separate grids for the continental United States, Alaska, Hawaii, American Samoa, and Guam and the Northern Mariana Islands.  Each grid is defined using an “equal area” map projection so that the area contained within a single grid cell remains consistent regardless of the location of the grid cell.</w:t>
      </w:r>
      <w:r>
        <w:rPr>
          <w:rStyle w:val="FootnoteReference"/>
          <w:sz w:val="22"/>
          <w:szCs w:val="22"/>
        </w:rPr>
        <w:footnoteReference w:id="6"/>
      </w:r>
      <w:r w:rsidRPr="00BE6A3A">
        <w:rPr>
          <w:sz w:val="22"/>
          <w:szCs w:val="22"/>
        </w:rPr>
        <w:t xml:space="preserve">  With equal area projections, cells may appear to have a non-uniform shape when viewed using a different map projection, depending on the grid cell’s location on the earth.</w:t>
      </w:r>
      <w:r>
        <w:rPr>
          <w:rStyle w:val="FootnoteReference"/>
          <w:sz w:val="22"/>
          <w:szCs w:val="22"/>
        </w:rPr>
        <w:footnoteReference w:id="7"/>
      </w:r>
      <w:r w:rsidR="00C50DB8">
        <w:rPr>
          <w:sz w:val="22"/>
          <w:szCs w:val="22"/>
        </w:rPr>
        <w:t xml:space="preserve"> </w:t>
      </w:r>
      <w:r w:rsidR="00CE2C45">
        <w:rPr>
          <w:sz w:val="22"/>
          <w:szCs w:val="22"/>
        </w:rPr>
        <w:t xml:space="preserve"> </w:t>
      </w:r>
      <w:r w:rsidR="00C50DB8">
        <w:rPr>
          <w:sz w:val="22"/>
          <w:szCs w:val="22"/>
        </w:rPr>
        <w:t>The boundaries of each PEA are then overlaid with the appropriate uniform grid to establish the set of 2x2 km grid cells contained within the PEA.  In the case where a 2x2 km grid cell is intersected with the boundary of more than one PEA, this process results in a partial grid cell associated with each intersecting PEA.</w:t>
      </w:r>
    </w:p>
    <w:p w:rsidR="00876512" w:rsidRPr="00AE1270" w:rsidP="00831878" w14:paraId="72539ADD" w14:textId="77777777">
      <w:pPr>
        <w:pStyle w:val="p1"/>
        <w:spacing w:before="240" w:after="240"/>
        <w:rPr>
          <w:i/>
          <w:sz w:val="22"/>
          <w:szCs w:val="22"/>
        </w:rPr>
      </w:pPr>
      <w:r w:rsidRPr="00AE1270">
        <w:rPr>
          <w:i/>
          <w:sz w:val="22"/>
          <w:szCs w:val="22"/>
        </w:rPr>
        <w:t>Calculating the Internal Point for each 2x2 km Grid Cell</w:t>
      </w:r>
    </w:p>
    <w:p w:rsidR="00876512" w:rsidRPr="00804C98" w:rsidP="00862C08" w14:paraId="0C68FEA8" w14:textId="1E16241A">
      <w:pPr>
        <w:pStyle w:val="p1"/>
        <w:spacing w:after="240"/>
        <w:rPr>
          <w:sz w:val="22"/>
          <w:szCs w:val="22"/>
        </w:rPr>
      </w:pPr>
      <w:r w:rsidRPr="00AE1270">
        <w:rPr>
          <w:sz w:val="22"/>
          <w:szCs w:val="22"/>
        </w:rPr>
        <w:t>Using population data for each census block from the 2010 U.S. Census dataset,</w:t>
      </w:r>
      <w:r w:rsidRPr="001D0AE1" w:rsidR="001D0AE1">
        <w:rPr>
          <w:rStyle w:val="FootnoteReference"/>
          <w:sz w:val="22"/>
          <w:szCs w:val="22"/>
        </w:rPr>
        <w:t xml:space="preserve"> </w:t>
      </w:r>
      <w:r>
        <w:rPr>
          <w:rStyle w:val="FootnoteReference"/>
          <w:sz w:val="22"/>
          <w:szCs w:val="22"/>
        </w:rPr>
        <w:footnoteReference w:id="8"/>
      </w:r>
      <w:r w:rsidRPr="00AE1270">
        <w:rPr>
          <w:sz w:val="22"/>
          <w:szCs w:val="22"/>
        </w:rPr>
        <w:t xml:space="preserve"> the “internal point” for each census block </w:t>
      </w:r>
      <w:r w:rsidR="00C50DB8">
        <w:rPr>
          <w:sz w:val="22"/>
          <w:szCs w:val="22"/>
        </w:rPr>
        <w:t xml:space="preserve">(a “census point”) </w:t>
      </w:r>
      <w:r w:rsidRPr="00AE1270">
        <w:rPr>
          <w:sz w:val="22"/>
          <w:szCs w:val="22"/>
        </w:rPr>
        <w:t xml:space="preserve">is overlaid with the </w:t>
      </w:r>
      <w:r w:rsidRPr="00804C98">
        <w:rPr>
          <w:sz w:val="22"/>
          <w:szCs w:val="22"/>
        </w:rPr>
        <w:t>uniform grid</w:t>
      </w:r>
      <w:r w:rsidRPr="00C50DB8" w:rsidR="00C50DB8">
        <w:rPr>
          <w:sz w:val="22"/>
          <w:szCs w:val="22"/>
        </w:rPr>
        <w:t xml:space="preserve"> </w:t>
      </w:r>
      <w:r w:rsidR="00C50DB8">
        <w:rPr>
          <w:sz w:val="22"/>
          <w:szCs w:val="22"/>
        </w:rPr>
        <w:t>intersected</w:t>
      </w:r>
      <w:r w:rsidR="005B082F">
        <w:rPr>
          <w:sz w:val="22"/>
          <w:szCs w:val="22"/>
        </w:rPr>
        <w:t xml:space="preserve"> with the</w:t>
      </w:r>
      <w:r w:rsidR="00C50DB8">
        <w:rPr>
          <w:sz w:val="22"/>
          <w:szCs w:val="22"/>
        </w:rPr>
        <w:t xml:space="preserve"> PEA boundaries calculated above</w:t>
      </w:r>
      <w:r w:rsidRPr="00804C98" w:rsidR="00C50DB8">
        <w:rPr>
          <w:sz w:val="22"/>
          <w:szCs w:val="22"/>
        </w:rPr>
        <w:t>.</w:t>
      </w:r>
      <w:r>
        <w:rPr>
          <w:rStyle w:val="FootnoteReference"/>
          <w:sz w:val="22"/>
          <w:szCs w:val="22"/>
        </w:rPr>
        <w:footnoteReference w:id="9"/>
      </w:r>
      <w:r w:rsidRPr="00804C98" w:rsidR="00C50DB8">
        <w:rPr>
          <w:sz w:val="22"/>
          <w:szCs w:val="22"/>
        </w:rPr>
        <w:t xml:space="preserve">  </w:t>
      </w:r>
      <w:r w:rsidRPr="00804C98">
        <w:rPr>
          <w:sz w:val="22"/>
          <w:szCs w:val="22"/>
        </w:rPr>
        <w:t>Th</w:t>
      </w:r>
      <w:r w:rsidR="006D0C88">
        <w:rPr>
          <w:sz w:val="22"/>
          <w:szCs w:val="22"/>
        </w:rPr>
        <w:t>e</w:t>
      </w:r>
      <w:r w:rsidRPr="00804C98">
        <w:rPr>
          <w:sz w:val="22"/>
          <w:szCs w:val="22"/>
        </w:rPr>
        <w:t xml:space="preserve"> </w:t>
      </w:r>
      <w:r w:rsidR="005B082F">
        <w:rPr>
          <w:sz w:val="22"/>
          <w:szCs w:val="22"/>
        </w:rPr>
        <w:t>algorithm</w:t>
      </w:r>
      <w:r w:rsidRPr="00804C98" w:rsidR="005B082F">
        <w:rPr>
          <w:sz w:val="22"/>
          <w:szCs w:val="22"/>
        </w:rPr>
        <w:t xml:space="preserve"> </w:t>
      </w:r>
      <w:r w:rsidRPr="00804C98">
        <w:rPr>
          <w:sz w:val="22"/>
          <w:szCs w:val="22"/>
        </w:rPr>
        <w:t>calculates from these points a single “population-weighted” internal point for each grid cell</w:t>
      </w:r>
      <w:r w:rsidR="005B082F">
        <w:rPr>
          <w:sz w:val="22"/>
          <w:szCs w:val="22"/>
        </w:rPr>
        <w:t xml:space="preserve"> within a PEA</w:t>
      </w:r>
      <w:r w:rsidRPr="00804C98">
        <w:rPr>
          <w:sz w:val="22"/>
          <w:szCs w:val="22"/>
        </w:rPr>
        <w:t xml:space="preserve">, which is considered to represent the entire population associated with that grid cell.  For grid cells in which no census points fall, an internal point with zero population is calculated at the grid cell’s </w:t>
      </w:r>
      <w:r w:rsidR="005B082F">
        <w:rPr>
          <w:sz w:val="22"/>
          <w:szCs w:val="22"/>
        </w:rPr>
        <w:t>geometric center (“</w:t>
      </w:r>
      <w:r w:rsidRPr="00804C98">
        <w:rPr>
          <w:sz w:val="22"/>
          <w:szCs w:val="22"/>
        </w:rPr>
        <w:t>centroid</w:t>
      </w:r>
      <w:r w:rsidR="005B082F">
        <w:rPr>
          <w:sz w:val="22"/>
          <w:szCs w:val="22"/>
        </w:rPr>
        <w:t>”),</w:t>
      </w:r>
      <w:r w:rsidRPr="00804C98">
        <w:rPr>
          <w:sz w:val="22"/>
          <w:szCs w:val="22"/>
        </w:rPr>
        <w:t xml:space="preserve"> or, if the centroid falls outside of the grid cell, the nearest point</w:t>
      </w:r>
      <w:r w:rsidR="005B082F">
        <w:rPr>
          <w:sz w:val="22"/>
          <w:szCs w:val="22"/>
        </w:rPr>
        <w:t xml:space="preserve"> to the centroid</w:t>
      </w:r>
      <w:r w:rsidRPr="00804C98">
        <w:rPr>
          <w:sz w:val="22"/>
          <w:szCs w:val="22"/>
        </w:rPr>
        <w:t xml:space="preserve"> that falls within the </w:t>
      </w:r>
      <w:r w:rsidR="005B082F">
        <w:rPr>
          <w:sz w:val="22"/>
          <w:szCs w:val="22"/>
        </w:rPr>
        <w:t>geometry</w:t>
      </w:r>
      <w:r w:rsidRPr="00804C98">
        <w:rPr>
          <w:sz w:val="22"/>
          <w:szCs w:val="22"/>
        </w:rPr>
        <w:t>.  For grid cells in which a single census point falls, that point becomes the “population-weighted” internal point for the grid cell.</w:t>
      </w:r>
    </w:p>
    <w:p w:rsidR="00876512" w:rsidRPr="00804C98" w:rsidP="00862C08" w14:paraId="32FE3BF0" w14:textId="5273B1B7">
      <w:pPr>
        <w:spacing w:after="240"/>
        <w:rPr>
          <w:szCs w:val="22"/>
        </w:rPr>
      </w:pPr>
      <w:r w:rsidRPr="00804C98">
        <w:rPr>
          <w:szCs w:val="22"/>
        </w:rPr>
        <w:t>For grid cells in which more than one census point falls, a population-weighted average internal point is calculated.  Specifically, for each census point, the algorithm multipl</w:t>
      </w:r>
      <w:r>
        <w:rPr>
          <w:szCs w:val="22"/>
        </w:rPr>
        <w:t>i</w:t>
      </w:r>
      <w:r w:rsidRPr="00804C98">
        <w:rPr>
          <w:szCs w:val="22"/>
        </w:rPr>
        <w:t>es the population</w:t>
      </w:r>
      <w:r w:rsidRPr="005B082F" w:rsidR="005B082F">
        <w:rPr>
          <w:szCs w:val="22"/>
        </w:rPr>
        <w:t xml:space="preserve"> </w:t>
      </w:r>
      <w:r w:rsidR="005B082F">
        <w:rPr>
          <w:szCs w:val="22"/>
        </w:rPr>
        <w:t>associated with that point</w:t>
      </w:r>
      <w:r w:rsidRPr="00804C98">
        <w:rPr>
          <w:szCs w:val="22"/>
        </w:rPr>
        <w:t xml:space="preserve"> by </w:t>
      </w:r>
      <w:r w:rsidR="005B082F">
        <w:rPr>
          <w:szCs w:val="22"/>
        </w:rPr>
        <w:t>its</w:t>
      </w:r>
      <w:r w:rsidRPr="00804C98" w:rsidR="005B082F">
        <w:rPr>
          <w:szCs w:val="22"/>
        </w:rPr>
        <w:t xml:space="preserve"> </w:t>
      </w:r>
      <w:r w:rsidRPr="00804C98">
        <w:rPr>
          <w:szCs w:val="22"/>
        </w:rPr>
        <w:t xml:space="preserve">latitude and separately by </w:t>
      </w:r>
      <w:r w:rsidR="005B082F">
        <w:rPr>
          <w:szCs w:val="22"/>
        </w:rPr>
        <w:t>its</w:t>
      </w:r>
      <w:r w:rsidRPr="00804C98" w:rsidR="005B082F">
        <w:rPr>
          <w:szCs w:val="22"/>
        </w:rPr>
        <w:t xml:space="preserve"> </w:t>
      </w:r>
      <w:r w:rsidRPr="00804C98">
        <w:rPr>
          <w:szCs w:val="22"/>
        </w:rPr>
        <w:t>longitude.  Next, the algorithm sums the population-</w:t>
      </w:r>
      <w:r w:rsidRPr="00804C98">
        <w:rPr>
          <w:szCs w:val="22"/>
        </w:rPr>
        <w:t xml:space="preserve">weighted latitude (and population-weighted longitude) </w:t>
      </w:r>
      <w:r w:rsidR="006E5079">
        <w:rPr>
          <w:szCs w:val="22"/>
        </w:rPr>
        <w:t xml:space="preserve">values </w:t>
      </w:r>
      <w:r w:rsidRPr="00804C98">
        <w:rPr>
          <w:szCs w:val="22"/>
        </w:rPr>
        <w:t>across all census points</w:t>
      </w:r>
      <w:r w:rsidRPr="005B082F" w:rsidR="005B082F">
        <w:rPr>
          <w:szCs w:val="22"/>
        </w:rPr>
        <w:t xml:space="preserve"> </w:t>
      </w:r>
      <w:r w:rsidR="005B082F">
        <w:rPr>
          <w:szCs w:val="22"/>
        </w:rPr>
        <w:t>that fall within the grid cell</w:t>
      </w:r>
      <w:r w:rsidRPr="00804C98">
        <w:rPr>
          <w:szCs w:val="22"/>
        </w:rPr>
        <w:t xml:space="preserve">.  The summed population-weighted latitude (and population-weighted longitude) is then divided by the sum of the population of all census points within the grid cell.  The point located at the resulting latitude and longitude (or, if the </w:t>
      </w:r>
      <w:r w:rsidR="005B082F">
        <w:rPr>
          <w:szCs w:val="22"/>
        </w:rPr>
        <w:t xml:space="preserve">calculated </w:t>
      </w:r>
      <w:r w:rsidRPr="00804C98">
        <w:rPr>
          <w:szCs w:val="22"/>
        </w:rPr>
        <w:t>point falls outside of the grid cell</w:t>
      </w:r>
      <w:r w:rsidR="005B082F">
        <w:rPr>
          <w:szCs w:val="22"/>
        </w:rPr>
        <w:t>’s geometry</w:t>
      </w:r>
      <w:r w:rsidRPr="00804C98">
        <w:rPr>
          <w:szCs w:val="22"/>
        </w:rPr>
        <w:t xml:space="preserve">, the nearest point that falls within the </w:t>
      </w:r>
      <w:r w:rsidR="005B082F">
        <w:rPr>
          <w:szCs w:val="22"/>
        </w:rPr>
        <w:t>geometry</w:t>
      </w:r>
      <w:r w:rsidRPr="00804C98">
        <w:rPr>
          <w:szCs w:val="22"/>
        </w:rPr>
        <w:t>) is thus considered to represent the population-weighted internal point for that grid cell.</w:t>
      </w:r>
    </w:p>
    <w:p w:rsidR="00876512" w:rsidRPr="00804C98" w:rsidP="00831878" w14:paraId="79770FAC" w14:textId="77777777">
      <w:pPr>
        <w:pStyle w:val="p1"/>
        <w:spacing w:before="240" w:after="240"/>
        <w:rPr>
          <w:i/>
          <w:sz w:val="22"/>
          <w:szCs w:val="22"/>
        </w:rPr>
      </w:pPr>
      <w:r w:rsidRPr="00804C98">
        <w:rPr>
          <w:i/>
          <w:sz w:val="22"/>
          <w:szCs w:val="22"/>
        </w:rPr>
        <w:t>Determining an incumbent’s existing holdings</w:t>
      </w:r>
    </w:p>
    <w:p w:rsidR="00876512" w:rsidRPr="00804C98" w:rsidP="00862C08" w14:paraId="67A12621" w14:textId="2B00072D">
      <w:pPr>
        <w:pStyle w:val="p1"/>
        <w:spacing w:after="240"/>
        <w:rPr>
          <w:sz w:val="22"/>
          <w:szCs w:val="22"/>
        </w:rPr>
      </w:pPr>
      <w:r w:rsidRPr="00804C98">
        <w:rPr>
          <w:sz w:val="22"/>
          <w:szCs w:val="22"/>
        </w:rPr>
        <w:t xml:space="preserve">We determine holdings based on existing licenses as follows.  We first create </w:t>
      </w:r>
      <w:r w:rsidR="000972CB">
        <w:rPr>
          <w:sz w:val="22"/>
          <w:szCs w:val="22"/>
        </w:rPr>
        <w:t>GIS boundary data</w:t>
      </w:r>
      <w:r w:rsidRPr="00804C98">
        <w:rPr>
          <w:sz w:val="22"/>
          <w:szCs w:val="22"/>
        </w:rPr>
        <w:t xml:space="preserve"> for each license, using the PEA license data and the four corners of the RSA license data found in the Universal Licensing System.  </w:t>
      </w:r>
      <w:r w:rsidRPr="00804C98">
        <w:rPr>
          <w:rFonts w:eastAsia="Times New Roman"/>
          <w:sz w:val="22"/>
          <w:szCs w:val="22"/>
        </w:rPr>
        <w:t xml:space="preserve">A specific </w:t>
      </w:r>
      <w:r>
        <w:rPr>
          <w:rFonts w:eastAsia="Times New Roman"/>
          <w:sz w:val="22"/>
          <w:szCs w:val="22"/>
        </w:rPr>
        <w:t xml:space="preserve">grid </w:t>
      </w:r>
      <w:r w:rsidRPr="00804C98">
        <w:rPr>
          <w:rFonts w:eastAsia="Times New Roman"/>
          <w:sz w:val="22"/>
          <w:szCs w:val="22"/>
        </w:rPr>
        <w:t xml:space="preserve">cell is associated with a license if the </w:t>
      </w:r>
      <w:r w:rsidR="000972CB">
        <w:rPr>
          <w:rFonts w:eastAsia="Times New Roman"/>
          <w:sz w:val="22"/>
          <w:szCs w:val="22"/>
        </w:rPr>
        <w:t>boundary</w:t>
      </w:r>
      <w:r w:rsidRPr="00804C98">
        <w:rPr>
          <w:rFonts w:eastAsia="Times New Roman"/>
          <w:sz w:val="22"/>
          <w:szCs w:val="22"/>
        </w:rPr>
        <w:t xml:space="preserve"> for the license contains the internal point of that </w:t>
      </w:r>
      <w:r>
        <w:rPr>
          <w:rFonts w:eastAsia="Times New Roman"/>
          <w:sz w:val="22"/>
          <w:szCs w:val="22"/>
        </w:rPr>
        <w:t xml:space="preserve">grid </w:t>
      </w:r>
      <w:r w:rsidRPr="00804C98">
        <w:rPr>
          <w:rFonts w:eastAsia="Times New Roman"/>
          <w:sz w:val="22"/>
          <w:szCs w:val="22"/>
        </w:rPr>
        <w:t xml:space="preserve">cell.  </w:t>
      </w:r>
      <w:r w:rsidRPr="00804C98">
        <w:rPr>
          <w:sz w:val="22"/>
          <w:szCs w:val="22"/>
        </w:rPr>
        <w:t xml:space="preserve">For each of the incumbent’s licenses, we sum the population of all </w:t>
      </w:r>
      <w:r>
        <w:rPr>
          <w:sz w:val="22"/>
          <w:szCs w:val="22"/>
        </w:rPr>
        <w:t xml:space="preserve">grid </w:t>
      </w:r>
      <w:r w:rsidRPr="00804C98">
        <w:rPr>
          <w:sz w:val="22"/>
          <w:szCs w:val="22"/>
        </w:rPr>
        <w:t xml:space="preserve">cells associated with the license within a given PEA to determine the incumbent’s </w:t>
      </w:r>
      <w:r w:rsidRPr="00804C98">
        <w:rPr>
          <w:i/>
          <w:sz w:val="22"/>
          <w:szCs w:val="22"/>
        </w:rPr>
        <w:t xml:space="preserve">population coverage </w:t>
      </w:r>
      <w:r w:rsidRPr="00804C98">
        <w:rPr>
          <w:sz w:val="22"/>
          <w:szCs w:val="22"/>
        </w:rPr>
        <w:t xml:space="preserve">for that license in that PEA. </w:t>
      </w:r>
    </w:p>
    <w:p w:rsidR="00876512" w:rsidRPr="003B5CA8" w:rsidP="00862C08" w14:paraId="478D9257" w14:textId="54BA5397">
      <w:pPr>
        <w:spacing w:after="240"/>
        <w:rPr>
          <w:szCs w:val="22"/>
        </w:rPr>
      </w:pPr>
      <w:r w:rsidRPr="00804C98">
        <w:rPr>
          <w:szCs w:val="22"/>
        </w:rPr>
        <w:t xml:space="preserve">To obtain an incumbent’s total </w:t>
      </w:r>
      <w:r w:rsidRPr="00804C98">
        <w:rPr>
          <w:i/>
          <w:szCs w:val="22"/>
        </w:rPr>
        <w:t>covered</w:t>
      </w:r>
      <w:r w:rsidRPr="00804C98">
        <w:rPr>
          <w:szCs w:val="22"/>
        </w:rPr>
        <w:t xml:space="preserve"> </w:t>
      </w:r>
      <w:r w:rsidRPr="00804C98">
        <w:rPr>
          <w:i/>
          <w:szCs w:val="22"/>
        </w:rPr>
        <w:t>MHz-pops</w:t>
      </w:r>
      <w:r w:rsidRPr="00804C98">
        <w:rPr>
          <w:szCs w:val="22"/>
        </w:rPr>
        <w:t xml:space="preserve"> within a PEA, we sum over the incumbent’s licenses in the PEA, the </w:t>
      </w:r>
      <w:r w:rsidRPr="00804C98">
        <w:rPr>
          <w:i/>
          <w:szCs w:val="22"/>
        </w:rPr>
        <w:t>population coverage</w:t>
      </w:r>
      <w:r w:rsidRPr="00804C98">
        <w:rPr>
          <w:szCs w:val="22"/>
        </w:rPr>
        <w:t xml:space="preserve"> of each license multiplied by 50 MHz, the bandwidth allocated to each existing license. </w:t>
      </w:r>
      <w:r w:rsidR="0088686E">
        <w:rPr>
          <w:szCs w:val="22"/>
        </w:rPr>
        <w:t xml:space="preserve"> </w:t>
      </w:r>
      <w:r w:rsidRPr="00804C98">
        <w:rPr>
          <w:szCs w:val="22"/>
        </w:rPr>
        <w:t xml:space="preserve">To obtain the number of </w:t>
      </w:r>
      <w:r w:rsidRPr="00804C98">
        <w:rPr>
          <w:i/>
          <w:szCs w:val="22"/>
        </w:rPr>
        <w:t>spectrum blocks</w:t>
      </w:r>
      <w:r w:rsidRPr="00804C98">
        <w:rPr>
          <w:szCs w:val="22"/>
        </w:rPr>
        <w:t xml:space="preserve"> corresponding to the new band plan, we divide the MHz-pops of the incumbent by the population of that PEA*100. </w:t>
      </w:r>
      <w:r w:rsidR="0088686E">
        <w:rPr>
          <w:szCs w:val="22"/>
        </w:rPr>
        <w:t xml:space="preserve"> </w:t>
      </w:r>
      <w:r w:rsidRPr="00804C98">
        <w:rPr>
          <w:szCs w:val="22"/>
        </w:rPr>
        <w:t>If this results in a fractional component that is at least 0.99, i.e. coverage of full blocks plus at least 99% of the fractional block, then the number of blocks is rounded up to whole blocks.</w:t>
      </w:r>
    </w:p>
    <w:p w:rsidR="00876512" w:rsidRPr="00831878" w:rsidP="00831878" w14:paraId="45BCDC5B" w14:textId="7852CB08">
      <w:pPr>
        <w:pStyle w:val="AttachmentHeading3"/>
        <w:numPr>
          <w:ilvl w:val="2"/>
          <w:numId w:val="3"/>
        </w:numPr>
        <w:contextualSpacing/>
        <w:rPr>
          <w:rFonts w:hint="eastAsia"/>
        </w:rPr>
      </w:pPr>
      <w:r w:rsidRPr="00831878">
        <w:t>Determining a Reconfiguration for Each Incumbent by Combining Its Partial Holdings into Full Peas and at Most One Partial PEA</w:t>
      </w:r>
    </w:p>
    <w:p w:rsidR="00876512" w:rsidRPr="00804C98" w:rsidP="00862C08" w14:paraId="7425BA36" w14:textId="77777777">
      <w:pPr>
        <w:pStyle w:val="p1"/>
        <w:spacing w:after="240"/>
        <w:rPr>
          <w:sz w:val="22"/>
          <w:szCs w:val="22"/>
        </w:rPr>
      </w:pPr>
      <w:r w:rsidRPr="00804C98">
        <w:rPr>
          <w:sz w:val="22"/>
          <w:szCs w:val="22"/>
        </w:rPr>
        <w:t xml:space="preserve">The licenses of each incumbent are reconfigured </w:t>
      </w:r>
      <w:r>
        <w:rPr>
          <w:sz w:val="22"/>
          <w:szCs w:val="22"/>
        </w:rPr>
        <w:t xml:space="preserve">through mathematical optimization </w:t>
      </w:r>
      <w:r w:rsidRPr="00804C98">
        <w:rPr>
          <w:sz w:val="22"/>
          <w:szCs w:val="22"/>
        </w:rPr>
        <w:t xml:space="preserve">so that, after the licenses are modified based on the reconfiguration, the incumbent will have full 100 megahertz PEA licenses and at most one partial license. The total weighted MHz-pops for this configuration will be at least as </w:t>
      </w:r>
      <w:r>
        <w:rPr>
          <w:sz w:val="22"/>
          <w:szCs w:val="22"/>
        </w:rPr>
        <w:t xml:space="preserve">great </w:t>
      </w:r>
      <w:r w:rsidRPr="00804C98">
        <w:rPr>
          <w:sz w:val="22"/>
          <w:szCs w:val="22"/>
        </w:rPr>
        <w:t>as that of the original holdings. This optimization is performed for each incumbent separately.</w:t>
      </w:r>
    </w:p>
    <w:p w:rsidR="00876512" w:rsidRPr="00AE1270" w:rsidP="00862C08" w14:paraId="66308373" w14:textId="3B200930">
      <w:pPr>
        <w:pStyle w:val="p1"/>
        <w:spacing w:after="240"/>
        <w:rPr>
          <w:i/>
          <w:sz w:val="22"/>
          <w:szCs w:val="22"/>
        </w:rPr>
      </w:pPr>
      <w:r w:rsidRPr="00804C98">
        <w:rPr>
          <w:sz w:val="22"/>
          <w:szCs w:val="22"/>
        </w:rPr>
        <w:t xml:space="preserve">As input to the optimization, we first determine the PEAs for which an incumbent has partial holdings.  </w:t>
      </w:r>
      <w:r w:rsidR="00F65A0F">
        <w:rPr>
          <w:sz w:val="22"/>
          <w:szCs w:val="22"/>
        </w:rPr>
        <w:t>This is calculated</w:t>
      </w:r>
      <w:r w:rsidRPr="00804C98">
        <w:rPr>
          <w:sz w:val="22"/>
          <w:szCs w:val="22"/>
        </w:rPr>
        <w:t xml:space="preserve"> by summing the total weighted MHz-pops in the PEA that an incumbent </w:t>
      </w:r>
      <w:r>
        <w:rPr>
          <w:sz w:val="22"/>
          <w:szCs w:val="22"/>
        </w:rPr>
        <w:t>holds</w:t>
      </w:r>
      <w:r w:rsidRPr="00804C98">
        <w:rPr>
          <w:sz w:val="22"/>
          <w:szCs w:val="22"/>
        </w:rPr>
        <w:t>.</w:t>
      </w:r>
      <w:r>
        <w:rPr>
          <w:rStyle w:val="FootnoteReference"/>
          <w:sz w:val="22"/>
          <w:szCs w:val="22"/>
        </w:rPr>
        <w:footnoteReference w:id="10"/>
      </w:r>
      <w:r w:rsidRPr="00BE6A3A">
        <w:rPr>
          <w:sz w:val="22"/>
          <w:szCs w:val="22"/>
        </w:rPr>
        <w:t xml:space="preserve">  If this amount divided by the total weighted </w:t>
      </w:r>
      <w:r w:rsidRPr="00AE1270">
        <w:rPr>
          <w:sz w:val="22"/>
          <w:szCs w:val="22"/>
        </w:rPr>
        <w:t xml:space="preserve">MHz-pops in the PEA is fractional, we put this license into the set of “partial license holdings” for this incumbent.  We label the set of PEAs for which the incumbent has partial holdings as </w:t>
      </w:r>
      <w:r w:rsidRPr="00AE1270">
        <w:rPr>
          <w:i/>
          <w:sz w:val="22"/>
          <w:szCs w:val="22"/>
        </w:rPr>
        <w:t>S.</w:t>
      </w:r>
    </w:p>
    <w:p w:rsidR="00876512" w:rsidRPr="00804C98" w:rsidP="00862C08" w14:paraId="38737EC0" w14:textId="1A1A4FD0">
      <w:pPr>
        <w:pStyle w:val="p1"/>
        <w:spacing w:after="240"/>
        <w:rPr>
          <w:sz w:val="22"/>
          <w:szCs w:val="22"/>
        </w:rPr>
      </w:pPr>
      <w:r w:rsidRPr="00804C98">
        <w:rPr>
          <w:sz w:val="22"/>
          <w:szCs w:val="22"/>
        </w:rPr>
        <w:t xml:space="preserve">The goal of the reconfiguration process is to minimize the value of the remaining white space in the partial PEA block. </w:t>
      </w:r>
      <w:r w:rsidR="00624EBE">
        <w:rPr>
          <w:sz w:val="22"/>
          <w:szCs w:val="22"/>
        </w:rPr>
        <w:t xml:space="preserve"> </w:t>
      </w:r>
      <w:r w:rsidRPr="00804C98">
        <w:rPr>
          <w:sz w:val="22"/>
          <w:szCs w:val="22"/>
        </w:rPr>
        <w:t xml:space="preserve">If the reconfiguration process creates only whole blocks, the value of the remaining white space will be zero. </w:t>
      </w:r>
      <w:r w:rsidR="00624EBE">
        <w:rPr>
          <w:sz w:val="22"/>
          <w:szCs w:val="22"/>
        </w:rPr>
        <w:t xml:space="preserve"> </w:t>
      </w:r>
      <w:r w:rsidRPr="00804C98">
        <w:rPr>
          <w:sz w:val="22"/>
          <w:szCs w:val="22"/>
        </w:rPr>
        <w:t>Thus, the primary optimization is to choose a reconfiguration that results in the incumbent having only full licenses.</w:t>
      </w:r>
      <w:r w:rsidR="00624EBE">
        <w:rPr>
          <w:sz w:val="22"/>
          <w:szCs w:val="22"/>
        </w:rPr>
        <w:t xml:space="preserve"> </w:t>
      </w:r>
      <w:r w:rsidRPr="00804C98">
        <w:rPr>
          <w:sz w:val="22"/>
          <w:szCs w:val="22"/>
        </w:rPr>
        <w:t xml:space="preserve"> It does this by first determining if there is a reconfiguration where the only partial holding has at least 90% of the total weighted MHz-pops, so that after rounding up, the partial holding would become a full license.</w:t>
      </w:r>
      <w:r>
        <w:rPr>
          <w:rStyle w:val="FootnoteReference"/>
          <w:sz w:val="22"/>
          <w:szCs w:val="22"/>
        </w:rPr>
        <w:footnoteReference w:id="11"/>
      </w:r>
      <w:r w:rsidRPr="00804C98">
        <w:rPr>
          <w:sz w:val="22"/>
          <w:szCs w:val="22"/>
        </w:rPr>
        <w:t xml:space="preserve">  If this is possible, the next optimization chooses among all such configurations, the partial PEA where the rounding affects the fewest unassigned weighted MHz-pops.  If there are ties among such configurations, the optimization chooses the PEA where the rounding </w:t>
      </w:r>
      <w:r w:rsidRPr="00804C98">
        <w:rPr>
          <w:sz w:val="22"/>
          <w:szCs w:val="22"/>
        </w:rPr>
        <w:t>affects the least population.  Thereafter, tie-breaking will choose the PEA randomly among all tied PEA solutions.</w:t>
      </w:r>
    </w:p>
    <w:p w:rsidR="00876512" w:rsidP="00862C08" w14:paraId="3C7C86F7" w14:textId="3179BBC9">
      <w:pPr>
        <w:pStyle w:val="p1"/>
        <w:spacing w:after="240"/>
        <w:rPr>
          <w:sz w:val="22"/>
          <w:szCs w:val="22"/>
        </w:rPr>
      </w:pPr>
      <w:r w:rsidRPr="00804C98">
        <w:rPr>
          <w:sz w:val="22"/>
          <w:szCs w:val="22"/>
        </w:rPr>
        <w:t xml:space="preserve">If there is no configuration which results in the incumbent having all full licenses, then the optimization chooses a reconfiguration such that the PEA in which the incumbent has its one partial holding will have </w:t>
      </w:r>
      <w:r w:rsidRPr="00AE1270">
        <w:rPr>
          <w:sz w:val="22"/>
          <w:szCs w:val="22"/>
        </w:rPr>
        <w:t>minimum weighted MHz-pops of whitespace.</w:t>
      </w:r>
      <w:r w:rsidR="00AF75ED">
        <w:rPr>
          <w:sz w:val="22"/>
          <w:szCs w:val="22"/>
        </w:rPr>
        <w:t xml:space="preserve"> </w:t>
      </w:r>
      <w:r w:rsidRPr="00AE1270">
        <w:rPr>
          <w:sz w:val="22"/>
          <w:szCs w:val="22"/>
        </w:rPr>
        <w:t xml:space="preserve"> If there is a tie, one chooses the partial holding where the population of the whitespace is minimal. </w:t>
      </w:r>
      <w:r w:rsidR="00AF75ED">
        <w:rPr>
          <w:sz w:val="22"/>
          <w:szCs w:val="22"/>
        </w:rPr>
        <w:t xml:space="preserve"> </w:t>
      </w:r>
      <w:r w:rsidRPr="00AE1270">
        <w:rPr>
          <w:sz w:val="22"/>
          <w:szCs w:val="22"/>
        </w:rPr>
        <w:t>Tie-breaking after these two optimizations will choose the PEA randomly among all tied PEA solutions.</w:t>
      </w:r>
    </w:p>
    <w:p w:rsidR="00876512" w:rsidRPr="00AE1270" w:rsidP="00831878" w14:paraId="52119824" w14:textId="1C00DC61">
      <w:pPr>
        <w:keepNext/>
        <w:spacing w:before="240" w:after="240"/>
        <w:rPr>
          <w:i/>
          <w:szCs w:val="22"/>
        </w:rPr>
      </w:pPr>
      <w:r w:rsidRPr="00AE1270">
        <w:rPr>
          <w:i/>
          <w:szCs w:val="22"/>
        </w:rPr>
        <w:t>Allocation optimization model for incumbent that owns partial licenses</w:t>
      </w:r>
    </w:p>
    <w:p w:rsidR="00CB5103" w:rsidP="00862C08" w14:paraId="246D6AB7" w14:textId="77777777">
      <w:pPr>
        <w:keepNext/>
        <w:spacing w:before="240" w:after="120"/>
        <w:rPr>
          <w:b/>
          <w:szCs w:val="22"/>
        </w:rPr>
      </w:pPr>
      <w:r w:rsidRPr="00AE1270">
        <w:rPr>
          <w:b/>
          <w:szCs w:val="22"/>
        </w:rPr>
        <w:t>DATA:</w:t>
      </w:r>
    </w:p>
    <w:p w:rsidR="00876512" w:rsidRPr="00AE1270" w:rsidP="00EC082C" w14:paraId="7F095921" w14:textId="14A3A747">
      <w:pPr>
        <w:keepNext/>
        <w:rPr>
          <w:szCs w:val="22"/>
        </w:rPr>
      </w:pPr>
      <m:oMath>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oMath>
      <w:r w:rsidRPr="00AE1270">
        <w:rPr>
          <w:szCs w:val="22"/>
        </w:rPr>
        <w:t xml:space="preserve"> is a scalar, the weighted MHz-pops of PEA </w:t>
      </w:r>
      <w:r w:rsidRPr="00804C98">
        <w:rPr>
          <w:i/>
          <w:szCs w:val="22"/>
        </w:rPr>
        <w:t>i</w:t>
      </w:r>
      <w:r w:rsidRPr="00AE1270">
        <w:rPr>
          <w:szCs w:val="22"/>
        </w:rPr>
        <w:t>.</w:t>
      </w:r>
    </w:p>
    <w:p w:rsidR="00876512" w:rsidRPr="00AE1270" w:rsidP="00EC082C" w14:paraId="24AD4193" w14:textId="77777777">
      <w:pPr>
        <w:keepNext/>
        <w:rPr>
          <w:szCs w:val="22"/>
        </w:rPr>
      </w:pPr>
      <m:oMath>
        <m:r>
          <w:rPr>
            <w:rFonts w:ascii="Cambria Math" w:hAnsi="Cambria Math"/>
            <w:szCs w:val="22"/>
          </w:rPr>
          <m:t>S</m:t>
        </m:r>
      </m:oMath>
      <w:r w:rsidRPr="00AE1270">
        <w:rPr>
          <w:szCs w:val="22"/>
        </w:rPr>
        <w:t xml:space="preserve"> is the set of all partial holdings for the incumbent.</w:t>
      </w:r>
    </w:p>
    <w:p w:rsidR="00876512" w:rsidRPr="00AE1270" w:rsidP="00EC082C" w14:paraId="25B95E2D" w14:textId="77777777">
      <w:pPr>
        <w:keepNext/>
        <w:rPr>
          <w:szCs w:val="22"/>
        </w:rPr>
      </w:pPr>
      <m:oMath>
        <m:r>
          <w:rPr>
            <w:rFonts w:ascii="Cambria Math" w:hAnsi="Cambria Math"/>
            <w:szCs w:val="22"/>
          </w:rPr>
          <m:t>T</m:t>
        </m:r>
      </m:oMath>
      <w:r w:rsidRPr="00AE1270">
        <w:rPr>
          <w:szCs w:val="22"/>
        </w:rPr>
        <w:t xml:space="preserve"> is a scalar the total weighted MHz-pops of all partial licenses of the </w:t>
      </w:r>
      <w:r w:rsidRPr="00AE1270">
        <w:rPr>
          <w:szCs w:val="22"/>
        </w:rPr>
        <w:t>incumbent</w:t>
      </w:r>
    </w:p>
    <w:p w:rsidR="00876512" w:rsidRPr="00AE1270" w:rsidP="00862C08" w14:paraId="6F356859" w14:textId="77777777">
      <w:pPr>
        <w:spacing w:before="240" w:after="120"/>
        <w:rPr>
          <w:b/>
          <w:szCs w:val="22"/>
        </w:rPr>
      </w:pPr>
      <w:r w:rsidRPr="00AE1270">
        <w:rPr>
          <w:b/>
          <w:szCs w:val="22"/>
        </w:rPr>
        <w:t>VARIABLES:</w:t>
      </w:r>
    </w:p>
    <w:p w:rsidR="00876512" w:rsidRPr="00AE1270" w:rsidP="00EC082C" w14:paraId="6EF10C06" w14:textId="77777777">
      <w:pPr>
        <w:ind w:left="270" w:hanging="27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oMath>
      <w:r w:rsidRPr="00AE1270">
        <w:rPr>
          <w:szCs w:val="22"/>
        </w:rPr>
        <w:t xml:space="preserve"> is a non-negative variable which is the weighted MHz-pops the licensee is assigned in PEA area </w:t>
      </w:r>
      <w:r w:rsidRPr="00804C98">
        <w:rPr>
          <w:i/>
          <w:szCs w:val="22"/>
        </w:rPr>
        <w:t>i</w:t>
      </w:r>
      <w:r w:rsidRPr="00AE1270">
        <w:rPr>
          <w:szCs w:val="22"/>
        </w:rPr>
        <w:t xml:space="preserve">. </w:t>
      </w:r>
    </w:p>
    <w:p w:rsidR="00876512" w:rsidRPr="00AE1270" w:rsidP="00EC082C" w14:paraId="30673F63" w14:textId="77777777">
      <w:pPr>
        <w:tabs>
          <w:tab w:val="left" w:pos="270"/>
        </w:tabs>
        <w:ind w:left="270" w:hanging="270"/>
        <w:rPr>
          <w:szCs w:val="22"/>
        </w:rPr>
      </w:pP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Pr="00AE1270">
        <w:rPr>
          <w:szCs w:val="22"/>
        </w:rPr>
        <w:t xml:space="preserve"> is a binary variable, it has value 1 if PEA area </w:t>
      </w:r>
      <w:r w:rsidRPr="00804C98">
        <w:rPr>
          <w:i/>
          <w:szCs w:val="22"/>
        </w:rPr>
        <w:t>i</w:t>
      </w:r>
      <w:r w:rsidRPr="00AE1270">
        <w:rPr>
          <w:szCs w:val="22"/>
        </w:rPr>
        <w:t xml:space="preserve"> is chosen as the only allowable partial license assignment, and zero </w:t>
      </w:r>
      <w:r w:rsidRPr="00AE1270">
        <w:rPr>
          <w:szCs w:val="22"/>
        </w:rPr>
        <w:t>otherwise.</w:t>
      </w:r>
    </w:p>
    <w:p w:rsidR="00876512" w:rsidP="00EC082C" w14:paraId="03F78086" w14:textId="6B7B3171">
      <w:pPr>
        <w:tabs>
          <w:tab w:val="left" w:pos="270"/>
        </w:tabs>
        <w:rPr>
          <w:szCs w:val="22"/>
        </w:rPr>
      </w:pPr>
      <m:oMath>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oMath>
      <w:r w:rsidRPr="00AE1270">
        <w:rPr>
          <w:szCs w:val="22"/>
        </w:rPr>
        <w:t xml:space="preserve"> is a non-negative variable which is the resulting white space in PEA </w:t>
      </w:r>
      <w:r w:rsidRPr="00804C98">
        <w:rPr>
          <w:i/>
          <w:szCs w:val="22"/>
        </w:rPr>
        <w:t>i</w:t>
      </w:r>
      <w:r w:rsidRPr="00AE1270">
        <w:rPr>
          <w:szCs w:val="22"/>
        </w:rPr>
        <w:t xml:space="preserve"> in weighted MHz-</w:t>
      </w:r>
    </w:p>
    <w:p w:rsidR="00876512" w:rsidRPr="00AE1270" w:rsidP="00EC082C" w14:paraId="490A5A10" w14:textId="58C54517">
      <w:pPr>
        <w:tabs>
          <w:tab w:val="left" w:pos="270"/>
        </w:tabs>
        <w:rPr>
          <w:szCs w:val="22"/>
        </w:rPr>
      </w:pPr>
      <w:r w:rsidRPr="00AE1270">
        <w:rPr>
          <w:szCs w:val="22"/>
        </w:rPr>
        <w:tab/>
        <w:t xml:space="preserve">pops when the PEA is not completely cleared for sale. When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Pr="00AE1270">
        <w:rPr>
          <w:szCs w:val="22"/>
        </w:rPr>
        <w:t xml:space="preserve"> is zero, then </w:t>
      </w:r>
      <m:oMath>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oMath>
      <w:r w:rsidRPr="00AE1270">
        <w:rPr>
          <w:szCs w:val="22"/>
        </w:rPr>
        <w:t xml:space="preserve"> is set to zero. </w:t>
      </w:r>
    </w:p>
    <w:p w:rsidR="00876512" w:rsidRPr="00AE1270" w:rsidP="00EC082C" w14:paraId="2D2DF94C" w14:textId="77777777">
      <w:pPr>
        <w:tabs>
          <w:tab w:val="left" w:pos="270"/>
        </w:tabs>
        <w:rPr>
          <w:szCs w:val="22"/>
        </w:rPr>
      </w:pPr>
      <m:oMath>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oMath>
      <w:r w:rsidRPr="00AE1270">
        <w:rPr>
          <w:szCs w:val="22"/>
        </w:rPr>
        <w:t xml:space="preserve"> is a binary variable, it has value 1 if PEA area </w:t>
      </w:r>
      <w:r w:rsidRPr="00804C98">
        <w:rPr>
          <w:i/>
          <w:szCs w:val="22"/>
        </w:rPr>
        <w:t>i</w:t>
      </w:r>
      <w:r w:rsidRPr="00AE1270">
        <w:rPr>
          <w:szCs w:val="22"/>
        </w:rPr>
        <w:t xml:space="preserve"> is chosen as the only allowable partial license </w:t>
      </w:r>
      <w:r w:rsidRPr="00AE1270">
        <w:rPr>
          <w:szCs w:val="22"/>
        </w:rPr>
        <w:tab/>
        <w:t>assignment and the partial license results in over 90% holdings for the PEA, and zero otherwise.</w:t>
      </w:r>
    </w:p>
    <w:p w:rsidR="00876512" w:rsidRPr="00AE1270" w:rsidP="00EC082C" w14:paraId="57C19826" w14:textId="77777777">
      <w:pPr>
        <w:tabs>
          <w:tab w:val="left" w:pos="270"/>
        </w:tabs>
        <w:rPr>
          <w:szCs w:val="22"/>
        </w:rPr>
      </w:pP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oMath>
      <w:r w:rsidRPr="00AE1270">
        <w:rPr>
          <w:szCs w:val="22"/>
        </w:rPr>
        <w:t xml:space="preserve"> is a binary variable, equal to 1 if PEA area </w:t>
      </w:r>
      <w:r w:rsidRPr="00804C98">
        <w:rPr>
          <w:i/>
          <w:szCs w:val="22"/>
        </w:rPr>
        <w:t>i</w:t>
      </w:r>
      <w:r w:rsidRPr="00AE1270">
        <w:rPr>
          <w:szCs w:val="22"/>
        </w:rPr>
        <w:t xml:space="preserve"> is assigned completely (i.e. 100 MHz license) to </w:t>
      </w:r>
      <w:r w:rsidRPr="00AE1270">
        <w:rPr>
          <w:szCs w:val="22"/>
        </w:rPr>
        <w:tab/>
        <w:t xml:space="preserve">licensee, and zero </w:t>
      </w:r>
      <w:r w:rsidRPr="00AE1270">
        <w:rPr>
          <w:szCs w:val="22"/>
        </w:rPr>
        <w:t>otherwise.</w:t>
      </w:r>
    </w:p>
    <w:p w:rsidR="00876512" w:rsidRPr="00AE1270" w:rsidP="00EC082C" w14:paraId="38F6C4D8" w14:textId="5104FD3D">
      <w:pPr>
        <w:tabs>
          <w:tab w:val="left" w:pos="270"/>
        </w:tabs>
        <w:ind w:left="270" w:hanging="270"/>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oMath>
      <w:r w:rsidRPr="00AE1270">
        <w:rPr>
          <w:szCs w:val="22"/>
        </w:rPr>
        <w:t xml:space="preserve"> is a non-negative variable that measures the white space in the only PEA where there </w:t>
      </w:r>
      <w:r w:rsidR="00BC54DE">
        <w:rPr>
          <w:szCs w:val="22"/>
        </w:rPr>
        <w:t>are</w:t>
      </w:r>
      <w:r w:rsidRPr="00AE1270">
        <w:rPr>
          <w:szCs w:val="22"/>
        </w:rPr>
        <w:t xml:space="preserve"> partial holdings.</w:t>
      </w:r>
    </w:p>
    <w:p w:rsidR="00876512" w:rsidRPr="00AE1270" w:rsidP="00153672" w14:paraId="538698AD" w14:textId="3D807CEB">
      <w:pPr>
        <w:tabs>
          <w:tab w:val="left" w:pos="270"/>
        </w:tabs>
        <w:ind w:left="270" w:right="720" w:hanging="270"/>
        <w:rPr>
          <w:szCs w:val="22"/>
        </w:rPr>
      </w:pPr>
      <w:r w:rsidRPr="00AE1270">
        <w:rPr>
          <w:szCs w:val="22"/>
        </w:rPr>
        <w:t xml:space="preserve">WS </w:t>
      </w:r>
      <w:r>
        <w:rPr>
          <w:szCs w:val="22"/>
        </w:rPr>
        <w:t>is</w:t>
      </w:r>
      <w:r w:rsidRPr="00AE1270">
        <w:rPr>
          <w:szCs w:val="22"/>
        </w:rPr>
        <w:t xml:space="preserve"> the resulting white space (in terms of weighted MHz-pops) of the PEA in which the incumbent has a partial holding</w:t>
      </w:r>
    </w:p>
    <w:p w:rsidR="00876512" w:rsidRPr="00AE1270" w:rsidP="00862C08" w14:paraId="13B1C12F" w14:textId="77777777">
      <w:pPr>
        <w:spacing w:before="240" w:after="240"/>
        <w:rPr>
          <w:b/>
          <w:szCs w:val="22"/>
        </w:rPr>
      </w:pPr>
      <w:r w:rsidRPr="00AE1270">
        <w:rPr>
          <w:b/>
          <w:szCs w:val="22"/>
        </w:rPr>
        <w:t>Mixed Integer Programing Formulation</w:t>
      </w:r>
    </w:p>
    <w:p w:rsidR="00876512" w:rsidRPr="00AE1270" w:rsidP="00876512" w14:paraId="254CD927" w14:textId="77777777">
      <w:pPr>
        <w:rPr>
          <w:szCs w:val="22"/>
        </w:rPr>
      </w:pPr>
      <w:r w:rsidRPr="00AE1270">
        <w:rPr>
          <w:szCs w:val="22"/>
        </w:rPr>
        <w:t>Minimize the white space in the one partial holding (NOTE: white space will be zero in this optimization if the PEA chosen will have a partial holding of at least 90%):</w:t>
      </w:r>
    </w:p>
    <w:p w:rsidR="00876512" w:rsidRPr="00AE1270" w:rsidP="000C5D22" w14:paraId="23A9CB15" w14:textId="6797037F">
      <w:pPr>
        <w:spacing w:before="120" w:after="240"/>
        <w:ind w:firstLine="720"/>
        <w:jc w:val="center"/>
        <w:rPr>
          <w:szCs w:val="22"/>
        </w:rPr>
      </w:pPr>
      <m:oMathPara>
        <m:oMath>
          <m:r>
            <w:rPr>
              <w:rFonts w:ascii="Cambria Math" w:hAnsi="Cambria Math"/>
              <w:szCs w:val="22"/>
            </w:rPr>
            <m:t>WS</m:t>
          </m:r>
          <m:r>
            <m:rPr>
              <m:sty m:val="p"/>
            </m:rPr>
            <w:rPr>
              <w:rFonts w:ascii="Cambria Math" w:hAnsi="Cambria Math"/>
              <w:szCs w:val="22"/>
            </w:rPr>
            <m:t xml:space="preserve">= </m:t>
          </m:r>
          <m:func>
            <m:funcPr>
              <m:ctrlPr>
                <w:rPr>
                  <w:rFonts w:ascii="Cambria Math" w:hAnsi="Cambria Math"/>
                  <w:szCs w:val="22"/>
                </w:rPr>
              </m:ctrlPr>
            </m:funcPr>
            <m:fName>
              <m:r>
                <m:rPr>
                  <m:sty m:val="p"/>
                </m:rPr>
                <w:rPr>
                  <w:rFonts w:ascii="Cambria Math" w:hAnsi="Cambria Math"/>
                  <w:szCs w:val="22"/>
                </w:rPr>
                <m:t>min</m:t>
              </m:r>
            </m:fName>
            <m:e>
              <m:nary>
                <m:naryPr>
                  <m:chr m:val="∑"/>
                  <m:limLoc m:val="undOvr"/>
                  <m:supHide/>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d>
                    <m:dPr>
                      <m:ctrlPr>
                        <w:rPr>
                          <w:rFonts w:ascii="Cambria Math" w:hAnsi="Cambria Math"/>
                          <w:szCs w:val="22"/>
                        </w:rPr>
                      </m:ctrlPr>
                    </m:dPr>
                    <m:e>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e>
                  </m:d>
                </m:e>
              </m:nary>
            </m:e>
          </m:func>
        </m:oMath>
      </m:oMathPara>
    </w:p>
    <w:p w:rsidR="00876512" w:rsidRPr="00AE1270" w:rsidP="000C5D22" w14:paraId="1C6E5C01" w14:textId="77777777">
      <w:pPr>
        <w:keepNext/>
        <w:rPr>
          <w:szCs w:val="22"/>
        </w:rPr>
      </w:pPr>
      <w:r w:rsidRPr="00AE1270">
        <w:rPr>
          <w:szCs w:val="22"/>
        </w:rPr>
        <w:t>Subject to:</w:t>
      </w:r>
    </w:p>
    <w:p w:rsidR="00876512" w:rsidRPr="00AE1270" w:rsidP="000C5D22" w14:paraId="50CC6588" w14:textId="77777777">
      <w:pPr>
        <w:keepNext/>
        <w:rPr>
          <w:szCs w:val="22"/>
        </w:rPr>
      </w:pPr>
      <w:r w:rsidRPr="00AE1270">
        <w:rPr>
          <w:szCs w:val="22"/>
        </w:rPr>
        <w:t>At most one PEA can have a partial holding:</w:t>
      </w:r>
    </w:p>
    <w:p w:rsidR="00876512" w:rsidRPr="00AE1270" w:rsidP="005333EB" w14:paraId="4C600412" w14:textId="7EE763E4">
      <w:pPr>
        <w:tabs>
          <w:tab w:val="left" w:pos="7920"/>
        </w:tabs>
        <w:spacing w:before="120" w:after="240"/>
        <w:ind w:firstLine="1440"/>
        <w:rPr>
          <w:szCs w:val="22"/>
        </w:rPr>
      </w:pPr>
      <m:oMath>
        <m:nary>
          <m:naryPr>
            <m:chr m:val="∑"/>
            <m:limLoc m:val="undOvr"/>
            <m:supHide/>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e>
        </m:nary>
        <m:r>
          <m:rPr>
            <m:sty m:val="p"/>
          </m:rPr>
          <w:rPr>
            <w:rFonts w:ascii="Cambria Math" w:hAnsi="Cambria Math"/>
            <w:szCs w:val="22"/>
          </w:rPr>
          <m:t>≤1</m:t>
        </m:r>
      </m:oMath>
      <w:r w:rsidR="0074309A">
        <w:rPr>
          <w:szCs w:val="22"/>
        </w:rPr>
        <w:tab/>
      </w:r>
      <w:r w:rsidRPr="00AE1270">
        <w:rPr>
          <w:szCs w:val="22"/>
        </w:rPr>
        <w:t>(1)</w:t>
      </w:r>
    </w:p>
    <w:p w:rsidR="00876512" w:rsidRPr="00AE1270" w:rsidP="007F1E5A" w14:paraId="18081693" w14:textId="77777777">
      <w:pPr>
        <w:keepNext/>
        <w:rPr>
          <w:szCs w:val="22"/>
        </w:rPr>
      </w:pPr>
      <w:r w:rsidRPr="00AE1270">
        <w:rPr>
          <w:szCs w:val="22"/>
        </w:rPr>
        <w:t xml:space="preserve">Assignment plus white space </w:t>
      </w:r>
      <w:r>
        <w:rPr>
          <w:szCs w:val="22"/>
        </w:rPr>
        <w:t>equals</w:t>
      </w:r>
      <w:r w:rsidRPr="00AE1270">
        <w:rPr>
          <w:szCs w:val="22"/>
        </w:rPr>
        <w:t xml:space="preserve"> weighted MHz-pops of </w:t>
      </w:r>
      <w:r>
        <w:rPr>
          <w:szCs w:val="22"/>
        </w:rPr>
        <w:t xml:space="preserve">the </w:t>
      </w:r>
      <w:r w:rsidRPr="00AE1270">
        <w:rPr>
          <w:szCs w:val="22"/>
        </w:rPr>
        <w:t>PEA:</w:t>
      </w:r>
    </w:p>
    <w:p w:rsidR="00876512" w:rsidRPr="00AE1270" w:rsidP="0043278B" w14:paraId="0956B150" w14:textId="3601337B">
      <w:pPr>
        <w:tabs>
          <w:tab w:val="left" w:pos="4320"/>
          <w:tab w:val="left" w:pos="7920"/>
        </w:tabs>
        <w:spacing w:before="120" w:after="240"/>
        <w:ind w:left="720" w:firstLine="72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2A5C97">
        <w:rPr>
          <w:szCs w:val="22"/>
        </w:rPr>
        <w:tab/>
      </w:r>
      <w:r w:rsidRPr="00AE1270">
        <w:rPr>
          <w:szCs w:val="22"/>
        </w:rPr>
        <w:t>(2)</w:t>
      </w:r>
    </w:p>
    <w:p w:rsidR="00876512" w:rsidRPr="00AE1270" w:rsidP="0020058B" w14:paraId="04810B95" w14:textId="0D10C4B4">
      <w:pPr>
        <w:keepNext/>
        <w:keepLines/>
        <w:tabs>
          <w:tab w:val="left" w:pos="0"/>
          <w:tab w:val="left" w:pos="720"/>
        </w:tabs>
        <w:spacing w:after="120"/>
        <w:rPr>
          <w:szCs w:val="22"/>
        </w:rPr>
      </w:pPr>
      <w:r w:rsidRPr="00AE1270">
        <w:rPr>
          <w:szCs w:val="22"/>
        </w:rPr>
        <w:t xml:space="preserve">When </w:t>
      </w: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=0</m:t>
        </m:r>
      </m:oMath>
      <w:r w:rsidRPr="00AE1270">
        <w:rPr>
          <w:szCs w:val="22"/>
        </w:rPr>
        <w:t xml:space="preserve">, then </w:t>
      </w: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w:rPr>
                <w:rFonts w:ascii="Cambria Math" w:hAnsi="Cambria Math"/>
                <w:szCs w:val="22"/>
              </w:rPr>
              <m:t>f</m:t>
            </m:r>
          </m:e>
          <m:sub>
            <m:r>
              <w:rPr>
                <w:rFonts w:ascii="Cambria Math" w:hAnsi="Cambria Math"/>
                <w:szCs w:val="22"/>
              </w:rPr>
              <m:t>i</m:t>
            </m:r>
          </m:sub>
        </m:sSub>
      </m:oMath>
      <w:r w:rsidR="00ED704E">
        <w:rPr>
          <w:szCs w:val="22"/>
        </w:rPr>
        <w:t xml:space="preserve">, </w:t>
      </w:r>
      <w:r w:rsidRPr="00AE1270">
        <w:rPr>
          <w:szCs w:val="22"/>
        </w:rPr>
        <w:t xml:space="preserve">that is, this PEA area is either assigned partially or not at all. (Looking at it another way: when </w:t>
      </w: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w:rPr>
            <w:rFonts w:ascii="Cambria Math" w:hAnsi="Cambria Math"/>
            <w:szCs w:val="22"/>
          </w:rPr>
          <m:t>=0</m:t>
        </m:r>
      </m:oMath>
      <w:r w:rsidRPr="00AE1270">
        <w:rPr>
          <w:szCs w:val="22"/>
        </w:rPr>
        <w:t xml:space="preserve">,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w:rPr>
            <w:rFonts w:ascii="Cambria Math" w:hAnsi="Cambria Math"/>
            <w:szCs w:val="22"/>
          </w:rPr>
          <m:t>≥</m:t>
        </m:r>
        <m:d>
          <m:dPr>
            <m:ctrlPr>
              <w:rPr>
                <w:rFonts w:ascii="Cambria Math" w:hAnsi="Cambria Math"/>
                <w:i/>
                <w:szCs w:val="22"/>
              </w:rPr>
            </m:ctrlPr>
          </m:dPr>
          <m:e>
            <m:f>
              <m:fPr>
                <m:type m:val="lin"/>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num>
              <m:den>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den>
            </m:f>
          </m:e>
        </m:d>
      </m:oMath>
      <w:r w:rsidRPr="00AE1270">
        <w:rPr>
          <w:szCs w:val="22"/>
        </w:rPr>
        <w:t xml:space="preserve"> implying that either </w:t>
      </w: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=0</m:t>
        </m:r>
      </m:oMath>
      <w:r w:rsidRPr="00AE1270">
        <w:rPr>
          <w:szCs w:val="22"/>
        </w:rPr>
        <w:t xml:space="preserve"> in which case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Pr="00AE1270">
        <w:rPr>
          <w:szCs w:val="22"/>
        </w:rPr>
        <w:t xml:space="preserve"> is allowed to be zero, or </w:t>
      </w: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&gt;0</m:t>
        </m:r>
      </m:oMath>
      <w:r w:rsidRPr="00AE1270">
        <w:rPr>
          <w:szCs w:val="22"/>
        </w:rPr>
        <w:t xml:space="preserve">, in which case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w:rPr>
            <w:rFonts w:ascii="Cambria Math" w:hAnsi="Cambria Math"/>
            <w:szCs w:val="22"/>
          </w:rPr>
          <m:t>=1</m:t>
        </m:r>
      </m:oMath>
      <w:r w:rsidRPr="00AE1270">
        <w:rPr>
          <w:szCs w:val="22"/>
        </w:rPr>
        <w:t>):</w:t>
      </w:r>
    </w:p>
    <w:p w:rsidR="00876512" w:rsidRPr="00AE1270" w:rsidP="002C092E" w14:paraId="65A5FB83" w14:textId="1B610EBF">
      <w:pPr>
        <w:tabs>
          <w:tab w:val="left" w:pos="4320"/>
          <w:tab w:val="left" w:pos="7920"/>
        </w:tabs>
        <w:spacing w:before="120" w:after="240"/>
        <w:ind w:left="720" w:firstLine="72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 xml:space="preserve"> </m:t>
        </m:r>
        <m:d>
          <m:dPr>
            <m:ctrlPr>
              <w:rPr>
                <w:rFonts w:ascii="Cambria Math" w:hAnsi="Cambria Math"/>
                <w:szCs w:val="22"/>
              </w:rPr>
            </m:ctrlPr>
          </m:dPr>
          <m:e>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e>
        </m:d>
        <m:r>
          <m:rPr>
            <m:sty m:val="p"/>
          </m:rPr>
          <w:rPr>
            <w:rFonts w:ascii="Cambria Math" w:hAnsi="Cambria Math"/>
            <w:szCs w:val="22"/>
          </w:rPr>
          <m:t>,</m:t>
        </m:r>
      </m:oMath>
      <w:r w:rsidR="0020042B">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2A5C97">
        <w:rPr>
          <w:szCs w:val="22"/>
        </w:rPr>
        <w:tab/>
      </w:r>
      <w:r w:rsidRPr="00AE1270">
        <w:rPr>
          <w:szCs w:val="22"/>
        </w:rPr>
        <w:t>(3)</w:t>
      </w:r>
    </w:p>
    <w:p w:rsidR="00876512" w:rsidRPr="00AE1270" w:rsidP="0043278B" w14:paraId="6BFFF3C1" w14:textId="77777777">
      <w:pPr>
        <w:spacing w:after="120"/>
        <w:rPr>
          <w:szCs w:val="22"/>
        </w:rPr>
      </w:pPr>
      <w:r w:rsidRPr="00AE1270">
        <w:rPr>
          <w:szCs w:val="22"/>
        </w:rPr>
        <w:t xml:space="preserve">If </w:t>
      </w: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=1</m:t>
        </m:r>
      </m:oMath>
      <w:r w:rsidRPr="00AE1270">
        <w:rPr>
          <w:szCs w:val="22"/>
        </w:rPr>
        <w:t xml:space="preserve">, then </w:t>
      </w:r>
      <m:oMath>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=0</m:t>
        </m:r>
      </m:oMath>
      <w:r w:rsidRPr="00AE1270">
        <w:rPr>
          <w:szCs w:val="22"/>
        </w:rPr>
        <w:t xml:space="preserve"> (there is no white space):</w:t>
      </w:r>
    </w:p>
    <w:p w:rsidR="00876512" w:rsidRPr="00AE1270" w:rsidP="0043278B" w14:paraId="5537169E" w14:textId="757F67F6">
      <w:pPr>
        <w:tabs>
          <w:tab w:val="left" w:pos="4320"/>
          <w:tab w:val="left" w:pos="7920"/>
        </w:tabs>
        <w:spacing w:before="120" w:after="240"/>
        <w:ind w:left="720" w:firstLine="720"/>
        <w:rPr>
          <w:szCs w:val="22"/>
        </w:rPr>
      </w:pPr>
      <m:oMath>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 xml:space="preserve"> </m:t>
        </m:r>
        <m:d>
          <m:dPr>
            <m:ctrlPr>
              <w:rPr>
                <w:rFonts w:ascii="Cambria Math" w:hAnsi="Cambria Math"/>
                <w:szCs w:val="22"/>
              </w:rPr>
            </m:ctrlPr>
          </m:dPr>
          <m:e>
            <m:r>
              <m:rPr>
                <m:sty m:val="p"/>
              </m:rPr>
              <w:rPr>
                <w:rFonts w:ascii="Cambria Math" w:hAnsi="Cambria Math"/>
                <w:szCs w:val="22"/>
              </w:rPr>
              <m:t>1-</m:t>
            </m:r>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e>
        </m:d>
        <m:r>
          <m:rPr>
            <m:sty m:val="p"/>
          </m:rPr>
          <w:rPr>
            <w:rFonts w:ascii="Cambria Math" w:hAnsi="Cambria Math"/>
            <w:szCs w:val="22"/>
          </w:rPr>
          <m:t>,</m:t>
        </m:r>
      </m:oMath>
      <w:r w:rsidR="002A5C97">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(4)</w:t>
      </w:r>
    </w:p>
    <w:p w:rsidR="00876512" w:rsidRPr="00AE1270" w:rsidP="0043278B" w14:paraId="62253859" w14:textId="77777777">
      <w:pPr>
        <w:spacing w:after="120"/>
        <w:rPr>
          <w:szCs w:val="22"/>
        </w:rPr>
      </w:pPr>
      <w:r w:rsidRPr="00AE1270">
        <w:rPr>
          <w:szCs w:val="22"/>
        </w:rPr>
        <w:t xml:space="preserve">If </w:t>
      </w: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=1</m:t>
        </m:r>
      </m:oMath>
      <w:r w:rsidRPr="00AE1270">
        <w:rPr>
          <w:szCs w:val="22"/>
        </w:rPr>
        <w:t xml:space="preserve">, then </w:t>
      </w: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oMath>
      <w:r w:rsidRPr="00AE1270">
        <w:rPr>
          <w:szCs w:val="22"/>
        </w:rPr>
        <w:t xml:space="preserve"> must equal </w:t>
      </w:r>
      <m:oMath>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m:t>
        </m:r>
      </m:oMath>
    </w:p>
    <w:p w:rsidR="00876512" w:rsidRPr="00AE1270" w:rsidP="0043278B" w14:paraId="48EF8686" w14:textId="33C43983">
      <w:pPr>
        <w:tabs>
          <w:tab w:val="left" w:pos="4320"/>
          <w:tab w:val="left" w:pos="7920"/>
        </w:tabs>
        <w:spacing w:before="120" w:after="240"/>
        <w:ind w:left="720" w:firstLine="72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2A5C97">
        <w:rPr>
          <w:szCs w:val="22"/>
        </w:rPr>
        <w:tab/>
      </w:r>
      <w:r w:rsidRPr="00AE1270">
        <w:rPr>
          <w:szCs w:val="22"/>
        </w:rPr>
        <w:t>(5)</w:t>
      </w:r>
    </w:p>
    <w:p w:rsidR="00876512" w:rsidRPr="00AE1270" w:rsidP="0043278B" w14:paraId="6C35D9D3" w14:textId="77777777">
      <w:pPr>
        <w:spacing w:after="120"/>
        <w:rPr>
          <w:szCs w:val="22"/>
        </w:rPr>
      </w:pPr>
      <w:r w:rsidRPr="00AE1270">
        <w:rPr>
          <w:szCs w:val="22"/>
        </w:rPr>
        <w:t xml:space="preserve">Total holdings of the licensee must equal </w:t>
      </w:r>
      <w:r w:rsidRPr="00804C98">
        <w:rPr>
          <w:i/>
          <w:szCs w:val="22"/>
        </w:rPr>
        <w:t>T</w:t>
      </w:r>
      <w:r w:rsidRPr="00AE1270">
        <w:rPr>
          <w:szCs w:val="22"/>
        </w:rPr>
        <w:t xml:space="preserve"> in any assignment: </w:t>
      </w:r>
    </w:p>
    <w:p w:rsidR="00876512" w:rsidRPr="00AE1270" w:rsidP="001E39C9" w14:paraId="68F25FFF" w14:textId="767403F4">
      <w:pPr>
        <w:tabs>
          <w:tab w:val="left" w:pos="7920"/>
        </w:tabs>
        <w:spacing w:before="120" w:after="240"/>
        <w:ind w:left="720" w:firstLine="720"/>
        <w:rPr>
          <w:szCs w:val="22"/>
        </w:rPr>
      </w:pPr>
      <m:oMath>
        <m:nary>
          <m:naryPr>
            <m:chr m:val="∑"/>
            <m:limLoc m:val="undOvr"/>
            <m:supHide/>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e>
        </m:nary>
        <m:r>
          <m:rPr>
            <m:sty m:val="p"/>
          </m:rPr>
          <w:rPr>
            <w:rFonts w:ascii="Cambria Math" w:hAnsi="Cambria Math"/>
            <w:szCs w:val="22"/>
          </w:rPr>
          <m:t>=</m:t>
        </m:r>
        <m:r>
          <w:rPr>
            <w:rFonts w:ascii="Cambria Math" w:hAnsi="Cambria Math"/>
            <w:szCs w:val="22"/>
          </w:rPr>
          <m:t>T</m:t>
        </m:r>
      </m:oMath>
      <w:r w:rsidRPr="00AE1270">
        <w:rPr>
          <w:szCs w:val="22"/>
        </w:rPr>
        <w:tab/>
        <w:t>(6)</w:t>
      </w:r>
    </w:p>
    <w:p w:rsidR="00876512" w:rsidRPr="00AE1270" w:rsidP="0043278B" w14:paraId="628FE409" w14:textId="77777777">
      <w:pPr>
        <w:spacing w:after="120"/>
        <w:rPr>
          <w:szCs w:val="22"/>
        </w:rPr>
      </w:pPr>
      <w:r w:rsidRPr="00AE1270">
        <w:rPr>
          <w:szCs w:val="22"/>
        </w:rPr>
        <w:t>If the partial holdings are greater than 90% of the PEA, the licensee is assigned the whole license (</w:t>
      </w:r>
      <m:oMath>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r>
          <m:rPr>
            <m:sty m:val="p"/>
          </m:rPr>
          <w:rPr>
            <w:rFonts w:ascii="Cambria Math" w:hAnsi="Cambria Math"/>
            <w:szCs w:val="22"/>
          </w:rPr>
          <m:t>=1</m:t>
        </m:r>
      </m:oMath>
      <w:r w:rsidRPr="00AE1270">
        <w:rPr>
          <w:szCs w:val="22"/>
        </w:rPr>
        <w:t xml:space="preserve">); If not, </w:t>
      </w:r>
      <m:oMath>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r>
          <m:rPr>
            <m:sty m:val="p"/>
          </m:rPr>
          <w:rPr>
            <w:rFonts w:ascii="Cambria Math" w:hAnsi="Cambria Math"/>
            <w:szCs w:val="22"/>
          </w:rPr>
          <m:t>=0</m:t>
        </m:r>
      </m:oMath>
      <w:r w:rsidRPr="00AE1270">
        <w:rPr>
          <w:szCs w:val="22"/>
        </w:rPr>
        <w:t xml:space="preserve">, and the optimization chooses the PEA with smallest white-space </w:t>
      </w: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oMath>
      <w:r w:rsidRPr="00AE1270">
        <w:rPr>
          <w:szCs w:val="22"/>
        </w:rPr>
        <w:t>:</w:t>
      </w:r>
    </w:p>
    <w:p w:rsidR="00876512" w:rsidRPr="00AE1270" w:rsidP="0043278B" w14:paraId="452C22E8" w14:textId="07D0E1C0">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≥0.9</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oMath>
      <w:r w:rsidRPr="00AE1270">
        <w:rPr>
          <w:szCs w:val="22"/>
        </w:rPr>
        <w:t xml:space="preserve"> </w:t>
      </w:r>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(7a)</w:t>
      </w:r>
    </w:p>
    <w:p w:rsidR="00876512" w:rsidRPr="00AE1270" w:rsidP="0043278B" w14:paraId="4943FEDD" w14:textId="5AE38D9A">
      <w:pPr>
        <w:tabs>
          <w:tab w:val="left" w:pos="4320"/>
          <w:tab w:val="left" w:pos="7920"/>
        </w:tabs>
        <w:spacing w:before="120" w:after="240"/>
        <w:ind w:left="720" w:firstLine="72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-0.1</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r>
          <m:rPr>
            <m:sty m:val="p"/>
          </m:rPr>
          <w:rPr>
            <w:rFonts w:ascii="Cambria Math" w:hAnsi="Cambria Math"/>
            <w:szCs w:val="22"/>
          </w:rPr>
          <m:t>(1-</m:t>
        </m:r>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(7b)</w:t>
      </w:r>
    </w:p>
    <w:p w:rsidR="00876512" w:rsidRPr="00AE1270" w:rsidP="0043278B" w14:paraId="09437A61" w14:textId="18B85604">
      <w:pPr>
        <w:spacing w:after="120"/>
        <w:rPr>
          <w:szCs w:val="22"/>
        </w:rPr>
      </w:pPr>
      <w:r w:rsidRPr="00AE1270">
        <w:rPr>
          <w:szCs w:val="22"/>
        </w:rPr>
        <w:t xml:space="preserve">If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m:rPr>
            <m:sty m:val="p"/>
          </m:rPr>
          <w:rPr>
            <w:rFonts w:ascii="Cambria Math" w:hAnsi="Cambria Math"/>
            <w:szCs w:val="22"/>
          </w:rPr>
          <m:t>=0</m:t>
        </m:r>
      </m:oMath>
      <w:r w:rsidRPr="00AE1270">
        <w:rPr>
          <w:szCs w:val="22"/>
        </w:rPr>
        <w:t xml:space="preserve">, set </w:t>
      </w: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=0</m:t>
        </m:r>
      </m:oMath>
      <w:r w:rsidRPr="00AE1270">
        <w:rPr>
          <w:szCs w:val="22"/>
        </w:rPr>
        <w:t xml:space="preserve"> because the licensee is not assigned a partial license in the PEA and therefore there is no white space.</w:t>
      </w:r>
      <w:r w:rsidR="00A010EF">
        <w:rPr>
          <w:szCs w:val="22"/>
        </w:rPr>
        <w:t xml:space="preserve"> </w:t>
      </w:r>
      <w:r w:rsidRPr="00AE1270">
        <w:rPr>
          <w:szCs w:val="22"/>
        </w:rPr>
        <w:t xml:space="preserve"> If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m:rPr>
            <m:sty m:val="p"/>
          </m:rPr>
          <w:rPr>
            <w:rFonts w:ascii="Cambria Math" w:hAnsi="Cambria Math"/>
            <w:szCs w:val="22"/>
          </w:rPr>
          <m:t>=1</m:t>
        </m:r>
      </m:oMath>
      <w:r w:rsidRPr="00AE1270">
        <w:rPr>
          <w:szCs w:val="22"/>
        </w:rPr>
        <w:t xml:space="preserve">, then </w:t>
      </w: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oMath>
      <w:r w:rsidRPr="00AE1270">
        <w:rPr>
          <w:szCs w:val="22"/>
        </w:rPr>
        <w:t xml:space="preserve">. If </w:t>
      </w:r>
      <m:oMath>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r>
          <m:rPr>
            <m:sty m:val="p"/>
          </m:rPr>
          <w:rPr>
            <w:rFonts w:ascii="Cambria Math" w:hAnsi="Cambria Math"/>
            <w:szCs w:val="22"/>
          </w:rPr>
          <m:t>=1</m:t>
        </m:r>
      </m:oMath>
      <w:r w:rsidRPr="00AE1270">
        <w:rPr>
          <w:szCs w:val="22"/>
        </w:rPr>
        <w:t xml:space="preserve">, </w:t>
      </w: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oMath>
      <w:r w:rsidRPr="00AE1270">
        <w:rPr>
          <w:szCs w:val="22"/>
        </w:rPr>
        <w:t xml:space="preserve"> is allowed to be zero and a second optimization will need to determine which PEA is chosen among all reconfigurations where the partial holding is at least 90%:</w:t>
      </w:r>
    </w:p>
    <w:p w:rsidR="00876512" w:rsidRPr="00AE1270" w:rsidP="0043278B" w14:paraId="7CBA7E74" w14:textId="09DF14DC">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00DB7DBD">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(8a)</w:t>
      </w:r>
    </w:p>
    <w:p w:rsidR="00876512" w:rsidRPr="00AE1270" w:rsidP="0043278B" w14:paraId="19921038" w14:textId="1FAC917B">
      <w:pPr>
        <w:tabs>
          <w:tab w:val="left" w:pos="4320"/>
          <w:tab w:val="left" w:pos="7920"/>
        </w:tabs>
        <w:spacing w:before="120" w:after="240"/>
        <w:ind w:left="1440"/>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d>
          <m:dPr>
            <m:ctrlPr>
              <w:rPr>
                <w:rFonts w:ascii="Cambria Math" w:hAnsi="Cambria Math"/>
                <w:szCs w:val="22"/>
              </w:rPr>
            </m:ctrlPr>
          </m:dPr>
          <m:e>
            <m:r>
              <m:rPr>
                <m:sty m:val="p"/>
              </m:rPr>
              <w:rPr>
                <w:rFonts w:ascii="Cambria Math" w:hAnsi="Cambria Math"/>
                <w:szCs w:val="22"/>
              </w:rPr>
              <m:t>1-</m:t>
            </m:r>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e>
        </m:d>
      </m:oMath>
      <w:r w:rsidR="00DB7DBD">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(8b)</w:t>
      </w:r>
    </w:p>
    <w:p w:rsidR="00876512" w:rsidRPr="00AE1270" w:rsidP="000D059F" w14:paraId="6E78E10B" w14:textId="40459AE9">
      <w:pPr>
        <w:spacing w:after="120"/>
        <w:rPr>
          <w:szCs w:val="22"/>
        </w:rPr>
      </w:pPr>
      <w:r w:rsidRPr="00AE1270">
        <w:rPr>
          <w:szCs w:val="22"/>
        </w:rPr>
        <w:t xml:space="preserve">Variables </w:t>
      </w:r>
      <m:oMath>
        <m:sSub>
          <m:sSubPr>
            <m:ctrlPr>
              <w:rPr>
                <w:rFonts w:ascii="Cambria Math" w:hAnsi="Cambria Math"/>
                <w:szCs w:val="22"/>
              </w:rPr>
            </m:ctrlPr>
          </m:sSubPr>
          <m:e>
            <m:r>
              <w:rPr>
                <w:rFonts w:ascii="Cambria Math" w:hAnsi="Cambria Math"/>
                <w:szCs w:val="22"/>
              </w:rPr>
              <m:t>z</m:t>
            </m:r>
          </m:e>
          <m:sub>
            <m:r>
              <w:rPr>
                <w:rFonts w:ascii="Cambria Math" w:hAnsi="Cambria Math"/>
                <w:szCs w:val="22"/>
              </w:rPr>
              <m:t>i</m:t>
            </m:r>
          </m:sub>
        </m:sSub>
      </m:oMath>
      <w:r w:rsidRPr="00AE1270">
        <w:rPr>
          <w:szCs w:val="22"/>
        </w:rPr>
        <w:t xml:space="preserve"> and </w:t>
      </w: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Pr="00AE1270">
        <w:rPr>
          <w:szCs w:val="22"/>
        </w:rPr>
        <w:t xml:space="preserve"> are binary and variables </w:t>
      </w: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oMath>
      <w:r w:rsidRPr="00AE1270">
        <w:rPr>
          <w:szCs w:val="22"/>
        </w:rPr>
        <w:t>,</w:t>
      </w:r>
      <m:oMath>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oMath>
      <w:r w:rsidR="00484640">
        <w:rPr>
          <w:szCs w:val="22"/>
        </w:rPr>
        <w:t>,</w:t>
      </w:r>
      <w:r w:rsidRPr="00AE1270">
        <w:rPr>
          <w:szCs w:val="22"/>
        </w:rPr>
        <w:t xml:space="preserve"> and</w:t>
      </w:r>
      <m:oMath>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oMath>
      <w:r w:rsidRPr="00AE1270">
        <w:rPr>
          <w:szCs w:val="22"/>
        </w:rPr>
        <w:t xml:space="preserve"> are continuous variables:</w:t>
      </w:r>
    </w:p>
    <w:p w:rsidR="00A57CA9" w:rsidRPr="00AE1270" w:rsidP="000D059F" w14:paraId="35B7109F" w14:textId="4F59F645">
      <w:pPr>
        <w:tabs>
          <w:tab w:val="left" w:pos="4320"/>
          <w:tab w:val="left" w:pos="7920"/>
        </w:tabs>
        <w:spacing w:before="120" w:after="240"/>
        <w:ind w:left="1440"/>
        <w:contextualSpacing/>
        <w:rPr>
          <w:szCs w:val="22"/>
        </w:rPr>
      </w:pPr>
      <m:oMath>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r>
          <m:rPr>
            <m:sty m:val="p"/>
          </m:rPr>
          <w:rPr>
            <w:rFonts w:ascii="Cambria Math" w:hAnsi="Cambria Math"/>
            <w:szCs w:val="22"/>
          </w:rPr>
          <m:t>∈</m:t>
        </m:r>
        <m:d>
          <m:dPr>
            <m:begChr m:val="{"/>
            <m:endChr m:val="}"/>
            <m:ctrlPr>
              <w:rPr>
                <w:rFonts w:ascii="Cambria Math" w:hAnsi="Cambria Math"/>
                <w:szCs w:val="22"/>
              </w:rPr>
            </m:ctrlPr>
          </m:dPr>
          <m:e>
            <m:r>
              <m:rPr>
                <m:sty m:val="p"/>
              </m:rPr>
              <w:rPr>
                <w:rFonts w:ascii="Cambria Math" w:hAnsi="Cambria Math"/>
                <w:szCs w:val="22"/>
              </w:rPr>
              <m:t>0,1</m:t>
            </m:r>
          </m:e>
        </m:d>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w:t>
      </w:r>
      <w:r>
        <w:rPr>
          <w:szCs w:val="22"/>
        </w:rPr>
        <w:t>9</w:t>
      </w:r>
      <w:r w:rsidRPr="00AE1270">
        <w:rPr>
          <w:szCs w:val="22"/>
        </w:rPr>
        <w:t>)</w:t>
      </w:r>
    </w:p>
    <w:p w:rsidR="00876512" w:rsidRPr="00AE1270" w:rsidP="000D059F" w14:paraId="72E01200" w14:textId="49498E88">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r>
          <m:rPr>
            <m:sty m:val="p"/>
          </m:rPr>
          <w:rPr>
            <w:rFonts w:ascii="Cambria Math" w:hAnsi="Cambria Math"/>
            <w:szCs w:val="22"/>
          </w:rPr>
          <m:t>∈</m:t>
        </m:r>
        <m:d>
          <m:dPr>
            <m:begChr m:val="{"/>
            <m:endChr m:val="}"/>
            <m:ctrlPr>
              <w:rPr>
                <w:rFonts w:ascii="Cambria Math" w:hAnsi="Cambria Math"/>
                <w:szCs w:val="22"/>
              </w:rPr>
            </m:ctrlPr>
          </m:dPr>
          <m:e>
            <m:r>
              <m:rPr>
                <m:sty m:val="p"/>
              </m:rPr>
              <w:rPr>
                <w:rFonts w:ascii="Cambria Math" w:hAnsi="Cambria Math"/>
                <w:szCs w:val="22"/>
              </w:rPr>
              <m:t>0,1</m:t>
            </m:r>
          </m:e>
        </m:d>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(10)</w:t>
      </w:r>
    </w:p>
    <w:p w:rsidR="00876512" w:rsidRPr="00AE1270" w:rsidP="000D059F" w14:paraId="191F7DD8" w14:textId="25EDCC9A">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g</m:t>
            </m:r>
          </m:e>
          <m:sub>
            <m:r>
              <w:rPr>
                <w:rFonts w:ascii="Cambria Math" w:hAnsi="Cambria Math"/>
                <w:szCs w:val="22"/>
              </w:rPr>
              <m:t>i</m:t>
            </m:r>
          </m:sub>
        </m:sSub>
        <m:r>
          <m:rPr>
            <m:sty m:val="p"/>
          </m:rPr>
          <w:rPr>
            <w:rFonts w:ascii="Cambria Math" w:hAnsi="Cambria Math"/>
            <w:szCs w:val="22"/>
          </w:rPr>
          <m:t>∈</m:t>
        </m:r>
        <m:d>
          <m:dPr>
            <m:begChr m:val="{"/>
            <m:endChr m:val="}"/>
            <m:ctrlPr>
              <w:rPr>
                <w:rFonts w:ascii="Cambria Math" w:hAnsi="Cambria Math"/>
                <w:szCs w:val="22"/>
              </w:rPr>
            </m:ctrlPr>
          </m:dPr>
          <m:e>
            <m:r>
              <m:rPr>
                <m:sty m:val="p"/>
              </m:rPr>
              <w:rPr>
                <w:rFonts w:ascii="Cambria Math" w:hAnsi="Cambria Math"/>
                <w:szCs w:val="22"/>
              </w:rPr>
              <m:t>0,1</m:t>
            </m:r>
          </m:e>
        </m:d>
        <m:r>
          <m:rPr>
            <m:sty m:val="p"/>
          </m:rPr>
          <w:rPr>
            <w:rFonts w:ascii="Cambria Math" w:hAnsi="Cambria Math"/>
            <w:szCs w:val="22"/>
          </w:rPr>
          <m:t>,</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(11)</w:t>
      </w:r>
    </w:p>
    <w:p w:rsidR="00876512" w:rsidRPr="00AE1270" w:rsidP="000D059F" w14:paraId="682B740D" w14:textId="2ECEF794">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≥0,</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(12)</w:t>
      </w:r>
    </w:p>
    <w:p w:rsidR="00876512" w:rsidRPr="00AE1270" w:rsidP="000D059F" w14:paraId="660FF37B" w14:textId="54FCB51E">
      <w:pPr>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≥0,</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(13)</w:t>
      </w:r>
    </w:p>
    <w:p w:rsidR="00876512" w:rsidRPr="00AE1270" w:rsidP="000D059F" w14:paraId="0CFCB0F2" w14:textId="7DBD1D41">
      <w:pPr>
        <w:tabs>
          <w:tab w:val="left" w:pos="4320"/>
          <w:tab w:val="left" w:pos="7920"/>
        </w:tabs>
        <w:spacing w:before="120" w:after="240"/>
        <w:ind w:left="1440"/>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≥0,</m:t>
        </m:r>
      </m:oMath>
      <w:r w:rsidRPr="00AE1270">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Pr="00AE1270">
        <w:rPr>
          <w:szCs w:val="22"/>
        </w:rPr>
        <w:tab/>
        <w:t>(14)</w:t>
      </w:r>
    </w:p>
    <w:p w:rsidR="00876512" w:rsidRPr="00804C98" w:rsidP="00862C08" w14:paraId="4FBDA652" w14:textId="77777777">
      <w:pPr>
        <w:spacing w:before="240" w:after="240"/>
        <w:rPr>
          <w:b/>
          <w:szCs w:val="22"/>
        </w:rPr>
      </w:pPr>
      <w:r w:rsidRPr="00AE1270">
        <w:rPr>
          <w:b/>
          <w:szCs w:val="22"/>
        </w:rPr>
        <w:t>Tie-Breaking Optimization when the first optimization finds a reconfiguration that provides the incumbent with all full (no partial) licenses</w:t>
      </w:r>
      <w:r w:rsidRPr="00804C98">
        <w:rPr>
          <w:b/>
          <w:szCs w:val="22"/>
        </w:rPr>
        <w:t xml:space="preserve">: </w:t>
      </w:r>
    </w:p>
    <w:p w:rsidR="00876512" w:rsidRPr="00804C98" w:rsidP="00D5250C" w14:paraId="07C342CC" w14:textId="06169A12">
      <w:pPr>
        <w:spacing w:after="240"/>
        <w:rPr>
          <w:szCs w:val="22"/>
        </w:rPr>
      </w:pPr>
      <w:r w:rsidRPr="00804C98">
        <w:rPr>
          <w:b/>
          <w:szCs w:val="22"/>
        </w:rPr>
        <w:t>DATA</w:t>
      </w:r>
      <w:r w:rsidRPr="00804C98">
        <w:rPr>
          <w:szCs w:val="22"/>
        </w:rPr>
        <w:t xml:space="preserve"> and </w:t>
      </w:r>
      <w:r w:rsidRPr="00804C98">
        <w:rPr>
          <w:b/>
          <w:szCs w:val="22"/>
        </w:rPr>
        <w:t>VARIABLES</w:t>
      </w:r>
      <w:r w:rsidRPr="00804C98">
        <w:rPr>
          <w:szCs w:val="22"/>
        </w:rPr>
        <w:t xml:space="preserve"> are the same as specified above. The objective function remains the same; All constraints remain the same except that (7b) is removed, as is the </w:t>
      </w:r>
      <m:oMath>
        <m:r>
          <w:rPr>
            <w:rFonts w:ascii="Cambria Math" w:hAnsi="Cambria Math"/>
            <w:szCs w:val="22"/>
          </w:rPr>
          <m:t>g</m:t>
        </m:r>
      </m:oMath>
      <w:r w:rsidRPr="00804C98">
        <w:rPr>
          <w:szCs w:val="22"/>
        </w:rPr>
        <w:t xml:space="preserve"> vector, and constraints (7a) and (8a) and (8b) are changed as follows: </w:t>
      </w:r>
    </w:p>
    <w:p w:rsidR="00EC5D16" w:rsidRPr="00834A97" w:rsidP="000D059F" w14:paraId="6F00A068" w14:textId="0EBC99C5">
      <w:pPr>
        <w:keepNext/>
        <w:rPr>
          <w:szCs w:val="22"/>
        </w:rPr>
      </w:pPr>
      <w:r w:rsidRPr="00804C98">
        <w:rPr>
          <w:szCs w:val="22"/>
        </w:rPr>
        <w:t xml:space="preserve">Only consider reconfigurations that have at least 90% holding in the partial </w:t>
      </w:r>
      <w:r w:rsidRPr="00804C98" w:rsidR="00834A97">
        <w:rPr>
          <w:szCs w:val="22"/>
        </w:rPr>
        <w:t>license</w:t>
      </w:r>
    </w:p>
    <w:p w:rsidR="00876512" w:rsidRPr="00804C98" w:rsidP="0019205B" w14:paraId="37446437" w14:textId="66BC2A61">
      <w:pPr>
        <w:tabs>
          <w:tab w:val="left" w:pos="4320"/>
          <w:tab w:val="left" w:pos="7920"/>
        </w:tabs>
        <w:spacing w:before="120" w:after="240"/>
        <w:ind w:firstLine="1440"/>
        <w:rPr>
          <w:szCs w:val="22"/>
        </w:rPr>
      </w:pPr>
      <m:oMath>
        <m:sSub>
          <m:sSubPr>
            <m:ctrlPr>
              <w:rPr>
                <w:rFonts w:ascii="Cambria Math" w:hAnsi="Cambria Math"/>
                <w:szCs w:val="22"/>
              </w:rPr>
            </m:ctrlPr>
          </m:sSubPr>
          <m:e>
            <m:r>
              <w:rPr>
                <w:rFonts w:ascii="Cambria Math" w:hAnsi="Cambria Math"/>
                <w:szCs w:val="22"/>
              </w:rPr>
              <m:t>x</m:t>
            </m:r>
          </m:e>
          <m:sub>
            <m:r>
              <w:rPr>
                <w:rFonts w:ascii="Cambria Math" w:hAnsi="Cambria Math"/>
                <w:szCs w:val="22"/>
              </w:rPr>
              <m:t>i</m:t>
            </m:r>
          </m:sub>
        </m:sSub>
        <m:r>
          <m:rPr>
            <m:sty m:val="p"/>
          </m:rPr>
          <w:rPr>
            <w:rFonts w:ascii="Cambria Math" w:hAnsi="Cambria Math"/>
            <w:szCs w:val="22"/>
          </w:rPr>
          <m:t>≥0.9</m:t>
        </m:r>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00EC5D16">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19205B">
        <w:rPr>
          <w:szCs w:val="22"/>
        </w:rPr>
        <w:tab/>
      </w:r>
      <w:r w:rsidRPr="00804C98">
        <w:rPr>
          <w:szCs w:val="22"/>
        </w:rPr>
        <w:t>(7a)</w:t>
      </w:r>
    </w:p>
    <w:p w:rsidR="00EC5D16" w:rsidRPr="00804C98" w:rsidP="00BC54DE" w14:paraId="2DC3BD05" w14:textId="1ADC99FC">
      <w:pPr>
        <w:keepNext/>
        <w:spacing w:after="120"/>
        <w:rPr>
          <w:szCs w:val="22"/>
        </w:rPr>
      </w:pPr>
      <w:r w:rsidRPr="00804C98">
        <w:rPr>
          <w:szCs w:val="22"/>
        </w:rPr>
        <w:t>Measure the white space of this partial holding.</w:t>
      </w:r>
    </w:p>
    <w:p w:rsidR="00834A97" w:rsidP="0019205B" w14:paraId="67B9C6A1" w14:textId="3A55D322">
      <w:pPr>
        <w:keepNext/>
        <w:tabs>
          <w:tab w:val="left" w:pos="4320"/>
          <w:tab w:val="left" w:pos="7920"/>
        </w:tabs>
        <w:spacing w:before="120" w:after="240"/>
        <w:ind w:left="1440"/>
        <w:contextualSpacing/>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oMath>
      <w:r w:rsidRPr="00804C98" w:rsidR="00876512">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19205B">
        <w:rPr>
          <w:szCs w:val="22"/>
        </w:rPr>
        <w:tab/>
      </w:r>
      <w:r w:rsidRPr="00804C98" w:rsidR="00876512">
        <w:rPr>
          <w:szCs w:val="22"/>
        </w:rPr>
        <w:t>(8a)</w:t>
      </w:r>
    </w:p>
    <w:p w:rsidR="00876512" w:rsidRPr="00804C98" w:rsidP="0019205B" w14:paraId="6EC1C64B" w14:textId="2E506546">
      <w:pPr>
        <w:tabs>
          <w:tab w:val="left" w:pos="4320"/>
          <w:tab w:val="left" w:pos="7920"/>
        </w:tabs>
        <w:spacing w:before="120" w:after="240"/>
        <w:ind w:left="1440"/>
        <w:rPr>
          <w:szCs w:val="22"/>
        </w:rPr>
      </w:pP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d>
          <m:dPr>
            <m:ctrlPr>
              <w:rPr>
                <w:rFonts w:ascii="Cambria Math" w:hAnsi="Cambria Math"/>
                <w:szCs w:val="22"/>
              </w:rPr>
            </m:ctrlPr>
          </m:dPr>
          <m:e>
            <m:r>
              <m:rPr>
                <m:sty m:val="p"/>
              </m:rPr>
              <w:rPr>
                <w:rFonts w:ascii="Cambria Math" w:hAnsi="Cambria Math"/>
                <w:szCs w:val="22"/>
              </w:rPr>
              <m:t>1-</m:t>
            </m:r>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e>
        </m:d>
      </m:oMath>
      <w:r w:rsidR="00834A97">
        <w:rPr>
          <w:szCs w:val="22"/>
        </w:rPr>
        <w:tab/>
      </w:r>
      <m:oMath>
        <m:r>
          <m:rPr>
            <m:sty m:val="p"/>
          </m:rPr>
          <w:rPr>
            <w:rFonts w:ascii="Cambria Math" w:hAnsi="Cambria Math"/>
            <w:szCs w:val="22"/>
          </w:rPr>
          <m:t>∀</m:t>
        </m:r>
        <m:r>
          <w:rPr>
            <w:rFonts w:ascii="Cambria Math" w:hAnsi="Cambria Math"/>
            <w:szCs w:val="22"/>
          </w:rPr>
          <m:t>i</m:t>
        </m:r>
        <m:r>
          <m:rPr>
            <m:sty m:val="p"/>
          </m:rPr>
          <w:rPr>
            <w:rFonts w:ascii="Cambria Math" w:hAnsi="Cambria Math"/>
            <w:szCs w:val="22"/>
          </w:rPr>
          <m:t>∈</m:t>
        </m:r>
        <m:r>
          <w:rPr>
            <w:rFonts w:ascii="Cambria Math" w:hAnsi="Cambria Math"/>
            <w:szCs w:val="22"/>
          </w:rPr>
          <m:t>S</m:t>
        </m:r>
      </m:oMath>
      <w:r w:rsidR="0019205B">
        <w:rPr>
          <w:szCs w:val="22"/>
        </w:rPr>
        <w:tab/>
      </w:r>
      <w:r w:rsidRPr="00804C98" w:rsidR="00834A97">
        <w:rPr>
          <w:szCs w:val="22"/>
        </w:rPr>
        <w:t>(8b)</w:t>
      </w:r>
    </w:p>
    <w:p w:rsidR="00876512" w:rsidRPr="00804C98" w:rsidP="00862C08" w14:paraId="4A3E78AE" w14:textId="77777777">
      <w:pPr>
        <w:spacing w:before="240" w:after="240"/>
        <w:rPr>
          <w:b/>
          <w:szCs w:val="22"/>
        </w:rPr>
      </w:pPr>
      <w:r w:rsidRPr="00804C98">
        <w:rPr>
          <w:b/>
          <w:szCs w:val="22"/>
        </w:rPr>
        <w:t>Tie-Breaking Optimization once the minimum white space has been determined:</w:t>
      </w:r>
    </w:p>
    <w:p w:rsidR="00876512" w:rsidRPr="00804C98" w:rsidP="0019205B" w14:paraId="328EE3AE" w14:textId="77777777">
      <w:pPr>
        <w:spacing w:after="240"/>
        <w:rPr>
          <w:szCs w:val="22"/>
        </w:rPr>
      </w:pPr>
      <w:r w:rsidRPr="00804C98">
        <w:rPr>
          <w:b/>
          <w:szCs w:val="22"/>
        </w:rPr>
        <w:t>DATA</w:t>
      </w:r>
      <w:r w:rsidRPr="00804C98">
        <w:rPr>
          <w:szCs w:val="22"/>
        </w:rPr>
        <w:t xml:space="preserve"> and </w:t>
      </w:r>
      <w:r w:rsidRPr="00804C98">
        <w:rPr>
          <w:b/>
          <w:szCs w:val="22"/>
        </w:rPr>
        <w:t>VARIABLES</w:t>
      </w:r>
      <w:r w:rsidRPr="00804C98">
        <w:rPr>
          <w:szCs w:val="22"/>
        </w:rPr>
        <w:t xml:space="preserve"> are same as specified above with the following additional data:</w:t>
      </w:r>
    </w:p>
    <w:p w:rsidR="00876512" w:rsidRPr="00804C98" w:rsidP="0019205B" w14:paraId="47F7E8A2" w14:textId="52E86580">
      <w:pPr>
        <w:spacing w:after="240"/>
        <w:rPr>
          <w:szCs w:val="22"/>
        </w:rPr>
      </w:pPr>
      <w:r w:rsidRPr="00804C98">
        <w:rPr>
          <w:szCs w:val="22"/>
        </w:rPr>
        <w:t>Let</w:t>
      </w:r>
      <w:r>
        <w:rPr>
          <w:szCs w:val="22"/>
        </w:rPr>
        <w:t xml:space="preserve"> </w:t>
      </w:r>
      <m:oMath>
        <m:sSub>
          <m:sSubPr>
            <m:ctrlPr>
              <w:rPr>
                <w:rFonts w:ascii="Cambria Math" w:hAnsi="Cambria Math"/>
                <w:i/>
                <w:szCs w:val="22"/>
              </w:rPr>
            </m:ctrlPr>
          </m:sSubPr>
          <m:e>
            <m:r>
              <w:rPr>
                <w:rFonts w:ascii="Cambria Math" w:hAnsi="Cambria Math"/>
                <w:szCs w:val="22"/>
              </w:rPr>
              <m:t>wght</m:t>
            </m:r>
          </m:e>
          <m:sub>
            <m:r>
              <w:rPr>
                <w:rFonts w:ascii="Cambria Math" w:hAnsi="Cambria Math"/>
                <w:szCs w:val="22"/>
              </w:rPr>
              <m:t>i</m:t>
            </m:r>
          </m:sub>
        </m:sSub>
      </m:oMath>
      <w:r w:rsidRPr="00804C98">
        <w:rPr>
          <w:szCs w:val="22"/>
        </w:rPr>
        <w:t xml:space="preserve"> </w:t>
      </w:r>
      <w:r w:rsidR="000D059F">
        <w:rPr>
          <w:szCs w:val="22"/>
        </w:rPr>
        <w:t xml:space="preserve">equal </w:t>
      </w:r>
      <w:r w:rsidRPr="00804C98">
        <w:rPr>
          <w:szCs w:val="22"/>
        </w:rPr>
        <w:t xml:space="preserve">the weight factor used to determine </w:t>
      </w:r>
      <m:oMath>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oMath>
    </w:p>
    <w:p w:rsidR="00876512" w:rsidRPr="00804C98" w:rsidP="0019205B" w14:paraId="333E6BAD" w14:textId="564773AD">
      <w:pPr>
        <w:spacing w:after="240"/>
        <w:rPr>
          <w:szCs w:val="22"/>
        </w:rPr>
      </w:pPr>
      <w:r w:rsidRPr="00804C98">
        <w:rPr>
          <w:szCs w:val="22"/>
        </w:rPr>
        <w:t xml:space="preserve">Then, we determine the population </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sub>
        </m:sSub>
      </m:oMath>
      <w:r w:rsidRPr="00804C98">
        <w:rPr>
          <w:szCs w:val="22"/>
        </w:rPr>
        <w:t xml:space="preserve"> within the white-space of a PEA whose total white space is equal to the solution obtained in the first optimization, by dividing WS by both 100 and the PEA’s weight factor </w:t>
      </w:r>
      <m:oMath>
        <m:sSub>
          <m:sSubPr>
            <m:ctrlPr>
              <w:rPr>
                <w:rFonts w:ascii="Cambria Math" w:hAnsi="Cambria Math"/>
                <w:i/>
                <w:szCs w:val="22"/>
              </w:rPr>
            </m:ctrlPr>
          </m:sSubPr>
          <m:e>
            <m:r>
              <w:rPr>
                <w:rFonts w:ascii="Cambria Math" w:hAnsi="Cambria Math"/>
                <w:szCs w:val="22"/>
              </w:rPr>
              <m:t>wght</m:t>
            </m:r>
          </m:e>
          <m:sub>
            <m:r>
              <w:rPr>
                <w:rFonts w:ascii="Cambria Math" w:hAnsi="Cambria Math"/>
                <w:szCs w:val="22"/>
              </w:rPr>
              <m:t>i</m:t>
            </m:r>
          </m:sub>
        </m:sSub>
      </m:oMath>
      <w:r w:rsidRPr="00804C98">
        <w:rPr>
          <w:szCs w:val="22"/>
        </w:rPr>
        <w:t xml:space="preserve">. </w:t>
      </w:r>
      <w:r w:rsidR="00F15B66">
        <w:rPr>
          <w:szCs w:val="22"/>
        </w:rPr>
        <w:t xml:space="preserve"> </w:t>
      </w:r>
      <w:r w:rsidRPr="00804C98">
        <w:rPr>
          <w:szCs w:val="22"/>
        </w:rPr>
        <w:t>Thus:</w:t>
      </w:r>
      <w:r w:rsidR="00A57CA9">
        <w:rPr>
          <w:szCs w:val="22"/>
        </w:rPr>
        <w:t xml:space="preserve"> </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sub>
        </m:sSub>
        <m:r>
          <w:rPr>
            <w:rFonts w:ascii="Cambria Math" w:hAnsi="Cambria Math"/>
            <w:szCs w:val="22"/>
          </w:rPr>
          <m:t>=</m:t>
        </m:r>
        <m:f>
          <m:fPr>
            <m:type m:val="lin"/>
            <m:ctrlPr>
              <w:rPr>
                <w:rFonts w:ascii="Cambria Math" w:hAnsi="Cambria Math"/>
                <w:i/>
                <w:szCs w:val="22"/>
              </w:rPr>
            </m:ctrlPr>
          </m:fPr>
          <m:num>
            <m:r>
              <w:rPr>
                <w:rFonts w:ascii="Cambria Math" w:hAnsi="Cambria Math"/>
                <w:szCs w:val="22"/>
              </w:rPr>
              <m:t>WS</m:t>
            </m:r>
          </m:num>
          <m:den>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wght</m:t>
                    </m:r>
                  </m:e>
                  <m:sub>
                    <m:r>
                      <w:rPr>
                        <w:rFonts w:ascii="Cambria Math" w:hAnsi="Cambria Math"/>
                        <w:szCs w:val="22"/>
                      </w:rPr>
                      <m:t>i</m:t>
                    </m:r>
                  </m:sub>
                </m:sSub>
                <m:r>
                  <w:rPr>
                    <w:rFonts w:ascii="Cambria Math" w:hAnsi="Cambria Math"/>
                    <w:szCs w:val="22"/>
                  </w:rPr>
                  <m:t>*100</m:t>
                </m:r>
              </m:e>
            </m:d>
          </m:den>
        </m:f>
      </m:oMath>
    </w:p>
    <w:p w:rsidR="00876512" w:rsidRPr="00804C98" w:rsidP="00876512" w14:paraId="5F8563E7" w14:textId="77777777">
      <w:pPr>
        <w:rPr>
          <w:szCs w:val="22"/>
        </w:rPr>
      </w:pPr>
      <w:r w:rsidRPr="00804C98">
        <w:rPr>
          <w:szCs w:val="22"/>
        </w:rPr>
        <w:t>The new objective is:</w:t>
      </w:r>
    </w:p>
    <w:p w:rsidR="00876512" w:rsidRPr="00804C98" w:rsidP="00876512" w14:paraId="1B567128" w14:textId="77777777">
      <w:pPr>
        <w:rPr>
          <w:szCs w:val="22"/>
        </w:rPr>
      </w:pPr>
      <w:r w:rsidRPr="00804C98">
        <w:rPr>
          <w:szCs w:val="22"/>
        </w:rPr>
        <w:t>Find the PEA that has the smallest population over all tied solutions:</w:t>
      </w:r>
    </w:p>
    <w:p w:rsidR="00876512" w:rsidRPr="00804C98" w:rsidP="00AF75ED" w14:paraId="5E3FD602" w14:textId="77777777">
      <w:pPr>
        <w:spacing w:before="120" w:after="240"/>
        <w:jc w:val="center"/>
        <w:rPr>
          <w:szCs w:val="22"/>
        </w:rPr>
      </w:pPr>
      <w:r w:rsidRPr="00804C98">
        <w:rPr>
          <w:szCs w:val="22"/>
        </w:rPr>
        <w:t xml:space="preserve">Min </w:t>
      </w:r>
      <m:oMath>
        <m:nary>
          <m:naryPr>
            <m:chr m:val="∑"/>
            <m:limLoc m:val="undOvr"/>
            <m:supHide/>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sub>
            </m:sSub>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e>
        </m:nary>
      </m:oMath>
    </w:p>
    <w:p w:rsidR="00876512" w:rsidRPr="00804C98" w:rsidP="00AF75ED" w14:paraId="0CCC4D2D" w14:textId="77777777">
      <w:pPr>
        <w:spacing w:after="120"/>
        <w:rPr>
          <w:szCs w:val="22"/>
        </w:rPr>
      </w:pPr>
      <w:r w:rsidRPr="00804C98">
        <w:rPr>
          <w:szCs w:val="22"/>
        </w:rPr>
        <w:t>All constraints remain the same as the previous optimization with the addition of the following constraint to limit the white space in the PEA with the partial license to be the value found in the previous optimization:</w:t>
      </w:r>
    </w:p>
    <w:p w:rsidR="00876512" w:rsidP="00F432D8" w14:paraId="2ACBABF0" w14:textId="0222BB76">
      <w:pPr>
        <w:spacing w:before="120" w:after="240"/>
        <w:jc w:val="center"/>
        <w:rPr>
          <w:szCs w:val="22"/>
        </w:rPr>
      </w:pPr>
      <m:oMathPara>
        <m:oMath>
          <m:nary>
            <m:naryPr>
              <m:chr m:val="∑"/>
              <m:limLoc m:val="undOvr"/>
              <m:supHide/>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d>
                <m:dPr>
                  <m:ctrlPr>
                    <w:rPr>
                      <w:rFonts w:ascii="Cambria Math" w:hAnsi="Cambria Math"/>
                      <w:szCs w:val="22"/>
                    </w:rPr>
                  </m:ctrlPr>
                </m:dPr>
                <m:e>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e>
              </m:d>
              <m:r>
                <m:rPr>
                  <m:sty m:val="p"/>
                </m:rPr>
                <w:rPr>
                  <w:rFonts w:ascii="Cambria Math" w:hAnsi="Cambria Math"/>
                  <w:szCs w:val="22"/>
                </w:rPr>
                <m:t>=</m:t>
              </m:r>
              <m:r>
                <w:rPr>
                  <w:rFonts w:ascii="Cambria Math" w:hAnsi="Cambria Math"/>
                  <w:szCs w:val="22"/>
                </w:rPr>
                <m:t>WS</m:t>
              </m:r>
            </m:e>
          </m:nary>
        </m:oMath>
      </m:oMathPara>
    </w:p>
    <w:p w:rsidR="00876512" w:rsidRPr="00876512" w:rsidP="00876512" w14:paraId="346E8398" w14:textId="77777777">
      <w:pPr>
        <w:pStyle w:val="AttachmentHeading3"/>
        <w:numPr>
          <w:ilvl w:val="2"/>
          <w:numId w:val="3"/>
        </w:numPr>
        <w:spacing w:before="120"/>
        <w:contextualSpacing/>
        <w:rPr>
          <w:rFonts w:hint="eastAsia"/>
          <w:szCs w:val="22"/>
        </w:rPr>
      </w:pPr>
      <w:r w:rsidRPr="00876512">
        <w:rPr>
          <w:szCs w:val="22"/>
        </w:rPr>
        <w:t>Determining the Geography of Retained Partial PEA Licenses</w:t>
      </w:r>
    </w:p>
    <w:p w:rsidR="00876512" w:rsidRPr="00804C98" w:rsidP="00876512" w14:paraId="53C451D8" w14:textId="77777777">
      <w:pPr>
        <w:rPr>
          <w:szCs w:val="22"/>
        </w:rPr>
      </w:pPr>
      <w:r w:rsidRPr="00804C98">
        <w:rPr>
          <w:szCs w:val="22"/>
        </w:rPr>
        <w:t>The geographic boundaries of a partial PEA block will be determined by adjusting the incumbent’s currently licensed area in the PEA.  Although an incumbent may provide an acceptable alternative reconfiguration, the incumbent cannot specify the geographic boundaries of the partial PEA block.  In all cases, the Commission will determine the geographic boundaries of the partial PEA block.</w:t>
      </w:r>
    </w:p>
    <w:p w:rsidR="00876512" w:rsidRPr="00804C98" w:rsidP="00831878" w14:paraId="5619CA1C" w14:textId="77777777">
      <w:pPr>
        <w:pStyle w:val="p1"/>
        <w:spacing w:before="240" w:after="240"/>
        <w:rPr>
          <w:i/>
          <w:sz w:val="22"/>
          <w:szCs w:val="22"/>
        </w:rPr>
      </w:pPr>
      <w:r w:rsidRPr="00BE6A3A">
        <w:rPr>
          <w:i/>
          <w:sz w:val="22"/>
          <w:szCs w:val="22"/>
        </w:rPr>
        <w:t>When the Geographic</w:t>
      </w:r>
      <w:r w:rsidRPr="00AE1270">
        <w:rPr>
          <w:i/>
          <w:sz w:val="22"/>
          <w:szCs w:val="22"/>
        </w:rPr>
        <w:t xml:space="preserve"> Footprint of an Incumbent’s Current H</w:t>
      </w:r>
      <w:r w:rsidRPr="00804C98">
        <w:rPr>
          <w:i/>
          <w:sz w:val="22"/>
          <w:szCs w:val="22"/>
        </w:rPr>
        <w:t>oldings Needs to be Increased</w:t>
      </w:r>
    </w:p>
    <w:p w:rsidR="00876512" w:rsidRPr="00AE1270" w:rsidP="00AF75ED" w14:paraId="54342612" w14:textId="77777777">
      <w:pPr>
        <w:pStyle w:val="p1"/>
        <w:spacing w:after="240"/>
        <w:ind w:right="-187"/>
        <w:rPr>
          <w:sz w:val="22"/>
          <w:szCs w:val="22"/>
        </w:rPr>
      </w:pPr>
      <w:r w:rsidRPr="00BE6A3A">
        <w:rPr>
          <w:sz w:val="22"/>
          <w:szCs w:val="22"/>
        </w:rPr>
        <w:t xml:space="preserve">Define each </w:t>
      </w:r>
      <w:r>
        <w:rPr>
          <w:sz w:val="22"/>
          <w:szCs w:val="22"/>
        </w:rPr>
        <w:t xml:space="preserve">grid </w:t>
      </w:r>
      <w:r w:rsidRPr="00BE6A3A">
        <w:rPr>
          <w:sz w:val="22"/>
          <w:szCs w:val="22"/>
        </w:rPr>
        <w:t xml:space="preserve">cell of the PEA in terms of an </w:t>
      </w:r>
      <w:r w:rsidRPr="00BE6A3A">
        <w:rPr>
          <w:i/>
          <w:sz w:val="22"/>
          <w:szCs w:val="22"/>
        </w:rPr>
        <w:t>i</w:t>
      </w:r>
      <w:r w:rsidRPr="00BE6A3A">
        <w:rPr>
          <w:sz w:val="22"/>
          <w:szCs w:val="22"/>
        </w:rPr>
        <w:t xml:space="preserve"> and a </w:t>
      </w:r>
      <w:r w:rsidRPr="00BE6A3A">
        <w:rPr>
          <w:i/>
          <w:sz w:val="22"/>
          <w:szCs w:val="22"/>
        </w:rPr>
        <w:t>j</w:t>
      </w:r>
      <w:r w:rsidRPr="00BE6A3A">
        <w:rPr>
          <w:sz w:val="22"/>
          <w:szCs w:val="22"/>
        </w:rPr>
        <w:t xml:space="preserve"> coordinate (where </w:t>
      </w:r>
      <w:r w:rsidRPr="00BE6A3A">
        <w:rPr>
          <w:i/>
          <w:sz w:val="22"/>
          <w:szCs w:val="22"/>
        </w:rPr>
        <w:t>i</w:t>
      </w:r>
      <w:r w:rsidRPr="00BE6A3A">
        <w:rPr>
          <w:sz w:val="22"/>
          <w:szCs w:val="22"/>
        </w:rPr>
        <w:t xml:space="preserve"> represents the </w:t>
      </w:r>
      <w:r>
        <w:rPr>
          <w:sz w:val="22"/>
          <w:szCs w:val="22"/>
        </w:rPr>
        <w:t xml:space="preserve">grid </w:t>
      </w:r>
      <w:r w:rsidRPr="00BE6A3A">
        <w:rPr>
          <w:sz w:val="22"/>
          <w:szCs w:val="22"/>
        </w:rPr>
        <w:t xml:space="preserve">cell’s position in the row numbered from left to right and the </w:t>
      </w:r>
      <w:r w:rsidRPr="00AE1270">
        <w:rPr>
          <w:i/>
          <w:sz w:val="22"/>
          <w:szCs w:val="22"/>
        </w:rPr>
        <w:t>j</w:t>
      </w:r>
      <w:r w:rsidRPr="00AE1270">
        <w:rPr>
          <w:sz w:val="22"/>
          <w:szCs w:val="22"/>
        </w:rPr>
        <w:t xml:space="preserve"> represents the </w:t>
      </w:r>
      <w:r>
        <w:rPr>
          <w:sz w:val="22"/>
          <w:szCs w:val="22"/>
        </w:rPr>
        <w:t xml:space="preserve">grid </w:t>
      </w:r>
      <w:r w:rsidRPr="00AE1270">
        <w:rPr>
          <w:sz w:val="22"/>
          <w:szCs w:val="22"/>
        </w:rPr>
        <w:t>cell’s position in the column numbered from top to bottom).</w:t>
      </w:r>
    </w:p>
    <w:p w:rsidR="00876512" w:rsidRPr="00804C98" w:rsidP="00AF75ED" w14:paraId="3463DA1A" w14:textId="051C1D61">
      <w:pPr>
        <w:pStyle w:val="p1"/>
        <w:spacing w:after="240"/>
        <w:ind w:right="-187"/>
        <w:contextualSpacing/>
        <w:rPr>
          <w:sz w:val="22"/>
          <w:szCs w:val="22"/>
        </w:rPr>
      </w:pPr>
      <w:r w:rsidRPr="00804C98">
        <w:rPr>
          <w:sz w:val="22"/>
          <w:szCs w:val="22"/>
        </w:rPr>
        <w:t>Let</w:t>
      </w:r>
      <w:r w:rsidRPr="00804C98">
        <w:rPr>
          <w:b/>
          <w:sz w:val="22"/>
          <w:szCs w:val="22"/>
        </w:rPr>
        <w:t xml:space="preserve"> </w:t>
      </w:r>
      <w:r w:rsidRPr="00804C98">
        <w:rPr>
          <w:b/>
          <w:i/>
          <w:sz w:val="22"/>
          <w:szCs w:val="22"/>
        </w:rPr>
        <w:t>T</w:t>
      </w:r>
      <w:r w:rsidRPr="00804C98">
        <w:rPr>
          <w:b/>
          <w:sz w:val="22"/>
          <w:szCs w:val="22"/>
        </w:rPr>
        <w:t xml:space="preserve"> </w:t>
      </w:r>
      <w:r w:rsidRPr="00804C98">
        <w:rPr>
          <w:sz w:val="22"/>
          <w:szCs w:val="22"/>
        </w:rPr>
        <w:t xml:space="preserve">be the total </w:t>
      </w:r>
      <w:r w:rsidR="001C63E5">
        <w:rPr>
          <w:sz w:val="22"/>
          <w:szCs w:val="22"/>
        </w:rPr>
        <w:t xml:space="preserve">weighted </w:t>
      </w:r>
      <w:r w:rsidRPr="00804C98">
        <w:rPr>
          <w:sz w:val="22"/>
          <w:szCs w:val="22"/>
        </w:rPr>
        <w:t>MHz-pops that the incumbent must have after the reconfiguration</w:t>
      </w:r>
    </w:p>
    <w:p w:rsidR="00876512" w:rsidRPr="00804C98" w:rsidP="00AF75ED" w14:paraId="75B2EF2F" w14:textId="18C9CDE9">
      <w:pPr>
        <w:pStyle w:val="p1"/>
        <w:spacing w:after="240"/>
        <w:ind w:left="810" w:right="-187" w:hanging="810"/>
        <w:rPr>
          <w:sz w:val="22"/>
          <w:szCs w:val="22"/>
        </w:rPr>
      </w:pPr>
      <w:r w:rsidRPr="00804C98">
        <w:rPr>
          <w:sz w:val="22"/>
          <w:szCs w:val="22"/>
        </w:rPr>
        <w:t xml:space="preserve">Let </w:t>
      </w:r>
      <w:r w:rsidRPr="00804C98">
        <w:rPr>
          <w:b/>
          <w:i/>
          <w:sz w:val="22"/>
          <w:szCs w:val="22"/>
        </w:rPr>
        <w:t>C</w:t>
      </w:r>
      <w:r w:rsidRPr="00804C98">
        <w:rPr>
          <w:sz w:val="22"/>
          <w:szCs w:val="22"/>
        </w:rPr>
        <w:t xml:space="preserve"> be the partial holding of the incumbent in this PEA in terms of </w:t>
      </w:r>
      <w:r w:rsidR="00752D85">
        <w:rPr>
          <w:sz w:val="22"/>
          <w:szCs w:val="22"/>
        </w:rPr>
        <w:t xml:space="preserve">weighted </w:t>
      </w:r>
      <w:r w:rsidRPr="00804C98">
        <w:rPr>
          <w:sz w:val="22"/>
          <w:szCs w:val="22"/>
        </w:rPr>
        <w:t>MHz-pops before increasing its footprint.</w:t>
      </w:r>
    </w:p>
    <w:p w:rsidR="00876512" w:rsidRPr="00804C98" w:rsidP="00AF75ED" w14:paraId="3E3A4F67" w14:textId="52169813">
      <w:pPr>
        <w:pStyle w:val="p1"/>
        <w:spacing w:after="240"/>
        <w:ind w:right="-187"/>
        <w:rPr>
          <w:i/>
          <w:sz w:val="22"/>
          <w:szCs w:val="22"/>
        </w:rPr>
      </w:pPr>
      <w:r w:rsidRPr="00BE6A3A">
        <w:rPr>
          <w:sz w:val="22"/>
          <w:szCs w:val="22"/>
        </w:rPr>
        <w:t xml:space="preserve">The process of increasing the incumbent’s geographic </w:t>
      </w:r>
      <w:r>
        <w:rPr>
          <w:sz w:val="22"/>
          <w:szCs w:val="22"/>
        </w:rPr>
        <w:t xml:space="preserve">area </w:t>
      </w:r>
      <w:r w:rsidRPr="00BE6A3A">
        <w:rPr>
          <w:sz w:val="22"/>
          <w:szCs w:val="22"/>
        </w:rPr>
        <w:t xml:space="preserve">begins by creating a list of the </w:t>
      </w:r>
      <w:r>
        <w:rPr>
          <w:sz w:val="22"/>
          <w:szCs w:val="22"/>
        </w:rPr>
        <w:t xml:space="preserve">grid </w:t>
      </w:r>
      <w:r w:rsidRPr="00BE6A3A">
        <w:rPr>
          <w:sz w:val="22"/>
          <w:szCs w:val="22"/>
        </w:rPr>
        <w:t xml:space="preserve">cells that surround the boundary of the incumbent’s current holdings in the partial PEA, i.e. all </w:t>
      </w:r>
      <w:r>
        <w:rPr>
          <w:sz w:val="22"/>
          <w:szCs w:val="22"/>
        </w:rPr>
        <w:t xml:space="preserve">grid </w:t>
      </w:r>
      <w:r w:rsidRPr="00BE6A3A">
        <w:rPr>
          <w:sz w:val="22"/>
          <w:szCs w:val="22"/>
        </w:rPr>
        <w:t xml:space="preserve">cells that </w:t>
      </w:r>
      <w:r w:rsidR="0085226A">
        <w:rPr>
          <w:sz w:val="22"/>
          <w:szCs w:val="22"/>
        </w:rPr>
        <w:t>share a side border with</w:t>
      </w:r>
      <w:r w:rsidRPr="00BE6A3A">
        <w:rPr>
          <w:sz w:val="22"/>
          <w:szCs w:val="22"/>
        </w:rPr>
        <w:t xml:space="preserve"> the </w:t>
      </w:r>
      <w:r>
        <w:rPr>
          <w:sz w:val="22"/>
          <w:szCs w:val="22"/>
        </w:rPr>
        <w:t xml:space="preserve">grid </w:t>
      </w:r>
      <w:r w:rsidRPr="00BE6A3A">
        <w:rPr>
          <w:sz w:val="22"/>
          <w:szCs w:val="22"/>
        </w:rPr>
        <w:t>cells in the pa</w:t>
      </w:r>
      <w:r w:rsidRPr="00AE1270">
        <w:rPr>
          <w:sz w:val="22"/>
          <w:szCs w:val="22"/>
        </w:rPr>
        <w:t xml:space="preserve">rtial holdings </w:t>
      </w:r>
      <w:r w:rsidRPr="00AE1270">
        <w:rPr>
          <w:i/>
          <w:sz w:val="22"/>
          <w:szCs w:val="22"/>
        </w:rPr>
        <w:t xml:space="preserve">C </w:t>
      </w:r>
      <w:r w:rsidRPr="00AE1270">
        <w:rPr>
          <w:sz w:val="22"/>
          <w:szCs w:val="22"/>
        </w:rPr>
        <w:t xml:space="preserve">but are not contained in </w:t>
      </w:r>
      <w:r w:rsidRPr="00AE1270">
        <w:rPr>
          <w:i/>
          <w:sz w:val="22"/>
          <w:szCs w:val="22"/>
        </w:rPr>
        <w:t>C</w:t>
      </w:r>
      <w:r w:rsidRPr="00AE1270">
        <w:rPr>
          <w:sz w:val="22"/>
          <w:szCs w:val="22"/>
        </w:rPr>
        <w:t xml:space="preserve">. Denote this new set of cells, </w:t>
      </w:r>
      <w:r w:rsidRPr="00AE1270">
        <w:rPr>
          <w:i/>
          <w:sz w:val="22"/>
          <w:szCs w:val="22"/>
        </w:rPr>
        <w:t>B</w:t>
      </w:r>
      <w:r w:rsidRPr="00AE1270">
        <w:rPr>
          <w:b/>
          <w:i/>
          <w:sz w:val="22"/>
          <w:szCs w:val="22"/>
        </w:rPr>
        <w:t xml:space="preserve">. </w:t>
      </w:r>
      <w:r w:rsidR="00BC54DE">
        <w:rPr>
          <w:sz w:val="22"/>
          <w:szCs w:val="22"/>
        </w:rPr>
        <w:t>I</w:t>
      </w:r>
      <w:r w:rsidRPr="00804C98">
        <w:rPr>
          <w:sz w:val="22"/>
          <w:szCs w:val="22"/>
        </w:rPr>
        <w:t xml:space="preserve">f including all cells in </w:t>
      </w:r>
      <w:r w:rsidRPr="00804C98">
        <w:rPr>
          <w:i/>
          <w:sz w:val="22"/>
          <w:szCs w:val="22"/>
        </w:rPr>
        <w:t xml:space="preserve">B </w:t>
      </w:r>
      <w:r w:rsidRPr="00804C98">
        <w:rPr>
          <w:sz w:val="22"/>
          <w:szCs w:val="22"/>
        </w:rPr>
        <w:t xml:space="preserve">as part of the incumbent’s holdings results in holdings that are less than or equal to </w:t>
      </w:r>
      <w:r w:rsidRPr="00804C98">
        <w:rPr>
          <w:i/>
          <w:sz w:val="22"/>
          <w:szCs w:val="22"/>
        </w:rPr>
        <w:t xml:space="preserve">T, </w:t>
      </w:r>
      <w:r w:rsidRPr="00804C98">
        <w:rPr>
          <w:sz w:val="22"/>
          <w:szCs w:val="22"/>
        </w:rPr>
        <w:t xml:space="preserve">then each of these cells is added to </w:t>
      </w:r>
      <w:r w:rsidRPr="00804C98">
        <w:rPr>
          <w:i/>
          <w:sz w:val="22"/>
          <w:szCs w:val="22"/>
        </w:rPr>
        <w:t xml:space="preserve">C, </w:t>
      </w:r>
      <w:r w:rsidRPr="00804C98">
        <w:rPr>
          <w:sz w:val="22"/>
          <w:szCs w:val="22"/>
        </w:rPr>
        <w:t xml:space="preserve">i.e. </w:t>
      </w:r>
      <w:r w:rsidRPr="00804C98">
        <w:rPr>
          <w:i/>
          <w:sz w:val="22"/>
          <w:szCs w:val="22"/>
        </w:rPr>
        <w:t xml:space="preserve">C = C </w:t>
      </w:r>
      <w:r w:rsidRPr="00BE6A3A">
        <w:rPr>
          <w:rFonts w:ascii="Symbol" w:hAnsi="Symbol"/>
          <w:i/>
          <w:sz w:val="22"/>
          <w:szCs w:val="22"/>
        </w:rPr>
        <w:sym w:font="Symbol" w:char="F0C8"/>
      </w:r>
      <w:r w:rsidRPr="00BE6A3A">
        <w:rPr>
          <w:i/>
          <w:sz w:val="22"/>
          <w:szCs w:val="22"/>
        </w:rPr>
        <w:t xml:space="preserve"> B. </w:t>
      </w:r>
      <w:r w:rsidRPr="00BE6A3A">
        <w:rPr>
          <w:sz w:val="22"/>
          <w:szCs w:val="22"/>
        </w:rPr>
        <w:t xml:space="preserve">We again look at the </w:t>
      </w:r>
      <w:r>
        <w:rPr>
          <w:sz w:val="22"/>
          <w:szCs w:val="22"/>
        </w:rPr>
        <w:t xml:space="preserve">grid </w:t>
      </w:r>
      <w:r w:rsidRPr="00BE6A3A">
        <w:rPr>
          <w:sz w:val="22"/>
          <w:szCs w:val="22"/>
        </w:rPr>
        <w:t xml:space="preserve">cells that are adjacent to this augmented set </w:t>
      </w:r>
      <w:r w:rsidRPr="00AE1270">
        <w:rPr>
          <w:i/>
          <w:sz w:val="22"/>
          <w:szCs w:val="22"/>
        </w:rPr>
        <w:t xml:space="preserve">C, </w:t>
      </w:r>
      <w:r w:rsidRPr="00AE1270">
        <w:rPr>
          <w:sz w:val="22"/>
          <w:szCs w:val="22"/>
        </w:rPr>
        <w:t xml:space="preserve">and put them in set </w:t>
      </w:r>
      <w:r w:rsidRPr="00AE1270">
        <w:rPr>
          <w:i/>
          <w:sz w:val="22"/>
          <w:szCs w:val="22"/>
        </w:rPr>
        <w:t xml:space="preserve">B </w:t>
      </w:r>
      <w:r w:rsidRPr="00AE1270">
        <w:rPr>
          <w:sz w:val="22"/>
          <w:szCs w:val="22"/>
        </w:rPr>
        <w:t xml:space="preserve">and again check if including all of these cells will result in holdings that are less than or equal to </w:t>
      </w:r>
      <w:r w:rsidRPr="00804C98">
        <w:rPr>
          <w:i/>
          <w:sz w:val="22"/>
          <w:szCs w:val="22"/>
        </w:rPr>
        <w:t>T.</w:t>
      </w:r>
    </w:p>
    <w:p w:rsidR="00876512" w:rsidRPr="00804C98" w:rsidP="00AF75ED" w14:paraId="7F17CF9D" w14:textId="7391DBF0">
      <w:pPr>
        <w:pStyle w:val="p1"/>
        <w:spacing w:after="240"/>
        <w:ind w:right="-187"/>
        <w:rPr>
          <w:i/>
          <w:sz w:val="22"/>
          <w:szCs w:val="22"/>
        </w:rPr>
      </w:pPr>
      <w:r w:rsidRPr="00804C98">
        <w:rPr>
          <w:sz w:val="22"/>
          <w:szCs w:val="22"/>
        </w:rPr>
        <w:t xml:space="preserve">The process continues until when examining the </w:t>
      </w:r>
      <w:r>
        <w:rPr>
          <w:sz w:val="22"/>
          <w:szCs w:val="22"/>
        </w:rPr>
        <w:t xml:space="preserve">grid </w:t>
      </w:r>
      <w:r w:rsidRPr="00804C98">
        <w:rPr>
          <w:sz w:val="22"/>
          <w:szCs w:val="22"/>
        </w:rPr>
        <w:t xml:space="preserve">cells adjacent to </w:t>
      </w:r>
      <w:r w:rsidRPr="00804C98">
        <w:rPr>
          <w:i/>
          <w:sz w:val="22"/>
          <w:szCs w:val="22"/>
        </w:rPr>
        <w:t xml:space="preserve">C </w:t>
      </w:r>
      <w:r w:rsidRPr="00804C98">
        <w:rPr>
          <w:sz w:val="22"/>
          <w:szCs w:val="22"/>
        </w:rPr>
        <w:t xml:space="preserve">and adding their holdings to </w:t>
      </w:r>
      <w:r w:rsidRPr="00804C98">
        <w:rPr>
          <w:i/>
          <w:sz w:val="22"/>
          <w:szCs w:val="22"/>
        </w:rPr>
        <w:t xml:space="preserve">C, </w:t>
      </w:r>
      <w:r w:rsidRPr="00804C98">
        <w:rPr>
          <w:sz w:val="22"/>
          <w:szCs w:val="22"/>
        </w:rPr>
        <w:t xml:space="preserve">the total holdings of the incumbent become strictly greater than </w:t>
      </w:r>
      <w:r w:rsidRPr="00804C98">
        <w:rPr>
          <w:i/>
          <w:sz w:val="22"/>
          <w:szCs w:val="22"/>
        </w:rPr>
        <w:t>T</w:t>
      </w:r>
      <w:r w:rsidRPr="00804C98">
        <w:rPr>
          <w:sz w:val="22"/>
          <w:szCs w:val="22"/>
        </w:rPr>
        <w:t xml:space="preserve">. (Note: If the holdings exactly equal </w:t>
      </w:r>
      <w:r w:rsidRPr="00804C98">
        <w:rPr>
          <w:i/>
          <w:sz w:val="22"/>
          <w:szCs w:val="22"/>
        </w:rPr>
        <w:t>T</w:t>
      </w:r>
      <w:r w:rsidRPr="00804C98">
        <w:rPr>
          <w:sz w:val="22"/>
          <w:szCs w:val="22"/>
        </w:rPr>
        <w:t xml:space="preserve">, we add the cells of </w:t>
      </w:r>
      <w:r w:rsidRPr="00804C98">
        <w:rPr>
          <w:i/>
          <w:sz w:val="22"/>
          <w:szCs w:val="22"/>
        </w:rPr>
        <w:t>B</w:t>
      </w:r>
      <w:r w:rsidRPr="00804C98">
        <w:rPr>
          <w:sz w:val="22"/>
          <w:szCs w:val="22"/>
        </w:rPr>
        <w:t xml:space="preserve"> to the cells of </w:t>
      </w:r>
      <w:r w:rsidRPr="00804C98">
        <w:rPr>
          <w:i/>
          <w:sz w:val="22"/>
          <w:szCs w:val="22"/>
        </w:rPr>
        <w:t xml:space="preserve">C, </w:t>
      </w:r>
      <w:r w:rsidRPr="00804C98">
        <w:rPr>
          <w:sz w:val="22"/>
          <w:szCs w:val="22"/>
        </w:rPr>
        <w:t xml:space="preserve">and the resulting set is the partial holdings after reconfiguration.) In this case, we do not add these cells but rather solve an optimization that only adds a subset of these boundary cells such that the total </w:t>
      </w:r>
      <w:r w:rsidR="00752D85">
        <w:rPr>
          <w:sz w:val="22"/>
          <w:szCs w:val="22"/>
        </w:rPr>
        <w:t xml:space="preserve">weighted </w:t>
      </w:r>
      <w:r w:rsidRPr="00804C98">
        <w:rPr>
          <w:sz w:val="22"/>
          <w:szCs w:val="22"/>
        </w:rPr>
        <w:t xml:space="preserve">MHz-pops is greater than or equal to </w:t>
      </w:r>
      <w:r w:rsidRPr="00804C98">
        <w:rPr>
          <w:i/>
          <w:sz w:val="22"/>
          <w:szCs w:val="22"/>
        </w:rPr>
        <w:t>T</w:t>
      </w:r>
      <w:r w:rsidRPr="00945ED8">
        <w:rPr>
          <w:sz w:val="22"/>
          <w:szCs w:val="22"/>
        </w:rPr>
        <w:t>.</w:t>
      </w:r>
      <w:r>
        <w:rPr>
          <w:rStyle w:val="FootnoteReference"/>
          <w:szCs w:val="22"/>
        </w:rPr>
        <w:footnoteReference w:id="12"/>
      </w:r>
    </w:p>
    <w:p w:rsidR="00876512" w:rsidRPr="00804C98" w:rsidP="00AF75ED" w14:paraId="2F8DE311" w14:textId="72E271D5">
      <w:pPr>
        <w:pStyle w:val="p1"/>
        <w:spacing w:after="240"/>
        <w:ind w:right="-187"/>
        <w:rPr>
          <w:sz w:val="22"/>
          <w:szCs w:val="22"/>
        </w:rPr>
      </w:pPr>
      <w:r w:rsidRPr="00804C98">
        <w:rPr>
          <w:sz w:val="22"/>
          <w:szCs w:val="22"/>
        </w:rPr>
        <w:t xml:space="preserve">We present the optimization problem that determines this new set of holdings: </w:t>
      </w:r>
    </w:p>
    <w:p w:rsidR="00876512" w:rsidRPr="00804C98" w:rsidP="00862C08" w14:paraId="2B38261A" w14:textId="77777777">
      <w:pPr>
        <w:pStyle w:val="p1"/>
        <w:spacing w:before="240" w:after="120"/>
        <w:rPr>
          <w:b/>
          <w:sz w:val="22"/>
          <w:szCs w:val="22"/>
        </w:rPr>
      </w:pPr>
      <w:r w:rsidRPr="00804C98">
        <w:rPr>
          <w:b/>
          <w:sz w:val="22"/>
          <w:szCs w:val="22"/>
        </w:rPr>
        <w:t>DATA</w:t>
      </w:r>
      <w:r>
        <w:rPr>
          <w:b/>
          <w:sz w:val="22"/>
          <w:szCs w:val="22"/>
        </w:rPr>
        <w:t>:</w:t>
      </w:r>
    </w:p>
    <w:p w:rsidR="00876512" w:rsidRPr="00804C98" w:rsidP="00876512" w14:paraId="241A8A4A" w14:textId="1E2060E9">
      <w:pPr>
        <w:pStyle w:val="p1"/>
        <w:ind w:left="360" w:right="-270" w:hanging="360"/>
        <w:rPr>
          <w:sz w:val="22"/>
          <w:szCs w:val="22"/>
        </w:rPr>
      </w:pPr>
      <w:r w:rsidRPr="00804C98">
        <w:rPr>
          <w:i/>
          <w:sz w:val="22"/>
          <w:szCs w:val="22"/>
        </w:rPr>
        <w:t>T</w:t>
      </w:r>
      <w:r w:rsidRPr="00804C98">
        <w:rPr>
          <w:sz w:val="22"/>
          <w:szCs w:val="22"/>
        </w:rPr>
        <w:t xml:space="preserve"> is the total </w:t>
      </w:r>
      <w:r w:rsidR="001C63E5">
        <w:rPr>
          <w:sz w:val="22"/>
          <w:szCs w:val="22"/>
        </w:rPr>
        <w:t xml:space="preserve">weighted </w:t>
      </w:r>
      <w:r w:rsidRPr="00804C98">
        <w:rPr>
          <w:sz w:val="22"/>
          <w:szCs w:val="22"/>
        </w:rPr>
        <w:t xml:space="preserve">MHz-pops that the incumbent is to have after the reconfiguration. </w:t>
      </w:r>
    </w:p>
    <w:p w:rsidR="00876512" w:rsidRPr="00804C98" w:rsidP="00876512" w14:paraId="2938005E" w14:textId="4FC08834">
      <w:pPr>
        <w:pStyle w:val="p1"/>
        <w:ind w:left="360" w:right="-270" w:hanging="360"/>
        <w:rPr>
          <w:sz w:val="22"/>
          <w:szCs w:val="22"/>
        </w:rPr>
      </w:pPr>
      <w:r w:rsidRPr="00804C98">
        <w:rPr>
          <w:i/>
          <w:sz w:val="22"/>
          <w:szCs w:val="22"/>
        </w:rPr>
        <w:t>C</w:t>
      </w:r>
      <w:r w:rsidRPr="00804C98">
        <w:rPr>
          <w:sz w:val="22"/>
          <w:szCs w:val="22"/>
        </w:rPr>
        <w:t xml:space="preserve"> is the set of cells allocated for this incumbent </w:t>
      </w:r>
      <w:r w:rsidR="00E05F0F">
        <w:rPr>
          <w:sz w:val="22"/>
          <w:szCs w:val="22"/>
        </w:rPr>
        <w:t xml:space="preserve">after the iteration of the process described above </w:t>
      </w:r>
      <w:r w:rsidRPr="00804C98">
        <w:rPr>
          <w:sz w:val="22"/>
          <w:szCs w:val="22"/>
        </w:rPr>
        <w:t xml:space="preserve">in which the total weighted MHz-pops is below </w:t>
      </w:r>
      <w:r w:rsidRPr="00804C98">
        <w:rPr>
          <w:i/>
          <w:sz w:val="22"/>
          <w:szCs w:val="22"/>
        </w:rPr>
        <w:t>T</w:t>
      </w:r>
      <w:r w:rsidRPr="00804C98">
        <w:rPr>
          <w:sz w:val="22"/>
          <w:szCs w:val="22"/>
        </w:rPr>
        <w:t>.</w:t>
      </w:r>
    </w:p>
    <w:p w:rsidR="00876512" w:rsidRPr="00804C98" w:rsidP="00876512" w14:paraId="6472D490" w14:textId="77777777">
      <w:pPr>
        <w:pStyle w:val="p1"/>
        <w:ind w:left="360" w:right="-270" w:hanging="360"/>
        <w:rPr>
          <w:sz w:val="22"/>
          <w:szCs w:val="22"/>
        </w:rPr>
      </w:pPr>
      <w:r w:rsidRPr="00804C98">
        <w:rPr>
          <w:i/>
          <w:sz w:val="22"/>
          <w:szCs w:val="22"/>
        </w:rPr>
        <w:t xml:space="preserve">B </w:t>
      </w:r>
      <w:r w:rsidRPr="00804C98">
        <w:rPr>
          <w:sz w:val="22"/>
          <w:szCs w:val="22"/>
        </w:rPr>
        <w:t xml:space="preserve">is the set of cells in the PEA on the external border of </w:t>
      </w:r>
      <w:r w:rsidRPr="00804C98">
        <w:rPr>
          <w:i/>
          <w:sz w:val="22"/>
          <w:szCs w:val="22"/>
        </w:rPr>
        <w:t>C</w:t>
      </w:r>
      <w:r w:rsidRPr="00804C98">
        <w:rPr>
          <w:sz w:val="22"/>
          <w:szCs w:val="22"/>
        </w:rPr>
        <w:t xml:space="preserve">, where adding </w:t>
      </w:r>
      <w:r w:rsidRPr="00804C98">
        <w:rPr>
          <w:i/>
          <w:sz w:val="22"/>
          <w:szCs w:val="22"/>
        </w:rPr>
        <w:t>B</w:t>
      </w:r>
      <w:r w:rsidRPr="00804C98">
        <w:rPr>
          <w:sz w:val="22"/>
          <w:szCs w:val="22"/>
        </w:rPr>
        <w:t xml:space="preserve"> into </w:t>
      </w:r>
      <w:r w:rsidRPr="00804C98">
        <w:rPr>
          <w:i/>
          <w:sz w:val="22"/>
          <w:szCs w:val="22"/>
        </w:rPr>
        <w:t>C</w:t>
      </w:r>
      <w:r w:rsidRPr="00804C98">
        <w:rPr>
          <w:sz w:val="22"/>
          <w:szCs w:val="22"/>
        </w:rPr>
        <w:t xml:space="preserve"> will increase the allocated holding above </w:t>
      </w:r>
      <w:r w:rsidRPr="00804C98">
        <w:rPr>
          <w:i/>
          <w:sz w:val="22"/>
          <w:szCs w:val="22"/>
        </w:rPr>
        <w:t>T</w:t>
      </w:r>
      <w:r w:rsidRPr="00804C98">
        <w:rPr>
          <w:sz w:val="22"/>
          <w:szCs w:val="22"/>
        </w:rPr>
        <w:t>.</w:t>
      </w:r>
    </w:p>
    <w:p w:rsidR="00876512" w:rsidRPr="00804C98" w:rsidP="00876512" w14:paraId="24517DEB" w14:textId="77777777">
      <w:pPr>
        <w:pStyle w:val="p1"/>
        <w:ind w:left="360" w:right="-270" w:hanging="360"/>
        <w:rPr>
          <w:sz w:val="22"/>
          <w:szCs w:val="22"/>
        </w:rPr>
      </w:pPr>
      <w:r w:rsidRPr="00804C98">
        <w:rPr>
          <w:i/>
          <w:sz w:val="22"/>
          <w:szCs w:val="22"/>
        </w:rPr>
        <w:t>V</w:t>
      </w:r>
      <w:r w:rsidRPr="00804C98">
        <w:rPr>
          <w:sz w:val="22"/>
          <w:szCs w:val="22"/>
        </w:rPr>
        <w:t>(</w:t>
      </w:r>
      <w:r w:rsidRPr="00804C98">
        <w:rPr>
          <w:i/>
          <w:sz w:val="22"/>
          <w:szCs w:val="22"/>
        </w:rPr>
        <w:t>C</w:t>
      </w:r>
      <w:r w:rsidRPr="00804C98">
        <w:rPr>
          <w:sz w:val="22"/>
          <w:szCs w:val="22"/>
        </w:rPr>
        <w:t>) is the weighted MHz-pops of cells in C.</w:t>
      </w:r>
    </w:p>
    <w:p w:rsidR="00876512" w:rsidRPr="00804C98" w:rsidP="00876512" w14:paraId="65585F89" w14:textId="77777777">
      <w:pPr>
        <w:pStyle w:val="p1"/>
        <w:ind w:left="360" w:right="-270" w:hanging="360"/>
        <w:rPr>
          <w:sz w:val="22"/>
          <w:szCs w:val="22"/>
        </w:rPr>
      </w:pPr>
      <m:oMath>
        <m:sSub>
          <m:sSubPr>
            <m:ctrlPr>
              <w:rPr>
                <w:rFonts w:ascii="Cambria Math" w:hAnsi="Cambria Math"/>
                <w:i/>
                <w:sz w:val="22"/>
              </w:rPr>
            </m:ctrlPr>
          </m:sSubPr>
          <m:e>
            <m:r>
              <w:rPr>
                <w:rFonts w:ascii="Cambria Math" w:hAnsi="Cambria Math"/>
                <w:sz w:val="22"/>
              </w:rPr>
              <m:t>w</m:t>
            </m:r>
          </m:e>
          <m:sub>
            <m:r>
              <w:rPr>
                <w:rFonts w:ascii="Cambria Math" w:hAnsi="Cambria Math"/>
                <w:sz w:val="22"/>
              </w:rPr>
              <m:t>ij</m:t>
            </m:r>
          </m:sub>
        </m:sSub>
      </m:oMath>
      <w:r w:rsidRPr="00BE6A3A">
        <w:rPr>
          <w:rFonts w:eastAsiaTheme="minorEastAsia"/>
          <w:sz w:val="22"/>
        </w:rPr>
        <w:t xml:space="preserve"> is</w:t>
      </w:r>
      <w:r w:rsidRPr="00BE6A3A">
        <w:rPr>
          <w:sz w:val="22"/>
          <w:szCs w:val="22"/>
        </w:rPr>
        <w:t xml:space="preserve"> a scalar representing the weighted MHz-pops associated with cell </w:t>
      </w:r>
      <m:oMath>
        <m:r>
          <w:rPr>
            <w:rFonts w:ascii="Cambria Math" w:hAnsi="Cambria Math"/>
            <w:sz w:val="22"/>
          </w:rPr>
          <m:t>(i,j)</m:t>
        </m:r>
      </m:oMath>
      <w:r w:rsidRPr="00AE1270">
        <w:rPr>
          <w:i/>
          <w:sz w:val="22"/>
          <w:szCs w:val="22"/>
        </w:rPr>
        <w:t xml:space="preserve"> </w:t>
      </w:r>
      <w:r w:rsidRPr="00AE1270">
        <w:rPr>
          <w:sz w:val="22"/>
          <w:szCs w:val="22"/>
        </w:rPr>
        <w:t xml:space="preserve">for each </w:t>
      </w:r>
      <m:oMath>
        <m:r>
          <w:rPr>
            <w:rFonts w:ascii="Cambria Math" w:hAnsi="Cambria Math"/>
            <w:sz w:val="22"/>
          </w:rPr>
          <m:t>(i,j)</m:t>
        </m:r>
        <m:r>
          <w:rPr>
            <w:rFonts w:ascii="Cambria Math" w:hAnsi="Cambria Math" w:eastAsiaTheme="minorEastAsia"/>
            <w:sz w:val="22"/>
          </w:rPr>
          <m:t>∈B</m:t>
        </m:r>
      </m:oMath>
      <w:r w:rsidRPr="00804C98">
        <w:rPr>
          <w:rFonts w:eastAsiaTheme="minorEastAsia"/>
          <w:sz w:val="22"/>
        </w:rPr>
        <w:t>.</w:t>
      </w:r>
    </w:p>
    <w:p w:rsidR="00876512" w:rsidRPr="00804C98" w:rsidP="00862C08" w14:paraId="2536A269" w14:textId="77777777">
      <w:pPr>
        <w:pStyle w:val="p1"/>
        <w:keepNext/>
        <w:spacing w:before="240" w:after="120"/>
        <w:rPr>
          <w:b/>
          <w:sz w:val="22"/>
          <w:szCs w:val="22"/>
        </w:rPr>
      </w:pPr>
      <w:r w:rsidRPr="00804C98">
        <w:rPr>
          <w:b/>
          <w:sz w:val="22"/>
          <w:szCs w:val="22"/>
        </w:rPr>
        <w:t>VARIABLES</w:t>
      </w:r>
      <w:r>
        <w:rPr>
          <w:b/>
          <w:sz w:val="22"/>
          <w:szCs w:val="22"/>
        </w:rPr>
        <w:t>:</w:t>
      </w:r>
    </w:p>
    <w:p w:rsidR="00876512" w:rsidRPr="00804C98" w:rsidP="00876512" w14:paraId="3C015BC1" w14:textId="20FB988E">
      <w:pPr>
        <w:pStyle w:val="p1"/>
        <w:keepNext/>
        <w:ind w:left="360" w:right="-270" w:hanging="360"/>
        <w:rPr>
          <w:sz w:val="22"/>
          <w:szCs w:val="22"/>
        </w:rPr>
      </w:pPr>
      <m:oMath>
        <m:sSub>
          <m:sSubPr>
            <m:ctrlPr>
              <w:rPr>
                <w:rFonts w:ascii="Cambria Math" w:hAnsi="Cambria Math"/>
                <w:i/>
                <w:sz w:val="22"/>
              </w:rPr>
            </m:ctrlPr>
          </m:sSubPr>
          <m:e>
            <m:r>
              <w:rPr>
                <w:rFonts w:ascii="Cambria Math" w:hAnsi="Cambria Math"/>
                <w:sz w:val="22"/>
              </w:rPr>
              <m:t>x</m:t>
            </m:r>
          </m:e>
          <m:sub>
            <m:r>
              <w:rPr>
                <w:rFonts w:ascii="Cambria Math" w:hAnsi="Cambria Math"/>
                <w:sz w:val="22"/>
              </w:rPr>
              <m:t>ij</m:t>
            </m:r>
          </m:sub>
        </m:sSub>
      </m:oMath>
      <w:r w:rsidRPr="00BE6A3A">
        <w:rPr>
          <w:rFonts w:eastAsiaTheme="minorEastAsia"/>
          <w:sz w:val="22"/>
        </w:rPr>
        <w:t xml:space="preserve"> is a binary variable </w:t>
      </w:r>
      <w:r w:rsidR="001C63E5">
        <w:rPr>
          <w:rFonts w:eastAsiaTheme="minorEastAsia"/>
          <w:sz w:val="22"/>
        </w:rPr>
        <w:t xml:space="preserve">which </w:t>
      </w:r>
      <w:r w:rsidRPr="00BE6A3A">
        <w:rPr>
          <w:rFonts w:eastAsiaTheme="minorEastAsia"/>
          <w:sz w:val="22"/>
        </w:rPr>
        <w:t xml:space="preserve">represents </w:t>
      </w:r>
      <w:r w:rsidRPr="00BE6A3A">
        <w:rPr>
          <w:sz w:val="22"/>
          <w:szCs w:val="22"/>
        </w:rPr>
        <w:t>the</w:t>
      </w:r>
      <w:r w:rsidRPr="00BE6A3A">
        <w:rPr>
          <w:rFonts w:eastAsiaTheme="minorEastAsia"/>
          <w:sz w:val="22"/>
        </w:rPr>
        <w:t xml:space="preserve"> (</w:t>
      </w:r>
      <w:r w:rsidRPr="00BE6A3A">
        <w:rPr>
          <w:rFonts w:eastAsiaTheme="minorEastAsia"/>
          <w:i/>
          <w:sz w:val="22"/>
        </w:rPr>
        <w:t>i</w:t>
      </w:r>
      <w:r w:rsidRPr="00BE6A3A">
        <w:rPr>
          <w:rFonts w:eastAsiaTheme="minorEastAsia"/>
          <w:sz w:val="22"/>
        </w:rPr>
        <w:t>,</w:t>
      </w:r>
      <w:r w:rsidRPr="00BE6A3A">
        <w:rPr>
          <w:rFonts w:eastAsiaTheme="minorEastAsia"/>
          <w:i/>
          <w:sz w:val="22"/>
        </w:rPr>
        <w:t>j</w:t>
      </w:r>
      <w:r w:rsidRPr="00AE1270">
        <w:rPr>
          <w:rFonts w:eastAsiaTheme="minorEastAsia"/>
          <w:sz w:val="22"/>
        </w:rPr>
        <w:t>)</w:t>
      </w:r>
      <w:r w:rsidRPr="00AE1270">
        <w:rPr>
          <w:rFonts w:eastAsiaTheme="minorEastAsia"/>
          <w:sz w:val="22"/>
          <w:vertAlign w:val="superscript"/>
        </w:rPr>
        <w:t>th</w:t>
      </w:r>
      <w:r w:rsidRPr="00AE1270">
        <w:rPr>
          <w:rFonts w:eastAsiaTheme="minorEastAsia"/>
          <w:sz w:val="22"/>
        </w:rPr>
        <w:t xml:space="preserve"> cell in B.  It has value 1 if this cell is included in the final reconfiguration, and 0 otherwise.</w:t>
      </w:r>
    </w:p>
    <w:p w:rsidR="00876512" w:rsidRPr="00804C98" w:rsidP="00862C08" w14:paraId="2D62D741" w14:textId="77777777">
      <w:pPr>
        <w:pStyle w:val="p1"/>
        <w:spacing w:before="240" w:after="120"/>
        <w:rPr>
          <w:b/>
          <w:sz w:val="22"/>
          <w:szCs w:val="22"/>
        </w:rPr>
      </w:pPr>
      <w:r w:rsidRPr="00804C98">
        <w:rPr>
          <w:b/>
          <w:sz w:val="22"/>
          <w:szCs w:val="22"/>
        </w:rPr>
        <w:t>OBJECTIVE FUNCTION</w:t>
      </w:r>
      <w:r>
        <w:rPr>
          <w:b/>
          <w:sz w:val="22"/>
          <w:szCs w:val="22"/>
        </w:rPr>
        <w:t>:</w:t>
      </w:r>
    </w:p>
    <w:p w:rsidR="00876512" w:rsidRPr="00BE6A3A" w:rsidP="00AF75ED" w14:paraId="43E8B4C6" w14:textId="28360158">
      <w:pPr>
        <w:pStyle w:val="p1"/>
        <w:spacing w:before="120" w:after="120"/>
        <w:rPr>
          <w:sz w:val="22"/>
          <w:szCs w:val="22"/>
        </w:rPr>
      </w:pPr>
      <w:r w:rsidRPr="00BE6A3A">
        <w:rPr>
          <w:sz w:val="22"/>
          <w:szCs w:val="22"/>
        </w:rPr>
        <w:t xml:space="preserve">Minimize the total </w:t>
      </w:r>
      <w:r w:rsidR="001C63E5">
        <w:rPr>
          <w:sz w:val="22"/>
          <w:szCs w:val="22"/>
        </w:rPr>
        <w:t>weighted MHz-pops</w:t>
      </w:r>
      <w:r w:rsidRPr="00BE6A3A" w:rsidR="001C63E5">
        <w:rPr>
          <w:sz w:val="22"/>
          <w:szCs w:val="22"/>
        </w:rPr>
        <w:t xml:space="preserve"> </w:t>
      </w:r>
      <w:r w:rsidRPr="00BE6A3A">
        <w:rPr>
          <w:sz w:val="22"/>
          <w:szCs w:val="22"/>
        </w:rPr>
        <w:t>of the cells in the new geographic footprint.</w:t>
      </w:r>
    </w:p>
    <w:p w:rsidR="00876512" w:rsidRPr="00EC082C" w:rsidP="00876512" w14:paraId="516BF9CD" w14:textId="47D4DF47">
      <w:pPr>
        <w:pStyle w:val="p1"/>
        <w:rPr>
          <w:b/>
          <w:sz w:val="22"/>
          <w:szCs w:val="22"/>
        </w:rPr>
      </w:pPr>
      <m:oMathPara>
        <m:oMathParaPr>
          <m:jc m:val="center"/>
        </m:oMathParaPr>
        <m:oMath>
          <m:func>
            <m:funcPr>
              <m:ctrlPr>
                <w:rPr>
                  <w:rFonts w:ascii="Cambria Math" w:hAnsi="Cambria Math" w:eastAsiaTheme="minorEastAsia"/>
                  <w:i/>
                  <w:sz w:val="22"/>
                  <w:szCs w:val="22"/>
                </w:rPr>
              </m:ctrlPr>
            </m:funcPr>
            <m:fName>
              <m:r>
                <m:rPr>
                  <m:sty m:val="p"/>
                </m:rPr>
                <w:rPr>
                  <w:rFonts w:ascii="Cambria Math" w:hAnsi="Cambria Math" w:eastAsiaTheme="minorEastAsia"/>
                  <w:sz w:val="22"/>
                  <w:szCs w:val="22"/>
                </w:rPr>
                <m:t>min</m:t>
              </m:r>
            </m:fName>
            <m:e>
              <m:nary>
                <m:naryPr>
                  <m:chr m:val="∑"/>
                  <m:limLoc m:val="undOvr"/>
                  <m:supHide/>
                  <m:ctrlPr>
                    <w:rPr>
                      <w:rFonts w:ascii="Cambria Math" w:hAnsi="Cambria Math"/>
                      <w:i/>
                      <w:sz w:val="22"/>
                      <w:szCs w:val="22"/>
                    </w:rPr>
                  </m:ctrlPr>
                </m:naryPr>
                <m:sub>
                  <m:d>
                    <m:dPr>
                      <m:ctrlPr>
                        <w:rPr>
                          <w:rFonts w:ascii="Cambria Math" w:hAnsi="Cambria Math"/>
                          <w:i/>
                          <w:sz w:val="22"/>
                          <w:szCs w:val="22"/>
                        </w:rPr>
                      </m:ctrlPr>
                    </m:dPr>
                    <m:e>
                      <m:r>
                        <w:rPr>
                          <w:rFonts w:ascii="Cambria Math" w:hAnsi="Cambria Math"/>
                          <w:sz w:val="22"/>
                          <w:szCs w:val="22"/>
                        </w:rPr>
                        <m:t>i,j</m:t>
                      </m:r>
                    </m:e>
                  </m:d>
                  <m:r>
                    <w:rPr>
                      <w:rFonts w:ascii="Cambria Math" w:hAnsi="Cambria Math"/>
                      <w:sz w:val="22"/>
                      <w:szCs w:val="22"/>
                    </w:rPr>
                    <m:t>∈B</m:t>
                  </m:r>
                </m:sub>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ij</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xml:space="preserve"> </m:t>
                  </m:r>
                </m:e>
              </m:nary>
            </m:e>
          </m:func>
        </m:oMath>
      </m:oMathPara>
    </w:p>
    <w:p w:rsidR="00876512" w:rsidRPr="003B5CA8" w:rsidP="00862C08" w14:paraId="60FD0E26" w14:textId="0B2CB54A">
      <w:pPr>
        <w:pStyle w:val="p1"/>
        <w:spacing w:before="240" w:after="120"/>
        <w:rPr>
          <w:b/>
          <w:sz w:val="22"/>
          <w:szCs w:val="22"/>
        </w:rPr>
      </w:pPr>
      <w:r w:rsidRPr="00AE1270">
        <w:rPr>
          <w:b/>
          <w:sz w:val="22"/>
          <w:szCs w:val="22"/>
        </w:rPr>
        <w:t>CONSTRAINTS:</w:t>
      </w:r>
    </w:p>
    <w:p w:rsidR="00876512" w:rsidRPr="00804C98" w:rsidP="00862C08" w14:paraId="6714BFD6" w14:textId="77777777">
      <w:pPr>
        <w:pStyle w:val="p1"/>
        <w:spacing w:before="240" w:after="120"/>
        <w:rPr>
          <w:sz w:val="22"/>
          <w:szCs w:val="22"/>
        </w:rPr>
      </w:pPr>
      <w:r w:rsidRPr="00804C98">
        <w:rPr>
          <w:sz w:val="22"/>
          <w:szCs w:val="22"/>
        </w:rPr>
        <w:t>Assuring that the total weighted MHz-pops of selected cells in B to join C together with C is at least T.</w:t>
      </w:r>
    </w:p>
    <w:p w:rsidR="00876512" w:rsidRPr="00EC082C" w:rsidP="00876512" w14:paraId="2210747F" w14:textId="4C86807B">
      <w:pPr>
        <w:pStyle w:val="p1"/>
        <w:rPr>
          <w:sz w:val="22"/>
          <w:szCs w:val="22"/>
        </w:rPr>
      </w:pPr>
      <m:oMathPara>
        <m:oMathParaPr>
          <m:jc m:val="center"/>
        </m:oMathParaPr>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nary>
            <m:naryPr>
              <m:chr m:val="∑"/>
              <m:limLoc m:val="undOvr"/>
              <m:supHide/>
              <m:ctrlPr>
                <w:rPr>
                  <w:rFonts w:ascii="Cambria Math" w:hAnsi="Cambria Math"/>
                  <w:i/>
                  <w:sz w:val="22"/>
                  <w:szCs w:val="22"/>
                </w:rPr>
              </m:ctrlPr>
            </m:naryPr>
            <m:sub>
              <m:d>
                <m:dPr>
                  <m:ctrlPr>
                    <w:rPr>
                      <w:rFonts w:ascii="Cambria Math" w:hAnsi="Cambria Math"/>
                      <w:i/>
                      <w:sz w:val="22"/>
                      <w:szCs w:val="22"/>
                    </w:rPr>
                  </m:ctrlPr>
                </m:dPr>
                <m:e>
                  <m:r>
                    <w:rPr>
                      <w:rFonts w:ascii="Cambria Math" w:hAnsi="Cambria Math"/>
                      <w:sz w:val="22"/>
                      <w:szCs w:val="22"/>
                    </w:rPr>
                    <m:t>i,j</m:t>
                  </m:r>
                </m:e>
              </m:d>
              <m:r>
                <w:rPr>
                  <w:rFonts w:ascii="Cambria Math" w:hAnsi="Cambria Math"/>
                  <w:sz w:val="22"/>
                  <w:szCs w:val="22"/>
                </w:rPr>
                <m:t>∈B</m:t>
              </m:r>
            </m:sub>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ij</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e>
          </m:nary>
          <m:r>
            <w:rPr>
              <w:rFonts w:ascii="Cambria Math" w:hAnsi="Cambria Math"/>
              <w:sz w:val="22"/>
              <w:szCs w:val="22"/>
            </w:rPr>
            <m:t>≥</m:t>
          </m:r>
          <m:r>
            <w:rPr>
              <w:rFonts w:ascii="Cambria Math" w:hAnsi="Cambria Math"/>
              <w:sz w:val="22"/>
            </w:rPr>
            <m:t>T</m:t>
          </m:r>
        </m:oMath>
      </m:oMathPara>
    </w:p>
    <w:p w:rsidR="00876512" w:rsidRPr="00BE6A3A" w:rsidP="00831878" w14:paraId="1FFE8D8A" w14:textId="77777777">
      <w:pPr>
        <w:pStyle w:val="p1"/>
        <w:spacing w:before="240" w:after="240"/>
        <w:rPr>
          <w:i/>
          <w:sz w:val="24"/>
          <w:szCs w:val="24"/>
        </w:rPr>
      </w:pPr>
      <w:r w:rsidRPr="00BE6A3A">
        <w:rPr>
          <w:i/>
          <w:sz w:val="24"/>
          <w:szCs w:val="24"/>
        </w:rPr>
        <w:t>When the Geographic Footprint of an Incumbent’s Current Holdings Needs to be Decreased</w:t>
      </w:r>
    </w:p>
    <w:p w:rsidR="00876512" w:rsidRPr="00804C98" w:rsidP="00AF75ED" w14:paraId="2E4EF9ED" w14:textId="77777777">
      <w:pPr>
        <w:pStyle w:val="p1"/>
        <w:spacing w:after="240"/>
        <w:ind w:right="-180"/>
        <w:rPr>
          <w:sz w:val="22"/>
          <w:szCs w:val="22"/>
        </w:rPr>
      </w:pPr>
      <w:r w:rsidRPr="00BE6A3A">
        <w:rPr>
          <w:sz w:val="22"/>
          <w:szCs w:val="22"/>
        </w:rPr>
        <w:t xml:space="preserve">Define each </w:t>
      </w:r>
      <w:r>
        <w:rPr>
          <w:sz w:val="22"/>
          <w:szCs w:val="22"/>
        </w:rPr>
        <w:t xml:space="preserve">grid </w:t>
      </w:r>
      <w:r w:rsidRPr="00BE6A3A">
        <w:rPr>
          <w:sz w:val="22"/>
          <w:szCs w:val="22"/>
        </w:rPr>
        <w:t xml:space="preserve">cell of the PEA in terms of an </w:t>
      </w:r>
      <w:r w:rsidRPr="00BE6A3A">
        <w:rPr>
          <w:i/>
          <w:sz w:val="22"/>
          <w:szCs w:val="22"/>
        </w:rPr>
        <w:t>i</w:t>
      </w:r>
      <w:r w:rsidRPr="00BE6A3A">
        <w:rPr>
          <w:sz w:val="22"/>
          <w:szCs w:val="22"/>
        </w:rPr>
        <w:t xml:space="preserve"> and a </w:t>
      </w:r>
      <w:r w:rsidRPr="00BE6A3A">
        <w:rPr>
          <w:i/>
          <w:sz w:val="22"/>
          <w:szCs w:val="22"/>
        </w:rPr>
        <w:t>j</w:t>
      </w:r>
      <w:r w:rsidRPr="00BE6A3A">
        <w:rPr>
          <w:sz w:val="22"/>
          <w:szCs w:val="22"/>
        </w:rPr>
        <w:t xml:space="preserve"> coordinate (where </w:t>
      </w:r>
      <w:r w:rsidRPr="00BE6A3A">
        <w:rPr>
          <w:i/>
          <w:sz w:val="22"/>
          <w:szCs w:val="22"/>
        </w:rPr>
        <w:t>i</w:t>
      </w:r>
      <w:r w:rsidRPr="00AE1270">
        <w:rPr>
          <w:sz w:val="22"/>
          <w:szCs w:val="22"/>
        </w:rPr>
        <w:t xml:space="preserve"> represents the </w:t>
      </w:r>
      <w:r>
        <w:rPr>
          <w:sz w:val="22"/>
          <w:szCs w:val="22"/>
        </w:rPr>
        <w:t xml:space="preserve">grid </w:t>
      </w:r>
      <w:r w:rsidRPr="00AE1270">
        <w:rPr>
          <w:sz w:val="22"/>
          <w:szCs w:val="22"/>
        </w:rPr>
        <w:t xml:space="preserve">cell’s position in the row numbered from left to right and the </w:t>
      </w:r>
      <w:r w:rsidRPr="00804C98">
        <w:rPr>
          <w:i/>
          <w:sz w:val="22"/>
          <w:szCs w:val="22"/>
        </w:rPr>
        <w:t>j</w:t>
      </w:r>
      <w:r w:rsidRPr="00804C98">
        <w:rPr>
          <w:sz w:val="22"/>
          <w:szCs w:val="22"/>
        </w:rPr>
        <w:t xml:space="preserve"> represents the </w:t>
      </w:r>
      <w:r>
        <w:rPr>
          <w:sz w:val="22"/>
          <w:szCs w:val="22"/>
        </w:rPr>
        <w:t xml:space="preserve">grid </w:t>
      </w:r>
      <w:r w:rsidRPr="00804C98">
        <w:rPr>
          <w:sz w:val="22"/>
          <w:szCs w:val="22"/>
        </w:rPr>
        <w:t>cell’s position in the column numbered from top to bottom).</w:t>
      </w:r>
    </w:p>
    <w:p w:rsidR="00876512" w:rsidRPr="00804C98" w:rsidP="00AF75ED" w14:paraId="18FCE328" w14:textId="438AF792">
      <w:pPr>
        <w:pStyle w:val="p1"/>
        <w:spacing w:after="240"/>
        <w:ind w:right="-187"/>
        <w:contextualSpacing/>
        <w:rPr>
          <w:sz w:val="22"/>
          <w:szCs w:val="22"/>
        </w:rPr>
      </w:pPr>
      <w:r w:rsidRPr="00804C98">
        <w:rPr>
          <w:sz w:val="22"/>
          <w:szCs w:val="22"/>
        </w:rPr>
        <w:t>Let</w:t>
      </w:r>
      <w:r w:rsidRPr="00804C98">
        <w:rPr>
          <w:b/>
          <w:sz w:val="22"/>
          <w:szCs w:val="22"/>
        </w:rPr>
        <w:t xml:space="preserve"> </w:t>
      </w:r>
      <w:r w:rsidRPr="00804C98">
        <w:rPr>
          <w:b/>
          <w:i/>
          <w:sz w:val="22"/>
          <w:szCs w:val="22"/>
        </w:rPr>
        <w:t>T</w:t>
      </w:r>
      <w:r w:rsidRPr="00804C98">
        <w:rPr>
          <w:b/>
          <w:sz w:val="22"/>
          <w:szCs w:val="22"/>
        </w:rPr>
        <w:t xml:space="preserve"> </w:t>
      </w:r>
      <w:r w:rsidRPr="00804C98">
        <w:rPr>
          <w:sz w:val="22"/>
          <w:szCs w:val="22"/>
        </w:rPr>
        <w:t xml:space="preserve">be the total </w:t>
      </w:r>
      <w:r w:rsidR="001C63E5">
        <w:rPr>
          <w:sz w:val="22"/>
          <w:szCs w:val="22"/>
        </w:rPr>
        <w:t xml:space="preserve">weighted </w:t>
      </w:r>
      <w:r w:rsidRPr="00804C98">
        <w:rPr>
          <w:sz w:val="22"/>
          <w:szCs w:val="22"/>
        </w:rPr>
        <w:t>MHz-pops that the incumbent must have after the reconfiguration</w:t>
      </w:r>
      <w:r w:rsidR="00EC082C">
        <w:rPr>
          <w:sz w:val="22"/>
          <w:szCs w:val="22"/>
        </w:rPr>
        <w:t>.</w:t>
      </w:r>
      <w:r w:rsidRPr="00804C98">
        <w:rPr>
          <w:sz w:val="22"/>
          <w:szCs w:val="22"/>
        </w:rPr>
        <w:t xml:space="preserve"> </w:t>
      </w:r>
    </w:p>
    <w:p w:rsidR="00876512" w:rsidRPr="00804C98" w:rsidP="00AF75ED" w14:paraId="38A33D17" w14:textId="66C3F45D">
      <w:pPr>
        <w:pStyle w:val="p1"/>
        <w:spacing w:after="240"/>
        <w:ind w:left="810" w:right="-180" w:hanging="810"/>
        <w:rPr>
          <w:sz w:val="22"/>
          <w:szCs w:val="22"/>
        </w:rPr>
      </w:pPr>
      <w:r w:rsidRPr="00804C98">
        <w:rPr>
          <w:sz w:val="22"/>
          <w:szCs w:val="22"/>
        </w:rPr>
        <w:t xml:space="preserve">Let </w:t>
      </w:r>
      <w:r w:rsidRPr="00804C98">
        <w:rPr>
          <w:b/>
          <w:i/>
          <w:sz w:val="22"/>
          <w:szCs w:val="22"/>
        </w:rPr>
        <w:t>C</w:t>
      </w:r>
      <w:r w:rsidRPr="00804C98">
        <w:rPr>
          <w:sz w:val="22"/>
          <w:szCs w:val="22"/>
        </w:rPr>
        <w:t xml:space="preserve"> be the partial holding of the incumbent in this PEA in terms of</w:t>
      </w:r>
      <w:r w:rsidR="00752D85">
        <w:rPr>
          <w:sz w:val="22"/>
          <w:szCs w:val="22"/>
        </w:rPr>
        <w:t xml:space="preserve"> weighted</w:t>
      </w:r>
      <w:r w:rsidRPr="00804C98">
        <w:rPr>
          <w:sz w:val="22"/>
          <w:szCs w:val="22"/>
        </w:rPr>
        <w:t xml:space="preserve"> MHz-pops before decreasing its footprint</w:t>
      </w:r>
      <w:r w:rsidR="00EC082C">
        <w:rPr>
          <w:sz w:val="22"/>
          <w:szCs w:val="22"/>
        </w:rPr>
        <w:t>.</w:t>
      </w:r>
    </w:p>
    <w:p w:rsidR="00876512" w:rsidRPr="00804C98" w:rsidP="00AF75ED" w14:paraId="576B1424" w14:textId="7EB85249">
      <w:pPr>
        <w:pStyle w:val="p1"/>
        <w:spacing w:after="240"/>
        <w:ind w:right="-180"/>
        <w:rPr>
          <w:sz w:val="22"/>
          <w:szCs w:val="22"/>
        </w:rPr>
      </w:pPr>
      <w:r w:rsidRPr="00BE6A3A">
        <w:rPr>
          <w:sz w:val="22"/>
          <w:szCs w:val="22"/>
        </w:rPr>
        <w:t xml:space="preserve">The process of decreasing the geographic begins by considering the </w:t>
      </w:r>
      <w:r>
        <w:rPr>
          <w:sz w:val="22"/>
          <w:szCs w:val="22"/>
        </w:rPr>
        <w:t xml:space="preserve">grid </w:t>
      </w:r>
      <w:r w:rsidRPr="00BE6A3A">
        <w:rPr>
          <w:sz w:val="22"/>
          <w:szCs w:val="22"/>
        </w:rPr>
        <w:t>cells that make up the boundary of the incumbent’s current holdings in the partial PEA. T</w:t>
      </w:r>
      <w:r w:rsidRPr="00AE1270">
        <w:rPr>
          <w:sz w:val="22"/>
          <w:szCs w:val="22"/>
        </w:rPr>
        <w:t xml:space="preserve">hat </w:t>
      </w:r>
      <w:r w:rsidRPr="00AE1270">
        <w:rPr>
          <w:sz w:val="22"/>
          <w:szCs w:val="22"/>
        </w:rPr>
        <w:t>is</w:t>
      </w:r>
      <w:r w:rsidRPr="00AE1270">
        <w:rPr>
          <w:sz w:val="22"/>
          <w:szCs w:val="22"/>
        </w:rPr>
        <w:t xml:space="preserve"> all cells that are within the partial holding </w:t>
      </w:r>
      <w:r w:rsidRPr="00AE1270">
        <w:rPr>
          <w:i/>
          <w:sz w:val="22"/>
          <w:szCs w:val="22"/>
        </w:rPr>
        <w:t>C</w:t>
      </w:r>
      <w:r w:rsidRPr="00AE1270">
        <w:rPr>
          <w:sz w:val="22"/>
          <w:szCs w:val="22"/>
        </w:rPr>
        <w:t xml:space="preserve"> and </w:t>
      </w:r>
      <w:r w:rsidR="0085226A">
        <w:rPr>
          <w:sz w:val="22"/>
          <w:szCs w:val="22"/>
        </w:rPr>
        <w:t>share a side border with</w:t>
      </w:r>
      <w:r w:rsidRPr="00AE1270">
        <w:rPr>
          <w:sz w:val="22"/>
          <w:szCs w:val="22"/>
        </w:rPr>
        <w:t xml:space="preserve"> cells that are not in </w:t>
      </w:r>
      <w:r w:rsidRPr="00804C98">
        <w:rPr>
          <w:i/>
          <w:sz w:val="22"/>
          <w:szCs w:val="22"/>
        </w:rPr>
        <w:t>C</w:t>
      </w:r>
      <w:r w:rsidRPr="00804C98">
        <w:rPr>
          <w:sz w:val="22"/>
          <w:szCs w:val="22"/>
        </w:rPr>
        <w:t>.</w:t>
      </w:r>
    </w:p>
    <w:p w:rsidR="00876512" w:rsidRPr="00804C98" w:rsidP="00AF75ED" w14:paraId="44AA0E39" w14:textId="77777777">
      <w:pPr>
        <w:pStyle w:val="p1"/>
        <w:spacing w:after="240"/>
        <w:ind w:right="-180"/>
        <w:rPr>
          <w:i/>
          <w:sz w:val="22"/>
          <w:szCs w:val="22"/>
        </w:rPr>
      </w:pPr>
      <w:r w:rsidRPr="00804C98">
        <w:rPr>
          <w:sz w:val="22"/>
          <w:szCs w:val="22"/>
        </w:rPr>
        <w:t xml:space="preserve">Denote this new set of </w:t>
      </w:r>
      <w:r>
        <w:rPr>
          <w:sz w:val="22"/>
          <w:szCs w:val="22"/>
        </w:rPr>
        <w:t xml:space="preserve">grid </w:t>
      </w:r>
      <w:r w:rsidRPr="00804C98">
        <w:rPr>
          <w:sz w:val="22"/>
          <w:szCs w:val="22"/>
        </w:rPr>
        <w:t xml:space="preserve">cells, </w:t>
      </w:r>
      <w:r w:rsidRPr="00804C98">
        <w:rPr>
          <w:b/>
          <w:i/>
          <w:sz w:val="22"/>
          <w:szCs w:val="22"/>
        </w:rPr>
        <w:t xml:space="preserve">B. </w:t>
      </w:r>
      <w:r w:rsidRPr="00804C98">
        <w:rPr>
          <w:sz w:val="22"/>
          <w:szCs w:val="22"/>
        </w:rPr>
        <w:t xml:space="preserve"> If removing all of these cells results in holdings that are still greater than or equal to </w:t>
      </w:r>
      <w:r w:rsidRPr="00804C98">
        <w:rPr>
          <w:i/>
          <w:sz w:val="22"/>
          <w:szCs w:val="22"/>
        </w:rPr>
        <w:t xml:space="preserve">T, </w:t>
      </w:r>
      <w:r w:rsidRPr="00804C98">
        <w:rPr>
          <w:sz w:val="22"/>
          <w:szCs w:val="22"/>
        </w:rPr>
        <w:t xml:space="preserve">then each of these cells is removed and now </w:t>
      </w:r>
      <w:r w:rsidRPr="00804C98">
        <w:rPr>
          <w:i/>
          <w:sz w:val="22"/>
          <w:szCs w:val="22"/>
        </w:rPr>
        <w:t xml:space="preserve">C= C \ B. </w:t>
      </w:r>
    </w:p>
    <w:p w:rsidR="00876512" w:rsidRPr="00804C98" w:rsidP="00AF75ED" w14:paraId="04D6D2D7" w14:textId="78FC71C8">
      <w:pPr>
        <w:pStyle w:val="p1"/>
        <w:spacing w:after="240"/>
        <w:ind w:right="-180"/>
        <w:rPr>
          <w:sz w:val="22"/>
          <w:szCs w:val="22"/>
        </w:rPr>
      </w:pPr>
      <w:r w:rsidRPr="00804C98">
        <w:rPr>
          <w:sz w:val="22"/>
          <w:szCs w:val="22"/>
        </w:rPr>
        <w:t xml:space="preserve">The process continues until when examining the </w:t>
      </w:r>
      <w:r>
        <w:rPr>
          <w:sz w:val="22"/>
          <w:szCs w:val="22"/>
        </w:rPr>
        <w:t xml:space="preserve">grid </w:t>
      </w:r>
      <w:r w:rsidRPr="00804C98">
        <w:rPr>
          <w:sz w:val="22"/>
          <w:szCs w:val="22"/>
        </w:rPr>
        <w:t xml:space="preserve">cells on the boundary of </w:t>
      </w:r>
      <w:r w:rsidRPr="00804C98">
        <w:rPr>
          <w:i/>
          <w:sz w:val="22"/>
          <w:szCs w:val="22"/>
        </w:rPr>
        <w:t xml:space="preserve">C </w:t>
      </w:r>
      <w:r w:rsidRPr="00804C98">
        <w:rPr>
          <w:sz w:val="22"/>
          <w:szCs w:val="22"/>
        </w:rPr>
        <w:t xml:space="preserve">and removing them from </w:t>
      </w:r>
      <w:r w:rsidRPr="00804C98">
        <w:rPr>
          <w:i/>
          <w:sz w:val="22"/>
          <w:szCs w:val="22"/>
        </w:rPr>
        <w:t xml:space="preserve">C, </w:t>
      </w:r>
      <w:r w:rsidRPr="00804C98">
        <w:rPr>
          <w:sz w:val="22"/>
          <w:szCs w:val="22"/>
        </w:rPr>
        <w:t>the total</w:t>
      </w:r>
      <w:r w:rsidR="00752D85">
        <w:rPr>
          <w:sz w:val="22"/>
          <w:szCs w:val="22"/>
        </w:rPr>
        <w:t xml:space="preserve"> weighted</w:t>
      </w:r>
      <w:r w:rsidRPr="00804C98">
        <w:rPr>
          <w:sz w:val="22"/>
          <w:szCs w:val="22"/>
        </w:rPr>
        <w:t xml:space="preserve"> MHz-pops of the incumbent is strictly less than </w:t>
      </w:r>
      <w:r w:rsidRPr="00804C98">
        <w:rPr>
          <w:i/>
          <w:sz w:val="22"/>
          <w:szCs w:val="22"/>
        </w:rPr>
        <w:t xml:space="preserve">T. </w:t>
      </w:r>
      <w:r w:rsidRPr="00804C98">
        <w:rPr>
          <w:sz w:val="22"/>
          <w:szCs w:val="22"/>
        </w:rPr>
        <w:t xml:space="preserve">(Note: If the holdings exactly equal </w:t>
      </w:r>
      <w:r w:rsidRPr="00804C98">
        <w:rPr>
          <w:i/>
          <w:sz w:val="22"/>
          <w:szCs w:val="22"/>
        </w:rPr>
        <w:t>T</w:t>
      </w:r>
      <w:r w:rsidRPr="00804C98">
        <w:rPr>
          <w:sz w:val="22"/>
          <w:szCs w:val="22"/>
        </w:rPr>
        <w:t xml:space="preserve">: we remove the boundary cells of </w:t>
      </w:r>
      <w:r w:rsidRPr="00804C98">
        <w:rPr>
          <w:i/>
          <w:sz w:val="22"/>
          <w:szCs w:val="22"/>
        </w:rPr>
        <w:t xml:space="preserve">C, </w:t>
      </w:r>
      <w:r w:rsidRPr="00804C98">
        <w:rPr>
          <w:sz w:val="22"/>
          <w:szCs w:val="22"/>
        </w:rPr>
        <w:t>and the resulting set is the partial holdings after reconfiguration.)</w:t>
      </w:r>
    </w:p>
    <w:p w:rsidR="00876512" w:rsidRPr="00804C98" w:rsidP="00AF75ED" w14:paraId="3833D080" w14:textId="30992FB3">
      <w:pPr>
        <w:pStyle w:val="p1"/>
        <w:spacing w:after="240"/>
        <w:ind w:right="-180"/>
        <w:rPr>
          <w:i/>
          <w:sz w:val="22"/>
          <w:szCs w:val="22"/>
        </w:rPr>
      </w:pPr>
      <w:r w:rsidRPr="00804C98">
        <w:rPr>
          <w:sz w:val="22"/>
          <w:szCs w:val="22"/>
        </w:rPr>
        <w:t xml:space="preserve">In this case, we do not remove these </w:t>
      </w:r>
      <w:r>
        <w:rPr>
          <w:sz w:val="22"/>
          <w:szCs w:val="22"/>
        </w:rPr>
        <w:t xml:space="preserve">grid </w:t>
      </w:r>
      <w:r w:rsidRPr="00804C98">
        <w:rPr>
          <w:sz w:val="22"/>
          <w:szCs w:val="22"/>
        </w:rPr>
        <w:t>cells but rather solve an optimization that only removes a subset of these boundary cells such that the total</w:t>
      </w:r>
      <w:r w:rsidR="00752D85">
        <w:rPr>
          <w:sz w:val="22"/>
          <w:szCs w:val="22"/>
        </w:rPr>
        <w:t xml:space="preserve"> weighted</w:t>
      </w:r>
      <w:r w:rsidRPr="00804C98">
        <w:rPr>
          <w:sz w:val="22"/>
          <w:szCs w:val="22"/>
        </w:rPr>
        <w:t xml:space="preserve"> MHz-pops is greater than or equal to </w:t>
      </w:r>
      <w:r w:rsidRPr="00804C98">
        <w:rPr>
          <w:i/>
          <w:sz w:val="22"/>
          <w:szCs w:val="22"/>
        </w:rPr>
        <w:t>T</w:t>
      </w:r>
      <w:r w:rsidRPr="00945ED8">
        <w:rPr>
          <w:sz w:val="22"/>
          <w:szCs w:val="22"/>
        </w:rPr>
        <w:t>.</w:t>
      </w:r>
      <w:r>
        <w:rPr>
          <w:rStyle w:val="FootnoteReference"/>
          <w:szCs w:val="22"/>
        </w:rPr>
        <w:footnoteReference w:id="13"/>
      </w:r>
    </w:p>
    <w:p w:rsidR="00876512" w:rsidRPr="00804C98" w:rsidP="00AF75ED" w14:paraId="486D304D" w14:textId="77777777">
      <w:pPr>
        <w:pStyle w:val="p1"/>
        <w:spacing w:after="240"/>
        <w:rPr>
          <w:sz w:val="22"/>
          <w:szCs w:val="22"/>
        </w:rPr>
      </w:pPr>
      <w:r w:rsidRPr="00804C98">
        <w:rPr>
          <w:sz w:val="22"/>
          <w:szCs w:val="22"/>
        </w:rPr>
        <w:t xml:space="preserve">We present the optimization problem that determines this new set of holdings. </w:t>
      </w:r>
    </w:p>
    <w:p w:rsidR="00876512" w:rsidRPr="00804C98" w:rsidP="00862C08" w14:paraId="5EDE61F6" w14:textId="77777777">
      <w:pPr>
        <w:pStyle w:val="p1"/>
        <w:spacing w:before="240" w:after="120"/>
        <w:rPr>
          <w:b/>
          <w:sz w:val="22"/>
          <w:szCs w:val="22"/>
        </w:rPr>
      </w:pPr>
      <w:r w:rsidRPr="00804C98">
        <w:rPr>
          <w:b/>
          <w:sz w:val="22"/>
          <w:szCs w:val="22"/>
        </w:rPr>
        <w:t>DATA</w:t>
      </w:r>
      <w:r>
        <w:rPr>
          <w:b/>
          <w:sz w:val="22"/>
          <w:szCs w:val="22"/>
        </w:rPr>
        <w:t>:</w:t>
      </w:r>
    </w:p>
    <w:p w:rsidR="00876512" w:rsidRPr="00804C98" w:rsidP="00876512" w14:paraId="14610837" w14:textId="3EFFE993">
      <w:pPr>
        <w:pStyle w:val="p1"/>
        <w:ind w:left="360" w:right="-270" w:hanging="360"/>
        <w:rPr>
          <w:sz w:val="22"/>
          <w:szCs w:val="22"/>
        </w:rPr>
      </w:pPr>
      <w:r w:rsidRPr="00804C98">
        <w:rPr>
          <w:i/>
          <w:sz w:val="22"/>
          <w:szCs w:val="22"/>
        </w:rPr>
        <w:t>T</w:t>
      </w:r>
      <w:r w:rsidRPr="00804C98">
        <w:rPr>
          <w:sz w:val="22"/>
          <w:szCs w:val="22"/>
        </w:rPr>
        <w:t xml:space="preserve"> is the total </w:t>
      </w:r>
      <w:r w:rsidR="001C63E5">
        <w:rPr>
          <w:sz w:val="22"/>
          <w:szCs w:val="22"/>
        </w:rPr>
        <w:t xml:space="preserve">weighted </w:t>
      </w:r>
      <w:r w:rsidRPr="00804C98">
        <w:rPr>
          <w:sz w:val="22"/>
          <w:szCs w:val="22"/>
        </w:rPr>
        <w:t xml:space="preserve">MHz-pops that the incumbent is to have after the reconfiguration. </w:t>
      </w:r>
    </w:p>
    <w:p w:rsidR="00876512" w:rsidRPr="00804C98" w:rsidP="00876512" w14:paraId="6984E465" w14:textId="3ADE4743">
      <w:pPr>
        <w:pStyle w:val="p1"/>
        <w:ind w:left="360" w:right="-270" w:hanging="360"/>
        <w:rPr>
          <w:sz w:val="22"/>
          <w:szCs w:val="22"/>
        </w:rPr>
      </w:pPr>
      <w:r w:rsidRPr="00804C98">
        <w:rPr>
          <w:i/>
          <w:sz w:val="22"/>
          <w:szCs w:val="22"/>
        </w:rPr>
        <w:t>C</w:t>
      </w:r>
      <w:r w:rsidRPr="00804C98">
        <w:rPr>
          <w:sz w:val="22"/>
          <w:szCs w:val="22"/>
        </w:rPr>
        <w:t xml:space="preserve"> is the set of cells allocated for this incumbent </w:t>
      </w:r>
      <w:r w:rsidR="001C63E5">
        <w:rPr>
          <w:sz w:val="22"/>
          <w:szCs w:val="22"/>
        </w:rPr>
        <w:t xml:space="preserve">after the iteration of the process described above </w:t>
      </w:r>
      <w:r w:rsidRPr="00804C98">
        <w:rPr>
          <w:sz w:val="22"/>
          <w:szCs w:val="22"/>
        </w:rPr>
        <w:t xml:space="preserve">in which the total weighted MHz-pops is above </w:t>
      </w:r>
      <w:r w:rsidRPr="00804C98">
        <w:rPr>
          <w:i/>
          <w:sz w:val="22"/>
          <w:szCs w:val="22"/>
        </w:rPr>
        <w:t>T</w:t>
      </w:r>
      <w:r w:rsidRPr="00804C98">
        <w:rPr>
          <w:sz w:val="22"/>
          <w:szCs w:val="22"/>
        </w:rPr>
        <w:t>.</w:t>
      </w:r>
    </w:p>
    <w:p w:rsidR="00876512" w:rsidRPr="00804C98" w:rsidP="00876512" w14:paraId="2A3ADC4C" w14:textId="77777777">
      <w:pPr>
        <w:pStyle w:val="p1"/>
        <w:ind w:left="360" w:right="-270" w:hanging="360"/>
        <w:rPr>
          <w:sz w:val="22"/>
          <w:szCs w:val="22"/>
        </w:rPr>
      </w:pPr>
      <w:r w:rsidRPr="00804C98">
        <w:rPr>
          <w:i/>
          <w:sz w:val="22"/>
          <w:szCs w:val="22"/>
        </w:rPr>
        <w:t xml:space="preserve">B </w:t>
      </w:r>
      <w:r w:rsidRPr="00804C98">
        <w:rPr>
          <w:sz w:val="22"/>
          <w:szCs w:val="22"/>
        </w:rPr>
        <w:t xml:space="preserve">is the set of cells in C and on the internal border of </w:t>
      </w:r>
      <w:r w:rsidRPr="00804C98">
        <w:rPr>
          <w:i/>
          <w:sz w:val="22"/>
          <w:szCs w:val="22"/>
        </w:rPr>
        <w:t>C</w:t>
      </w:r>
      <w:r w:rsidRPr="00804C98">
        <w:rPr>
          <w:sz w:val="22"/>
          <w:szCs w:val="22"/>
        </w:rPr>
        <w:t xml:space="preserve">, where removing </w:t>
      </w:r>
      <w:r w:rsidRPr="00804C98">
        <w:rPr>
          <w:i/>
          <w:sz w:val="22"/>
          <w:szCs w:val="22"/>
        </w:rPr>
        <w:t>B</w:t>
      </w:r>
      <w:r w:rsidRPr="00804C98">
        <w:rPr>
          <w:sz w:val="22"/>
          <w:szCs w:val="22"/>
        </w:rPr>
        <w:t xml:space="preserve"> from </w:t>
      </w:r>
      <w:r w:rsidRPr="00804C98">
        <w:rPr>
          <w:i/>
          <w:sz w:val="22"/>
          <w:szCs w:val="22"/>
        </w:rPr>
        <w:t>C</w:t>
      </w:r>
      <w:r w:rsidRPr="00804C98">
        <w:rPr>
          <w:sz w:val="22"/>
          <w:szCs w:val="22"/>
        </w:rPr>
        <w:t xml:space="preserve"> will reduce the allocated holding below </w:t>
      </w:r>
      <w:r w:rsidRPr="00804C98">
        <w:rPr>
          <w:i/>
          <w:sz w:val="22"/>
          <w:szCs w:val="22"/>
        </w:rPr>
        <w:t>T</w:t>
      </w:r>
      <w:r w:rsidRPr="00804C98">
        <w:rPr>
          <w:sz w:val="22"/>
          <w:szCs w:val="22"/>
        </w:rPr>
        <w:t>.</w:t>
      </w:r>
    </w:p>
    <w:p w:rsidR="00876512" w:rsidRPr="00804C98" w:rsidP="00876512" w14:paraId="2F220EC6" w14:textId="7C60BB50">
      <w:pPr>
        <w:pStyle w:val="p1"/>
        <w:ind w:left="360" w:right="-270" w:hanging="360"/>
        <w:rPr>
          <w:sz w:val="22"/>
          <w:szCs w:val="22"/>
        </w:rPr>
      </w:pPr>
      <w:r w:rsidRPr="00804C98">
        <w:rPr>
          <w:i/>
          <w:sz w:val="22"/>
          <w:szCs w:val="22"/>
        </w:rPr>
        <w:t>V</w:t>
      </w:r>
      <w:r w:rsidRPr="00804C98">
        <w:rPr>
          <w:sz w:val="22"/>
          <w:szCs w:val="22"/>
        </w:rPr>
        <w:t>(</w:t>
      </w:r>
      <w:r w:rsidRPr="00804C98">
        <w:rPr>
          <w:i/>
          <w:sz w:val="22"/>
          <w:szCs w:val="22"/>
        </w:rPr>
        <w:t>C</w:t>
      </w:r>
      <w:r w:rsidRPr="00804C98">
        <w:rPr>
          <w:sz w:val="22"/>
          <w:szCs w:val="22"/>
        </w:rPr>
        <w:t>) is the weighted MHz</w:t>
      </w:r>
      <w:r w:rsidR="00E05F0F">
        <w:rPr>
          <w:sz w:val="22"/>
          <w:szCs w:val="22"/>
        </w:rPr>
        <w:t>-p</w:t>
      </w:r>
      <w:r w:rsidRPr="00804C98">
        <w:rPr>
          <w:sz w:val="22"/>
          <w:szCs w:val="22"/>
        </w:rPr>
        <w:t>ops of cells in C.</w:t>
      </w:r>
    </w:p>
    <w:p w:rsidR="00876512" w:rsidRPr="00804C98" w:rsidP="00876512" w14:paraId="489DA07D" w14:textId="77777777">
      <w:pPr>
        <w:pStyle w:val="p1"/>
        <w:ind w:left="360" w:right="-270" w:hanging="360"/>
        <w:rPr>
          <w:sz w:val="22"/>
          <w:szCs w:val="22"/>
        </w:rPr>
      </w:pPr>
      <m:oMath>
        <m:sSub>
          <m:sSubPr>
            <m:ctrlPr>
              <w:rPr>
                <w:rFonts w:ascii="Cambria Math" w:hAnsi="Cambria Math"/>
                <w:i/>
                <w:sz w:val="22"/>
              </w:rPr>
            </m:ctrlPr>
          </m:sSubPr>
          <m:e>
            <m:r>
              <w:rPr>
                <w:rFonts w:ascii="Cambria Math" w:hAnsi="Cambria Math"/>
                <w:sz w:val="22"/>
              </w:rPr>
              <m:t>w</m:t>
            </m:r>
          </m:e>
          <m:sub>
            <m:r>
              <w:rPr>
                <w:rFonts w:ascii="Cambria Math" w:hAnsi="Cambria Math"/>
                <w:sz w:val="22"/>
              </w:rPr>
              <m:t>ij</m:t>
            </m:r>
          </m:sub>
        </m:sSub>
      </m:oMath>
      <w:r w:rsidRPr="00BE6A3A">
        <w:rPr>
          <w:rFonts w:eastAsiaTheme="minorEastAsia"/>
          <w:sz w:val="22"/>
        </w:rPr>
        <w:t xml:space="preserve"> is</w:t>
      </w:r>
      <w:r w:rsidRPr="00BE6A3A">
        <w:rPr>
          <w:sz w:val="22"/>
          <w:szCs w:val="22"/>
        </w:rPr>
        <w:t xml:space="preserve"> a scalar representing the weighted MHz-pops associated with cell </w:t>
      </w:r>
      <m:oMath>
        <m:r>
          <w:rPr>
            <w:rFonts w:ascii="Cambria Math" w:hAnsi="Cambria Math"/>
            <w:sz w:val="22"/>
          </w:rPr>
          <m:t>(i,j)</m:t>
        </m:r>
      </m:oMath>
      <w:r w:rsidRPr="00AE1270">
        <w:rPr>
          <w:i/>
          <w:sz w:val="22"/>
          <w:szCs w:val="22"/>
        </w:rPr>
        <w:t xml:space="preserve"> </w:t>
      </w:r>
      <w:r w:rsidRPr="00AE1270">
        <w:rPr>
          <w:sz w:val="22"/>
          <w:szCs w:val="22"/>
        </w:rPr>
        <w:t xml:space="preserve">for each </w:t>
      </w:r>
      <m:oMath>
        <m:r>
          <w:rPr>
            <w:rFonts w:ascii="Cambria Math" w:hAnsi="Cambria Math"/>
            <w:sz w:val="22"/>
          </w:rPr>
          <m:t>(i,j)</m:t>
        </m:r>
        <m:r>
          <w:rPr>
            <w:rFonts w:ascii="Cambria Math" w:hAnsi="Cambria Math" w:eastAsiaTheme="minorEastAsia"/>
            <w:sz w:val="22"/>
          </w:rPr>
          <m:t>∈B</m:t>
        </m:r>
      </m:oMath>
      <w:r w:rsidRPr="00804C98">
        <w:rPr>
          <w:rFonts w:eastAsiaTheme="minorEastAsia"/>
          <w:sz w:val="22"/>
        </w:rPr>
        <w:t>.</w:t>
      </w:r>
    </w:p>
    <w:p w:rsidR="00876512" w:rsidRPr="00804C98" w:rsidP="00862C08" w14:paraId="69E35AA9" w14:textId="77777777">
      <w:pPr>
        <w:pStyle w:val="p1"/>
        <w:keepNext/>
        <w:spacing w:before="240" w:after="120"/>
        <w:rPr>
          <w:b/>
          <w:sz w:val="22"/>
          <w:szCs w:val="22"/>
        </w:rPr>
      </w:pPr>
      <w:r w:rsidRPr="00804C98">
        <w:rPr>
          <w:b/>
          <w:sz w:val="22"/>
          <w:szCs w:val="22"/>
        </w:rPr>
        <w:t xml:space="preserve">VARIABLES: </w:t>
      </w:r>
    </w:p>
    <w:p w:rsidR="00876512" w:rsidRPr="00804C98" w:rsidP="00876512" w14:paraId="5219EB39" w14:textId="77777777">
      <w:pPr>
        <w:pStyle w:val="p1"/>
        <w:keepNext/>
        <w:ind w:left="360" w:right="-270" w:hanging="360"/>
        <w:rPr>
          <w:sz w:val="22"/>
          <w:szCs w:val="22"/>
        </w:rPr>
      </w:pPr>
      <m:oMath>
        <m:sSub>
          <m:sSubPr>
            <m:ctrlPr>
              <w:rPr>
                <w:rFonts w:ascii="Cambria Math" w:hAnsi="Cambria Math"/>
                <w:i/>
                <w:sz w:val="22"/>
              </w:rPr>
            </m:ctrlPr>
          </m:sSubPr>
          <m:e>
            <m:r>
              <w:rPr>
                <w:rFonts w:ascii="Cambria Math" w:hAnsi="Cambria Math"/>
                <w:sz w:val="22"/>
              </w:rPr>
              <m:t>x</m:t>
            </m:r>
          </m:e>
          <m:sub>
            <m:r>
              <w:rPr>
                <w:rFonts w:ascii="Cambria Math" w:hAnsi="Cambria Math"/>
                <w:sz w:val="22"/>
              </w:rPr>
              <m:t>ij</m:t>
            </m:r>
          </m:sub>
        </m:sSub>
      </m:oMath>
      <w:r w:rsidRPr="00BE6A3A">
        <w:rPr>
          <w:rFonts w:eastAsiaTheme="minorEastAsia"/>
          <w:sz w:val="22"/>
        </w:rPr>
        <w:t xml:space="preserve"> is a binary variable represents </w:t>
      </w:r>
      <w:r w:rsidRPr="00BE6A3A">
        <w:rPr>
          <w:sz w:val="22"/>
          <w:szCs w:val="22"/>
        </w:rPr>
        <w:t>the</w:t>
      </w:r>
      <w:r w:rsidRPr="00BE6A3A">
        <w:rPr>
          <w:rFonts w:eastAsiaTheme="minorEastAsia"/>
          <w:sz w:val="22"/>
        </w:rPr>
        <w:t xml:space="preserve"> (</w:t>
      </w:r>
      <w:r w:rsidRPr="00BE6A3A">
        <w:rPr>
          <w:rFonts w:eastAsiaTheme="minorEastAsia"/>
          <w:i/>
          <w:sz w:val="22"/>
        </w:rPr>
        <w:t>i</w:t>
      </w:r>
      <w:r w:rsidRPr="00BE6A3A">
        <w:rPr>
          <w:rFonts w:eastAsiaTheme="minorEastAsia"/>
          <w:sz w:val="22"/>
        </w:rPr>
        <w:t>,</w:t>
      </w:r>
      <w:r w:rsidRPr="00BE6A3A">
        <w:rPr>
          <w:rFonts w:eastAsiaTheme="minorEastAsia"/>
          <w:i/>
          <w:sz w:val="22"/>
        </w:rPr>
        <w:t>j</w:t>
      </w:r>
      <w:r w:rsidRPr="00AE1270">
        <w:rPr>
          <w:rFonts w:eastAsiaTheme="minorEastAsia"/>
          <w:sz w:val="22"/>
        </w:rPr>
        <w:t>)</w:t>
      </w:r>
      <w:r w:rsidRPr="00AE1270">
        <w:rPr>
          <w:rFonts w:eastAsiaTheme="minorEastAsia"/>
          <w:sz w:val="22"/>
          <w:vertAlign w:val="superscript"/>
        </w:rPr>
        <w:t>th</w:t>
      </w:r>
      <w:r w:rsidRPr="00AE1270">
        <w:rPr>
          <w:rFonts w:eastAsiaTheme="minorEastAsia"/>
          <w:sz w:val="22"/>
        </w:rPr>
        <w:t xml:space="preserve"> cell in B.  It has value 1 if this cell is not included in the final reconfiguratio</w:t>
      </w:r>
      <w:r w:rsidRPr="00804C98">
        <w:rPr>
          <w:rFonts w:eastAsiaTheme="minorEastAsia"/>
          <w:sz w:val="22"/>
        </w:rPr>
        <w:t>n, and 0 otherwise.</w:t>
      </w:r>
    </w:p>
    <w:p w:rsidR="00876512" w:rsidRPr="00804C98" w:rsidP="00862C08" w14:paraId="0BBA4D7E" w14:textId="77777777">
      <w:pPr>
        <w:pStyle w:val="p1"/>
        <w:spacing w:before="240" w:after="120"/>
        <w:rPr>
          <w:b/>
          <w:sz w:val="22"/>
          <w:szCs w:val="22"/>
        </w:rPr>
      </w:pPr>
      <w:r w:rsidRPr="00804C98">
        <w:rPr>
          <w:b/>
          <w:sz w:val="22"/>
          <w:szCs w:val="22"/>
        </w:rPr>
        <w:t>OBJECTIVE FUNCTION</w:t>
      </w:r>
      <w:r>
        <w:rPr>
          <w:b/>
          <w:sz w:val="22"/>
          <w:szCs w:val="22"/>
        </w:rPr>
        <w:t>:</w:t>
      </w:r>
    </w:p>
    <w:p w:rsidR="00876512" w:rsidRPr="00BE6A3A" w:rsidP="00876512" w14:paraId="053B9838" w14:textId="40F41047">
      <w:pPr>
        <w:pStyle w:val="p1"/>
        <w:rPr>
          <w:sz w:val="22"/>
          <w:szCs w:val="22"/>
        </w:rPr>
      </w:pPr>
      <w:r w:rsidRPr="00BE6A3A">
        <w:rPr>
          <w:sz w:val="22"/>
          <w:szCs w:val="22"/>
        </w:rPr>
        <w:t>M</w:t>
      </w:r>
      <w:r w:rsidR="00E05F0F">
        <w:rPr>
          <w:sz w:val="22"/>
          <w:szCs w:val="22"/>
        </w:rPr>
        <w:t>aximize</w:t>
      </w:r>
      <w:r w:rsidRPr="00BE6A3A">
        <w:rPr>
          <w:sz w:val="22"/>
          <w:szCs w:val="22"/>
        </w:rPr>
        <w:t xml:space="preserve"> the total </w:t>
      </w:r>
      <w:r w:rsidR="00E05F0F">
        <w:rPr>
          <w:sz w:val="22"/>
          <w:szCs w:val="22"/>
        </w:rPr>
        <w:t>weighted MHz-pops</w:t>
      </w:r>
      <w:r w:rsidRPr="00BE6A3A" w:rsidR="00E05F0F">
        <w:rPr>
          <w:sz w:val="22"/>
          <w:szCs w:val="22"/>
        </w:rPr>
        <w:t xml:space="preserve"> </w:t>
      </w:r>
      <w:r w:rsidRPr="00BE6A3A">
        <w:rPr>
          <w:sz w:val="22"/>
          <w:szCs w:val="22"/>
        </w:rPr>
        <w:t xml:space="preserve">of the cells </w:t>
      </w:r>
      <w:r w:rsidR="00E05F0F">
        <w:rPr>
          <w:sz w:val="22"/>
          <w:szCs w:val="22"/>
        </w:rPr>
        <w:t>removed from the border of</w:t>
      </w:r>
      <w:r w:rsidR="0038692C">
        <w:rPr>
          <w:sz w:val="22"/>
          <w:szCs w:val="22"/>
        </w:rPr>
        <w:t xml:space="preserve"> C</w:t>
      </w:r>
      <w:r w:rsidR="00E05F0F">
        <w:rPr>
          <w:sz w:val="22"/>
          <w:szCs w:val="22"/>
        </w:rPr>
        <w:t xml:space="preserve"> </w:t>
      </w:r>
      <w:r w:rsidRPr="00BE6A3A">
        <w:rPr>
          <w:sz w:val="22"/>
          <w:szCs w:val="22"/>
        </w:rPr>
        <w:t>in the new geographic footprint.</w:t>
      </w:r>
    </w:p>
    <w:p w:rsidR="00876512" w:rsidRPr="00767224" w:rsidP="00876512" w14:paraId="5A4B4DB8" w14:textId="0039AE5D">
      <w:pPr>
        <w:pStyle w:val="p1"/>
        <w:rPr>
          <w:b/>
          <w:sz w:val="22"/>
          <w:szCs w:val="22"/>
        </w:rPr>
      </w:pPr>
      <m:oMathPara>
        <m:oMathParaPr>
          <m:jc m:val="center"/>
        </m:oMathParaPr>
        <m:oMath>
          <m:func>
            <m:funcPr>
              <m:ctrlPr>
                <w:rPr>
                  <w:rFonts w:ascii="Cambria Math" w:hAnsi="Cambria Math" w:eastAsiaTheme="minorEastAsia"/>
                  <w:i/>
                  <w:sz w:val="22"/>
                  <w:szCs w:val="22"/>
                </w:rPr>
              </m:ctrlPr>
            </m:funcPr>
            <m:fName>
              <m:r>
                <m:rPr>
                  <m:sty m:val="p"/>
                </m:rPr>
                <w:rPr>
                  <w:rFonts w:ascii="Cambria Math" w:hAnsi="Cambria Math" w:eastAsiaTheme="minorEastAsia"/>
                  <w:sz w:val="22"/>
                  <w:szCs w:val="22"/>
                </w:rPr>
                <m:t>max</m:t>
              </m:r>
            </m:fName>
            <m:e>
              <m:nary>
                <m:naryPr>
                  <m:chr m:val="∑"/>
                  <m:limLoc m:val="undOvr"/>
                  <m:supHide/>
                  <m:ctrlPr>
                    <w:rPr>
                      <w:rFonts w:ascii="Cambria Math" w:hAnsi="Cambria Math"/>
                      <w:i/>
                      <w:sz w:val="22"/>
                      <w:szCs w:val="22"/>
                    </w:rPr>
                  </m:ctrlPr>
                </m:naryPr>
                <m:sub>
                  <m:d>
                    <m:dPr>
                      <m:ctrlPr>
                        <w:rPr>
                          <w:rFonts w:ascii="Cambria Math" w:hAnsi="Cambria Math"/>
                          <w:i/>
                          <w:sz w:val="22"/>
                          <w:szCs w:val="22"/>
                        </w:rPr>
                      </m:ctrlPr>
                    </m:dPr>
                    <m:e>
                      <m:r>
                        <w:rPr>
                          <w:rFonts w:ascii="Cambria Math" w:hAnsi="Cambria Math"/>
                          <w:sz w:val="22"/>
                          <w:szCs w:val="22"/>
                        </w:rPr>
                        <m:t>i,j</m:t>
                      </m:r>
                    </m:e>
                  </m:d>
                  <m:r>
                    <w:rPr>
                      <w:rFonts w:ascii="Cambria Math" w:hAnsi="Cambria Math"/>
                      <w:sz w:val="22"/>
                      <w:szCs w:val="22"/>
                    </w:rPr>
                    <m:t>∈B</m:t>
                  </m:r>
                </m:sub>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ij</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xml:space="preserve"> </m:t>
                  </m:r>
                </m:e>
              </m:nary>
            </m:e>
          </m:func>
        </m:oMath>
      </m:oMathPara>
    </w:p>
    <w:p w:rsidR="00876512" w:rsidRPr="003B5CA8" w:rsidP="00862C08" w14:paraId="6CDEADD1" w14:textId="77777777">
      <w:pPr>
        <w:pStyle w:val="p1"/>
        <w:spacing w:before="240" w:after="120"/>
        <w:rPr>
          <w:b/>
          <w:sz w:val="22"/>
          <w:szCs w:val="22"/>
        </w:rPr>
      </w:pPr>
      <w:r w:rsidRPr="00AE1270">
        <w:rPr>
          <w:b/>
          <w:sz w:val="22"/>
          <w:szCs w:val="22"/>
        </w:rPr>
        <w:t xml:space="preserve">CONSTRAINTS:   </w:t>
      </w:r>
    </w:p>
    <w:p w:rsidR="00876512" w:rsidRPr="00804C98" w:rsidP="00876512" w14:paraId="35BF1506" w14:textId="471F959D">
      <w:pPr>
        <w:pStyle w:val="p1"/>
        <w:rPr>
          <w:sz w:val="22"/>
          <w:szCs w:val="22"/>
        </w:rPr>
      </w:pPr>
      <w:r>
        <w:rPr>
          <w:sz w:val="22"/>
          <w:szCs w:val="22"/>
        </w:rPr>
        <w:t>T</w:t>
      </w:r>
      <w:r w:rsidRPr="00804C98">
        <w:rPr>
          <w:sz w:val="22"/>
          <w:szCs w:val="22"/>
        </w:rPr>
        <w:t xml:space="preserve">he total weighted MHz-pops </w:t>
      </w:r>
      <w:r>
        <w:rPr>
          <w:sz w:val="22"/>
          <w:szCs w:val="22"/>
        </w:rPr>
        <w:t xml:space="preserve">after removing the cells </w:t>
      </w:r>
      <w:r w:rsidRPr="00F66CE2">
        <w:rPr>
          <w:i/>
          <w:sz w:val="22"/>
          <w:szCs w:val="22"/>
        </w:rPr>
        <w:t>(</w:t>
      </w:r>
      <w:r w:rsidRPr="00F66CE2">
        <w:rPr>
          <w:i/>
          <w:sz w:val="22"/>
          <w:szCs w:val="22"/>
        </w:rPr>
        <w:t>i,j</w:t>
      </w:r>
      <w:r w:rsidRPr="00F66CE2">
        <w:rPr>
          <w:i/>
          <w:sz w:val="22"/>
          <w:szCs w:val="22"/>
        </w:rPr>
        <w:t>)</w:t>
      </w:r>
      <w:r>
        <w:rPr>
          <w:sz w:val="22"/>
          <w:szCs w:val="22"/>
        </w:rPr>
        <w:t xml:space="preserve"> </w:t>
      </w:r>
      <w:r w:rsidRPr="00AE1270">
        <w:rPr>
          <w:rFonts w:eastAsiaTheme="minorEastAsia"/>
          <w:sz w:val="22"/>
        </w:rPr>
        <w:t>in B</w:t>
      </w:r>
      <w:r>
        <w:rPr>
          <w:sz w:val="22"/>
          <w:szCs w:val="22"/>
        </w:rPr>
        <w:t xml:space="preserve"> that will not be included in the final configuration</w:t>
      </w:r>
      <m:oMath>
        <m:r>
          <w:rPr>
            <w:rFonts w:ascii="Cambria Math" w:hAnsi="Cambria Math"/>
            <w:sz w:val="22"/>
          </w:rPr>
          <m:t xml:space="preserve"> </m:t>
        </m:r>
      </m:oMath>
      <w:r w:rsidRPr="00804C98">
        <w:rPr>
          <w:sz w:val="22"/>
          <w:szCs w:val="22"/>
        </w:rPr>
        <w:t>is at least T.</w:t>
      </w:r>
    </w:p>
    <w:p w:rsidR="00876512" w:rsidRPr="00767224" w:rsidP="00876512" w14:paraId="7E9668CF" w14:textId="3FE2D25E">
      <w:pPr>
        <w:pStyle w:val="p1"/>
        <w:rPr>
          <w:sz w:val="22"/>
          <w:szCs w:val="22"/>
        </w:rPr>
      </w:pPr>
      <w:bookmarkStart w:id="3" w:name="_Hlk3383521"/>
      <m:oMathPara>
        <m:oMathParaPr>
          <m:jc m:val="center"/>
        </m:oMathParaPr>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nary>
            <m:naryPr>
              <m:chr m:val="∑"/>
              <m:limLoc m:val="undOvr"/>
              <m:supHide/>
              <m:ctrlPr>
                <w:rPr>
                  <w:rFonts w:ascii="Cambria Math" w:hAnsi="Cambria Math"/>
                  <w:i/>
                  <w:sz w:val="22"/>
                  <w:szCs w:val="22"/>
                </w:rPr>
              </m:ctrlPr>
            </m:naryPr>
            <m:sub>
              <m:d>
                <m:dPr>
                  <m:ctrlPr>
                    <w:rPr>
                      <w:rFonts w:ascii="Cambria Math" w:hAnsi="Cambria Math"/>
                      <w:i/>
                      <w:sz w:val="22"/>
                      <w:szCs w:val="22"/>
                    </w:rPr>
                  </m:ctrlPr>
                </m:dPr>
                <m:e>
                  <m:r>
                    <w:rPr>
                      <w:rFonts w:ascii="Cambria Math" w:hAnsi="Cambria Math"/>
                      <w:sz w:val="22"/>
                      <w:szCs w:val="22"/>
                    </w:rPr>
                    <m:t>i,j</m:t>
                  </m:r>
                </m:e>
              </m:d>
              <m:r>
                <w:rPr>
                  <w:rFonts w:ascii="Cambria Math" w:hAnsi="Cambria Math"/>
                  <w:sz w:val="22"/>
                  <w:szCs w:val="22"/>
                </w:rPr>
                <m:t>∈B</m:t>
              </m:r>
            </m:sub>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ij</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e>
          </m:nary>
          <m:r>
            <w:rPr>
              <w:rFonts w:ascii="Cambria Math" w:hAnsi="Cambria Math"/>
              <w:sz w:val="22"/>
              <w:szCs w:val="22"/>
            </w:rPr>
            <m:t>≥T</m:t>
          </m:r>
        </m:oMath>
      </m:oMathPara>
    </w:p>
    <w:bookmarkEnd w:id="3"/>
    <w:p w:rsidR="00876512" w:rsidRPr="00AE1270" w:rsidP="00876512" w14:paraId="6B3FC109" w14:textId="77777777">
      <w:pPr>
        <w:spacing w:after="60" w:line="259" w:lineRule="auto"/>
        <w:jc w:val="both"/>
        <w:rPr>
          <w:szCs w:val="22"/>
        </w:rPr>
      </w:pPr>
    </w:p>
    <w:sectPr w:rsidSect="007E1DE6">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977" w:rsidP="007E1DE6" w14:paraId="1AD351BB" w14:textId="6A3D48E4">
    <w:pPr>
      <w:pStyle w:val="Footer"/>
      <w:tabs>
        <w:tab w:val="clear" w:pos="4320"/>
        <w:tab w:val="center" w:pos="4680"/>
        <w:tab w:val="clear" w:pos="8640"/>
        <w:tab w:val="right" w:pos="9360"/>
      </w:tabs>
    </w:pPr>
    <w:r>
      <w:rPr>
        <w:noProof/>
      </w:rPr>
      <w:tab/>
      <w:t xml:space="preserve">March </w:t>
    </w:r>
    <w:r w:rsidR="006F3796">
      <w:rPr>
        <w:noProof/>
      </w:rPr>
      <w:t>20</w:t>
    </w:r>
    <w:r>
      <w:rPr>
        <w:noProof/>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977" w:rsidP="007E1DE6" w14:paraId="0F903513" w14:textId="2470E3E2">
    <w:pPr>
      <w:pStyle w:val="Footer"/>
      <w:tabs>
        <w:tab w:val="clear" w:pos="4320"/>
        <w:tab w:val="center" w:pos="4680"/>
        <w:tab w:val="clear" w:pos="8640"/>
        <w:tab w:val="right" w:pos="9360"/>
      </w:tabs>
    </w:pPr>
    <w:r>
      <w:tab/>
    </w:r>
    <w:r>
      <w:tab/>
    </w:r>
    <w:r>
      <w:rPr>
        <w:noProof/>
      </w:rPr>
      <w:t>March</w:t>
    </w:r>
    <w:r w:rsidR="00D46B04">
      <w:rPr>
        <w:noProof/>
      </w:rPr>
      <w:t xml:space="preserve"> </w:t>
    </w:r>
    <w:r w:rsidR="006F3796">
      <w:rPr>
        <w:noProof/>
      </w:rPr>
      <w:t>20</w:t>
    </w:r>
    <w:r>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6977" w:rsidP="009E2BCE" w14:paraId="7E7973E5" w14:textId="77777777">
      <w:r>
        <w:separator/>
      </w:r>
    </w:p>
  </w:footnote>
  <w:footnote w:type="continuationSeparator" w:id="1">
    <w:p w:rsidR="00AE6977" w:rsidP="009E2BCE" w14:paraId="4549EFCD" w14:textId="77777777">
      <w:r>
        <w:continuationSeparator/>
      </w:r>
    </w:p>
  </w:footnote>
  <w:footnote w:id="2">
    <w:p w:rsidR="00AE6977" w:rsidP="00964AEC" w14:paraId="5AC5B550" w14:textId="4DF386DE">
      <w:pPr>
        <w:pStyle w:val="FootnoteText"/>
      </w:pPr>
      <w:r>
        <w:rPr>
          <w:rStyle w:val="FootnoteReference"/>
        </w:rPr>
        <w:footnoteRef/>
      </w:r>
      <w:r>
        <w:t xml:space="preserve"> </w:t>
      </w:r>
      <w:bookmarkStart w:id="1" w:name="_Hlk3558574"/>
      <w:r>
        <w:rPr>
          <w:i/>
        </w:rPr>
        <w:t>See generally, Notice of Initial 39 GHz Reconfiguration Procedures</w:t>
      </w:r>
      <w:r w:rsidRPr="00A450AB">
        <w:rPr>
          <w:i/>
        </w:rPr>
        <w:t xml:space="preserve"> et al</w:t>
      </w:r>
      <w:r w:rsidRPr="00A450AB">
        <w:t xml:space="preserve">., </w:t>
      </w:r>
      <w:r w:rsidRPr="007C4C07">
        <w:t>GN Docket No. 14-177, AU Docket No. 19-59</w:t>
      </w:r>
      <w:r>
        <w:rPr>
          <w:i/>
        </w:rPr>
        <w:t xml:space="preserve">, </w:t>
      </w:r>
      <w:r>
        <w:t>Public Notice, DA 19-</w:t>
      </w:r>
      <w:r w:rsidR="006F3796">
        <w:t>196</w:t>
      </w:r>
      <w:r>
        <w:t xml:space="preserve"> (</w:t>
      </w:r>
      <w:r w:rsidR="00D46B04">
        <w:t xml:space="preserve">WTB/OEA </w:t>
      </w:r>
      <w:r>
        <w:t>Mar</w:t>
      </w:r>
      <w:r w:rsidR="009E3E6A">
        <w:t>.</w:t>
      </w:r>
      <w:r>
        <w:t xml:space="preserve"> </w:t>
      </w:r>
      <w:r w:rsidR="006F3796">
        <w:t>20</w:t>
      </w:r>
      <w:r>
        <w:t>, 2019) (</w:t>
      </w:r>
      <w:r w:rsidRPr="00515974">
        <w:rPr>
          <w:i/>
        </w:rPr>
        <w:t>Initial 39 GHz Reconfiguration Procedures Public Notice</w:t>
      </w:r>
      <w:r>
        <w:t>)</w:t>
      </w:r>
      <w:r w:rsidRPr="0032577E">
        <w:t>.</w:t>
      </w:r>
      <w:r w:rsidRPr="00FD3B45">
        <w:t xml:space="preserve"> </w:t>
      </w:r>
      <w:r>
        <w:t xml:space="preserve"> </w:t>
      </w:r>
      <w:bookmarkEnd w:id="1"/>
    </w:p>
  </w:footnote>
  <w:footnote w:id="3">
    <w:p w:rsidR="00AE6977" w:rsidRPr="00D7269C" w:rsidP="00752D85" w14:paraId="4F2727D5" w14:textId="77777777">
      <w:pPr>
        <w:pStyle w:val="FootnoteText"/>
        <w:rPr>
          <w:i/>
        </w:rPr>
      </w:pPr>
      <w:r w:rsidRPr="00D7269C">
        <w:rPr>
          <w:rStyle w:val="FootnoteReference"/>
        </w:rPr>
        <w:footnoteRef/>
      </w:r>
      <w:r w:rsidRPr="00D7269C">
        <w:t xml:space="preserve"> </w:t>
      </w:r>
      <w:r w:rsidRPr="00F81AE1">
        <w:rPr>
          <w:i/>
        </w:rPr>
        <w:t>See Use of Spectrum Bands Above 24 GHz for Mobile Radio Services</w:t>
      </w:r>
      <w:r w:rsidRPr="00D7269C">
        <w:t xml:space="preserve">, Fourth Report and Order, FCC 18-180, at </w:t>
      </w:r>
      <w:r w:rsidRPr="00F81AE1">
        <w:t>9</w:t>
      </w:r>
      <w:r w:rsidRPr="00D7269C">
        <w:t xml:space="preserve">, para. </w:t>
      </w:r>
      <w:r w:rsidRPr="00F81AE1">
        <w:t>21</w:t>
      </w:r>
      <w:r w:rsidRPr="00D7269C">
        <w:t xml:space="preserve"> (Dec. 12, 2018)</w:t>
      </w:r>
      <w:r w:rsidRPr="00F81AE1">
        <w:t>.</w:t>
      </w:r>
    </w:p>
  </w:footnote>
  <w:footnote w:id="4">
    <w:p w:rsidR="00AE6977" w:rsidRPr="00133AF7" w:rsidP="00876512" w14:paraId="1D33EAE6" w14:textId="282F7C07">
      <w:pPr>
        <w:pStyle w:val="FootnoteText"/>
      </w:pPr>
      <w:r w:rsidRPr="00133AF7">
        <w:rPr>
          <w:rStyle w:val="FootnoteReference"/>
        </w:rPr>
        <w:footnoteRef/>
      </w:r>
      <w:r w:rsidRPr="00133AF7">
        <w:t xml:space="preserve"> </w:t>
      </w:r>
      <w:r w:rsidRPr="00133AF7">
        <w:t>TVStudy</w:t>
      </w:r>
      <w:r w:rsidRPr="00133AF7">
        <w:t xml:space="preserve"> FAQ, Federal Communications Commission, </w:t>
      </w:r>
      <w:hyperlink r:id="rId1" w:anchor="Q12" w:history="1">
        <w:r>
          <w:rPr>
            <w:rStyle w:val="Hyperlink"/>
          </w:rPr>
          <w:t>www.fcc.gov/electromagnetic-compatibility-division/tvstudy-interference-analysis-software/tvstudy-faq#Q12</w:t>
        </w:r>
      </w:hyperlink>
      <w:r>
        <w:t xml:space="preserve"> </w:t>
      </w:r>
      <w:r w:rsidRPr="00F81AE1">
        <w:t>(last updated Mar. 28, 2017).</w:t>
      </w:r>
    </w:p>
  </w:footnote>
  <w:footnote w:id="5">
    <w:p w:rsidR="00AE6977" w:rsidRPr="00DD4F1E" w:rsidP="00F812A1" w14:paraId="65A564FC" w14:textId="1DD5DA26">
      <w:pPr>
        <w:pStyle w:val="FootnoteText"/>
        <w:rPr>
          <w:rFonts w:cs="Times New Roman (Body CS)"/>
        </w:rPr>
      </w:pPr>
      <w:r w:rsidRPr="00DD4F1E">
        <w:rPr>
          <w:rStyle w:val="FootnoteReference"/>
          <w:rFonts w:cs="Times New Roman (Body CS)"/>
        </w:rPr>
        <w:footnoteRef/>
      </w:r>
      <w:r w:rsidRPr="00DD4F1E">
        <w:rPr>
          <w:rFonts w:cs="Times New Roman (Body CS)"/>
        </w:rPr>
        <w:t xml:space="preserve"> </w:t>
      </w:r>
      <w:r w:rsidRPr="00D86AAE">
        <w:rPr>
          <w:rFonts w:cs="Times New Roman (Body CS)"/>
        </w:rPr>
        <w:t xml:space="preserve">GIS boundary data </w:t>
      </w:r>
      <w:r>
        <w:rPr>
          <w:rFonts w:cs="Times New Roman (Body CS)"/>
        </w:rPr>
        <w:t>including the</w:t>
      </w:r>
      <w:r w:rsidRPr="00D86AAE">
        <w:rPr>
          <w:rFonts w:cs="Times New Roman (Body CS)"/>
        </w:rPr>
        <w:t xml:space="preserve"> </w:t>
      </w:r>
      <w:r>
        <w:rPr>
          <w:rFonts w:cs="Times New Roman (Body CS)"/>
        </w:rPr>
        <w:t xml:space="preserve">2x2 km </w:t>
      </w:r>
      <w:r w:rsidRPr="00D86AAE">
        <w:rPr>
          <w:rFonts w:cs="Times New Roman (Body CS)"/>
        </w:rPr>
        <w:t>uniform grid</w:t>
      </w:r>
      <w:r>
        <w:rPr>
          <w:rFonts w:cs="Times New Roman (Body CS)"/>
        </w:rPr>
        <w:t>s, and</w:t>
      </w:r>
      <w:r w:rsidRPr="00F43668">
        <w:rPr>
          <w:rFonts w:cs="Times New Roman (Body CS)"/>
        </w:rPr>
        <w:t xml:space="preserve"> the population-weighted internal points for </w:t>
      </w:r>
      <w:r>
        <w:rPr>
          <w:rFonts w:cs="Times New Roman (Body CS)"/>
        </w:rPr>
        <w:t xml:space="preserve">all </w:t>
      </w:r>
      <w:r w:rsidRPr="00F43668">
        <w:rPr>
          <w:rFonts w:cs="Times New Roman (Body CS)"/>
        </w:rPr>
        <w:t xml:space="preserve">grid cells, are available in ESRI-standard Shapefile format on the Auction 103 website, available at </w:t>
      </w:r>
      <w:hyperlink r:id="rId2" w:history="1">
        <w:r>
          <w:rPr>
            <w:rStyle w:val="Hyperlink"/>
            <w:rFonts w:cs="Times New Roman (Body CS)"/>
          </w:rPr>
          <w:t>www.fcc.gov/auction/103</w:t>
        </w:r>
      </w:hyperlink>
      <w:r w:rsidRPr="00D86AAE">
        <w:rPr>
          <w:rFonts w:cs="Times New Roman (Body CS)"/>
        </w:rPr>
        <w:t>.</w:t>
      </w:r>
    </w:p>
  </w:footnote>
  <w:footnote w:id="6">
    <w:p w:rsidR="00AE6977" w:rsidRPr="00133AF7" w:rsidP="00876512" w14:paraId="569B1519" w14:textId="77777777">
      <w:pPr>
        <w:pStyle w:val="FootnoteText"/>
      </w:pPr>
      <w:r w:rsidRPr="00133AF7">
        <w:rPr>
          <w:rStyle w:val="FootnoteReference"/>
        </w:rPr>
        <w:footnoteRef/>
      </w:r>
      <w:r w:rsidRPr="00133AF7">
        <w:t xml:space="preserve"> Each grid has been created by overlaying a 2 km x 2 km “fishnet” across the extent of the respective PEA boundary or set of boundaries, with an origin starting in the bottom-left corner of each overlay. This methodology generates each separate grid using an appropriate Albers equal area conic map projection.</w:t>
      </w:r>
    </w:p>
  </w:footnote>
  <w:footnote w:id="7">
    <w:p w:rsidR="00AE6977" w:rsidRPr="00636CDF" w:rsidP="00876512" w14:paraId="16854803" w14:textId="2221FD89">
      <w:pPr>
        <w:pStyle w:val="FootnoteText"/>
        <w:rPr>
          <w:sz w:val="22"/>
          <w:szCs w:val="22"/>
        </w:rPr>
      </w:pPr>
      <w:r w:rsidRPr="00133AF7">
        <w:rPr>
          <w:rStyle w:val="FootnoteReference"/>
        </w:rPr>
        <w:footnoteRef/>
      </w:r>
      <w:r w:rsidRPr="00133AF7">
        <w:t xml:space="preserve"> All map projections introduce distortions in area, shape, scale, or direction that are inherent when transforming a three-dimensional spherical object to a two-dimensional cartesian representation. An equal area projection is one that minimizes distortion to area across a given geography at the expense of greater distortion in shape, scale, or direction.  </w:t>
      </w:r>
      <w:r w:rsidRPr="00133AF7">
        <w:rPr>
          <w:i/>
        </w:rPr>
        <w:t>See</w:t>
      </w:r>
      <w:r w:rsidRPr="00133AF7">
        <w:t xml:space="preserve"> John P. Snyder, </w:t>
      </w:r>
      <w:r w:rsidRPr="00133AF7">
        <w:rPr>
          <w:i/>
        </w:rPr>
        <w:t>Map Projections—A Working Manual</w:t>
      </w:r>
      <w:r w:rsidRPr="00133AF7">
        <w:t xml:space="preserve">, U.S. Geological Survey 3-7 (1987), </w:t>
      </w:r>
      <w:r w:rsidRPr="00133AF7">
        <w:rPr>
          <w:i/>
        </w:rPr>
        <w:t>available at</w:t>
      </w:r>
      <w:r w:rsidRPr="00133AF7">
        <w:t xml:space="preserve"> </w:t>
      </w:r>
      <w:hyperlink r:id="rId3" w:history="1">
        <w:r w:rsidRPr="00724559">
          <w:rPr>
            <w:rStyle w:val="Hyperlink"/>
          </w:rPr>
          <w:t>https://pubs.usgs.gov/pp/1395/report.pdf</w:t>
        </w:r>
      </w:hyperlink>
      <w:r w:rsidRPr="00133AF7">
        <w:t>.</w:t>
      </w:r>
    </w:p>
  </w:footnote>
  <w:footnote w:id="8">
    <w:p w:rsidR="00AE6977" w:rsidRPr="00D7269C" w:rsidP="001D0AE1" w14:paraId="2344155B" w14:textId="5557690C">
      <w:pPr>
        <w:pStyle w:val="FootnoteText"/>
      </w:pPr>
      <w:r w:rsidRPr="00D7269C">
        <w:rPr>
          <w:rStyle w:val="FootnoteReference"/>
        </w:rPr>
        <w:footnoteRef/>
      </w:r>
      <w:r w:rsidRPr="00D7269C">
        <w:t xml:space="preserve"> </w:t>
      </w:r>
      <w:r w:rsidRPr="00F81AE1">
        <w:rPr>
          <w:i/>
        </w:rPr>
        <w:t xml:space="preserve">See </w:t>
      </w:r>
      <w:r w:rsidRPr="00F81AE1">
        <w:t xml:space="preserve">Staff Block Estimates, Federal Communications Commission, </w:t>
      </w:r>
      <w:hyperlink r:id="rId4" w:history="1">
        <w:r>
          <w:rPr>
            <w:rStyle w:val="Hyperlink"/>
          </w:rPr>
          <w:t>www.fcc.gov/reports-research/data/staff-block-estimates</w:t>
        </w:r>
      </w:hyperlink>
      <w:r w:rsidRPr="00F81AE1">
        <w:t xml:space="preserve"> (last updated Dec. 18, 2018).</w:t>
      </w:r>
    </w:p>
  </w:footnote>
  <w:footnote w:id="9">
    <w:p w:rsidR="00AE6977" w:rsidRPr="00D7269C" w:rsidP="00C50DB8" w14:paraId="77A34967" w14:textId="7F141F78">
      <w:pPr>
        <w:pStyle w:val="FootnoteText"/>
      </w:pPr>
      <w:r w:rsidRPr="00D7269C">
        <w:rPr>
          <w:rStyle w:val="FootnoteReference"/>
        </w:rPr>
        <w:footnoteRef/>
      </w:r>
      <w:r w:rsidRPr="00D7269C">
        <w:t xml:space="preserve"> The U.S. Census Bureau defines an internal point (i.e., latitude and longitude coordinates) for each geographic entity </w:t>
      </w:r>
      <w:r>
        <w:t xml:space="preserve">that is generally </w:t>
      </w:r>
      <w:r w:rsidRPr="00D7269C">
        <w:t>at or near the geographic center of the entity</w:t>
      </w:r>
      <w:r>
        <w:t xml:space="preserve">.  For certain irregularly shaped entities where the geographic center would be outside the boundaries of the entity, the internal point is calculated as the point inside of the entity nearest to the geographic center and on land, where possible.  </w:t>
      </w:r>
      <w:r>
        <w:rPr>
          <w:i/>
        </w:rPr>
        <w:t xml:space="preserve">See </w:t>
      </w:r>
      <w:r>
        <w:t xml:space="preserve">2010 Geographic Terms and Concepts - Geographic Area Attributes, U.S. Census Bureau, </w:t>
      </w:r>
      <w:hyperlink r:id="rId5" w:history="1">
        <w:r>
          <w:rPr>
            <w:rStyle w:val="Hyperlink"/>
          </w:rPr>
          <w:t>www.census.gov/geo/reference/gtc/gtc_area_attr.html</w:t>
        </w:r>
      </w:hyperlink>
      <w:r>
        <w:t xml:space="preserve"> (last updated Dec. 6, 2012).</w:t>
      </w:r>
    </w:p>
  </w:footnote>
  <w:footnote w:id="10">
    <w:p w:rsidR="00AE6977" w:rsidRPr="00133AF7" w:rsidP="00876512" w14:paraId="466E57FE" w14:textId="40EB802A">
      <w:pPr>
        <w:pStyle w:val="FootnoteText"/>
      </w:pPr>
      <w:r w:rsidRPr="00133AF7">
        <w:rPr>
          <w:rStyle w:val="FootnoteReference"/>
        </w:rPr>
        <w:footnoteRef/>
      </w:r>
      <w:r w:rsidRPr="00133AF7">
        <w:t xml:space="preserve"> Each incumbent’s MHz-pops will be weighted as described in the </w:t>
      </w:r>
      <w:r w:rsidRPr="0020058B">
        <w:rPr>
          <w:i/>
        </w:rPr>
        <w:t>Initial 39 GHz Reconfiguration Procedures Public Notice</w:t>
      </w:r>
      <w:r w:rsidRPr="00133AF7">
        <w:t xml:space="preserve"> and Appendix</w:t>
      </w:r>
      <w:r w:rsidRPr="001B647C" w:rsidR="001B647C">
        <w:t xml:space="preserve"> </w:t>
      </w:r>
      <w:r w:rsidR="001B647C">
        <w:t>C: Imputing Auction 101 Prices for Weights</w:t>
      </w:r>
      <w:r w:rsidRPr="00133AF7">
        <w:t>.</w:t>
      </w:r>
    </w:p>
  </w:footnote>
  <w:footnote w:id="11">
    <w:p w:rsidR="00AE6977" w:rsidRPr="003B5CA8" w:rsidP="00876512" w14:paraId="12327CE0" w14:textId="7BFA0054">
      <w:pPr>
        <w:pStyle w:val="FootnoteText"/>
      </w:pPr>
      <w:r w:rsidRPr="003B5CA8">
        <w:rPr>
          <w:rStyle w:val="FootnoteReference"/>
        </w:rPr>
        <w:footnoteRef/>
      </w:r>
      <w:r w:rsidRPr="003B5CA8">
        <w:t xml:space="preserve"> </w:t>
      </w:r>
      <w:r w:rsidRPr="0020058B">
        <w:rPr>
          <w:i/>
        </w:rPr>
        <w:t>Initial 39 GHz Reconfiguration Procedures Public Notice</w:t>
      </w:r>
      <w:r w:rsidR="0020058B">
        <w:t xml:space="preserve"> at</w:t>
      </w:r>
      <w:r w:rsidRPr="003B5CA8">
        <w:rPr>
          <w:i/>
        </w:rPr>
        <w:t xml:space="preserve"> </w:t>
      </w:r>
      <w:r w:rsidRPr="003B5CA8">
        <w:t>paras. 41-4</w:t>
      </w:r>
      <w:r w:rsidR="006F3796">
        <w:t>2</w:t>
      </w:r>
    </w:p>
  </w:footnote>
  <w:footnote w:id="12">
    <w:p w:rsidR="00AE6977" w14:paraId="3DAF7648" w14:textId="4AF87A57">
      <w:pPr>
        <w:pStyle w:val="FootnoteText"/>
      </w:pPr>
      <w:r>
        <w:rPr>
          <w:rStyle w:val="FootnoteReference"/>
        </w:rPr>
        <w:footnoteRef/>
      </w:r>
      <w:r>
        <w:t xml:space="preserve"> All cells in </w:t>
      </w:r>
      <w:r w:rsidRPr="00945ED8">
        <w:rPr>
          <w:i/>
        </w:rPr>
        <w:t>B</w:t>
      </w:r>
      <w:r>
        <w:t xml:space="preserve"> </w:t>
      </w:r>
      <w:r w:rsidRPr="00945ED8">
        <w:t>containing</w:t>
      </w:r>
      <w:r>
        <w:t xml:space="preserve"> zero population will be included in the new partial geography.</w:t>
      </w:r>
    </w:p>
  </w:footnote>
  <w:footnote w:id="13">
    <w:p w:rsidR="00AE6977" w14:paraId="7FC7A15E" w14:textId="09CB8ED0">
      <w:pPr>
        <w:pStyle w:val="FootnoteText"/>
      </w:pPr>
      <w:r>
        <w:rPr>
          <w:rStyle w:val="FootnoteReference"/>
        </w:rPr>
        <w:footnoteRef/>
      </w:r>
      <w:r>
        <w:t xml:space="preserve"> All cells in </w:t>
      </w:r>
      <w:r w:rsidRPr="00945ED8">
        <w:rPr>
          <w:i/>
        </w:rPr>
        <w:t>B</w:t>
      </w:r>
      <w:r>
        <w:t xml:space="preserve"> </w:t>
      </w:r>
      <w:r w:rsidRPr="00945ED8">
        <w:t>containing</w:t>
      </w:r>
      <w:r>
        <w:t xml:space="preserve"> zero population will be included in the new partial geography.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977" w:rsidP="00791197" w14:paraId="6F9118DA" w14:textId="77777777">
    <w:pPr>
      <w:pStyle w:val="Header"/>
      <w:pBdr>
        <w:bottom w:val="single" w:sz="6" w:space="2" w:color="auto"/>
      </w:pBdr>
    </w:pPr>
    <w:r w:rsidRPr="00F63A7E">
      <w:t>Federal Communications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977" w:rsidP="007E1DE6" w14:paraId="06297AEA" w14:textId="77777777">
    <w:pPr>
      <w:pStyle w:val="Header"/>
      <w:pBdr>
        <w:bottom w:val="single" w:sz="6" w:space="2" w:color="auto"/>
      </w:pBdr>
    </w:pPr>
    <w:r w:rsidRPr="00F63A7E">
      <w:t>Federal Communications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4B41933"/>
    <w:multiLevelType w:val="multilevel"/>
    <w:tmpl w:val="C5FCED1C"/>
    <w:numStyleLink w:val="Attachmen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CE"/>
    <w:rsid w:val="00006139"/>
    <w:rsid w:val="0000785A"/>
    <w:rsid w:val="00013B16"/>
    <w:rsid w:val="00020FDD"/>
    <w:rsid w:val="00026B9F"/>
    <w:rsid w:val="000270C4"/>
    <w:rsid w:val="00037D70"/>
    <w:rsid w:val="00042261"/>
    <w:rsid w:val="00043252"/>
    <w:rsid w:val="00043E98"/>
    <w:rsid w:val="0004713F"/>
    <w:rsid w:val="000475FB"/>
    <w:rsid w:val="00051BDE"/>
    <w:rsid w:val="00052E5D"/>
    <w:rsid w:val="0005362B"/>
    <w:rsid w:val="000539C9"/>
    <w:rsid w:val="000612C2"/>
    <w:rsid w:val="0006449D"/>
    <w:rsid w:val="00064C2D"/>
    <w:rsid w:val="00065D25"/>
    <w:rsid w:val="000755B8"/>
    <w:rsid w:val="00076619"/>
    <w:rsid w:val="00087045"/>
    <w:rsid w:val="000920C9"/>
    <w:rsid w:val="0009657D"/>
    <w:rsid w:val="0009706E"/>
    <w:rsid w:val="000972CB"/>
    <w:rsid w:val="000A044C"/>
    <w:rsid w:val="000A0900"/>
    <w:rsid w:val="000A30D7"/>
    <w:rsid w:val="000B193D"/>
    <w:rsid w:val="000B1CB9"/>
    <w:rsid w:val="000B52AE"/>
    <w:rsid w:val="000B53A7"/>
    <w:rsid w:val="000B7E68"/>
    <w:rsid w:val="000C17E4"/>
    <w:rsid w:val="000C2372"/>
    <w:rsid w:val="000C4773"/>
    <w:rsid w:val="000C5D22"/>
    <w:rsid w:val="000C6522"/>
    <w:rsid w:val="000C7A22"/>
    <w:rsid w:val="000D059F"/>
    <w:rsid w:val="000D0ED2"/>
    <w:rsid w:val="000D1E4E"/>
    <w:rsid w:val="000D37D3"/>
    <w:rsid w:val="000D3FAE"/>
    <w:rsid w:val="000D4780"/>
    <w:rsid w:val="000E5407"/>
    <w:rsid w:val="000F2D6E"/>
    <w:rsid w:val="000F5CDC"/>
    <w:rsid w:val="000F5D3D"/>
    <w:rsid w:val="00100C16"/>
    <w:rsid w:val="00103A82"/>
    <w:rsid w:val="00104D79"/>
    <w:rsid w:val="00110D97"/>
    <w:rsid w:val="0012013B"/>
    <w:rsid w:val="0012134D"/>
    <w:rsid w:val="00133AF7"/>
    <w:rsid w:val="001345B5"/>
    <w:rsid w:val="001364A6"/>
    <w:rsid w:val="001415E7"/>
    <w:rsid w:val="00141985"/>
    <w:rsid w:val="001432DE"/>
    <w:rsid w:val="00151CE4"/>
    <w:rsid w:val="00153672"/>
    <w:rsid w:val="00153E53"/>
    <w:rsid w:val="00161839"/>
    <w:rsid w:val="00166DBC"/>
    <w:rsid w:val="00166F04"/>
    <w:rsid w:val="0016717F"/>
    <w:rsid w:val="00174F08"/>
    <w:rsid w:val="0017636C"/>
    <w:rsid w:val="00176D0B"/>
    <w:rsid w:val="00184456"/>
    <w:rsid w:val="00185B19"/>
    <w:rsid w:val="001901D8"/>
    <w:rsid w:val="001914C1"/>
    <w:rsid w:val="0019205B"/>
    <w:rsid w:val="00192191"/>
    <w:rsid w:val="001924E7"/>
    <w:rsid w:val="001971BD"/>
    <w:rsid w:val="00197520"/>
    <w:rsid w:val="001A3224"/>
    <w:rsid w:val="001A4A5F"/>
    <w:rsid w:val="001A4AE9"/>
    <w:rsid w:val="001A5E01"/>
    <w:rsid w:val="001A6799"/>
    <w:rsid w:val="001B0338"/>
    <w:rsid w:val="001B0AAE"/>
    <w:rsid w:val="001B32F7"/>
    <w:rsid w:val="001B3633"/>
    <w:rsid w:val="001B6105"/>
    <w:rsid w:val="001B647C"/>
    <w:rsid w:val="001C2E36"/>
    <w:rsid w:val="001C3BDC"/>
    <w:rsid w:val="001C4C34"/>
    <w:rsid w:val="001C63E5"/>
    <w:rsid w:val="001C6CC2"/>
    <w:rsid w:val="001C7EF4"/>
    <w:rsid w:val="001D0AE1"/>
    <w:rsid w:val="001D674B"/>
    <w:rsid w:val="001E39C9"/>
    <w:rsid w:val="001E4C2D"/>
    <w:rsid w:val="001E7F4F"/>
    <w:rsid w:val="001F2C76"/>
    <w:rsid w:val="001F4BCB"/>
    <w:rsid w:val="0020042B"/>
    <w:rsid w:val="0020058B"/>
    <w:rsid w:val="00204D9A"/>
    <w:rsid w:val="002078B9"/>
    <w:rsid w:val="00210E5B"/>
    <w:rsid w:val="00211C04"/>
    <w:rsid w:val="00232F74"/>
    <w:rsid w:val="00235F2F"/>
    <w:rsid w:val="00243E60"/>
    <w:rsid w:val="00246D6B"/>
    <w:rsid w:val="002670EA"/>
    <w:rsid w:val="002748BB"/>
    <w:rsid w:val="00276F41"/>
    <w:rsid w:val="002856C6"/>
    <w:rsid w:val="002874B5"/>
    <w:rsid w:val="00287CC2"/>
    <w:rsid w:val="00290182"/>
    <w:rsid w:val="00290AA4"/>
    <w:rsid w:val="002A2317"/>
    <w:rsid w:val="002A5C97"/>
    <w:rsid w:val="002A7641"/>
    <w:rsid w:val="002B2A26"/>
    <w:rsid w:val="002B337A"/>
    <w:rsid w:val="002B3BDC"/>
    <w:rsid w:val="002C092E"/>
    <w:rsid w:val="002D0875"/>
    <w:rsid w:val="002D4773"/>
    <w:rsid w:val="002D5EF0"/>
    <w:rsid w:val="002D5FC7"/>
    <w:rsid w:val="002D7F97"/>
    <w:rsid w:val="002E0B4D"/>
    <w:rsid w:val="002E0EC6"/>
    <w:rsid w:val="002E315A"/>
    <w:rsid w:val="002E36B8"/>
    <w:rsid w:val="002E719A"/>
    <w:rsid w:val="00301B09"/>
    <w:rsid w:val="00304A5D"/>
    <w:rsid w:val="00305A94"/>
    <w:rsid w:val="00306CC7"/>
    <w:rsid w:val="003225A4"/>
    <w:rsid w:val="00324FA3"/>
    <w:rsid w:val="0032538C"/>
    <w:rsid w:val="0032577E"/>
    <w:rsid w:val="0032631C"/>
    <w:rsid w:val="0032734B"/>
    <w:rsid w:val="003304B3"/>
    <w:rsid w:val="00330851"/>
    <w:rsid w:val="003344F4"/>
    <w:rsid w:val="003366F0"/>
    <w:rsid w:val="003376C4"/>
    <w:rsid w:val="003404D7"/>
    <w:rsid w:val="00341076"/>
    <w:rsid w:val="0034419D"/>
    <w:rsid w:val="00344BBE"/>
    <w:rsid w:val="003503BB"/>
    <w:rsid w:val="00350596"/>
    <w:rsid w:val="00350AD3"/>
    <w:rsid w:val="00350BB6"/>
    <w:rsid w:val="00353BCF"/>
    <w:rsid w:val="003568DC"/>
    <w:rsid w:val="00357713"/>
    <w:rsid w:val="0036558A"/>
    <w:rsid w:val="00365CE7"/>
    <w:rsid w:val="00365DC8"/>
    <w:rsid w:val="003662F8"/>
    <w:rsid w:val="00371AB5"/>
    <w:rsid w:val="00380091"/>
    <w:rsid w:val="003802D7"/>
    <w:rsid w:val="003836BD"/>
    <w:rsid w:val="00384F52"/>
    <w:rsid w:val="0038692C"/>
    <w:rsid w:val="00392D62"/>
    <w:rsid w:val="00393267"/>
    <w:rsid w:val="003A14F6"/>
    <w:rsid w:val="003A26E5"/>
    <w:rsid w:val="003A2A8E"/>
    <w:rsid w:val="003A3885"/>
    <w:rsid w:val="003A5159"/>
    <w:rsid w:val="003A5B61"/>
    <w:rsid w:val="003B2558"/>
    <w:rsid w:val="003B5CA8"/>
    <w:rsid w:val="003B6F53"/>
    <w:rsid w:val="003C49D0"/>
    <w:rsid w:val="003C6FCD"/>
    <w:rsid w:val="003D1275"/>
    <w:rsid w:val="003D43F3"/>
    <w:rsid w:val="003E032C"/>
    <w:rsid w:val="003E1472"/>
    <w:rsid w:val="003E5E69"/>
    <w:rsid w:val="003E6F9E"/>
    <w:rsid w:val="003F0D1E"/>
    <w:rsid w:val="003F43E3"/>
    <w:rsid w:val="003F4B9A"/>
    <w:rsid w:val="003F6657"/>
    <w:rsid w:val="004050AF"/>
    <w:rsid w:val="00405429"/>
    <w:rsid w:val="004069AF"/>
    <w:rsid w:val="00410178"/>
    <w:rsid w:val="0041091D"/>
    <w:rsid w:val="00410B65"/>
    <w:rsid w:val="004129C4"/>
    <w:rsid w:val="00413B24"/>
    <w:rsid w:val="0041676F"/>
    <w:rsid w:val="00416DD7"/>
    <w:rsid w:val="00417CBF"/>
    <w:rsid w:val="00423A2C"/>
    <w:rsid w:val="00426DA4"/>
    <w:rsid w:val="0043278B"/>
    <w:rsid w:val="00441F0B"/>
    <w:rsid w:val="00444912"/>
    <w:rsid w:val="00447BB9"/>
    <w:rsid w:val="0045398B"/>
    <w:rsid w:val="00454492"/>
    <w:rsid w:val="004555C7"/>
    <w:rsid w:val="0045584D"/>
    <w:rsid w:val="00463FE7"/>
    <w:rsid w:val="00464F54"/>
    <w:rsid w:val="0046771E"/>
    <w:rsid w:val="004679FA"/>
    <w:rsid w:val="0047024E"/>
    <w:rsid w:val="00473693"/>
    <w:rsid w:val="004753F6"/>
    <w:rsid w:val="00477386"/>
    <w:rsid w:val="00477A71"/>
    <w:rsid w:val="00484640"/>
    <w:rsid w:val="00484B0D"/>
    <w:rsid w:val="00486644"/>
    <w:rsid w:val="0048783F"/>
    <w:rsid w:val="00487EE8"/>
    <w:rsid w:val="00492703"/>
    <w:rsid w:val="00492C0C"/>
    <w:rsid w:val="0049352F"/>
    <w:rsid w:val="00493E62"/>
    <w:rsid w:val="004A23DF"/>
    <w:rsid w:val="004A34A3"/>
    <w:rsid w:val="004B22B6"/>
    <w:rsid w:val="004B2EFD"/>
    <w:rsid w:val="004B557F"/>
    <w:rsid w:val="004C03A0"/>
    <w:rsid w:val="004D1629"/>
    <w:rsid w:val="004D190B"/>
    <w:rsid w:val="004D6AE1"/>
    <w:rsid w:val="004E2678"/>
    <w:rsid w:val="004F21BC"/>
    <w:rsid w:val="004F3ADE"/>
    <w:rsid w:val="004F4A16"/>
    <w:rsid w:val="004F5E75"/>
    <w:rsid w:val="004F71CD"/>
    <w:rsid w:val="004F7257"/>
    <w:rsid w:val="00506956"/>
    <w:rsid w:val="00510CC6"/>
    <w:rsid w:val="00511826"/>
    <w:rsid w:val="005127E8"/>
    <w:rsid w:val="00512811"/>
    <w:rsid w:val="005147A8"/>
    <w:rsid w:val="00515974"/>
    <w:rsid w:val="005200FB"/>
    <w:rsid w:val="005224E8"/>
    <w:rsid w:val="005229F5"/>
    <w:rsid w:val="00526777"/>
    <w:rsid w:val="005333EB"/>
    <w:rsid w:val="00533BD0"/>
    <w:rsid w:val="005410C3"/>
    <w:rsid w:val="0054178B"/>
    <w:rsid w:val="005431C2"/>
    <w:rsid w:val="005448E4"/>
    <w:rsid w:val="00546405"/>
    <w:rsid w:val="005471B1"/>
    <w:rsid w:val="00552F47"/>
    <w:rsid w:val="005566C5"/>
    <w:rsid w:val="00561A0D"/>
    <w:rsid w:val="00561A94"/>
    <w:rsid w:val="00570DAC"/>
    <w:rsid w:val="00572E5C"/>
    <w:rsid w:val="005743C3"/>
    <w:rsid w:val="005744AB"/>
    <w:rsid w:val="00576577"/>
    <w:rsid w:val="00582666"/>
    <w:rsid w:val="00584547"/>
    <w:rsid w:val="00585175"/>
    <w:rsid w:val="0058530D"/>
    <w:rsid w:val="00587A6A"/>
    <w:rsid w:val="005931E3"/>
    <w:rsid w:val="005A3E20"/>
    <w:rsid w:val="005B082F"/>
    <w:rsid w:val="005B1752"/>
    <w:rsid w:val="005B2AEF"/>
    <w:rsid w:val="005B2D0A"/>
    <w:rsid w:val="005B5E59"/>
    <w:rsid w:val="005B61AC"/>
    <w:rsid w:val="005C1760"/>
    <w:rsid w:val="005C38F8"/>
    <w:rsid w:val="005D115B"/>
    <w:rsid w:val="005D34A2"/>
    <w:rsid w:val="005D3B4B"/>
    <w:rsid w:val="005D4479"/>
    <w:rsid w:val="005D4728"/>
    <w:rsid w:val="005D47B6"/>
    <w:rsid w:val="005D7691"/>
    <w:rsid w:val="005E6368"/>
    <w:rsid w:val="005E6C52"/>
    <w:rsid w:val="005F18F8"/>
    <w:rsid w:val="005F5137"/>
    <w:rsid w:val="005F557D"/>
    <w:rsid w:val="00600766"/>
    <w:rsid w:val="006018E4"/>
    <w:rsid w:val="0060192A"/>
    <w:rsid w:val="00601B02"/>
    <w:rsid w:val="0060456B"/>
    <w:rsid w:val="00610257"/>
    <w:rsid w:val="006117B1"/>
    <w:rsid w:val="00616108"/>
    <w:rsid w:val="00617D37"/>
    <w:rsid w:val="00617DDA"/>
    <w:rsid w:val="0062262D"/>
    <w:rsid w:val="00624132"/>
    <w:rsid w:val="00624EBE"/>
    <w:rsid w:val="0062545F"/>
    <w:rsid w:val="00625515"/>
    <w:rsid w:val="00625AEF"/>
    <w:rsid w:val="00626226"/>
    <w:rsid w:val="00630681"/>
    <w:rsid w:val="006322A0"/>
    <w:rsid w:val="0063312C"/>
    <w:rsid w:val="006348F4"/>
    <w:rsid w:val="00635CB0"/>
    <w:rsid w:val="00636CDF"/>
    <w:rsid w:val="00643366"/>
    <w:rsid w:val="00647956"/>
    <w:rsid w:val="00653489"/>
    <w:rsid w:val="00653EC6"/>
    <w:rsid w:val="00656B2F"/>
    <w:rsid w:val="006618F2"/>
    <w:rsid w:val="006704D5"/>
    <w:rsid w:val="00670B7F"/>
    <w:rsid w:val="00673AB1"/>
    <w:rsid w:val="00675F5F"/>
    <w:rsid w:val="00680138"/>
    <w:rsid w:val="006802C8"/>
    <w:rsid w:val="006828EA"/>
    <w:rsid w:val="00683EEC"/>
    <w:rsid w:val="00685045"/>
    <w:rsid w:val="00687170"/>
    <w:rsid w:val="00690D18"/>
    <w:rsid w:val="006910C5"/>
    <w:rsid w:val="00694E63"/>
    <w:rsid w:val="00696613"/>
    <w:rsid w:val="006A1BEB"/>
    <w:rsid w:val="006A7AFC"/>
    <w:rsid w:val="006B013F"/>
    <w:rsid w:val="006B05CE"/>
    <w:rsid w:val="006C0C39"/>
    <w:rsid w:val="006C17FA"/>
    <w:rsid w:val="006C2B32"/>
    <w:rsid w:val="006D0C88"/>
    <w:rsid w:val="006D1B23"/>
    <w:rsid w:val="006D4E3A"/>
    <w:rsid w:val="006E2455"/>
    <w:rsid w:val="006E2487"/>
    <w:rsid w:val="006E5079"/>
    <w:rsid w:val="006E55A6"/>
    <w:rsid w:val="006F149A"/>
    <w:rsid w:val="006F36B3"/>
    <w:rsid w:val="006F3796"/>
    <w:rsid w:val="006F6D66"/>
    <w:rsid w:val="00700976"/>
    <w:rsid w:val="0070582B"/>
    <w:rsid w:val="0070610E"/>
    <w:rsid w:val="00713A49"/>
    <w:rsid w:val="00713BCC"/>
    <w:rsid w:val="00716833"/>
    <w:rsid w:val="00720445"/>
    <w:rsid w:val="007221CA"/>
    <w:rsid w:val="00724559"/>
    <w:rsid w:val="00724D49"/>
    <w:rsid w:val="00726900"/>
    <w:rsid w:val="00734FF1"/>
    <w:rsid w:val="007362CE"/>
    <w:rsid w:val="00740059"/>
    <w:rsid w:val="007412AB"/>
    <w:rsid w:val="0074309A"/>
    <w:rsid w:val="00747A21"/>
    <w:rsid w:val="00750358"/>
    <w:rsid w:val="00752D85"/>
    <w:rsid w:val="00753C18"/>
    <w:rsid w:val="00756930"/>
    <w:rsid w:val="00756C5A"/>
    <w:rsid w:val="00762D2B"/>
    <w:rsid w:val="00767224"/>
    <w:rsid w:val="007677B1"/>
    <w:rsid w:val="00767E97"/>
    <w:rsid w:val="00773691"/>
    <w:rsid w:val="00773D85"/>
    <w:rsid w:val="00776048"/>
    <w:rsid w:val="00781DB9"/>
    <w:rsid w:val="00783723"/>
    <w:rsid w:val="0078560E"/>
    <w:rsid w:val="00785993"/>
    <w:rsid w:val="007859AC"/>
    <w:rsid w:val="00786EC4"/>
    <w:rsid w:val="007906C0"/>
    <w:rsid w:val="0079089A"/>
    <w:rsid w:val="00791197"/>
    <w:rsid w:val="007959D0"/>
    <w:rsid w:val="007A296B"/>
    <w:rsid w:val="007B0607"/>
    <w:rsid w:val="007B325F"/>
    <w:rsid w:val="007B5506"/>
    <w:rsid w:val="007B6EA3"/>
    <w:rsid w:val="007C3B15"/>
    <w:rsid w:val="007C3BD5"/>
    <w:rsid w:val="007C3D43"/>
    <w:rsid w:val="007C453E"/>
    <w:rsid w:val="007C4C07"/>
    <w:rsid w:val="007C59D6"/>
    <w:rsid w:val="007D08CC"/>
    <w:rsid w:val="007D18CE"/>
    <w:rsid w:val="007D7BE6"/>
    <w:rsid w:val="007E031C"/>
    <w:rsid w:val="007E1593"/>
    <w:rsid w:val="007E170A"/>
    <w:rsid w:val="007E1DE6"/>
    <w:rsid w:val="007E20AC"/>
    <w:rsid w:val="007E54B2"/>
    <w:rsid w:val="007F0D95"/>
    <w:rsid w:val="007F1E5A"/>
    <w:rsid w:val="007F2B91"/>
    <w:rsid w:val="007F31F6"/>
    <w:rsid w:val="007F3564"/>
    <w:rsid w:val="007F35D2"/>
    <w:rsid w:val="007F5C29"/>
    <w:rsid w:val="007F67ED"/>
    <w:rsid w:val="00804C98"/>
    <w:rsid w:val="00806613"/>
    <w:rsid w:val="00823A16"/>
    <w:rsid w:val="00824546"/>
    <w:rsid w:val="008245CF"/>
    <w:rsid w:val="00825003"/>
    <w:rsid w:val="00831878"/>
    <w:rsid w:val="00834A97"/>
    <w:rsid w:val="008404A5"/>
    <w:rsid w:val="00843E39"/>
    <w:rsid w:val="008500FD"/>
    <w:rsid w:val="00850423"/>
    <w:rsid w:val="0085064F"/>
    <w:rsid w:val="0085226A"/>
    <w:rsid w:val="008546B3"/>
    <w:rsid w:val="00862C08"/>
    <w:rsid w:val="008631A7"/>
    <w:rsid w:val="008641F6"/>
    <w:rsid w:val="00864AC4"/>
    <w:rsid w:val="00864AFD"/>
    <w:rsid w:val="00864EA2"/>
    <w:rsid w:val="00866673"/>
    <w:rsid w:val="008729EA"/>
    <w:rsid w:val="00872A51"/>
    <w:rsid w:val="00873A84"/>
    <w:rsid w:val="00874A99"/>
    <w:rsid w:val="00876512"/>
    <w:rsid w:val="00877FF5"/>
    <w:rsid w:val="008800F8"/>
    <w:rsid w:val="008814A7"/>
    <w:rsid w:val="00881B3F"/>
    <w:rsid w:val="00881E51"/>
    <w:rsid w:val="00882C87"/>
    <w:rsid w:val="0088686E"/>
    <w:rsid w:val="00886A6A"/>
    <w:rsid w:val="00886EE1"/>
    <w:rsid w:val="00887104"/>
    <w:rsid w:val="008873CC"/>
    <w:rsid w:val="00892FFD"/>
    <w:rsid w:val="00893917"/>
    <w:rsid w:val="00895922"/>
    <w:rsid w:val="00896019"/>
    <w:rsid w:val="00896DC1"/>
    <w:rsid w:val="008976AC"/>
    <w:rsid w:val="008B4CD7"/>
    <w:rsid w:val="008B63B4"/>
    <w:rsid w:val="008B669D"/>
    <w:rsid w:val="008C234C"/>
    <w:rsid w:val="008C29FE"/>
    <w:rsid w:val="008C4DD9"/>
    <w:rsid w:val="008C5B99"/>
    <w:rsid w:val="008C7B68"/>
    <w:rsid w:val="008D0880"/>
    <w:rsid w:val="008D56F1"/>
    <w:rsid w:val="008D5BA5"/>
    <w:rsid w:val="008E595E"/>
    <w:rsid w:val="008F2C34"/>
    <w:rsid w:val="008F3800"/>
    <w:rsid w:val="008F4520"/>
    <w:rsid w:val="008F521E"/>
    <w:rsid w:val="008F727F"/>
    <w:rsid w:val="00900188"/>
    <w:rsid w:val="00900DBE"/>
    <w:rsid w:val="00903675"/>
    <w:rsid w:val="00910D71"/>
    <w:rsid w:val="00913CEC"/>
    <w:rsid w:val="0091517E"/>
    <w:rsid w:val="00916C48"/>
    <w:rsid w:val="009176A5"/>
    <w:rsid w:val="009236C4"/>
    <w:rsid w:val="0093047C"/>
    <w:rsid w:val="00931AAF"/>
    <w:rsid w:val="0093499A"/>
    <w:rsid w:val="00940B15"/>
    <w:rsid w:val="00942EB7"/>
    <w:rsid w:val="00943863"/>
    <w:rsid w:val="00945602"/>
    <w:rsid w:val="00945ED8"/>
    <w:rsid w:val="00947D3B"/>
    <w:rsid w:val="00952465"/>
    <w:rsid w:val="00954F24"/>
    <w:rsid w:val="009554BB"/>
    <w:rsid w:val="00955993"/>
    <w:rsid w:val="00955A9A"/>
    <w:rsid w:val="00957F10"/>
    <w:rsid w:val="0096080E"/>
    <w:rsid w:val="00964AEC"/>
    <w:rsid w:val="009745FC"/>
    <w:rsid w:val="009758A1"/>
    <w:rsid w:val="009766ED"/>
    <w:rsid w:val="00977908"/>
    <w:rsid w:val="00977A83"/>
    <w:rsid w:val="00980C8A"/>
    <w:rsid w:val="009815A7"/>
    <w:rsid w:val="009863E8"/>
    <w:rsid w:val="00991044"/>
    <w:rsid w:val="00991109"/>
    <w:rsid w:val="009B02B1"/>
    <w:rsid w:val="009B124A"/>
    <w:rsid w:val="009B1582"/>
    <w:rsid w:val="009B24FD"/>
    <w:rsid w:val="009C09C4"/>
    <w:rsid w:val="009C2DB0"/>
    <w:rsid w:val="009C6D6A"/>
    <w:rsid w:val="009C75A3"/>
    <w:rsid w:val="009C7E49"/>
    <w:rsid w:val="009E1BC1"/>
    <w:rsid w:val="009E2BCE"/>
    <w:rsid w:val="009E3E6A"/>
    <w:rsid w:val="009E7D46"/>
    <w:rsid w:val="009F18A8"/>
    <w:rsid w:val="009F1A9D"/>
    <w:rsid w:val="009F1E07"/>
    <w:rsid w:val="009F67F0"/>
    <w:rsid w:val="00A010EF"/>
    <w:rsid w:val="00A01877"/>
    <w:rsid w:val="00A04F1F"/>
    <w:rsid w:val="00A051D4"/>
    <w:rsid w:val="00A05685"/>
    <w:rsid w:val="00A07D30"/>
    <w:rsid w:val="00A2094D"/>
    <w:rsid w:val="00A225A4"/>
    <w:rsid w:val="00A3089C"/>
    <w:rsid w:val="00A33EB3"/>
    <w:rsid w:val="00A360BC"/>
    <w:rsid w:val="00A37BB8"/>
    <w:rsid w:val="00A41F26"/>
    <w:rsid w:val="00A42824"/>
    <w:rsid w:val="00A43CDE"/>
    <w:rsid w:val="00A450AB"/>
    <w:rsid w:val="00A4542B"/>
    <w:rsid w:val="00A457C0"/>
    <w:rsid w:val="00A5255C"/>
    <w:rsid w:val="00A5408A"/>
    <w:rsid w:val="00A57CA9"/>
    <w:rsid w:val="00A65D7B"/>
    <w:rsid w:val="00A67EE5"/>
    <w:rsid w:val="00A705D8"/>
    <w:rsid w:val="00A716DC"/>
    <w:rsid w:val="00A71EB7"/>
    <w:rsid w:val="00A7346C"/>
    <w:rsid w:val="00A73BD5"/>
    <w:rsid w:val="00A847EC"/>
    <w:rsid w:val="00A8643A"/>
    <w:rsid w:val="00A947AC"/>
    <w:rsid w:val="00A95D03"/>
    <w:rsid w:val="00AA15FD"/>
    <w:rsid w:val="00AA526B"/>
    <w:rsid w:val="00AA67C3"/>
    <w:rsid w:val="00AA6E18"/>
    <w:rsid w:val="00AC7E4B"/>
    <w:rsid w:val="00AD5D13"/>
    <w:rsid w:val="00AD6CF4"/>
    <w:rsid w:val="00AE0F61"/>
    <w:rsid w:val="00AE1270"/>
    <w:rsid w:val="00AE5E7E"/>
    <w:rsid w:val="00AE6977"/>
    <w:rsid w:val="00AF21BC"/>
    <w:rsid w:val="00AF34C4"/>
    <w:rsid w:val="00AF75ED"/>
    <w:rsid w:val="00B01319"/>
    <w:rsid w:val="00B02DB9"/>
    <w:rsid w:val="00B0763D"/>
    <w:rsid w:val="00B1356A"/>
    <w:rsid w:val="00B1480F"/>
    <w:rsid w:val="00B14EBE"/>
    <w:rsid w:val="00B171C3"/>
    <w:rsid w:val="00B20CF4"/>
    <w:rsid w:val="00B22858"/>
    <w:rsid w:val="00B3071B"/>
    <w:rsid w:val="00B34764"/>
    <w:rsid w:val="00B34CEE"/>
    <w:rsid w:val="00B445F6"/>
    <w:rsid w:val="00B45498"/>
    <w:rsid w:val="00B47497"/>
    <w:rsid w:val="00B505EE"/>
    <w:rsid w:val="00B519C9"/>
    <w:rsid w:val="00B5354D"/>
    <w:rsid w:val="00B5413E"/>
    <w:rsid w:val="00B627DD"/>
    <w:rsid w:val="00B6367B"/>
    <w:rsid w:val="00B658F8"/>
    <w:rsid w:val="00B66B50"/>
    <w:rsid w:val="00B70ED7"/>
    <w:rsid w:val="00B734B1"/>
    <w:rsid w:val="00B76654"/>
    <w:rsid w:val="00B76F8B"/>
    <w:rsid w:val="00B82B3E"/>
    <w:rsid w:val="00B843ED"/>
    <w:rsid w:val="00B9053A"/>
    <w:rsid w:val="00B91208"/>
    <w:rsid w:val="00B9166D"/>
    <w:rsid w:val="00B944EC"/>
    <w:rsid w:val="00BB0194"/>
    <w:rsid w:val="00BB13B3"/>
    <w:rsid w:val="00BB2D96"/>
    <w:rsid w:val="00BC17B2"/>
    <w:rsid w:val="00BC253C"/>
    <w:rsid w:val="00BC54DE"/>
    <w:rsid w:val="00BC72BB"/>
    <w:rsid w:val="00BD0869"/>
    <w:rsid w:val="00BD10CD"/>
    <w:rsid w:val="00BD2B2C"/>
    <w:rsid w:val="00BD2F42"/>
    <w:rsid w:val="00BE22B3"/>
    <w:rsid w:val="00BE2965"/>
    <w:rsid w:val="00BE61AF"/>
    <w:rsid w:val="00BE61B2"/>
    <w:rsid w:val="00BE678C"/>
    <w:rsid w:val="00BE6A3A"/>
    <w:rsid w:val="00BF0F76"/>
    <w:rsid w:val="00BF47CA"/>
    <w:rsid w:val="00C04236"/>
    <w:rsid w:val="00C043EF"/>
    <w:rsid w:val="00C05C9B"/>
    <w:rsid w:val="00C10762"/>
    <w:rsid w:val="00C1214F"/>
    <w:rsid w:val="00C14A7D"/>
    <w:rsid w:val="00C15443"/>
    <w:rsid w:val="00C170F4"/>
    <w:rsid w:val="00C206F8"/>
    <w:rsid w:val="00C20E6B"/>
    <w:rsid w:val="00C214F5"/>
    <w:rsid w:val="00C2499D"/>
    <w:rsid w:val="00C2781D"/>
    <w:rsid w:val="00C27A98"/>
    <w:rsid w:val="00C326ED"/>
    <w:rsid w:val="00C3299D"/>
    <w:rsid w:val="00C352BF"/>
    <w:rsid w:val="00C40B00"/>
    <w:rsid w:val="00C40FD1"/>
    <w:rsid w:val="00C42139"/>
    <w:rsid w:val="00C466BD"/>
    <w:rsid w:val="00C4711C"/>
    <w:rsid w:val="00C50201"/>
    <w:rsid w:val="00C5044E"/>
    <w:rsid w:val="00C50DB8"/>
    <w:rsid w:val="00C50EFE"/>
    <w:rsid w:val="00C510ED"/>
    <w:rsid w:val="00C52C02"/>
    <w:rsid w:val="00C62DC3"/>
    <w:rsid w:val="00C665F8"/>
    <w:rsid w:val="00C70460"/>
    <w:rsid w:val="00C70E6D"/>
    <w:rsid w:val="00C74D70"/>
    <w:rsid w:val="00C8318D"/>
    <w:rsid w:val="00C84807"/>
    <w:rsid w:val="00C87A97"/>
    <w:rsid w:val="00C919D2"/>
    <w:rsid w:val="00C966D8"/>
    <w:rsid w:val="00CA1791"/>
    <w:rsid w:val="00CA46FC"/>
    <w:rsid w:val="00CA4C65"/>
    <w:rsid w:val="00CA7960"/>
    <w:rsid w:val="00CB5103"/>
    <w:rsid w:val="00CB631F"/>
    <w:rsid w:val="00CB73DD"/>
    <w:rsid w:val="00CC1D95"/>
    <w:rsid w:val="00CC29B7"/>
    <w:rsid w:val="00CC2D7B"/>
    <w:rsid w:val="00CE0171"/>
    <w:rsid w:val="00CE0B1E"/>
    <w:rsid w:val="00CE0F90"/>
    <w:rsid w:val="00CE1027"/>
    <w:rsid w:val="00CE266D"/>
    <w:rsid w:val="00CE2C45"/>
    <w:rsid w:val="00CE3263"/>
    <w:rsid w:val="00CE5611"/>
    <w:rsid w:val="00CE7438"/>
    <w:rsid w:val="00CF4965"/>
    <w:rsid w:val="00CF5346"/>
    <w:rsid w:val="00CF59F9"/>
    <w:rsid w:val="00CF6993"/>
    <w:rsid w:val="00CF6E37"/>
    <w:rsid w:val="00D02F52"/>
    <w:rsid w:val="00D14B6F"/>
    <w:rsid w:val="00D1711A"/>
    <w:rsid w:val="00D255CE"/>
    <w:rsid w:val="00D3603F"/>
    <w:rsid w:val="00D37357"/>
    <w:rsid w:val="00D40908"/>
    <w:rsid w:val="00D41A11"/>
    <w:rsid w:val="00D42E14"/>
    <w:rsid w:val="00D4447D"/>
    <w:rsid w:val="00D464FA"/>
    <w:rsid w:val="00D46B04"/>
    <w:rsid w:val="00D46EEA"/>
    <w:rsid w:val="00D46FAB"/>
    <w:rsid w:val="00D5250C"/>
    <w:rsid w:val="00D65083"/>
    <w:rsid w:val="00D66129"/>
    <w:rsid w:val="00D67F4C"/>
    <w:rsid w:val="00D7099A"/>
    <w:rsid w:val="00D7269C"/>
    <w:rsid w:val="00D80CE6"/>
    <w:rsid w:val="00D827C2"/>
    <w:rsid w:val="00D86AAE"/>
    <w:rsid w:val="00D939BD"/>
    <w:rsid w:val="00D969D9"/>
    <w:rsid w:val="00DA1727"/>
    <w:rsid w:val="00DA366F"/>
    <w:rsid w:val="00DA7FB6"/>
    <w:rsid w:val="00DB0185"/>
    <w:rsid w:val="00DB02CF"/>
    <w:rsid w:val="00DB1900"/>
    <w:rsid w:val="00DB2153"/>
    <w:rsid w:val="00DB2166"/>
    <w:rsid w:val="00DB2E9C"/>
    <w:rsid w:val="00DB3D43"/>
    <w:rsid w:val="00DB4BB7"/>
    <w:rsid w:val="00DB6030"/>
    <w:rsid w:val="00DB7DBD"/>
    <w:rsid w:val="00DC0528"/>
    <w:rsid w:val="00DC228C"/>
    <w:rsid w:val="00DC443F"/>
    <w:rsid w:val="00DC4FB6"/>
    <w:rsid w:val="00DC50D0"/>
    <w:rsid w:val="00DC56CF"/>
    <w:rsid w:val="00DC6B2A"/>
    <w:rsid w:val="00DD0CE3"/>
    <w:rsid w:val="00DD490A"/>
    <w:rsid w:val="00DD4F1E"/>
    <w:rsid w:val="00DE0D15"/>
    <w:rsid w:val="00DE165D"/>
    <w:rsid w:val="00DE6EE5"/>
    <w:rsid w:val="00DF03EB"/>
    <w:rsid w:val="00DF16CE"/>
    <w:rsid w:val="00DF6A55"/>
    <w:rsid w:val="00DF7FB2"/>
    <w:rsid w:val="00E000DB"/>
    <w:rsid w:val="00E05F0F"/>
    <w:rsid w:val="00E103EE"/>
    <w:rsid w:val="00E11295"/>
    <w:rsid w:val="00E112B9"/>
    <w:rsid w:val="00E12DE8"/>
    <w:rsid w:val="00E14AB1"/>
    <w:rsid w:val="00E14E38"/>
    <w:rsid w:val="00E16708"/>
    <w:rsid w:val="00E17BD1"/>
    <w:rsid w:val="00E17E41"/>
    <w:rsid w:val="00E21B3A"/>
    <w:rsid w:val="00E21BD0"/>
    <w:rsid w:val="00E21C82"/>
    <w:rsid w:val="00E228D7"/>
    <w:rsid w:val="00E22ABA"/>
    <w:rsid w:val="00E232F0"/>
    <w:rsid w:val="00E25971"/>
    <w:rsid w:val="00E30963"/>
    <w:rsid w:val="00E32A32"/>
    <w:rsid w:val="00E34C7E"/>
    <w:rsid w:val="00E36697"/>
    <w:rsid w:val="00E369B0"/>
    <w:rsid w:val="00E40CFA"/>
    <w:rsid w:val="00E43F54"/>
    <w:rsid w:val="00E44183"/>
    <w:rsid w:val="00E441AA"/>
    <w:rsid w:val="00E44D59"/>
    <w:rsid w:val="00E46D8E"/>
    <w:rsid w:val="00E50C29"/>
    <w:rsid w:val="00E52772"/>
    <w:rsid w:val="00E55447"/>
    <w:rsid w:val="00E55A69"/>
    <w:rsid w:val="00E645C9"/>
    <w:rsid w:val="00E65A9A"/>
    <w:rsid w:val="00E70633"/>
    <w:rsid w:val="00E81887"/>
    <w:rsid w:val="00E8244E"/>
    <w:rsid w:val="00E8344C"/>
    <w:rsid w:val="00E84058"/>
    <w:rsid w:val="00E865B5"/>
    <w:rsid w:val="00E91103"/>
    <w:rsid w:val="00E94E70"/>
    <w:rsid w:val="00E95649"/>
    <w:rsid w:val="00E97609"/>
    <w:rsid w:val="00E97E1C"/>
    <w:rsid w:val="00EA29D6"/>
    <w:rsid w:val="00EA482D"/>
    <w:rsid w:val="00EB1E83"/>
    <w:rsid w:val="00EB759C"/>
    <w:rsid w:val="00EB7E97"/>
    <w:rsid w:val="00EC082C"/>
    <w:rsid w:val="00EC3218"/>
    <w:rsid w:val="00EC404E"/>
    <w:rsid w:val="00EC4D83"/>
    <w:rsid w:val="00EC525D"/>
    <w:rsid w:val="00EC5D16"/>
    <w:rsid w:val="00ED278A"/>
    <w:rsid w:val="00ED704E"/>
    <w:rsid w:val="00EE32A6"/>
    <w:rsid w:val="00EE4D5A"/>
    <w:rsid w:val="00EE605E"/>
    <w:rsid w:val="00EF291C"/>
    <w:rsid w:val="00EF3409"/>
    <w:rsid w:val="00EF45A9"/>
    <w:rsid w:val="00EF49D6"/>
    <w:rsid w:val="00EF7D94"/>
    <w:rsid w:val="00F033D5"/>
    <w:rsid w:val="00F03B07"/>
    <w:rsid w:val="00F0592B"/>
    <w:rsid w:val="00F11271"/>
    <w:rsid w:val="00F14029"/>
    <w:rsid w:val="00F15593"/>
    <w:rsid w:val="00F15B66"/>
    <w:rsid w:val="00F16510"/>
    <w:rsid w:val="00F16B5E"/>
    <w:rsid w:val="00F22353"/>
    <w:rsid w:val="00F237C5"/>
    <w:rsid w:val="00F25B76"/>
    <w:rsid w:val="00F309A7"/>
    <w:rsid w:val="00F30FCC"/>
    <w:rsid w:val="00F313C0"/>
    <w:rsid w:val="00F327C7"/>
    <w:rsid w:val="00F339AC"/>
    <w:rsid w:val="00F33C65"/>
    <w:rsid w:val="00F34E4F"/>
    <w:rsid w:val="00F419E8"/>
    <w:rsid w:val="00F432D8"/>
    <w:rsid w:val="00F43668"/>
    <w:rsid w:val="00F44B31"/>
    <w:rsid w:val="00F4518E"/>
    <w:rsid w:val="00F50B3B"/>
    <w:rsid w:val="00F52495"/>
    <w:rsid w:val="00F53B03"/>
    <w:rsid w:val="00F55D77"/>
    <w:rsid w:val="00F61880"/>
    <w:rsid w:val="00F618D5"/>
    <w:rsid w:val="00F632AD"/>
    <w:rsid w:val="00F63A7E"/>
    <w:rsid w:val="00F647B0"/>
    <w:rsid w:val="00F65A0F"/>
    <w:rsid w:val="00F66CE2"/>
    <w:rsid w:val="00F674E5"/>
    <w:rsid w:val="00F70D44"/>
    <w:rsid w:val="00F70ED3"/>
    <w:rsid w:val="00F73016"/>
    <w:rsid w:val="00F747B1"/>
    <w:rsid w:val="00F75BBB"/>
    <w:rsid w:val="00F812A1"/>
    <w:rsid w:val="00F81AE1"/>
    <w:rsid w:val="00F81BFD"/>
    <w:rsid w:val="00F82F62"/>
    <w:rsid w:val="00F870A8"/>
    <w:rsid w:val="00F9407C"/>
    <w:rsid w:val="00F9590F"/>
    <w:rsid w:val="00FA3238"/>
    <w:rsid w:val="00FA61FF"/>
    <w:rsid w:val="00FA6819"/>
    <w:rsid w:val="00FB0CC6"/>
    <w:rsid w:val="00FB0E16"/>
    <w:rsid w:val="00FB159F"/>
    <w:rsid w:val="00FB2F97"/>
    <w:rsid w:val="00FB3ED3"/>
    <w:rsid w:val="00FB5EDC"/>
    <w:rsid w:val="00FB6618"/>
    <w:rsid w:val="00FC000D"/>
    <w:rsid w:val="00FC14C9"/>
    <w:rsid w:val="00FC45DB"/>
    <w:rsid w:val="00FC66DC"/>
    <w:rsid w:val="00FC6A7F"/>
    <w:rsid w:val="00FD2A64"/>
    <w:rsid w:val="00FD3B45"/>
    <w:rsid w:val="00FD575C"/>
    <w:rsid w:val="00FE4CE4"/>
    <w:rsid w:val="00FE629B"/>
    <w:rsid w:val="00FE69B5"/>
    <w:rsid w:val="00FE6B42"/>
    <w:rsid w:val="00FE7F68"/>
    <w:rsid w:val="00FF0E68"/>
    <w:rsid w:val="00FF10A2"/>
    <w:rsid w:val="00FF62E8"/>
    <w:rsid w:val="00FF6C77"/>
    <w:rsid w:val="00FF7ED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C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9E2BC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9E2BCE"/>
    <w:pPr>
      <w:keepNext/>
      <w:numPr>
        <w:ilvl w:val="1"/>
        <w:numId w:val="2"/>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9E2BCE"/>
    <w:pPr>
      <w:keepNext/>
      <w:numPr>
        <w:ilvl w:val="2"/>
        <w:numId w:val="2"/>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9E2BCE"/>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9E2BCE"/>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E2BC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E2BC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E2BCE"/>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9E2BC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9E2BCE"/>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basedOn w:val="DefaultParagraphFont"/>
    <w:link w:val="Heading2"/>
    <w:rsid w:val="009E2BCE"/>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 Char Char1,Heading 3 Char1 Char Char Char,Titre 3 Char Char,Titre 3 Char1,Titre 31 Char Char,Titre 31 Char1"/>
    <w:basedOn w:val="DefaultParagraphFont"/>
    <w:link w:val="Heading3"/>
    <w:rsid w:val="009E2BCE"/>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basedOn w:val="DefaultParagraphFont"/>
    <w:link w:val="Heading4"/>
    <w:rsid w:val="009E2BC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9E2BC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9E2B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E2B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E2BC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9E2BC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9E2BCE"/>
    <w:pPr>
      <w:numPr>
        <w:numId w:val="1"/>
      </w:numPr>
      <w:tabs>
        <w:tab w:val="clear" w:pos="1080"/>
        <w:tab w:val="num" w:pos="1440"/>
      </w:tabs>
      <w:spacing w:after="120"/>
    </w:pPr>
  </w:style>
  <w:style w:type="paragraph" w:styleId="EndnoteText">
    <w:name w:val="endnote text"/>
    <w:basedOn w:val="Normal"/>
    <w:link w:val="EndnoteTextChar"/>
    <w:semiHidden/>
    <w:rsid w:val="009E2BCE"/>
    <w:rPr>
      <w:sz w:val="20"/>
    </w:rPr>
  </w:style>
  <w:style w:type="character" w:customStyle="1" w:styleId="EndnoteTextChar">
    <w:name w:val="Endnote Text Char"/>
    <w:basedOn w:val="DefaultParagraphFont"/>
    <w:link w:val="EndnoteText"/>
    <w:semiHidden/>
    <w:rsid w:val="009E2BCE"/>
    <w:rPr>
      <w:rFonts w:ascii="Times New Roman" w:eastAsia="Times New Roman" w:hAnsi="Times New Roman" w:cs="Times New Roman"/>
      <w:snapToGrid w:val="0"/>
      <w:kern w:val="28"/>
      <w:sz w:val="20"/>
      <w:szCs w:val="20"/>
    </w:rPr>
  </w:style>
  <w:style w:type="character" w:styleId="EndnoteReference">
    <w:name w:val="endnote reference"/>
    <w:semiHidden/>
    <w:rsid w:val="009E2BCE"/>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Styl,f,fn"/>
    <w:link w:val="FootnoteTextChar"/>
    <w:qFormat/>
    <w:rsid w:val="009E2BC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basedOn w:val="DefaultParagraphFont"/>
    <w:link w:val="FootnoteText"/>
    <w:rsid w:val="009E2BCE"/>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E2BCE"/>
    <w:rPr>
      <w:rFonts w:ascii="Times New Roman" w:hAnsi="Times New Roman"/>
      <w:dstrike w:val="0"/>
      <w:color w:val="auto"/>
      <w:sz w:val="20"/>
      <w:vertAlign w:val="superscript"/>
    </w:rPr>
  </w:style>
  <w:style w:type="paragraph" w:styleId="TOC1">
    <w:name w:val="toc 1"/>
    <w:basedOn w:val="Normal"/>
    <w:next w:val="Normal"/>
    <w:rsid w:val="009E2BCE"/>
    <w:pPr>
      <w:tabs>
        <w:tab w:val="left" w:pos="360"/>
        <w:tab w:val="right" w:leader="dot" w:pos="9360"/>
      </w:tabs>
      <w:suppressAutoHyphens/>
      <w:ind w:left="360" w:right="720" w:hanging="360"/>
    </w:pPr>
    <w:rPr>
      <w:caps/>
      <w:noProof/>
    </w:rPr>
  </w:style>
  <w:style w:type="paragraph" w:styleId="TOC2">
    <w:name w:val="toc 2"/>
    <w:basedOn w:val="Normal"/>
    <w:next w:val="Normal"/>
    <w:rsid w:val="009E2BCE"/>
    <w:pPr>
      <w:tabs>
        <w:tab w:val="left" w:pos="720"/>
        <w:tab w:val="right" w:leader="dot" w:pos="9360"/>
      </w:tabs>
      <w:suppressAutoHyphens/>
      <w:ind w:left="720" w:right="720" w:hanging="360"/>
    </w:pPr>
    <w:rPr>
      <w:noProof/>
    </w:rPr>
  </w:style>
  <w:style w:type="paragraph" w:styleId="TOC3">
    <w:name w:val="toc 3"/>
    <w:basedOn w:val="Normal"/>
    <w:next w:val="Normal"/>
    <w:rsid w:val="009E2BC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E2BC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E2BC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E2BCE"/>
    <w:pPr>
      <w:tabs>
        <w:tab w:val="left" w:pos="2160"/>
        <w:tab w:val="right" w:leader="dot" w:pos="9360"/>
      </w:tabs>
      <w:suppressAutoHyphens/>
      <w:ind w:left="2160" w:hanging="360"/>
    </w:pPr>
    <w:rPr>
      <w:noProof/>
    </w:rPr>
  </w:style>
  <w:style w:type="paragraph" w:styleId="TOC7">
    <w:name w:val="toc 7"/>
    <w:basedOn w:val="Normal"/>
    <w:next w:val="Normal"/>
    <w:autoRedefine/>
    <w:rsid w:val="009E2BCE"/>
    <w:pPr>
      <w:tabs>
        <w:tab w:val="left" w:pos="2520"/>
        <w:tab w:val="right" w:leader="dot" w:pos="9360"/>
      </w:tabs>
      <w:suppressAutoHyphens/>
      <w:ind w:left="2520" w:hanging="360"/>
    </w:pPr>
    <w:rPr>
      <w:noProof/>
    </w:rPr>
  </w:style>
  <w:style w:type="paragraph" w:styleId="TOC8">
    <w:name w:val="toc 8"/>
    <w:basedOn w:val="Normal"/>
    <w:next w:val="Normal"/>
    <w:autoRedefine/>
    <w:rsid w:val="009E2BCE"/>
    <w:pPr>
      <w:tabs>
        <w:tab w:val="left" w:pos="2880"/>
        <w:tab w:val="right" w:leader="dot" w:pos="9360"/>
      </w:tabs>
      <w:suppressAutoHyphens/>
      <w:ind w:left="2880" w:hanging="360"/>
    </w:pPr>
    <w:rPr>
      <w:noProof/>
    </w:rPr>
  </w:style>
  <w:style w:type="paragraph" w:styleId="TOC9">
    <w:name w:val="toc 9"/>
    <w:basedOn w:val="Normal"/>
    <w:next w:val="Normal"/>
    <w:autoRedefine/>
    <w:rsid w:val="009E2B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2BCE"/>
    <w:pPr>
      <w:tabs>
        <w:tab w:val="right" w:pos="9360"/>
      </w:tabs>
      <w:suppressAutoHyphens/>
    </w:pPr>
  </w:style>
  <w:style w:type="character" w:customStyle="1" w:styleId="EquationCaption">
    <w:name w:val="_Equation Caption"/>
    <w:rsid w:val="009E2BCE"/>
  </w:style>
  <w:style w:type="paragraph" w:styleId="Header">
    <w:name w:val="header"/>
    <w:basedOn w:val="Normal"/>
    <w:link w:val="HeaderChar"/>
    <w:autoRedefine/>
    <w:uiPriority w:val="99"/>
    <w:rsid w:val="007E1DE6"/>
    <w:pPr>
      <w:pBdr>
        <w:bottom w:val="single" w:sz="6" w:space="1" w:color="auto"/>
      </w:pBdr>
      <w:jc w:val="center"/>
    </w:pPr>
    <w:rPr>
      <w:b/>
      <w:szCs w:val="22"/>
    </w:rPr>
  </w:style>
  <w:style w:type="character" w:customStyle="1" w:styleId="HeaderChar">
    <w:name w:val="Header Char"/>
    <w:basedOn w:val="DefaultParagraphFont"/>
    <w:link w:val="Header"/>
    <w:uiPriority w:val="99"/>
    <w:rsid w:val="007E1DE6"/>
    <w:rPr>
      <w:rFonts w:ascii="Times New Roman" w:eastAsia="Times New Roman" w:hAnsi="Times New Roman" w:cs="Times New Roman"/>
      <w:b/>
      <w:snapToGrid w:val="0"/>
      <w:kern w:val="28"/>
    </w:rPr>
  </w:style>
  <w:style w:type="paragraph" w:styleId="Footer">
    <w:name w:val="footer"/>
    <w:basedOn w:val="Normal"/>
    <w:link w:val="FooterChar"/>
    <w:uiPriority w:val="99"/>
    <w:rsid w:val="009E2BCE"/>
    <w:pPr>
      <w:tabs>
        <w:tab w:val="center" w:pos="4320"/>
        <w:tab w:val="right" w:pos="8640"/>
      </w:tabs>
    </w:pPr>
  </w:style>
  <w:style w:type="character" w:customStyle="1" w:styleId="FooterChar">
    <w:name w:val="Footer Char"/>
    <w:basedOn w:val="DefaultParagraphFont"/>
    <w:link w:val="Footer"/>
    <w:uiPriority w:val="99"/>
    <w:rsid w:val="009E2BCE"/>
    <w:rPr>
      <w:rFonts w:ascii="Times New Roman" w:eastAsia="Times New Roman" w:hAnsi="Times New Roman" w:cs="Times New Roman"/>
      <w:snapToGrid w:val="0"/>
      <w:kern w:val="28"/>
      <w:szCs w:val="20"/>
    </w:rPr>
  </w:style>
  <w:style w:type="character" w:styleId="PageNumber">
    <w:name w:val="page number"/>
    <w:basedOn w:val="DefaultParagraphFont"/>
    <w:rsid w:val="009E2BCE"/>
  </w:style>
  <w:style w:type="paragraph" w:styleId="BlockText">
    <w:name w:val="Block Text"/>
    <w:basedOn w:val="Normal"/>
    <w:rsid w:val="009E2BCE"/>
    <w:pPr>
      <w:spacing w:after="240"/>
      <w:ind w:left="1440" w:right="1440"/>
    </w:pPr>
  </w:style>
  <w:style w:type="paragraph" w:customStyle="1" w:styleId="Paratitle">
    <w:name w:val="Para title"/>
    <w:basedOn w:val="Normal"/>
    <w:rsid w:val="009E2BCE"/>
    <w:pPr>
      <w:tabs>
        <w:tab w:val="center" w:pos="9270"/>
      </w:tabs>
      <w:spacing w:after="240"/>
    </w:pPr>
    <w:rPr>
      <w:spacing w:val="-2"/>
    </w:rPr>
  </w:style>
  <w:style w:type="paragraph" w:customStyle="1" w:styleId="Bullet">
    <w:name w:val="Bullet"/>
    <w:basedOn w:val="Normal"/>
    <w:rsid w:val="009E2BCE"/>
    <w:pPr>
      <w:tabs>
        <w:tab w:val="left" w:pos="2160"/>
      </w:tabs>
      <w:spacing w:after="220"/>
      <w:ind w:left="2160" w:hanging="720"/>
    </w:pPr>
  </w:style>
  <w:style w:type="paragraph" w:customStyle="1" w:styleId="TableFormat">
    <w:name w:val="TableFormat"/>
    <w:basedOn w:val="Bullet"/>
    <w:rsid w:val="009E2BCE"/>
    <w:pPr>
      <w:tabs>
        <w:tab w:val="clear" w:pos="2160"/>
        <w:tab w:val="left" w:pos="5040"/>
      </w:tabs>
      <w:ind w:left="5040" w:hanging="3600"/>
    </w:pPr>
  </w:style>
  <w:style w:type="paragraph" w:customStyle="1" w:styleId="TOCTitle">
    <w:name w:val="TOC Title"/>
    <w:basedOn w:val="Normal"/>
    <w:rsid w:val="009E2B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2BCE"/>
    <w:pPr>
      <w:jc w:val="center"/>
    </w:pPr>
    <w:rPr>
      <w:rFonts w:ascii="Times New Roman Bold" w:hAnsi="Times New Roman Bold"/>
      <w:b/>
      <w:bCs/>
      <w:caps/>
      <w:szCs w:val="22"/>
    </w:rPr>
  </w:style>
  <w:style w:type="character" w:styleId="Hyperlink">
    <w:name w:val="Hyperlink"/>
    <w:rsid w:val="009E2BCE"/>
    <w:rPr>
      <w:color w:val="0000FF"/>
      <w:u w:val="single"/>
    </w:rPr>
  </w:style>
  <w:style w:type="paragraph" w:styleId="BalloonText">
    <w:name w:val="Balloon Text"/>
    <w:basedOn w:val="Normal"/>
    <w:link w:val="BalloonTextChar"/>
    <w:rsid w:val="009E2BCE"/>
    <w:rPr>
      <w:rFonts w:ascii="Segoe UI" w:hAnsi="Segoe UI" w:cs="Segoe UI"/>
      <w:sz w:val="18"/>
      <w:szCs w:val="18"/>
    </w:rPr>
  </w:style>
  <w:style w:type="character" w:customStyle="1" w:styleId="BalloonTextChar">
    <w:name w:val="Balloon Text Char"/>
    <w:basedOn w:val="DefaultParagraphFont"/>
    <w:link w:val="BalloonText"/>
    <w:rsid w:val="009E2BCE"/>
    <w:rPr>
      <w:rFonts w:ascii="Segoe UI" w:eastAsia="Times New Roman" w:hAnsi="Segoe UI" w:cs="Segoe UI"/>
      <w:snapToGrid w:val="0"/>
      <w:kern w:val="28"/>
      <w:sz w:val="18"/>
      <w:szCs w:val="18"/>
    </w:rPr>
  </w:style>
  <w:style w:type="paragraph" w:styleId="ListParagraph">
    <w:name w:val="List Paragraph"/>
    <w:basedOn w:val="Normal"/>
    <w:uiPriority w:val="34"/>
    <w:qFormat/>
    <w:rsid w:val="009E2BCE"/>
    <w:pPr>
      <w:spacing w:after="200" w:line="276" w:lineRule="auto"/>
      <w:ind w:left="720"/>
      <w:contextualSpacing/>
    </w:pPr>
  </w:style>
  <w:style w:type="character" w:styleId="CommentReference">
    <w:name w:val="annotation reference"/>
    <w:basedOn w:val="DefaultParagraphFont"/>
    <w:uiPriority w:val="99"/>
    <w:unhideWhenUsed/>
    <w:rsid w:val="009E2BCE"/>
    <w:rPr>
      <w:sz w:val="16"/>
      <w:szCs w:val="16"/>
    </w:rPr>
  </w:style>
  <w:style w:type="paragraph" w:styleId="CommentText">
    <w:name w:val="annotation text"/>
    <w:basedOn w:val="Normal"/>
    <w:link w:val="CommentTextChar"/>
    <w:uiPriority w:val="99"/>
    <w:unhideWhenUsed/>
    <w:rsid w:val="009E2BCE"/>
    <w:pPr>
      <w:spacing w:after="200"/>
    </w:pPr>
    <w:rPr>
      <w:sz w:val="20"/>
    </w:rPr>
  </w:style>
  <w:style w:type="character" w:customStyle="1" w:styleId="CommentTextChar">
    <w:name w:val="Comment Text Char"/>
    <w:basedOn w:val="DefaultParagraphFont"/>
    <w:link w:val="CommentText"/>
    <w:uiPriority w:val="99"/>
    <w:rsid w:val="009E2BCE"/>
    <w:rPr>
      <w:rFonts w:ascii="Times New Roman" w:eastAsia="Times New Roman" w:hAnsi="Times New Roman" w:cs="Times New Roman"/>
      <w:snapToGrid w:val="0"/>
      <w:kern w:val="28"/>
      <w:sz w:val="20"/>
      <w:szCs w:val="20"/>
    </w:rPr>
  </w:style>
  <w:style w:type="paragraph" w:styleId="TOCHeading">
    <w:name w:val="TOC Heading"/>
    <w:basedOn w:val="Heading1"/>
    <w:next w:val="Normal"/>
    <w:uiPriority w:val="39"/>
    <w:unhideWhenUsed/>
    <w:qFormat/>
    <w:rsid w:val="009E2BCE"/>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ParaNumChar">
    <w:name w:val="ParaNum Char"/>
    <w:link w:val="ParaNum"/>
    <w:locked/>
    <w:rsid w:val="009E2BCE"/>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rsid w:val="009E2BCE"/>
    <w:pPr>
      <w:spacing w:after="0"/>
    </w:pPr>
    <w:rPr>
      <w:b/>
      <w:bCs/>
      <w:snapToGrid/>
    </w:rPr>
  </w:style>
  <w:style w:type="character" w:customStyle="1" w:styleId="CommentSubjectChar">
    <w:name w:val="Comment Subject Char"/>
    <w:basedOn w:val="CommentTextChar"/>
    <w:link w:val="CommentSubject"/>
    <w:uiPriority w:val="99"/>
    <w:rsid w:val="009E2BCE"/>
    <w:rPr>
      <w:rFonts w:ascii="Times New Roman" w:eastAsia="Times New Roman" w:hAnsi="Times New Roman" w:cs="Times New Roman"/>
      <w:b/>
      <w:bCs/>
      <w:snapToGrid/>
      <w:kern w:val="28"/>
      <w:sz w:val="20"/>
      <w:szCs w:val="20"/>
    </w:rPr>
  </w:style>
  <w:style w:type="character" w:customStyle="1" w:styleId="apple-converted-space">
    <w:name w:val="apple-converted-space"/>
    <w:rsid w:val="009E2BCE"/>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9E2BCE"/>
    <w:rPr>
      <w:lang w:val="en-US" w:eastAsia="en-US" w:bidi="ar-SA"/>
    </w:rPr>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9E2BCE"/>
  </w:style>
  <w:style w:type="paragraph" w:customStyle="1" w:styleId="BulletCharChar">
    <w:name w:val="Bullet Char Char"/>
    <w:basedOn w:val="Normal"/>
    <w:link w:val="BulletCharCharChar"/>
    <w:rsid w:val="009E2BCE"/>
    <w:pPr>
      <w:tabs>
        <w:tab w:val="left" w:pos="2160"/>
      </w:tabs>
      <w:spacing w:after="220" w:line="276" w:lineRule="auto"/>
      <w:ind w:left="2160" w:hanging="720"/>
    </w:pPr>
  </w:style>
  <w:style w:type="character" w:customStyle="1" w:styleId="BulletCharCharChar">
    <w:name w:val="Bullet Char Char Char"/>
    <w:link w:val="BulletCharChar"/>
    <w:rsid w:val="009E2BCE"/>
    <w:rPr>
      <w:rFonts w:ascii="Times New Roman" w:eastAsia="Times New Roman" w:hAnsi="Times New Roman" w:cs="Times New Roman"/>
      <w:snapToGrid w:val="0"/>
      <w:kern w:val="28"/>
      <w:szCs w:val="20"/>
    </w:rPr>
  </w:style>
  <w:style w:type="character" w:customStyle="1" w:styleId="footnote">
    <w:name w:val="footnote"/>
    <w:rsid w:val="009E2BCE"/>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9E2BCE"/>
  </w:style>
  <w:style w:type="paragraph" w:styleId="NormalWeb">
    <w:name w:val="Normal (Web)"/>
    <w:basedOn w:val="Normal"/>
    <w:uiPriority w:val="99"/>
    <w:unhideWhenUsed/>
    <w:rsid w:val="009E2BCE"/>
    <w:pPr>
      <w:spacing w:after="200" w:line="330" w:lineRule="atLeast"/>
      <w:textAlignment w:val="baseline"/>
    </w:pPr>
    <w:rPr>
      <w:snapToGrid/>
      <w:color w:val="000000"/>
      <w:sz w:val="20"/>
    </w:rPr>
  </w:style>
  <w:style w:type="character" w:customStyle="1" w:styleId="cohovertext">
    <w:name w:val="co_hovertext"/>
    <w:basedOn w:val="DefaultParagraphFont"/>
    <w:rsid w:val="009E2BCE"/>
  </w:style>
  <w:style w:type="character" w:customStyle="1" w:styleId="cosearchterm">
    <w:name w:val="co_searchterm"/>
    <w:basedOn w:val="DefaultParagraphFont"/>
    <w:rsid w:val="009E2BCE"/>
  </w:style>
  <w:style w:type="character" w:styleId="FollowedHyperlink">
    <w:name w:val="FollowedHyperlink"/>
    <w:basedOn w:val="DefaultParagraphFont"/>
    <w:rsid w:val="009E2BCE"/>
    <w:rPr>
      <w:color w:val="954F72" w:themeColor="followedHyperlink"/>
      <w:u w:val="single"/>
    </w:rPr>
  </w:style>
  <w:style w:type="paragraph" w:styleId="Revision">
    <w:name w:val="Revision"/>
    <w:hidden/>
    <w:uiPriority w:val="99"/>
    <w:semiHidden/>
    <w:rsid w:val="009E2BCE"/>
    <w:pPr>
      <w:spacing w:after="0" w:line="240" w:lineRule="auto"/>
    </w:pPr>
    <w:rPr>
      <w:rFonts w:ascii="Times New Roman" w:eastAsia="Times New Roman" w:hAnsi="Times New Roman" w:cs="Times New Roman"/>
      <w:snapToGrid w:val="0"/>
      <w:kern w:val="28"/>
      <w:szCs w:val="24"/>
    </w:rPr>
  </w:style>
  <w:style w:type="character" w:styleId="Emphasis">
    <w:name w:val="Emphasis"/>
    <w:basedOn w:val="DefaultParagraphFont"/>
    <w:uiPriority w:val="20"/>
    <w:qFormat/>
    <w:rsid w:val="009E2BCE"/>
    <w:rPr>
      <w:i/>
      <w:iCs/>
    </w:rPr>
  </w:style>
  <w:style w:type="paragraph" w:customStyle="1" w:styleId="paranum0">
    <w:name w:val="paranum"/>
    <w:basedOn w:val="Normal"/>
    <w:uiPriority w:val="99"/>
    <w:rsid w:val="009E2BCE"/>
    <w:pPr>
      <w:widowControl/>
      <w:snapToGrid w:val="0"/>
      <w:spacing w:after="120"/>
      <w:ind w:firstLine="720"/>
    </w:pPr>
    <w:rPr>
      <w:rFonts w:ascii="Calibri" w:hAnsi="Calibri" w:eastAsiaTheme="minorHAnsi" w:cs="Calibri"/>
      <w:snapToGrid/>
      <w:kern w:val="0"/>
      <w:szCs w:val="22"/>
    </w:rPr>
  </w:style>
  <w:style w:type="paragraph" w:styleId="DocumentMap">
    <w:name w:val="Document Map"/>
    <w:basedOn w:val="Normal"/>
    <w:link w:val="DocumentMapChar"/>
    <w:uiPriority w:val="99"/>
    <w:semiHidden/>
    <w:unhideWhenUsed/>
    <w:rsid w:val="009E2BCE"/>
    <w:rPr>
      <w:sz w:val="24"/>
      <w:szCs w:val="24"/>
    </w:rPr>
  </w:style>
  <w:style w:type="character" w:customStyle="1" w:styleId="DocumentMapChar">
    <w:name w:val="Document Map Char"/>
    <w:basedOn w:val="DefaultParagraphFont"/>
    <w:link w:val="DocumentMap"/>
    <w:uiPriority w:val="99"/>
    <w:semiHidden/>
    <w:rsid w:val="009E2BCE"/>
    <w:rPr>
      <w:rFonts w:ascii="Times New Roman" w:eastAsia="Times New Roman" w:hAnsi="Times New Roman" w:cs="Times New Roman"/>
      <w:snapToGrid w:val="0"/>
      <w:kern w:val="28"/>
      <w:sz w:val="24"/>
      <w:szCs w:val="24"/>
    </w:rPr>
  </w:style>
  <w:style w:type="character" w:customStyle="1" w:styleId="Heading1Char1">
    <w:name w:val="Heading 1 Char1"/>
    <w:aliases w:val="Heading 1 Char Char Char Char1,Heading 1 Char Char1 Char Char1,Heading 1 Char Char1 Char2,Heading 1 Char1 Char Char Char2 Char Char1,Heading 1 Char1 Char Char1,Heading 1 Char2 Char Char1 Char Char1,Heading 1 Char2 Char1"/>
    <w:basedOn w:val="DefaultParagraphFont"/>
    <w:rsid w:val="009E2BCE"/>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eading 2 Char Char1 Char Char Char1,Heading 2 Char Char1 Char1,Heading 2 Char Char2 Char1,Heading 2 Char Char3 Char Char1,Heading 2 Char1 Char Char Char2,Heading 2 Char1 Char Char2,UNDERRUBRIK 1-2 Char Char1,h2 Char Char1"/>
    <w:basedOn w:val="DefaultParagraphFont"/>
    <w:uiPriority w:val="9"/>
    <w:semiHidden/>
    <w:rsid w:val="009E2BCE"/>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1 Char Char1,1 Char2,3 Char Char1,3 Char2,31 Char Char1,31 Char2,?? 3 Char Char1,?? 3 Char2,Heading 3 Char Char Char Char Char2,Heading 3 Char1 Char Char Char1,Titre 3 Char Char1,Titre 3 Char2,Titre 31 Char Char1,Titre 31 Char2"/>
    <w:basedOn w:val="DefaultParagraphFont"/>
    <w:semiHidden/>
    <w:rsid w:val="009E2BCE"/>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 Char Char Char Char Char1 Char1,Heading 4 Char Char1 Char Char1 Char1,Heading 4 Char1 Char Char Char Char1 Char1,Heading 4 Char1 Char Char1,Heading 4 Char1 Char1 Char Char1 Char1,Heading 4 Char2 Char Char1 Char1"/>
    <w:basedOn w:val="DefaultParagraphFont"/>
    <w:semiHidden/>
    <w:rsid w:val="009E2BCE"/>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 Char Char Char Char Char1,Heading 5 Char Char Char1 Char1,Heading 5 Char Char1 Char Char1,Heading 5 Char Char2 Char1,Heading 5 Char1 Char Char Char Char1,Heading 5 Char1 Char1 Char1,Heading 5 Char2 Char1"/>
    <w:basedOn w:val="DefaultParagraphFont"/>
    <w:semiHidden/>
    <w:rsid w:val="009E2BCE"/>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 Char Char Char1,Heading 6 Char Char Char2,Heading 6 Char Char1 Char1,Heading 6 Char1 Char Char1,Heading 6 Char1 Char2,Heading 6 Char2 Char1,h6 Char1"/>
    <w:basedOn w:val="DefaultParagraphFont"/>
    <w:semiHidden/>
    <w:rsid w:val="009E2BCE"/>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9E2BCE"/>
    <w:rPr>
      <w:rFonts w:ascii="Courier New" w:eastAsia="Calibri" w:hAnsi="Courier New" w:cs="Courier New" w:hint="default"/>
      <w:sz w:val="20"/>
      <w:szCs w:val="20"/>
    </w:rPr>
  </w:style>
  <w:style w:type="character" w:customStyle="1" w:styleId="Heading9Char1">
    <w:name w:val="Heading 9 Char1"/>
    <w:aliases w:val="9 Char1,Heading 9.table Char1,Titre 9 Char1,Topic Char1,t Char1,table Char1"/>
    <w:basedOn w:val="DefaultParagraphFont"/>
    <w:semiHidden/>
    <w:rsid w:val="009E2BCE"/>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 Char Char1,Footnote Text Char Char3 Char Char Char Char Char1,Footnote Text Char1 Char1 Char Char1,Footnote Text Char2 Char1,Footnote Text Char3 Char1 Char Char Char Char1,Footnote Text Char4 Char Char Char Char1"/>
    <w:basedOn w:val="DefaultParagraphFont"/>
    <w:semiHidden/>
    <w:rsid w:val="009E2BCE"/>
    <w:rPr>
      <w:kern w:val="28"/>
      <w:sz w:val="20"/>
      <w:szCs w:val="20"/>
    </w:rPr>
  </w:style>
  <w:style w:type="paragraph" w:styleId="Caption">
    <w:name w:val="caption"/>
    <w:basedOn w:val="Normal"/>
    <w:next w:val="Normal"/>
    <w:uiPriority w:val="35"/>
    <w:semiHidden/>
    <w:unhideWhenUsed/>
    <w:qFormat/>
    <w:rsid w:val="009E2BCE"/>
    <w:pPr>
      <w:keepLines/>
      <w:widowControl/>
      <w:snapToGrid w:val="0"/>
      <w:spacing w:before="120" w:after="120"/>
      <w:jc w:val="center"/>
    </w:pPr>
    <w:rPr>
      <w:rFonts w:eastAsiaTheme="minorHAnsi" w:cstheme="minorBidi"/>
      <w:b/>
      <w:iCs/>
      <w:snapToGrid/>
      <w:kern w:val="0"/>
      <w:sz w:val="20"/>
      <w:szCs w:val="18"/>
      <w:lang w:eastAsia="ja-JP"/>
    </w:rPr>
  </w:style>
  <w:style w:type="paragraph" w:styleId="Title">
    <w:name w:val="Title"/>
    <w:basedOn w:val="Normal"/>
    <w:next w:val="Normal"/>
    <w:link w:val="TitleChar"/>
    <w:uiPriority w:val="10"/>
    <w:qFormat/>
    <w:rsid w:val="009E2BCE"/>
    <w:pPr>
      <w:snapToGrid w:val="0"/>
      <w:spacing w:after="240"/>
      <w:jc w:val="center"/>
      <w:outlineLvl w:val="0"/>
    </w:pPr>
    <w:rPr>
      <w:rFonts w:ascii="Times New Roman Bold" w:hAnsi="Times New Roman Bold" w:eastAsiaTheme="majorEastAsia"/>
      <w:b/>
      <w:bCs/>
      <w:caps/>
      <w:snapToGrid/>
      <w:szCs w:val="22"/>
    </w:rPr>
  </w:style>
  <w:style w:type="character" w:customStyle="1" w:styleId="TitleChar">
    <w:name w:val="Title Char"/>
    <w:basedOn w:val="DefaultParagraphFont"/>
    <w:link w:val="Title"/>
    <w:uiPriority w:val="10"/>
    <w:rsid w:val="009E2BCE"/>
    <w:rPr>
      <w:rFonts w:ascii="Times New Roman Bold" w:hAnsi="Times New Roman Bold" w:eastAsiaTheme="majorEastAsia" w:cs="Times New Roman"/>
      <w:b/>
      <w:bCs/>
      <w:caps/>
      <w:kern w:val="28"/>
    </w:rPr>
  </w:style>
  <w:style w:type="paragraph" w:styleId="BodyText">
    <w:name w:val="Body Text"/>
    <w:basedOn w:val="Normal"/>
    <w:link w:val="BodyTextChar"/>
    <w:uiPriority w:val="99"/>
    <w:semiHidden/>
    <w:unhideWhenUsed/>
    <w:rsid w:val="009E2BCE"/>
    <w:pPr>
      <w:widowControl/>
      <w:snapToGrid w:val="0"/>
      <w:spacing w:after="160" w:line="256" w:lineRule="auto"/>
    </w:pPr>
    <w:rPr>
      <w:rFonts w:asciiTheme="minorHAnsi" w:eastAsiaTheme="minorHAnsi" w:hAnsiTheme="minorHAnsi" w:cstheme="minorBidi"/>
      <w:snapToGrid/>
      <w:kern w:val="0"/>
      <w:szCs w:val="22"/>
      <w:lang w:eastAsia="ja-JP"/>
    </w:rPr>
  </w:style>
  <w:style w:type="character" w:customStyle="1" w:styleId="BodyTextChar">
    <w:name w:val="Body Text Char"/>
    <w:basedOn w:val="DefaultParagraphFont"/>
    <w:link w:val="BodyText"/>
    <w:uiPriority w:val="99"/>
    <w:semiHidden/>
    <w:rsid w:val="009E2BCE"/>
    <w:rPr>
      <w:lang w:eastAsia="ja-JP"/>
    </w:rPr>
  </w:style>
  <w:style w:type="paragraph" w:styleId="BodyTextFirstIndent">
    <w:name w:val="Body Text First Indent"/>
    <w:basedOn w:val="BodyText"/>
    <w:link w:val="BodyTextFirstIndentChar"/>
    <w:uiPriority w:val="99"/>
    <w:unhideWhenUsed/>
    <w:rsid w:val="009E2BCE"/>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rsid w:val="009E2BCE"/>
    <w:rPr>
      <w:rFonts w:ascii="Cambria" w:eastAsia="MS Minngs" w:hAnsi="Cambria"/>
      <w:lang w:eastAsia="ja-JP"/>
    </w:rPr>
  </w:style>
  <w:style w:type="paragraph" w:styleId="PlainText">
    <w:name w:val="Plain Text"/>
    <w:basedOn w:val="Normal"/>
    <w:link w:val="PlainTextChar"/>
    <w:uiPriority w:val="99"/>
    <w:unhideWhenUsed/>
    <w:rsid w:val="009E2BCE"/>
    <w:pPr>
      <w:widowControl/>
      <w:snapToGrid w:val="0"/>
      <w:spacing w:after="160" w:line="256" w:lineRule="auto"/>
    </w:pPr>
    <w:rPr>
      <w:rFonts w:ascii="Calibri" w:hAnsi="Calibri" w:eastAsiaTheme="minorHAnsi" w:cs="Calibri"/>
      <w:snapToGrid/>
      <w:kern w:val="0"/>
      <w:szCs w:val="22"/>
      <w:lang w:eastAsia="ja-JP"/>
    </w:rPr>
  </w:style>
  <w:style w:type="character" w:customStyle="1" w:styleId="PlainTextChar">
    <w:name w:val="Plain Text Char"/>
    <w:basedOn w:val="DefaultParagraphFont"/>
    <w:link w:val="PlainText"/>
    <w:uiPriority w:val="99"/>
    <w:rsid w:val="009E2BCE"/>
    <w:rPr>
      <w:rFonts w:ascii="Calibri" w:hAnsi="Calibri" w:cs="Calibri"/>
      <w:lang w:eastAsia="ja-JP"/>
    </w:rPr>
  </w:style>
  <w:style w:type="paragraph" w:styleId="NoSpacing">
    <w:name w:val="No Spacing"/>
    <w:uiPriority w:val="1"/>
    <w:qFormat/>
    <w:rsid w:val="009E2BCE"/>
    <w:pPr>
      <w:spacing w:after="120" w:line="240" w:lineRule="auto"/>
    </w:pPr>
    <w:rPr>
      <w:rFonts w:eastAsiaTheme="minorEastAsia"/>
      <w:sz w:val="24"/>
      <w:szCs w:val="24"/>
    </w:rPr>
  </w:style>
  <w:style w:type="paragraph" w:customStyle="1" w:styleId="Body">
    <w:name w:val="Body"/>
    <w:uiPriority w:val="99"/>
    <w:rsid w:val="009E2BCE"/>
    <w:pPr>
      <w:spacing w:after="120" w:line="240" w:lineRule="auto"/>
    </w:pPr>
    <w:rPr>
      <w:rFonts w:ascii="Times New Roman" w:hAnsi="Times New Roman" w:eastAsiaTheme="minorEastAsia" w:cs="Arial Unicode MS"/>
    </w:rPr>
  </w:style>
  <w:style w:type="character" w:customStyle="1" w:styleId="AppendixTitleChar">
    <w:name w:val="Appendix Title Char"/>
    <w:basedOn w:val="TitleChar"/>
    <w:link w:val="AppendixTitle"/>
    <w:locked/>
    <w:rsid w:val="009E2BCE"/>
    <w:rPr>
      <w:rFonts w:ascii="Times New Roman Bold" w:hAnsi="Times New Roman Bold" w:eastAsiaTheme="majorEastAsia" w:cs="Times New Roman Bold"/>
      <w:b w:val="0"/>
      <w:bCs w:val="0"/>
      <w:caps w:val="0"/>
      <w:kern w:val="28"/>
    </w:rPr>
  </w:style>
  <w:style w:type="paragraph" w:customStyle="1" w:styleId="AppendixTitle">
    <w:name w:val="Appendix Title"/>
    <w:basedOn w:val="Title"/>
    <w:link w:val="AppendixTitleChar"/>
    <w:qFormat/>
    <w:rsid w:val="009E2BCE"/>
    <w:pPr>
      <w:outlineLvl w:val="1"/>
    </w:pPr>
    <w:rPr>
      <w:rFonts w:cs="Times New Roman Bold"/>
      <w:b w:val="0"/>
      <w:bCs w:val="0"/>
      <w:caps w:val="0"/>
    </w:rPr>
  </w:style>
  <w:style w:type="character" w:customStyle="1" w:styleId="AttachmentHeading1Char">
    <w:name w:val="Attachment Heading 1 Char"/>
    <w:basedOn w:val="DefaultParagraphFont"/>
    <w:link w:val="AttachmentHeading1"/>
    <w:locked/>
    <w:rsid w:val="009E2BCE"/>
    <w:rPr>
      <w:rFonts w:eastAsiaTheme="majorEastAsia"/>
      <w:b/>
      <w:bCs/>
      <w:kern w:val="28"/>
    </w:rPr>
  </w:style>
  <w:style w:type="paragraph" w:customStyle="1" w:styleId="AttachmentHeading2">
    <w:name w:val="Attachment Heading 2"/>
    <w:basedOn w:val="AttachmentHeading1"/>
    <w:next w:val="AttachmentHeading3"/>
    <w:link w:val="AttachmentHeading2Char"/>
    <w:uiPriority w:val="99"/>
    <w:qFormat/>
    <w:rsid w:val="009E2BCE"/>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9E2BCE"/>
    <w:pPr>
      <w:numPr>
        <w:numId w:val="4"/>
      </w:numPr>
      <w:snapToGrid w:val="0"/>
      <w:spacing w:after="240" w:line="480" w:lineRule="auto"/>
      <w:jc w:val="center"/>
      <w:outlineLvl w:val="0"/>
    </w:pPr>
    <w:rPr>
      <w:rFonts w:eastAsiaTheme="majorEastAsia"/>
      <w:b/>
      <w:bCs/>
      <w:kern w:val="28"/>
    </w:rPr>
  </w:style>
  <w:style w:type="character" w:styleId="PlaceholderText">
    <w:name w:val="Placeholder Text"/>
    <w:basedOn w:val="DefaultParagraphFont"/>
    <w:uiPriority w:val="99"/>
    <w:semiHidden/>
    <w:rsid w:val="009E2BCE"/>
    <w:rPr>
      <w:color w:val="808080"/>
    </w:rPr>
  </w:style>
  <w:style w:type="character" w:customStyle="1" w:styleId="ALTSFOOTNOTECharChar">
    <w:name w:val="ALTS FOOTNOTE Char Char"/>
    <w:semiHidden/>
    <w:locked/>
    <w:rsid w:val="009E2BCE"/>
  </w:style>
  <w:style w:type="character" w:customStyle="1" w:styleId="CommentSubjectChar1">
    <w:name w:val="Comment Subject Char1"/>
    <w:basedOn w:val="CommentTextChar"/>
    <w:uiPriority w:val="99"/>
    <w:semiHidden/>
    <w:rsid w:val="009E2BCE"/>
    <w:rPr>
      <w:rFonts w:ascii="Calibri" w:eastAsia="Times New Roman" w:hAnsi="Calibri" w:cs="Times New Roman"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9E2BCE"/>
    <w:pPr>
      <w:keepNext/>
      <w:keepLines/>
      <w:numPr>
        <w:ilvl w:val="2"/>
      </w:numPr>
      <w:tabs>
        <w:tab w:val="left" w:pos="720"/>
      </w:tabs>
      <w:spacing w:before="240" w:line="240" w:lineRule="auto"/>
      <w:jc w:val="left"/>
      <w:outlineLvl w:val="2"/>
    </w:pPr>
    <w:rPr>
      <w:szCs w:val="20"/>
    </w:rPr>
  </w:style>
  <w:style w:type="character" w:customStyle="1" w:styleId="AttachmentHeading3Char">
    <w:name w:val="Attachment Heading 3 Char"/>
    <w:basedOn w:val="Heading1Char"/>
    <w:link w:val="AttachmentHeading3"/>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4">
    <w:name w:val="Attachment Heading 4"/>
    <w:basedOn w:val="AttachmentHeading3"/>
    <w:next w:val="Body"/>
    <w:link w:val="AttachmentHeading4Char"/>
    <w:uiPriority w:val="99"/>
    <w:qFormat/>
    <w:rsid w:val="009E2BCE"/>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5">
    <w:name w:val="Attachment Heading 5"/>
    <w:basedOn w:val="AttachmentHeading4"/>
    <w:next w:val="Body"/>
    <w:link w:val="AttachmentHeading5Char"/>
    <w:uiPriority w:val="99"/>
    <w:qFormat/>
    <w:rsid w:val="009E2BCE"/>
    <w:pPr>
      <w:numPr>
        <w:ilvl w:val="4"/>
      </w:numPr>
      <w:outlineLvl w:val="4"/>
    </w:pPr>
  </w:style>
  <w:style w:type="character" w:customStyle="1" w:styleId="AttachmentHeading5Char">
    <w:name w:val="Attachment Heading 5 Char"/>
    <w:basedOn w:val="AttachmentHeading4Char"/>
    <w:link w:val="AttachmentHeading5"/>
    <w:uiPriority w:val="99"/>
    <w:locked/>
    <w:rsid w:val="009E2BCE"/>
    <w:rPr>
      <w:rFonts w:ascii="Times New Roman Bold" w:hAnsi="Times New Roman Bold" w:eastAsiaTheme="majorEastAsia" w:cs="Times New Roman Bold"/>
      <w:b/>
      <w:bCs/>
      <w:caps w:val="0"/>
      <w:snapToGrid/>
      <w:kern w:val="28"/>
      <w:szCs w:val="20"/>
    </w:rPr>
  </w:style>
  <w:style w:type="character" w:customStyle="1" w:styleId="AttachmentHeading2Char">
    <w:name w:val="Attachment Heading 2 Char"/>
    <w:basedOn w:val="AppendixTitleChar"/>
    <w:link w:val="AttachmentHeading2"/>
    <w:uiPriority w:val="99"/>
    <w:locked/>
    <w:rsid w:val="009E2BCE"/>
    <w:rPr>
      <w:rFonts w:ascii="Times New Roman Bold" w:hAnsi="Times New Roman Bold" w:eastAsiaTheme="majorEastAsia" w:cs="Times New Roman Bold"/>
      <w:b/>
      <w:bCs/>
      <w:caps w:val="0"/>
      <w:kern w:val="28"/>
    </w:rPr>
  </w:style>
  <w:style w:type="table" w:styleId="TableGrid">
    <w:name w:val="Table Grid"/>
    <w:basedOn w:val="TableNormal"/>
    <w:uiPriority w:val="39"/>
    <w:rsid w:val="009E2BCE"/>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9E2BCE"/>
    <w:pPr>
      <w:spacing w:after="12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9E2BCE"/>
    <w:pPr>
      <w:numPr>
        <w:numId w:val="4"/>
      </w:numPr>
    </w:pPr>
  </w:style>
  <w:style w:type="numbering" w:customStyle="1" w:styleId="Style1">
    <w:name w:val="Style1"/>
    <w:uiPriority w:val="99"/>
    <w:rsid w:val="009E2BCE"/>
    <w:pPr>
      <w:numPr>
        <w:numId w:val="5"/>
      </w:numPr>
    </w:pPr>
  </w:style>
  <w:style w:type="paragraph" w:customStyle="1" w:styleId="p1">
    <w:name w:val="p1"/>
    <w:basedOn w:val="Normal"/>
    <w:rsid w:val="00876512"/>
    <w:pPr>
      <w:widowControl/>
    </w:pPr>
    <w:rPr>
      <w:rFonts w:eastAsiaTheme="minorHAnsi"/>
      <w:snapToGrid/>
      <w:kern w:val="0"/>
      <w:sz w:val="18"/>
      <w:szCs w:val="18"/>
    </w:rPr>
  </w:style>
  <w:style w:type="character" w:customStyle="1" w:styleId="UnresolvedMention">
    <w:name w:val="Unresolved Mention"/>
    <w:basedOn w:val="DefaultParagraphFont"/>
    <w:uiPriority w:val="99"/>
    <w:semiHidden/>
    <w:unhideWhenUsed/>
    <w:rsid w:val="0075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lectromagnetic-compatibility-division/tvstudy-interference-analysis-software/tvstudy-faq" TargetMode="External" /><Relationship Id="rId2" Type="http://schemas.openxmlformats.org/officeDocument/2006/relationships/hyperlink" Target="https://www.fcc.gov/auction/103" TargetMode="External" /><Relationship Id="rId3" Type="http://schemas.openxmlformats.org/officeDocument/2006/relationships/hyperlink" Target="https://pubs.usgs.gov/pp/1395/report.pdf" TargetMode="External" /><Relationship Id="rId4" Type="http://schemas.openxmlformats.org/officeDocument/2006/relationships/hyperlink" Target="https://www.fcc.gov/reports-research/data/staff-block-estimates" TargetMode="External" /><Relationship Id="rId5" Type="http://schemas.openxmlformats.org/officeDocument/2006/relationships/hyperlink" Target="https://www.census.gov/geo/reference/gtc/gtc_area_attr.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