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E2BCE" w:rsidRPr="00276F41" w:rsidP="00B91639" w14:paraId="22DA969E" w14:textId="579A9B52">
      <w:pPr>
        <w:tabs>
          <w:tab w:val="left" w:pos="855"/>
          <w:tab w:val="center" w:pos="4680"/>
        </w:tabs>
        <w:spacing w:after="120" w:line="480" w:lineRule="auto"/>
        <w:jc w:val="center"/>
        <w:rPr>
          <w:b/>
        </w:rPr>
      </w:pPr>
      <w:bookmarkStart w:id="0" w:name="_Ref279671408"/>
      <w:bookmarkStart w:id="1" w:name="_GoBack"/>
      <w:bookmarkEnd w:id="1"/>
      <w:r>
        <w:rPr>
          <w:b/>
        </w:rPr>
        <w:t xml:space="preserve">Appendix </w:t>
      </w:r>
      <w:r w:rsidR="00B91639">
        <w:rPr>
          <w:b/>
        </w:rPr>
        <w:t xml:space="preserve">C:  </w:t>
      </w:r>
      <w:r w:rsidRPr="00FD660C" w:rsidR="00FD660C">
        <w:rPr>
          <w:b/>
        </w:rPr>
        <w:t>Imputing Auction 101</w:t>
      </w:r>
      <w:r w:rsidR="00B91639">
        <w:rPr>
          <w:b/>
        </w:rPr>
        <w:t xml:space="preserve"> Prices for Weights</w:t>
      </w:r>
    </w:p>
    <w:p w:rsidR="00E97E1C" w:rsidP="0022602A" w14:paraId="34ABED6B" w14:textId="6B1761C9">
      <w:pPr>
        <w:pStyle w:val="AttachmentHeading3"/>
        <w:numPr>
          <w:ilvl w:val="2"/>
          <w:numId w:val="3"/>
        </w:numPr>
        <w:spacing w:after="120"/>
      </w:pPr>
      <w:r>
        <w:t>Introduction</w:t>
      </w:r>
      <w:bookmarkEnd w:id="0"/>
    </w:p>
    <w:p w:rsidR="00FD660C" w:rsidP="00FD660C" w14:paraId="153BCD2C" w14:textId="77777777">
      <w:pPr>
        <w:pStyle w:val="Body"/>
      </w:pPr>
      <w:r>
        <w:t xml:space="preserve">This document outlines a potential statistical regression approach to estimating prices for those markets for which no licenses were available in Auction 101 (28 GHz Band).  These imputed prices, along with actual prices from Auction 101 and prices from Auction 102, could then be used to calculate a relative price index to weight MHz-pops across PEAs for purposes of reconfiguring existing 39 GHz licenses consistent with the licenses that will be available in Auction 103.  </w:t>
      </w:r>
    </w:p>
    <w:p w:rsidR="0063312C" w:rsidP="00FD660C" w14:paraId="2834ED06" w14:textId="4A9D549D">
      <w:pPr>
        <w:pStyle w:val="Body"/>
      </w:pPr>
      <w:r>
        <w:t xml:space="preserve">The </w:t>
      </w:r>
      <w:r w:rsidRPr="00583A4D" w:rsidR="00A7580D">
        <w:rPr>
          <w:i/>
        </w:rPr>
        <w:t>Initial 39 GHz Reconfiguration Procedures Public Notice</w:t>
      </w:r>
      <w:r w:rsidRPr="00D036BE" w:rsidR="000A0BCB">
        <w:t xml:space="preserve"> </w:t>
      </w:r>
      <w:r>
        <w:t>sets forth a proposal to calculate the relative price index based on Auction 102 data (as available) and prices from previous auctions of non-millimeter wave spectrum.</w:t>
      </w:r>
      <w:r>
        <w:rPr>
          <w:rStyle w:val="FootnoteReference"/>
        </w:rPr>
        <w:footnoteReference w:id="2"/>
      </w:r>
      <w:r>
        <w:t xml:space="preserve">  The proposal declines to use price data from Auction 101 because the auction inventory included less than half the nation, primarily in less densely populated areas, and used a smaller geographic licensing area (counties) than will be used in Auction 103, making it difficult to develop a nationwide PEA-level price index.  The </w:t>
      </w:r>
      <w:r w:rsidRPr="00583A4D" w:rsidR="006C1AAB">
        <w:rPr>
          <w:i/>
        </w:rPr>
        <w:t>Initial 39 GHz Reconfiguration Procedures Public Notice</w:t>
      </w:r>
      <w:r w:rsidR="006C1AAB">
        <w:t xml:space="preserve"> </w:t>
      </w:r>
      <w:r>
        <w:t>seeks comment, however, on an alternative approach</w:t>
      </w:r>
      <w:r w:rsidR="00C03B91">
        <w:t xml:space="preserve"> that</w:t>
      </w:r>
      <w:r>
        <w:t xml:space="preserve"> would use statistical regression to impute prices for the markets not included in the Auction 101 inventory to use in creating the relative price index.</w:t>
      </w:r>
      <w:r>
        <w:rPr>
          <w:rStyle w:val="FootnoteReference"/>
        </w:rPr>
        <w:footnoteReference w:id="3"/>
      </w:r>
    </w:p>
    <w:p w:rsidR="00FD660C" w:rsidP="0022602A" w14:paraId="3CB92B33" w14:textId="0E690E89">
      <w:pPr>
        <w:pStyle w:val="AttachmentHeading3"/>
        <w:numPr>
          <w:ilvl w:val="2"/>
          <w:numId w:val="3"/>
        </w:numPr>
        <w:spacing w:after="120"/>
      </w:pPr>
      <w:r w:rsidRPr="00FD660C">
        <w:t>Regression Approach</w:t>
      </w:r>
    </w:p>
    <w:p w:rsidR="00513B56" w:rsidRPr="003F4C90" w:rsidP="00513B56" w14:paraId="6DAF33F8" w14:textId="60EE33DC">
      <w:pPr>
        <w:rPr>
          <w:szCs w:val="22"/>
        </w:rPr>
      </w:pPr>
      <w:r w:rsidRPr="003F4C90">
        <w:rPr>
          <w:szCs w:val="22"/>
        </w:rPr>
        <w:t xml:space="preserve">For this alternative, we would use a regression methodology to impute the missing prices using the prices of the PEAs that were sold in Auction 101. </w:t>
      </w:r>
      <w:r w:rsidR="00C03B91">
        <w:rPr>
          <w:szCs w:val="22"/>
        </w:rPr>
        <w:t xml:space="preserve"> </w:t>
      </w:r>
      <w:r w:rsidRPr="003F4C90">
        <w:rPr>
          <w:szCs w:val="22"/>
        </w:rPr>
        <w:t>We would propose to use a constant elasticity regression model that estimates the dollars-per-MHz-pop prices of millimeter wave spectrum as a function of PEA characteristics and past auction price data.</w:t>
      </w:r>
      <w:r w:rsidR="00C03B91">
        <w:rPr>
          <w:szCs w:val="22"/>
        </w:rPr>
        <w:t xml:space="preserve"> </w:t>
      </w:r>
      <w:r w:rsidRPr="003F4C90">
        <w:rPr>
          <w:szCs w:val="22"/>
        </w:rPr>
        <w:t xml:space="preserve"> Under this approach:</w:t>
      </w:r>
    </w:p>
    <w:p w:rsidR="00513B56" w:rsidRPr="003F4C90" w:rsidP="00513B56" w14:paraId="34B27F63" w14:textId="77777777">
      <w:pPr>
        <w:ind w:firstLine="720"/>
        <w:rPr>
          <w:szCs w:val="22"/>
        </w:rPr>
      </w:pPr>
    </w:p>
    <w:p w:rsidR="00513B56" w:rsidRPr="003F4C90" w:rsidP="00513B56" w14:paraId="756991F9" w14:textId="4C535A0D">
      <w:pPr>
        <w:ind w:firstLine="720"/>
        <w:rPr>
          <w:szCs w:val="22"/>
        </w:rPr>
      </w:pPr>
      <w:r w:rsidRPr="003F4C90">
        <w:rPr>
          <w:szCs w:val="22"/>
        </w:rPr>
        <w:t xml:space="preserve">The dependent variable is </w:t>
      </w:r>
      <w:r w:rsidRPr="003F4C90">
        <w:rPr>
          <w:i/>
          <w:szCs w:val="22"/>
        </w:rPr>
        <w:t>p</w:t>
      </w:r>
      <w:r w:rsidRPr="003F4C90">
        <w:rPr>
          <w:i/>
          <w:szCs w:val="22"/>
          <w:vertAlign w:val="subscript"/>
        </w:rPr>
        <w:t>i</w:t>
      </w:r>
      <w:r w:rsidRPr="003F4C90">
        <w:rPr>
          <w:i/>
          <w:szCs w:val="22"/>
          <w:vertAlign w:val="superscript"/>
        </w:rPr>
        <w:t>mmW</w:t>
      </w:r>
      <w:r w:rsidRPr="003F4C90">
        <w:rPr>
          <w:i/>
          <w:szCs w:val="22"/>
        </w:rPr>
        <w:t>,</w:t>
      </w:r>
      <w:r w:rsidRPr="003F4C90">
        <w:rPr>
          <w:szCs w:val="22"/>
        </w:rPr>
        <w:t xml:space="preserve"> the Auction 101 price in PEA </w:t>
      </w:r>
      <w:r w:rsidRPr="003F4C90">
        <w:rPr>
          <w:i/>
          <w:szCs w:val="22"/>
        </w:rPr>
        <w:t>i</w:t>
      </w:r>
    </w:p>
    <w:p w:rsidR="00513B56" w:rsidRPr="003F4C90" w:rsidP="00513B56" w14:paraId="77E0C8BB" w14:textId="77777777">
      <w:pPr>
        <w:ind w:firstLine="720"/>
        <w:rPr>
          <w:szCs w:val="22"/>
        </w:rPr>
      </w:pPr>
    </w:p>
    <w:p w:rsidR="00513B56" w:rsidRPr="003F4C90" w:rsidP="00513B56" w14:paraId="6E11F869" w14:textId="0581A6A6">
      <w:pPr>
        <w:ind w:firstLine="720"/>
        <w:rPr>
          <w:szCs w:val="22"/>
        </w:rPr>
      </w:pPr>
      <w:r w:rsidRPr="003F4C90">
        <w:rPr>
          <w:szCs w:val="22"/>
        </w:rPr>
        <w:t>The model estimates coefficients for the following characteristics:</w:t>
      </w:r>
    </w:p>
    <w:p w:rsidR="00513B56" w:rsidRPr="003F4C90" w:rsidP="00513B56" w14:paraId="59E2D365" w14:textId="77777777">
      <w:pPr>
        <w:ind w:firstLine="720"/>
        <w:rPr>
          <w:szCs w:val="22"/>
        </w:rPr>
      </w:pPr>
    </w:p>
    <w:tbl>
      <w:tblPr>
        <w:tblStyle w:val="TableGrid"/>
        <w:tblW w:w="935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5"/>
        <w:gridCol w:w="8275"/>
      </w:tblGrid>
      <w:tr w14:paraId="10699379" w14:textId="77777777" w:rsidTr="00513B56">
        <w:tblPrEx>
          <w:tblW w:w="935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5" w:type="dxa"/>
          </w:tcPr>
          <w:p w:rsidR="00513B56" w:rsidRPr="003F4C90" w:rsidP="00430AFA" w14:paraId="4273D732" w14:textId="77777777">
            <w:pPr>
              <w:rPr>
                <w:szCs w:val="22"/>
              </w:rPr>
            </w:pPr>
            <w:r w:rsidRPr="003F4C90">
              <w:rPr>
                <w:i/>
                <w:szCs w:val="22"/>
              </w:rPr>
              <w:t>density</w:t>
            </w:r>
            <w:r w:rsidRPr="003F4C90">
              <w:rPr>
                <w:i/>
                <w:szCs w:val="22"/>
                <w:vertAlign w:val="subscript"/>
              </w:rPr>
              <w:t>i</w:t>
            </w:r>
          </w:p>
        </w:tc>
        <w:tc>
          <w:tcPr>
            <w:tcW w:w="8275" w:type="dxa"/>
          </w:tcPr>
          <w:p w:rsidR="00513B56" w:rsidRPr="003F4C90" w:rsidP="00430AFA" w14:paraId="71136729" w14:textId="77777777">
            <w:pPr>
              <w:rPr>
                <w:i/>
                <w:szCs w:val="22"/>
              </w:rPr>
            </w:pPr>
            <w:r w:rsidRPr="003F4C90">
              <w:rPr>
                <w:szCs w:val="22"/>
              </w:rPr>
              <w:t xml:space="preserve">population density for PEA </w:t>
            </w:r>
            <w:r w:rsidRPr="003F4C90">
              <w:rPr>
                <w:i/>
                <w:szCs w:val="22"/>
              </w:rPr>
              <w:t>i</w:t>
            </w:r>
          </w:p>
        </w:tc>
      </w:tr>
      <w:tr w14:paraId="25D5AD37" w14:textId="77777777" w:rsidTr="00513B56">
        <w:tblPrEx>
          <w:tblW w:w="9350" w:type="dxa"/>
          <w:tblInd w:w="612" w:type="dxa"/>
          <w:tblLook w:val="04A0"/>
        </w:tblPrEx>
        <w:tc>
          <w:tcPr>
            <w:tcW w:w="1075" w:type="dxa"/>
          </w:tcPr>
          <w:p w:rsidR="00513B56" w:rsidRPr="003F4C90" w:rsidP="00430AFA" w14:paraId="3D4B3AEF" w14:textId="77777777">
            <w:pPr>
              <w:rPr>
                <w:szCs w:val="22"/>
              </w:rPr>
            </w:pPr>
            <w:r w:rsidRPr="003F4C90">
              <w:rPr>
                <w:i/>
                <w:szCs w:val="22"/>
              </w:rPr>
              <w:t>hhinc</w:t>
            </w:r>
            <w:r w:rsidRPr="003F4C90">
              <w:rPr>
                <w:i/>
                <w:szCs w:val="22"/>
                <w:vertAlign w:val="subscript"/>
              </w:rPr>
              <w:t>i</w:t>
            </w:r>
          </w:p>
        </w:tc>
        <w:tc>
          <w:tcPr>
            <w:tcW w:w="8275" w:type="dxa"/>
          </w:tcPr>
          <w:p w:rsidR="00513B56" w:rsidRPr="003F4C90" w:rsidP="00430AFA" w14:paraId="0A20C296" w14:textId="77777777">
            <w:pPr>
              <w:rPr>
                <w:szCs w:val="22"/>
              </w:rPr>
            </w:pPr>
            <w:r w:rsidRPr="003F4C90">
              <w:rPr>
                <w:szCs w:val="22"/>
              </w:rPr>
              <w:t xml:space="preserve">median household income for PEA </w:t>
            </w:r>
            <w:r w:rsidRPr="003F4C90">
              <w:rPr>
                <w:i/>
                <w:szCs w:val="22"/>
              </w:rPr>
              <w:t>i</w:t>
            </w:r>
          </w:p>
        </w:tc>
      </w:tr>
      <w:tr w14:paraId="76D931A2" w14:textId="77777777" w:rsidTr="00513B56">
        <w:tblPrEx>
          <w:tblW w:w="9350" w:type="dxa"/>
          <w:tblInd w:w="612" w:type="dxa"/>
          <w:tblLook w:val="04A0"/>
        </w:tblPrEx>
        <w:tc>
          <w:tcPr>
            <w:tcW w:w="1075" w:type="dxa"/>
          </w:tcPr>
          <w:p w:rsidR="00513B56" w:rsidRPr="003F4C90" w:rsidP="00430AFA" w14:paraId="1162DDB7" w14:textId="77777777">
            <w:pPr>
              <w:rPr>
                <w:szCs w:val="22"/>
              </w:rPr>
            </w:pPr>
            <w:r w:rsidRPr="003F4C90">
              <w:rPr>
                <w:i/>
                <w:szCs w:val="22"/>
              </w:rPr>
              <w:t>urban1</w:t>
            </w:r>
            <w:r w:rsidRPr="003F4C90">
              <w:rPr>
                <w:i/>
                <w:szCs w:val="22"/>
                <w:vertAlign w:val="subscript"/>
              </w:rPr>
              <w:t>i</w:t>
            </w:r>
          </w:p>
        </w:tc>
        <w:tc>
          <w:tcPr>
            <w:tcW w:w="8275" w:type="dxa"/>
          </w:tcPr>
          <w:p w:rsidR="00513B56" w:rsidRPr="003F4C90" w:rsidP="00430AFA" w14:paraId="18E07AF1" w14:textId="77777777">
            <w:pPr>
              <w:rPr>
                <w:szCs w:val="22"/>
              </w:rPr>
            </w:pPr>
            <w:r w:rsidRPr="003F4C90">
              <w:rPr>
                <w:szCs w:val="22"/>
              </w:rPr>
              <w:t xml:space="preserve">percent of PEA </w:t>
            </w:r>
            <w:r w:rsidRPr="003F4C90">
              <w:rPr>
                <w:i/>
                <w:szCs w:val="22"/>
              </w:rPr>
              <w:t>i</w:t>
            </w:r>
            <w:r w:rsidRPr="003F4C90">
              <w:rPr>
                <w:szCs w:val="22"/>
              </w:rPr>
              <w:t xml:space="preserve"> that is greater than median urban percentage</w:t>
            </w:r>
            <w:r>
              <w:rPr>
                <w:rStyle w:val="FootnoteReference"/>
                <w:sz w:val="22"/>
                <w:szCs w:val="22"/>
              </w:rPr>
              <w:footnoteReference w:id="4"/>
            </w:r>
          </w:p>
        </w:tc>
      </w:tr>
      <w:tr w14:paraId="01B15A27" w14:textId="77777777" w:rsidTr="00513B56">
        <w:tblPrEx>
          <w:tblW w:w="9350" w:type="dxa"/>
          <w:tblInd w:w="612" w:type="dxa"/>
          <w:tblLook w:val="04A0"/>
        </w:tblPrEx>
        <w:tc>
          <w:tcPr>
            <w:tcW w:w="1075" w:type="dxa"/>
          </w:tcPr>
          <w:p w:rsidR="00513B56" w:rsidRPr="003F4C90" w:rsidP="00430AFA" w14:paraId="05521C00" w14:textId="77777777">
            <w:pPr>
              <w:rPr>
                <w:szCs w:val="22"/>
              </w:rPr>
            </w:pPr>
            <w:r w:rsidRPr="003F4C90">
              <w:rPr>
                <w:i/>
                <w:szCs w:val="22"/>
              </w:rPr>
              <w:t>urban2</w:t>
            </w:r>
            <w:r w:rsidRPr="003F4C90">
              <w:rPr>
                <w:i/>
                <w:szCs w:val="22"/>
                <w:vertAlign w:val="subscript"/>
              </w:rPr>
              <w:t>i</w:t>
            </w:r>
          </w:p>
        </w:tc>
        <w:tc>
          <w:tcPr>
            <w:tcW w:w="8275" w:type="dxa"/>
          </w:tcPr>
          <w:p w:rsidR="00513B56" w:rsidRPr="003F4C90" w:rsidP="00430AFA" w14:paraId="3A08E120" w14:textId="77777777">
            <w:pPr>
              <w:rPr>
                <w:szCs w:val="22"/>
              </w:rPr>
            </w:pPr>
            <w:r w:rsidRPr="003F4C90">
              <w:rPr>
                <w:szCs w:val="22"/>
              </w:rPr>
              <w:t xml:space="preserve">percent of PEA </w:t>
            </w:r>
            <w:r w:rsidRPr="003F4C90">
              <w:rPr>
                <w:i/>
                <w:szCs w:val="22"/>
              </w:rPr>
              <w:t>i</w:t>
            </w:r>
            <w:r w:rsidRPr="003F4C90">
              <w:rPr>
                <w:szCs w:val="22"/>
              </w:rPr>
              <w:t xml:space="preserve"> that is less than median urban percentage</w:t>
            </w:r>
          </w:p>
        </w:tc>
      </w:tr>
      <w:tr w14:paraId="418F7069" w14:textId="77777777" w:rsidTr="00513B56">
        <w:tblPrEx>
          <w:tblW w:w="9350" w:type="dxa"/>
          <w:tblInd w:w="612" w:type="dxa"/>
          <w:tblLook w:val="04A0"/>
        </w:tblPrEx>
        <w:tc>
          <w:tcPr>
            <w:tcW w:w="1075" w:type="dxa"/>
          </w:tcPr>
          <w:p w:rsidR="00513B56" w:rsidRPr="003F4C90" w:rsidP="00430AFA" w14:paraId="0BDC2F43" w14:textId="77777777">
            <w:pPr>
              <w:rPr>
                <w:szCs w:val="22"/>
              </w:rPr>
            </w:pPr>
            <w:r w:rsidRPr="003F4C90">
              <w:rPr>
                <w:i/>
                <w:szCs w:val="22"/>
              </w:rPr>
              <w:t>p</w:t>
            </w:r>
            <w:r w:rsidRPr="003F4C90">
              <w:rPr>
                <w:i/>
                <w:szCs w:val="22"/>
                <w:vertAlign w:val="subscript"/>
              </w:rPr>
              <w:t>i</w:t>
            </w:r>
            <w:r w:rsidRPr="003F4C90">
              <w:rPr>
                <w:i/>
                <w:szCs w:val="22"/>
                <w:vertAlign w:val="superscript"/>
              </w:rPr>
              <w:t>AWS</w:t>
            </w:r>
          </w:p>
        </w:tc>
        <w:tc>
          <w:tcPr>
            <w:tcW w:w="8275" w:type="dxa"/>
          </w:tcPr>
          <w:p w:rsidR="00513B56" w:rsidRPr="003F4C90" w:rsidP="00430AFA" w14:paraId="190DCD73" w14:textId="77777777">
            <w:pPr>
              <w:rPr>
                <w:szCs w:val="22"/>
              </w:rPr>
            </w:pPr>
            <w:r w:rsidRPr="003F4C90">
              <w:rPr>
                <w:szCs w:val="22"/>
              </w:rPr>
              <w:t xml:space="preserve">price of PEA </w:t>
            </w:r>
            <w:r w:rsidRPr="003F4C90">
              <w:rPr>
                <w:i/>
                <w:szCs w:val="22"/>
              </w:rPr>
              <w:t>i</w:t>
            </w:r>
            <w:r w:rsidRPr="003F4C90">
              <w:rPr>
                <w:szCs w:val="22"/>
              </w:rPr>
              <w:t xml:space="preserve"> license in AWS-3</w:t>
            </w:r>
          </w:p>
        </w:tc>
      </w:tr>
      <w:tr w14:paraId="45DC063F" w14:textId="77777777" w:rsidTr="00513B56">
        <w:tblPrEx>
          <w:tblW w:w="9350" w:type="dxa"/>
          <w:tblInd w:w="612" w:type="dxa"/>
          <w:tblLook w:val="04A0"/>
        </w:tblPrEx>
        <w:tc>
          <w:tcPr>
            <w:tcW w:w="1075" w:type="dxa"/>
          </w:tcPr>
          <w:p w:rsidR="00513B56" w:rsidRPr="003F4C90" w:rsidP="00430AFA" w14:paraId="36D84D37" w14:textId="77777777">
            <w:pPr>
              <w:rPr>
                <w:szCs w:val="22"/>
              </w:rPr>
            </w:pPr>
            <w:r w:rsidRPr="003F4C90">
              <w:rPr>
                <w:i/>
                <w:szCs w:val="22"/>
              </w:rPr>
              <w:t>p</w:t>
            </w:r>
            <w:r w:rsidRPr="003F4C90">
              <w:rPr>
                <w:i/>
                <w:szCs w:val="22"/>
                <w:vertAlign w:val="subscript"/>
              </w:rPr>
              <w:t>i</w:t>
            </w:r>
            <w:r w:rsidRPr="003F4C90">
              <w:rPr>
                <w:i/>
                <w:szCs w:val="22"/>
                <w:vertAlign w:val="superscript"/>
              </w:rPr>
              <w:t>600</w:t>
            </w:r>
          </w:p>
        </w:tc>
        <w:tc>
          <w:tcPr>
            <w:tcW w:w="8275" w:type="dxa"/>
          </w:tcPr>
          <w:p w:rsidR="00513B56" w:rsidRPr="003F4C90" w:rsidP="00430AFA" w14:paraId="231709B4" w14:textId="77777777">
            <w:pPr>
              <w:rPr>
                <w:szCs w:val="22"/>
              </w:rPr>
            </w:pPr>
            <w:r w:rsidRPr="003F4C90">
              <w:rPr>
                <w:szCs w:val="22"/>
              </w:rPr>
              <w:t xml:space="preserve">price of PEA </w:t>
            </w:r>
            <w:r w:rsidRPr="003F4C90">
              <w:rPr>
                <w:i/>
                <w:szCs w:val="22"/>
              </w:rPr>
              <w:t>i</w:t>
            </w:r>
            <w:r w:rsidRPr="003F4C90">
              <w:rPr>
                <w:szCs w:val="22"/>
              </w:rPr>
              <w:t xml:space="preserve"> license in 600 MHz</w:t>
            </w:r>
          </w:p>
        </w:tc>
      </w:tr>
      <w:tr w14:paraId="4B7D9C17" w14:textId="77777777" w:rsidTr="00513B56">
        <w:tblPrEx>
          <w:tblW w:w="9350" w:type="dxa"/>
          <w:tblInd w:w="612" w:type="dxa"/>
          <w:tblLook w:val="04A0"/>
        </w:tblPrEx>
        <w:tc>
          <w:tcPr>
            <w:tcW w:w="1075" w:type="dxa"/>
          </w:tcPr>
          <w:p w:rsidR="00513B56" w:rsidRPr="003F4C90" w:rsidP="00430AFA" w14:paraId="24E88025" w14:textId="77777777">
            <w:pPr>
              <w:rPr>
                <w:szCs w:val="22"/>
              </w:rPr>
            </w:pPr>
            <w:r w:rsidRPr="003F4C90">
              <w:rPr>
                <w:i/>
                <w:szCs w:val="22"/>
              </w:rPr>
              <w:t>p</w:t>
            </w:r>
            <w:r w:rsidRPr="003F4C90">
              <w:rPr>
                <w:i/>
                <w:szCs w:val="22"/>
                <w:vertAlign w:val="subscript"/>
              </w:rPr>
              <w:t>i</w:t>
            </w:r>
            <w:r w:rsidRPr="003F4C90">
              <w:rPr>
                <w:i/>
                <w:szCs w:val="22"/>
                <w:vertAlign w:val="superscript"/>
              </w:rPr>
              <w:t>700</w:t>
            </w:r>
          </w:p>
        </w:tc>
        <w:tc>
          <w:tcPr>
            <w:tcW w:w="8275" w:type="dxa"/>
          </w:tcPr>
          <w:p w:rsidR="00513B56" w:rsidRPr="003F4C90" w:rsidP="00430AFA" w14:paraId="0688DC71" w14:textId="77777777">
            <w:pPr>
              <w:rPr>
                <w:szCs w:val="22"/>
              </w:rPr>
            </w:pPr>
            <w:r w:rsidRPr="003F4C90">
              <w:rPr>
                <w:szCs w:val="22"/>
              </w:rPr>
              <w:t xml:space="preserve">price of PEA </w:t>
            </w:r>
            <w:r w:rsidRPr="003F4C90">
              <w:rPr>
                <w:i/>
                <w:szCs w:val="22"/>
              </w:rPr>
              <w:t>i</w:t>
            </w:r>
            <w:r w:rsidRPr="003F4C90">
              <w:rPr>
                <w:szCs w:val="22"/>
              </w:rPr>
              <w:t xml:space="preserve"> license in 700 MHz</w:t>
            </w:r>
          </w:p>
        </w:tc>
      </w:tr>
    </w:tbl>
    <w:p w:rsidR="003F4C90" w:rsidP="003F4C90" w14:paraId="45698AED" w14:textId="77777777">
      <w:pPr>
        <w:pStyle w:val="Body"/>
        <w:keepLines/>
        <w:ind w:left="720"/>
        <w:rPr>
          <w:rFonts w:cs="Times New Roman"/>
        </w:rPr>
      </w:pPr>
    </w:p>
    <w:p w:rsidR="00513B56" w:rsidRPr="00513B56" w:rsidP="003F4C90" w14:paraId="3BC62B4D" w14:textId="5B6ED18A">
      <w:pPr>
        <w:pStyle w:val="Body"/>
        <w:keepLines/>
        <w:ind w:left="720"/>
        <w:rPr>
          <w:rFonts w:cs="Times New Roman"/>
        </w:rPr>
      </w:pPr>
      <w:r w:rsidRPr="00513B56">
        <w:rPr>
          <w:rFonts w:cs="Times New Roman"/>
        </w:rPr>
        <w:t xml:space="preserve">The regression model is: </w:t>
      </w:r>
    </w:p>
    <w:p w:rsidR="00513B56" w:rsidRPr="00513B56" w:rsidP="003F4C90" w14:paraId="3C7804FC" w14:textId="77777777">
      <w:pPr>
        <w:pStyle w:val="Body"/>
        <w:keepLines/>
        <w:ind w:left="720"/>
        <w:rPr>
          <w:rFonts w:cs="Times New Roman"/>
          <w:i/>
        </w:rPr>
      </w:pPr>
      <w:r w:rsidRPr="00513B56">
        <w:rPr>
          <w:rFonts w:cs="Times New Roman"/>
          <w:i/>
        </w:rPr>
        <w:t>p</w:t>
      </w:r>
      <w:r w:rsidRPr="00513B56">
        <w:rPr>
          <w:rFonts w:cs="Times New Roman"/>
          <w:i/>
          <w:vertAlign w:val="subscript"/>
        </w:rPr>
        <w:t>i</w:t>
      </w:r>
      <w:r w:rsidRPr="00513B56">
        <w:rPr>
          <w:rFonts w:cs="Times New Roman"/>
          <w:i/>
          <w:vertAlign w:val="superscript"/>
        </w:rPr>
        <w:t>mmW</w:t>
      </w:r>
      <w:r w:rsidRPr="00513B56">
        <w:rPr>
          <w:rFonts w:cs="Times New Roman"/>
          <w:i/>
        </w:rPr>
        <w:t xml:space="preserve"> = exp[α + β</w:t>
      </w:r>
      <w:r w:rsidRPr="00513B56">
        <w:rPr>
          <w:rFonts w:cs="Times New Roman"/>
          <w:i/>
          <w:vertAlign w:val="subscript"/>
        </w:rPr>
        <w:t>1</w:t>
      </w:r>
      <w:r w:rsidRPr="00513B56">
        <w:rPr>
          <w:rFonts w:cs="Times New Roman"/>
          <w:i/>
        </w:rPr>
        <w:t xml:space="preserve"> ln(</w:t>
      </w:r>
      <w:r w:rsidRPr="00513B56">
        <w:rPr>
          <w:rFonts w:cs="Times New Roman"/>
          <w:i/>
        </w:rPr>
        <w:t>density</w:t>
      </w:r>
      <w:r w:rsidRPr="00513B56">
        <w:rPr>
          <w:rFonts w:cs="Times New Roman"/>
          <w:i/>
          <w:vertAlign w:val="subscript"/>
        </w:rPr>
        <w:t>i</w:t>
      </w:r>
      <w:r w:rsidRPr="00513B56">
        <w:rPr>
          <w:rFonts w:cs="Times New Roman"/>
          <w:i/>
        </w:rPr>
        <w:t>) + β</w:t>
      </w:r>
      <w:r w:rsidRPr="00513B56">
        <w:rPr>
          <w:rFonts w:cs="Times New Roman"/>
          <w:i/>
          <w:vertAlign w:val="subscript"/>
        </w:rPr>
        <w:t>2</w:t>
      </w:r>
      <w:r w:rsidRPr="00513B56">
        <w:rPr>
          <w:rFonts w:cs="Times New Roman"/>
          <w:i/>
        </w:rPr>
        <w:t>ln(</w:t>
      </w:r>
      <w:r w:rsidRPr="00513B56">
        <w:rPr>
          <w:rFonts w:cs="Times New Roman"/>
          <w:i/>
        </w:rPr>
        <w:t>hhinc</w:t>
      </w:r>
      <w:r w:rsidRPr="00513B56">
        <w:rPr>
          <w:rFonts w:cs="Times New Roman"/>
          <w:i/>
          <w:vertAlign w:val="subscript"/>
        </w:rPr>
        <w:t>i</w:t>
      </w:r>
      <w:r w:rsidRPr="00513B56">
        <w:rPr>
          <w:rFonts w:cs="Times New Roman"/>
          <w:i/>
        </w:rPr>
        <w:t>) + β</w:t>
      </w:r>
      <w:r w:rsidRPr="00513B56">
        <w:rPr>
          <w:rFonts w:cs="Times New Roman"/>
          <w:i/>
          <w:vertAlign w:val="subscript"/>
        </w:rPr>
        <w:t>3</w:t>
      </w:r>
      <w:r w:rsidRPr="00513B56">
        <w:rPr>
          <w:rFonts w:cs="Times New Roman"/>
          <w:i/>
        </w:rPr>
        <w:t>urban1</w:t>
      </w:r>
      <w:r w:rsidRPr="00513B56">
        <w:rPr>
          <w:rFonts w:cs="Times New Roman"/>
          <w:i/>
          <w:vertAlign w:val="subscript"/>
        </w:rPr>
        <w:t xml:space="preserve">i </w:t>
      </w:r>
      <w:r w:rsidRPr="00513B56">
        <w:rPr>
          <w:rFonts w:cs="Times New Roman"/>
          <w:i/>
        </w:rPr>
        <w:t>+ β</w:t>
      </w:r>
      <w:r w:rsidRPr="00513B56">
        <w:rPr>
          <w:rFonts w:cs="Times New Roman"/>
          <w:i/>
          <w:vertAlign w:val="subscript"/>
        </w:rPr>
        <w:t>4</w:t>
      </w:r>
      <w:r w:rsidRPr="00513B56">
        <w:rPr>
          <w:rFonts w:cs="Times New Roman"/>
          <w:i/>
        </w:rPr>
        <w:t>urban2</w:t>
      </w:r>
      <w:r w:rsidRPr="00513B56">
        <w:rPr>
          <w:rFonts w:cs="Times New Roman"/>
          <w:i/>
          <w:vertAlign w:val="subscript"/>
        </w:rPr>
        <w:t>i</w:t>
      </w:r>
    </w:p>
    <w:p w:rsidR="00513B56" w:rsidRPr="00513B56" w:rsidP="003F4C90" w14:paraId="6364137B" w14:textId="77777777">
      <w:pPr>
        <w:pStyle w:val="Body"/>
        <w:keepLines/>
        <w:ind w:left="720"/>
        <w:rPr>
          <w:rFonts w:cs="Times New Roman"/>
          <w:i/>
        </w:rPr>
      </w:pPr>
      <w:r w:rsidRPr="00513B56">
        <w:rPr>
          <w:rFonts w:cs="Times New Roman"/>
          <w:i/>
        </w:rPr>
        <w:t>+ β</w:t>
      </w:r>
      <w:r w:rsidRPr="00513B56">
        <w:rPr>
          <w:rFonts w:cs="Times New Roman"/>
          <w:i/>
          <w:vertAlign w:val="subscript"/>
        </w:rPr>
        <w:t>5</w:t>
      </w:r>
      <w:r w:rsidRPr="00513B56">
        <w:rPr>
          <w:rFonts w:cs="Times New Roman"/>
          <w:i/>
        </w:rPr>
        <w:t>ln(</w:t>
      </w:r>
      <w:r w:rsidRPr="00513B56">
        <w:rPr>
          <w:rFonts w:cs="Times New Roman"/>
          <w:i/>
        </w:rPr>
        <w:t>p</w:t>
      </w:r>
      <w:r w:rsidRPr="00513B56">
        <w:rPr>
          <w:rFonts w:cs="Times New Roman"/>
          <w:i/>
          <w:vertAlign w:val="subscript"/>
        </w:rPr>
        <w:t>i</w:t>
      </w:r>
      <w:r w:rsidRPr="00513B56">
        <w:rPr>
          <w:rFonts w:cs="Times New Roman"/>
          <w:i/>
          <w:vertAlign w:val="superscript"/>
        </w:rPr>
        <w:t>AWS</w:t>
      </w:r>
      <w:r w:rsidRPr="00513B56">
        <w:rPr>
          <w:rFonts w:cs="Times New Roman"/>
          <w:i/>
        </w:rPr>
        <w:t>) + β</w:t>
      </w:r>
      <w:r w:rsidRPr="00513B56">
        <w:rPr>
          <w:rFonts w:cs="Times New Roman"/>
          <w:i/>
          <w:vertAlign w:val="subscript"/>
        </w:rPr>
        <w:t>6</w:t>
      </w:r>
      <w:r w:rsidRPr="00513B56">
        <w:rPr>
          <w:rFonts w:cs="Times New Roman"/>
          <w:i/>
        </w:rPr>
        <w:t>ln(p</w:t>
      </w:r>
      <w:r w:rsidRPr="00513B56">
        <w:rPr>
          <w:rFonts w:cs="Times New Roman"/>
          <w:i/>
          <w:vertAlign w:val="subscript"/>
        </w:rPr>
        <w:t>i</w:t>
      </w:r>
      <w:r w:rsidRPr="00513B56">
        <w:rPr>
          <w:rFonts w:cs="Times New Roman"/>
          <w:i/>
          <w:vertAlign w:val="superscript"/>
        </w:rPr>
        <w:t>600</w:t>
      </w:r>
      <w:r w:rsidRPr="00513B56">
        <w:rPr>
          <w:rFonts w:cs="Times New Roman"/>
          <w:i/>
        </w:rPr>
        <w:t>) + β</w:t>
      </w:r>
      <w:r w:rsidRPr="00513B56">
        <w:rPr>
          <w:rFonts w:cs="Times New Roman"/>
          <w:i/>
          <w:vertAlign w:val="subscript"/>
        </w:rPr>
        <w:t>7</w:t>
      </w:r>
      <w:r w:rsidRPr="00513B56">
        <w:rPr>
          <w:rFonts w:cs="Times New Roman"/>
          <w:i/>
        </w:rPr>
        <w:t>ln(p</w:t>
      </w:r>
      <w:r w:rsidRPr="00513B56">
        <w:rPr>
          <w:rFonts w:cs="Times New Roman"/>
          <w:i/>
          <w:vertAlign w:val="subscript"/>
        </w:rPr>
        <w:t>i</w:t>
      </w:r>
      <w:r w:rsidRPr="00513B56">
        <w:rPr>
          <w:rFonts w:cs="Times New Roman"/>
          <w:i/>
          <w:vertAlign w:val="superscript"/>
        </w:rPr>
        <w:t>700</w:t>
      </w:r>
      <w:r w:rsidRPr="00513B56">
        <w:rPr>
          <w:rFonts w:cs="Times New Roman"/>
          <w:i/>
        </w:rPr>
        <w:t xml:space="preserve">) + </w:t>
      </w:r>
      <w:r w:rsidRPr="00513B56">
        <w:rPr>
          <w:rFonts w:cs="Times New Roman"/>
          <w:i/>
        </w:rPr>
        <w:t>ε</w:t>
      </w:r>
      <w:r w:rsidRPr="00513B56">
        <w:rPr>
          <w:rFonts w:cs="Times New Roman"/>
          <w:i/>
          <w:vertAlign w:val="subscript"/>
        </w:rPr>
        <w:t>i</w:t>
      </w:r>
      <w:r w:rsidRPr="00513B56">
        <w:rPr>
          <w:rFonts w:cs="Times New Roman"/>
          <w:i/>
        </w:rPr>
        <w:t>]</w:t>
      </w:r>
    </w:p>
    <w:p w:rsidR="00513B56" w:rsidRPr="00513B56" w:rsidP="00513B56" w14:paraId="114C5105" w14:textId="77777777">
      <w:pPr>
        <w:pStyle w:val="Body"/>
        <w:rPr>
          <w:rFonts w:cs="Times New Roman"/>
        </w:rPr>
      </w:pPr>
      <w:r w:rsidRPr="00513B56">
        <w:rPr>
          <w:rFonts w:cs="Times New Roman"/>
        </w:rPr>
        <w:t>We would estimate the model using a Poisson regression while correcting the standard errors by specifying a robust heteroskedasticity consistent covariance matrix.</w:t>
      </w:r>
      <w:r>
        <w:rPr>
          <w:rFonts w:cs="Times New Roman"/>
          <w:vertAlign w:val="superscript"/>
        </w:rPr>
        <w:footnoteReference w:id="5"/>
      </w:r>
    </w:p>
    <w:p w:rsidR="00513B56" w:rsidRPr="00513B56" w:rsidP="0022602A" w14:paraId="37CCDF8B" w14:textId="77777777">
      <w:pPr>
        <w:pStyle w:val="AttachmentHeading3"/>
        <w:numPr>
          <w:ilvl w:val="2"/>
          <w:numId w:val="3"/>
        </w:numPr>
        <w:spacing w:after="120"/>
        <w:rPr>
          <w:rFonts w:ascii="Times New Roman" w:hAnsi="Times New Roman" w:cs="Times New Roman"/>
        </w:rPr>
      </w:pPr>
      <w:r w:rsidRPr="00513B56">
        <w:rPr>
          <w:rFonts w:ascii="Times New Roman" w:hAnsi="Times New Roman" w:cs="Times New Roman"/>
        </w:rPr>
        <w:t>Data</w:t>
      </w:r>
    </w:p>
    <w:p w:rsidR="00513B56" w:rsidRPr="00513B56" w:rsidP="00513B56" w14:paraId="49A8B036" w14:textId="3F361040">
      <w:pPr>
        <w:pStyle w:val="Body"/>
        <w:rPr>
          <w:rFonts w:cs="Times New Roman"/>
        </w:rPr>
      </w:pPr>
      <w:r w:rsidRPr="00513B56">
        <w:rPr>
          <w:rFonts w:cs="Times New Roman"/>
          <w:i/>
        </w:rPr>
        <w:t>Auction 101</w:t>
      </w:r>
      <w:r w:rsidR="0022602A">
        <w:rPr>
          <w:rFonts w:cs="Times New Roman"/>
          <w:i/>
        </w:rPr>
        <w:t>:</w:t>
      </w:r>
      <w:r w:rsidRPr="0022602A">
        <w:rPr>
          <w:rFonts w:cs="Times New Roman"/>
        </w:rPr>
        <w:t xml:space="preserve">  </w:t>
      </w:r>
      <w:r w:rsidRPr="00513B56">
        <w:rPr>
          <w:rFonts w:cs="Times New Roman"/>
        </w:rPr>
        <w:t xml:space="preserve">We would calculate average dollars-per-MHz-pop prices for each PEA in Auction 101 by aggregating the county-level data to a PEA level. </w:t>
      </w:r>
      <w:r w:rsidR="00C03B91">
        <w:rPr>
          <w:rFonts w:cs="Times New Roman"/>
        </w:rPr>
        <w:t xml:space="preserve"> </w:t>
      </w:r>
      <w:r w:rsidRPr="00513B56">
        <w:rPr>
          <w:rFonts w:cs="Times New Roman"/>
        </w:rPr>
        <w:t xml:space="preserve">We then would calculate the natural logarithm of these prices and use this as the dependent variable in our regressions. </w:t>
      </w:r>
      <w:r w:rsidR="00C03B91">
        <w:rPr>
          <w:rFonts w:cs="Times New Roman"/>
        </w:rPr>
        <w:t xml:space="preserve"> </w:t>
      </w:r>
      <w:r w:rsidRPr="00513B56">
        <w:rPr>
          <w:rFonts w:cs="Times New Roman"/>
        </w:rPr>
        <w:t>If a PEA had one or more counties that were not available in the 28 GHz auction, then this PEA would be dropped from the analysis.</w:t>
      </w:r>
      <w:r w:rsidR="00C03B91">
        <w:rPr>
          <w:rFonts w:cs="Times New Roman"/>
        </w:rPr>
        <w:t xml:space="preserve"> </w:t>
      </w:r>
      <w:r w:rsidRPr="00513B56">
        <w:rPr>
          <w:rFonts w:cs="Times New Roman"/>
        </w:rPr>
        <w:t xml:space="preserve"> This restriction leaves a total of 123 PEAs. </w:t>
      </w:r>
    </w:p>
    <w:p w:rsidR="00513B56" w:rsidRPr="00513B56" w:rsidP="00513B56" w14:paraId="677CE3DA" w14:textId="4E92E416">
      <w:pPr>
        <w:pStyle w:val="Body"/>
        <w:rPr>
          <w:rFonts w:cs="Times New Roman"/>
        </w:rPr>
      </w:pPr>
      <w:r w:rsidRPr="00513B56">
        <w:rPr>
          <w:rFonts w:cs="Times New Roman"/>
          <w:i/>
        </w:rPr>
        <w:t>Previous Auctions</w:t>
      </w:r>
      <w:r w:rsidR="0022602A">
        <w:rPr>
          <w:rFonts w:cs="Times New Roman"/>
          <w:i/>
        </w:rPr>
        <w:t xml:space="preserve">: </w:t>
      </w:r>
      <w:r w:rsidRPr="00513B56">
        <w:rPr>
          <w:rFonts w:cs="Times New Roman"/>
        </w:rPr>
        <w:t xml:space="preserve"> We would use PEA prices for Auction 1002 (600 MHz) and calculate PEA prices for Auction 97 (AWS-3) from the prices for the CMA and EA spectrum licenses that were sold in those auctions.  </w:t>
      </w:r>
    </w:p>
    <w:p w:rsidR="00513B56" w:rsidRPr="00513B56" w:rsidP="00513B56" w14:paraId="3D3E130A" w14:textId="365F8BB0">
      <w:pPr>
        <w:pStyle w:val="Body"/>
        <w:rPr>
          <w:rFonts w:cs="Times New Roman"/>
        </w:rPr>
      </w:pPr>
      <w:r w:rsidRPr="00513B56">
        <w:rPr>
          <w:rFonts w:cs="Times New Roman"/>
        </w:rPr>
        <w:t xml:space="preserve">For the CMAs that do not nest entirely within the geographic boundaries of a PEA, we would allocate the CMA revenues to multiple PEAs. </w:t>
      </w:r>
      <w:r w:rsidR="00C03B91">
        <w:rPr>
          <w:rFonts w:cs="Times New Roman"/>
        </w:rPr>
        <w:t xml:space="preserve"> </w:t>
      </w:r>
      <w:r w:rsidRPr="00513B56">
        <w:rPr>
          <w:rFonts w:cs="Times New Roman"/>
        </w:rPr>
        <w:t xml:space="preserve">We would allocate the total CMA license prices to the individual counties based on the county share of the overall CMA population. </w:t>
      </w:r>
      <w:r w:rsidR="00C03B91">
        <w:rPr>
          <w:rFonts w:cs="Times New Roman"/>
        </w:rPr>
        <w:t xml:space="preserve"> </w:t>
      </w:r>
      <w:r w:rsidRPr="00513B56">
        <w:rPr>
          <w:rFonts w:cs="Times New Roman"/>
        </w:rPr>
        <w:t xml:space="preserve">We would then aggregate the county-level prices to PEA-level prices. </w:t>
      </w:r>
      <w:r w:rsidR="00C03B91">
        <w:rPr>
          <w:rFonts w:cs="Times New Roman"/>
        </w:rPr>
        <w:t xml:space="preserve"> </w:t>
      </w:r>
      <w:r w:rsidRPr="00513B56">
        <w:rPr>
          <w:rFonts w:cs="Times New Roman"/>
        </w:rPr>
        <w:t xml:space="preserve">We would allocate EA prices to PEAs based on the PEA’s share of the EA population.  </w:t>
      </w:r>
    </w:p>
    <w:p w:rsidR="00513B56" w:rsidRPr="00513B56" w:rsidP="00513B56" w14:paraId="116D2F3E" w14:textId="43C6A5D8">
      <w:pPr>
        <w:pStyle w:val="Body"/>
      </w:pPr>
      <w:r w:rsidRPr="00513B56">
        <w:rPr>
          <w:rFonts w:cs="Times New Roman"/>
          <w:i/>
        </w:rPr>
        <w:t>Demographic Data</w:t>
      </w:r>
      <w:r w:rsidR="0022602A">
        <w:rPr>
          <w:rFonts w:cs="Times New Roman"/>
          <w:i/>
        </w:rPr>
        <w:t>:</w:t>
      </w:r>
      <w:r w:rsidRPr="00513B56">
        <w:rPr>
          <w:rFonts w:cs="Times New Roman"/>
        </w:rPr>
        <w:t xml:space="preserve">  Population data would be based on population estimates for 2017, aggregated to the PEA-level from the county-level by summing the county population totals.</w:t>
      </w:r>
      <w:r>
        <w:rPr>
          <w:rFonts w:cs="Times New Roman"/>
          <w:vertAlign w:val="superscript"/>
        </w:rPr>
        <w:footnoteReference w:id="6"/>
      </w:r>
      <w:r w:rsidRPr="00513B56">
        <w:rPr>
          <w:rFonts w:cs="Times New Roman"/>
        </w:rPr>
        <w:t xml:space="preserve"> </w:t>
      </w:r>
      <w:r w:rsidR="00C03B91">
        <w:rPr>
          <w:rFonts w:cs="Times New Roman"/>
        </w:rPr>
        <w:t xml:space="preserve"> </w:t>
      </w:r>
      <w:r w:rsidRPr="00513B56">
        <w:rPr>
          <w:rFonts w:cs="Times New Roman"/>
        </w:rPr>
        <w:t>Income data would be based on county-level estimates for 2016</w:t>
      </w:r>
      <w:r w:rsidR="00AB3BAB">
        <w:rPr>
          <w:rFonts w:cs="Times New Roman"/>
        </w:rPr>
        <w:t xml:space="preserve"> or 2017</w:t>
      </w:r>
      <w:r w:rsidRPr="00513B56">
        <w:rPr>
          <w:rFonts w:cs="Times New Roman"/>
        </w:rPr>
        <w:t>.</w:t>
      </w:r>
      <w:r>
        <w:rPr>
          <w:rFonts w:cs="Times New Roman"/>
          <w:vertAlign w:val="superscript"/>
        </w:rPr>
        <w:footnoteReference w:id="7"/>
      </w:r>
      <w:r w:rsidRPr="00513B56">
        <w:rPr>
          <w:rFonts w:cs="Times New Roman"/>
        </w:rPr>
        <w:t xml:space="preserve">  The percentage of each county that is urban would be based on the 2010 Census Urban and Rural Classification.</w:t>
      </w:r>
      <w:r>
        <w:rPr>
          <w:rFonts w:cs="Times New Roman"/>
          <w:vertAlign w:val="superscript"/>
        </w:rPr>
        <w:footnoteReference w:id="8"/>
      </w:r>
      <w:r w:rsidRPr="00513B56">
        <w:rPr>
          <w:rFonts w:cs="Times New Roman"/>
        </w:rPr>
        <w:t xml:space="preserve">  To calculate the median household income for the PEA and the percentage of the PEA that is urban, we would calculate a population weighted average of the county-level measures of these variables.</w:t>
      </w:r>
      <w:r w:rsidRPr="00513B56">
        <w:t xml:space="preserve"> </w:t>
      </w:r>
    </w:p>
    <w:p w:rsidR="00FD660C" w:rsidRPr="0063312C" w:rsidP="00FD660C" w14:paraId="5EF5B85D" w14:textId="77777777">
      <w:pPr>
        <w:pStyle w:val="Body"/>
      </w:pPr>
    </w:p>
    <w:sectPr w:rsidSect="007E1DE6">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A16" w:rsidP="007E1DE6" w14:paraId="1AD351BB" w14:textId="1555F0E5">
    <w:pPr>
      <w:pStyle w:val="Footer"/>
      <w:tabs>
        <w:tab w:val="clear" w:pos="4320"/>
        <w:tab w:val="center" w:pos="4680"/>
        <w:tab w:val="clear" w:pos="8640"/>
        <w:tab w:val="right" w:pos="9360"/>
      </w:tabs>
    </w:pPr>
    <w:r>
      <w:rPr>
        <w:noProof/>
      </w:rPr>
      <w:tab/>
      <w:t xml:space="preserve">March </w:t>
    </w:r>
    <w:r w:rsidR="009B29A9">
      <w:rPr>
        <w:noProof/>
      </w:rPr>
      <w:t>20</w:t>
    </w:r>
    <w:r>
      <w:rPr>
        <w:noProof/>
      </w:rPr>
      <w: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A16" w:rsidP="007E1DE6" w14:paraId="0F903513" w14:textId="322A50E4">
    <w:pPr>
      <w:pStyle w:val="Footer"/>
      <w:tabs>
        <w:tab w:val="clear" w:pos="4320"/>
        <w:tab w:val="center" w:pos="4680"/>
        <w:tab w:val="clear" w:pos="8640"/>
        <w:tab w:val="right" w:pos="9360"/>
      </w:tabs>
    </w:pPr>
    <w:r>
      <w:tab/>
    </w:r>
    <w:r>
      <w:tab/>
    </w:r>
    <w:r w:rsidR="00AA6E18">
      <w:rPr>
        <w:noProof/>
      </w:rPr>
      <w:t xml:space="preserve">March </w:t>
    </w:r>
    <w:r w:rsidR="009B29A9">
      <w:rPr>
        <w:noProof/>
      </w:rPr>
      <w:t>20</w:t>
    </w:r>
    <w:r>
      <w:rPr>
        <w:noProof/>
      </w:rPr>
      <w:t>, 201</w:t>
    </w:r>
    <w:r w:rsidR="000D1E4E">
      <w:rPr>
        <w:noProof/>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21BC" w:rsidP="009E2BCE" w14:paraId="5C1B6E3F" w14:textId="77777777">
      <w:r>
        <w:separator/>
      </w:r>
    </w:p>
  </w:footnote>
  <w:footnote w:type="continuationSeparator" w:id="1">
    <w:p w:rsidR="00AF21BC" w:rsidP="009E2BCE" w14:paraId="69555F31" w14:textId="77777777">
      <w:r>
        <w:continuationSeparator/>
      </w:r>
    </w:p>
  </w:footnote>
  <w:footnote w:id="2">
    <w:p w:rsidR="000E1569" w14:paraId="6F95AA44" w14:textId="246AF2FE">
      <w:pPr>
        <w:pStyle w:val="FootnoteText"/>
      </w:pPr>
      <w:r>
        <w:rPr>
          <w:rStyle w:val="FootnoteReference"/>
        </w:rPr>
        <w:footnoteRef/>
      </w:r>
      <w:r>
        <w:t xml:space="preserve"> </w:t>
      </w:r>
      <w:r w:rsidRPr="00D036BE">
        <w:rPr>
          <w:i/>
        </w:rPr>
        <w:t>See</w:t>
      </w:r>
      <w:r w:rsidR="00D41D25">
        <w:rPr>
          <w:i/>
        </w:rPr>
        <w:t xml:space="preserve"> generally, Notice of Initial 39 GHz Reconfiguration Procedures</w:t>
      </w:r>
      <w:r w:rsidRPr="00A450AB" w:rsidR="00D41D25">
        <w:rPr>
          <w:i/>
        </w:rPr>
        <w:t>, et al</w:t>
      </w:r>
      <w:r w:rsidRPr="00A450AB" w:rsidR="00D41D25">
        <w:t xml:space="preserve">., </w:t>
      </w:r>
      <w:r w:rsidRPr="007C4C07" w:rsidR="00D41D25">
        <w:t>GN Docket No. 14-177, AU Docket No. 19-59</w:t>
      </w:r>
      <w:r w:rsidR="00D41D25">
        <w:rPr>
          <w:i/>
        </w:rPr>
        <w:t xml:space="preserve">, </w:t>
      </w:r>
      <w:r w:rsidR="00D41D25">
        <w:t>Public Notice, DA 19-</w:t>
      </w:r>
      <w:r w:rsidR="009B29A9">
        <w:t>196</w:t>
      </w:r>
      <w:r w:rsidR="00D41D25">
        <w:t xml:space="preserve">, </w:t>
      </w:r>
      <w:r w:rsidR="00F56B9B">
        <w:t xml:space="preserve">at </w:t>
      </w:r>
      <w:r>
        <w:t xml:space="preserve">Section V.D. </w:t>
      </w:r>
      <w:r w:rsidR="00F56B9B">
        <w:t>(</w:t>
      </w:r>
      <w:r w:rsidRPr="00D036BE">
        <w:t>Methodology for Setting Relative Weights for Spectrum Holdings by PEA</w:t>
      </w:r>
      <w:r w:rsidR="00F56B9B">
        <w:t>)</w:t>
      </w:r>
      <w:r w:rsidR="00D41D25">
        <w:t xml:space="preserve"> (</w:t>
      </w:r>
      <w:r w:rsidR="00BB0F72">
        <w:rPr>
          <w:snapToGrid w:val="0"/>
        </w:rPr>
        <w:t xml:space="preserve">WTB/OEA </w:t>
      </w:r>
      <w:r w:rsidR="00D41D25">
        <w:t>Mar</w:t>
      </w:r>
      <w:r w:rsidR="00583A4D">
        <w:t>.</w:t>
      </w:r>
      <w:r w:rsidR="00D41D25">
        <w:t xml:space="preserve"> </w:t>
      </w:r>
      <w:r w:rsidR="009B29A9">
        <w:t>20</w:t>
      </w:r>
      <w:r w:rsidR="00D41D25">
        <w:t>, 2019) (</w:t>
      </w:r>
      <w:r w:rsidRPr="00583A4D" w:rsidR="00D41D25">
        <w:rPr>
          <w:i/>
        </w:rPr>
        <w:t>Initial 39 GHz Reconfiguration Procedures Public Notice</w:t>
      </w:r>
      <w:r w:rsidR="00D41D25">
        <w:t>)</w:t>
      </w:r>
      <w:r w:rsidR="00F56B9B">
        <w:t>.</w:t>
      </w:r>
    </w:p>
  </w:footnote>
  <w:footnote w:id="3">
    <w:p w:rsidR="000E1569" w14:paraId="4C13372C" w14:textId="2CA092BA">
      <w:pPr>
        <w:pStyle w:val="FootnoteText"/>
      </w:pPr>
      <w:r>
        <w:rPr>
          <w:rStyle w:val="FootnoteReference"/>
        </w:rPr>
        <w:footnoteRef/>
      </w:r>
      <w:r>
        <w:t xml:space="preserve"> </w:t>
      </w:r>
      <w:r w:rsidR="002F078B">
        <w:rPr>
          <w:i/>
        </w:rPr>
        <w:t>Id.</w:t>
      </w:r>
    </w:p>
  </w:footnote>
  <w:footnote w:id="4">
    <w:p w:rsidR="00513B56" w:rsidP="00513B56" w14:paraId="3F24FE15" w14:textId="77777777">
      <w:pPr>
        <w:pStyle w:val="FootnoteText"/>
      </w:pPr>
      <w:r>
        <w:rPr>
          <w:rStyle w:val="FootnoteReference"/>
        </w:rPr>
        <w:footnoteRef/>
      </w:r>
      <w:r>
        <w:t xml:space="preserve"> </w:t>
      </w:r>
      <w:r w:rsidRPr="006D0EB1">
        <w:rPr>
          <w:i/>
        </w:rPr>
        <w:t>Urban1</w:t>
      </w:r>
      <w:r w:rsidRPr="003F52B0">
        <w:rPr>
          <w:i/>
          <w:vertAlign w:val="subscript"/>
        </w:rPr>
        <w:t>i</w:t>
      </w:r>
      <w:r w:rsidRPr="006D0EB1">
        <w:t xml:space="preserve"> and </w:t>
      </w:r>
      <w:r w:rsidRPr="006D0EB1">
        <w:rPr>
          <w:i/>
        </w:rPr>
        <w:t>urban2</w:t>
      </w:r>
      <w:r w:rsidRPr="003F52B0">
        <w:rPr>
          <w:i/>
          <w:vertAlign w:val="subscript"/>
        </w:rPr>
        <w:t>i</w:t>
      </w:r>
      <w:r w:rsidRPr="006D0EB1">
        <w:rPr>
          <w:i/>
        </w:rPr>
        <w:t xml:space="preserve"> </w:t>
      </w:r>
      <w:r w:rsidRPr="006D0EB1">
        <w:t>is a linear spline in the percent urban variable with a cut-point at the median percentage urban in our sample</w:t>
      </w:r>
      <w:r>
        <w:t xml:space="preserve">, which is </w:t>
      </w:r>
      <w:r w:rsidRPr="00D4389D">
        <w:t xml:space="preserve">56.8%. We use a linear spline in this variable to allow the effect (slope parameter) of this variable to vary according to how urbanized the PEA is. </w:t>
      </w:r>
      <w:r>
        <w:t xml:space="preserve">The spline allows the relationship between prices and percent urban to be linear with one slope below the median percentage urban and then linear with a different slope above the median. If the slopes are different, there is a “kink” where the two lines meet.  </w:t>
      </w:r>
    </w:p>
  </w:footnote>
  <w:footnote w:id="5">
    <w:p w:rsidR="00513B56" w:rsidRPr="00E11937" w:rsidP="00513B56" w14:paraId="24BA1160" w14:textId="7692DDBE">
      <w:pPr>
        <w:pStyle w:val="FootnoteText"/>
      </w:pPr>
      <w:r w:rsidRPr="003044F4">
        <w:rPr>
          <w:rStyle w:val="FootnoteReference"/>
        </w:rPr>
        <w:footnoteRef/>
      </w:r>
      <w:r w:rsidRPr="003044F4">
        <w:t xml:space="preserve"> </w:t>
      </w:r>
      <w:r w:rsidRPr="00E11937">
        <w:t xml:space="preserve">A common approach is to take the logarithm of both sides of the constant elasticity model specified above and then estimate the transformed model. This introduces several issues that are avoided by estimating the equation without taking the log transformation. See, for example, Santos Silva, J.M.C., S. </w:t>
      </w:r>
      <w:r w:rsidRPr="00E11937">
        <w:t>Tenreyro</w:t>
      </w:r>
      <w:r w:rsidRPr="00E11937">
        <w:t xml:space="preserve"> 2006. "The </w:t>
      </w:r>
      <w:r w:rsidR="00B95338">
        <w:t>L</w:t>
      </w:r>
      <w:r w:rsidRPr="00E11937">
        <w:t xml:space="preserve">og of </w:t>
      </w:r>
      <w:r w:rsidR="00B95338">
        <w:t>G</w:t>
      </w:r>
      <w:r w:rsidRPr="00E11937">
        <w:t xml:space="preserve">ravity", The Review of Economics and Statistics 88(4):641-658 and Gould B. (2011) “Use </w:t>
      </w:r>
      <w:r w:rsidRPr="00E11937">
        <w:t>poisson</w:t>
      </w:r>
      <w:r w:rsidRPr="00E11937">
        <w:t xml:space="preserve"> rather than regress; tell a friend</w:t>
      </w:r>
      <w:r w:rsidRPr="000A0BCB">
        <w:t>”</w:t>
      </w:r>
      <w:r w:rsidRPr="000E1569" w:rsidR="000A0BCB">
        <w:rPr>
          <w:rStyle w:val="Hyperlink"/>
        </w:rPr>
        <w:t xml:space="preserve"> </w:t>
      </w:r>
      <w:hyperlink r:id="rId1" w:history="1">
        <w:r w:rsidRPr="008D1EBB" w:rsidR="000A0BCB">
          <w:rPr>
            <w:rStyle w:val="Hyperlink"/>
          </w:rPr>
          <w:t>https://blog.stata.com/2011/08/22/use-poisson-rather-than-regress-tell-a-friend/</w:t>
        </w:r>
      </w:hyperlink>
      <w:r w:rsidRPr="00E11937">
        <w:t xml:space="preserve">. </w:t>
      </w:r>
    </w:p>
  </w:footnote>
  <w:footnote w:id="6">
    <w:p w:rsidR="00513B56" w:rsidRPr="0015424B" w:rsidP="00513B56" w14:paraId="11395E07" w14:textId="17FDE803">
      <w:pPr>
        <w:pStyle w:val="FootnoteText"/>
      </w:pPr>
      <w:r w:rsidRPr="007730CD">
        <w:rPr>
          <w:rStyle w:val="FootnoteReference"/>
        </w:rPr>
        <w:footnoteRef/>
      </w:r>
      <w:r w:rsidRPr="007730CD">
        <w:t xml:space="preserve"> Population data from Economic Research Service of the United States Department of Agriculture. </w:t>
      </w:r>
      <w:r w:rsidR="0015424B">
        <w:t xml:space="preserve"> </w:t>
      </w:r>
      <w:r w:rsidRPr="007730CD">
        <w:rPr>
          <w:i/>
        </w:rPr>
        <w:t>See</w:t>
      </w:r>
      <w:r w:rsidRPr="0015424B" w:rsidR="0015424B">
        <w:t xml:space="preserve"> </w:t>
      </w:r>
      <w:hyperlink r:id="rId2" w:history="1">
        <w:r w:rsidR="004860FD">
          <w:rPr>
            <w:rStyle w:val="Hyperlink"/>
          </w:rPr>
          <w:t>www.ers.usda.gov/data-products/county-level-data-sets/</w:t>
        </w:r>
      </w:hyperlink>
      <w:r w:rsidR="0015424B">
        <w:t xml:space="preserve">.  </w:t>
      </w:r>
      <w:r w:rsidRPr="0015424B">
        <w:t>As an alternative, we could use the corresponding Census Bureau data for population.</w:t>
      </w:r>
      <w:r w:rsidR="0015424B">
        <w:t xml:space="preserve">  </w:t>
      </w:r>
      <w:r w:rsidRPr="0022602A" w:rsidR="0022602A">
        <w:rPr>
          <w:i/>
        </w:rPr>
        <w:t>See</w:t>
      </w:r>
      <w:r w:rsidR="0022602A">
        <w:t xml:space="preserve"> </w:t>
      </w:r>
      <w:hyperlink r:id="rId3" w:history="1">
        <w:r w:rsidR="0022602A">
          <w:rPr>
            <w:rStyle w:val="Hyperlink"/>
          </w:rPr>
          <w:t>www.census.gov/programs-surveys/popest/data/data-sets.html</w:t>
        </w:r>
      </w:hyperlink>
      <w:r w:rsidR="0022602A">
        <w:t xml:space="preserve">. </w:t>
      </w:r>
    </w:p>
  </w:footnote>
  <w:footnote w:id="7">
    <w:p w:rsidR="00513B56" w:rsidRPr="00E11937" w:rsidP="00513B56" w14:paraId="60D8F753" w14:textId="7B246555">
      <w:pPr>
        <w:pStyle w:val="FootnoteText"/>
      </w:pPr>
      <w:r w:rsidRPr="007730CD">
        <w:rPr>
          <w:rStyle w:val="FootnoteReference"/>
        </w:rPr>
        <w:footnoteRef/>
      </w:r>
      <w:r w:rsidRPr="007730CD">
        <w:t xml:space="preserve"> Income data from Economic Research Service of the United States Department of Agriculture. </w:t>
      </w:r>
      <w:r w:rsidR="0015424B">
        <w:t xml:space="preserve"> </w:t>
      </w:r>
      <w:r w:rsidRPr="007730CD">
        <w:rPr>
          <w:i/>
        </w:rPr>
        <w:t>See</w:t>
      </w:r>
      <w:r w:rsidRPr="0015424B">
        <w:t xml:space="preserve"> </w:t>
      </w:r>
      <w:hyperlink r:id="rId2" w:history="1">
        <w:r w:rsidR="004860FD">
          <w:rPr>
            <w:rStyle w:val="Hyperlink"/>
          </w:rPr>
          <w:t>www.ers.usda.gov/data-products/county-level-data-sets/</w:t>
        </w:r>
      </w:hyperlink>
      <w:r w:rsidR="0015424B">
        <w:t xml:space="preserve">. </w:t>
      </w:r>
      <w:r w:rsidRPr="0015424B">
        <w:t xml:space="preserve"> As an alternative, we could use the corresponding Census Bureau data for income.</w:t>
      </w:r>
      <w:r w:rsidR="0015424B">
        <w:t xml:space="preserve">  </w:t>
      </w:r>
      <w:r w:rsidRPr="0015424B" w:rsidR="0015424B">
        <w:rPr>
          <w:i/>
        </w:rPr>
        <w:t>See</w:t>
      </w:r>
      <w:r w:rsidR="0015424B">
        <w:t xml:space="preserve"> </w:t>
      </w:r>
      <w:hyperlink r:id="rId4" w:history="1">
        <w:r w:rsidR="004860FD">
          <w:rPr>
            <w:rStyle w:val="Hyperlink"/>
          </w:rPr>
          <w:t>www.census.gov/data/datasets/2017/demo/saipe/2017-state-and-county.html</w:t>
        </w:r>
      </w:hyperlink>
      <w:r w:rsidR="0015424B">
        <w:t xml:space="preserve">. </w:t>
      </w:r>
    </w:p>
  </w:footnote>
  <w:footnote w:id="8">
    <w:p w:rsidR="00513B56" w:rsidP="00513B56" w14:paraId="7E95219C" w14:textId="59BCBFCF">
      <w:pPr>
        <w:pStyle w:val="FootnoteText"/>
      </w:pPr>
      <w:r w:rsidRPr="00E11937">
        <w:rPr>
          <w:rStyle w:val="FootnoteReference"/>
        </w:rPr>
        <w:footnoteRef/>
      </w:r>
      <w:r w:rsidRPr="00E11937">
        <w:t xml:space="preserve"> </w:t>
      </w:r>
      <w:r w:rsidRPr="0015424B">
        <w:rPr>
          <w:i/>
        </w:rPr>
        <w:t>See</w:t>
      </w:r>
      <w:r w:rsidRPr="00E11937">
        <w:t xml:space="preserve"> </w:t>
      </w:r>
      <w:hyperlink r:id="rId5" w:history="1">
        <w:r w:rsidR="004860FD">
          <w:rPr>
            <w:rStyle w:val="Hyperlink"/>
          </w:rPr>
          <w:t>www.census.gov/geo/reference/ua/urban-rural-2010.html</w:t>
        </w:r>
      </w:hyperlink>
      <w:r w:rsidR="004860F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A16" w:rsidP="00791197" w14:paraId="6F9118DA" w14:textId="77777777">
    <w:pPr>
      <w:pStyle w:val="Header"/>
      <w:pBdr>
        <w:bottom w:val="single" w:sz="6" w:space="2" w:color="auto"/>
      </w:pBdr>
    </w:pPr>
    <w:r w:rsidRPr="00F63A7E">
      <w:t>Federal Communications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A16" w:rsidP="007E1DE6" w14:paraId="06297AEA" w14:textId="77777777">
    <w:pPr>
      <w:pStyle w:val="Header"/>
      <w:pBdr>
        <w:bottom w:val="single" w:sz="6" w:space="2" w:color="auto"/>
      </w:pBdr>
    </w:pPr>
    <w:r w:rsidRPr="00F63A7E">
      <w:t>Federal Communications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CD0FEC"/>
    <w:multiLevelType w:val="multilevel"/>
    <w:tmpl w:val="C5FCED1C"/>
    <w:styleLink w:val="AttachmentHeadings"/>
    <w:lvl w:ilvl="0">
      <w:start w:val="1"/>
      <w:numFmt w:val="decimal"/>
      <w:pStyle w:val="AttachmentHeading1"/>
      <w:suff w:val="space"/>
      <w:lvlText w:val="Attachment %1"/>
      <w:lvlJc w:val="left"/>
      <w:pPr>
        <w:ind w:left="0" w:firstLine="0"/>
      </w:pPr>
      <w:rPr>
        <w:rFonts w:ascii="Times New Roman Bold" w:hAnsi="Times New Roman Bold" w:cs="Times New Roman" w:hint="default"/>
        <w:b/>
        <w:caps/>
        <w:sz w:val="22"/>
      </w:rPr>
    </w:lvl>
    <w:lvl w:ilvl="1">
      <w:start w:val="1"/>
      <w:numFmt w:val="upperLetter"/>
      <w:lvlRestart w:val="0"/>
      <w:pStyle w:val="AttachmentHeading2"/>
      <w:suff w:val="space"/>
      <w:lvlText w:val="Appendix %2"/>
      <w:lvlJc w:val="left"/>
      <w:pPr>
        <w:ind w:left="0" w:firstLine="0"/>
      </w:pPr>
      <w:rPr>
        <w:rFonts w:ascii="Times New Roman Bold" w:hAnsi="Times New Roman Bold" w:cs="Times New Roman" w:hint="default"/>
        <w:b/>
        <w:caps/>
        <w:sz w:val="22"/>
      </w:rPr>
    </w:lvl>
    <w:lvl w:ilvl="2">
      <w:start w:val="1"/>
      <w:numFmt w:val="decimal"/>
      <w:pStyle w:val="AttachmentHeading3"/>
      <w:lvlText w:val="%3"/>
      <w:lvlJc w:val="left"/>
      <w:pPr>
        <w:ind w:left="720" w:hanging="720"/>
      </w:pPr>
      <w:rPr>
        <w:rFonts w:ascii="Times New Roman" w:hAnsi="Times New Roman" w:cs="Times New Roman" w:hint="default"/>
        <w:b/>
        <w:sz w:val="22"/>
      </w:rPr>
    </w:lvl>
    <w:lvl w:ilvl="3">
      <w:start w:val="1"/>
      <w:numFmt w:val="decimal"/>
      <w:pStyle w:val="AttachmentHeading4"/>
      <w:lvlText w:val="%3.%4"/>
      <w:lvlJc w:val="left"/>
      <w:pPr>
        <w:ind w:left="720" w:hanging="720"/>
      </w:pPr>
      <w:rPr>
        <w:rFonts w:ascii="Times New Roman" w:hAnsi="Times New Roman" w:cs="Times New Roman" w:hint="default"/>
        <w:b/>
        <w:sz w:val="22"/>
      </w:rPr>
    </w:lvl>
    <w:lvl w:ilvl="4">
      <w:start w:val="1"/>
      <w:numFmt w:val="decimal"/>
      <w:pStyle w:val="AttachmentHeading5"/>
      <w:lvlText w:val="%3.%4.%5"/>
      <w:lvlJc w:val="left"/>
      <w:pPr>
        <w:ind w:left="720" w:hanging="720"/>
      </w:pPr>
      <w:rPr>
        <w:rFonts w:ascii="Times New Roman" w:hAnsi="Times New Roman" w:cs="Times New Roman" w:hint="default"/>
        <w:b/>
        <w:sz w:val="22"/>
      </w:r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D717193"/>
    <w:multiLevelType w:val="multilevel"/>
    <w:tmpl w:val="2520B2AC"/>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nsid w:val="64B41933"/>
    <w:multiLevelType w:val="multilevel"/>
    <w:tmpl w:val="C5FCED1C"/>
    <w:numStyleLink w:val="Attachment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CE"/>
    <w:rsid w:val="00006139"/>
    <w:rsid w:val="0000785A"/>
    <w:rsid w:val="00013B16"/>
    <w:rsid w:val="00020FDD"/>
    <w:rsid w:val="00026B9F"/>
    <w:rsid w:val="000270C4"/>
    <w:rsid w:val="00042261"/>
    <w:rsid w:val="00043252"/>
    <w:rsid w:val="00043E98"/>
    <w:rsid w:val="0004713F"/>
    <w:rsid w:val="000475FB"/>
    <w:rsid w:val="00051BDE"/>
    <w:rsid w:val="00052E5D"/>
    <w:rsid w:val="000539C9"/>
    <w:rsid w:val="000612C2"/>
    <w:rsid w:val="0006449D"/>
    <w:rsid w:val="00064C2D"/>
    <w:rsid w:val="00065D25"/>
    <w:rsid w:val="000755B8"/>
    <w:rsid w:val="00076619"/>
    <w:rsid w:val="00087045"/>
    <w:rsid w:val="000920C9"/>
    <w:rsid w:val="0009657D"/>
    <w:rsid w:val="0009706E"/>
    <w:rsid w:val="000A044C"/>
    <w:rsid w:val="000A0BCB"/>
    <w:rsid w:val="000A30D7"/>
    <w:rsid w:val="000B193D"/>
    <w:rsid w:val="000B1CB9"/>
    <w:rsid w:val="000B53A7"/>
    <w:rsid w:val="000B7E68"/>
    <w:rsid w:val="000C17E4"/>
    <w:rsid w:val="000C2372"/>
    <w:rsid w:val="000C4773"/>
    <w:rsid w:val="000C6522"/>
    <w:rsid w:val="000C7A22"/>
    <w:rsid w:val="000D0ED2"/>
    <w:rsid w:val="000D1E4E"/>
    <w:rsid w:val="000D37D3"/>
    <w:rsid w:val="000D3FAE"/>
    <w:rsid w:val="000D4780"/>
    <w:rsid w:val="000E1569"/>
    <w:rsid w:val="000E5407"/>
    <w:rsid w:val="000F2D6E"/>
    <w:rsid w:val="000F5CDC"/>
    <w:rsid w:val="000F5D3D"/>
    <w:rsid w:val="00100C16"/>
    <w:rsid w:val="00103A82"/>
    <w:rsid w:val="00104D79"/>
    <w:rsid w:val="00110D97"/>
    <w:rsid w:val="00113B64"/>
    <w:rsid w:val="0012134D"/>
    <w:rsid w:val="001345B5"/>
    <w:rsid w:val="001364A6"/>
    <w:rsid w:val="001415E7"/>
    <w:rsid w:val="00141985"/>
    <w:rsid w:val="001432DE"/>
    <w:rsid w:val="00151CE4"/>
    <w:rsid w:val="00153E53"/>
    <w:rsid w:val="0015424B"/>
    <w:rsid w:val="00161839"/>
    <w:rsid w:val="00166DBC"/>
    <w:rsid w:val="00166F04"/>
    <w:rsid w:val="0016717F"/>
    <w:rsid w:val="00174F08"/>
    <w:rsid w:val="0017636C"/>
    <w:rsid w:val="00176D0B"/>
    <w:rsid w:val="00184456"/>
    <w:rsid w:val="00185B19"/>
    <w:rsid w:val="001901D8"/>
    <w:rsid w:val="001914C1"/>
    <w:rsid w:val="00192191"/>
    <w:rsid w:val="001924E7"/>
    <w:rsid w:val="001971BD"/>
    <w:rsid w:val="00197520"/>
    <w:rsid w:val="001A3224"/>
    <w:rsid w:val="001A4A5F"/>
    <w:rsid w:val="001A4AE9"/>
    <w:rsid w:val="001A5E01"/>
    <w:rsid w:val="001B0338"/>
    <w:rsid w:val="001B0AAE"/>
    <w:rsid w:val="001B32F7"/>
    <w:rsid w:val="001B3633"/>
    <w:rsid w:val="001B6105"/>
    <w:rsid w:val="001C2E36"/>
    <w:rsid w:val="001C3BDC"/>
    <w:rsid w:val="001C4C34"/>
    <w:rsid w:val="001C6CC2"/>
    <w:rsid w:val="001C7EF4"/>
    <w:rsid w:val="001D674B"/>
    <w:rsid w:val="001E4C2D"/>
    <w:rsid w:val="001E7F4F"/>
    <w:rsid w:val="001F2C76"/>
    <w:rsid w:val="001F4BCB"/>
    <w:rsid w:val="00204D9A"/>
    <w:rsid w:val="002078B9"/>
    <w:rsid w:val="00210E5B"/>
    <w:rsid w:val="00211C04"/>
    <w:rsid w:val="0022602A"/>
    <w:rsid w:val="00232F74"/>
    <w:rsid w:val="00235F2F"/>
    <w:rsid w:val="00240CC4"/>
    <w:rsid w:val="00243E60"/>
    <w:rsid w:val="00246D6B"/>
    <w:rsid w:val="002670EA"/>
    <w:rsid w:val="002748BB"/>
    <w:rsid w:val="00276F41"/>
    <w:rsid w:val="002856C6"/>
    <w:rsid w:val="002874B5"/>
    <w:rsid w:val="00287CC2"/>
    <w:rsid w:val="00290182"/>
    <w:rsid w:val="002A2317"/>
    <w:rsid w:val="002B2A26"/>
    <w:rsid w:val="002B337A"/>
    <w:rsid w:val="002B3BDC"/>
    <w:rsid w:val="002D0875"/>
    <w:rsid w:val="002D4773"/>
    <w:rsid w:val="002D5EF0"/>
    <w:rsid w:val="002D5FC7"/>
    <w:rsid w:val="002D7F97"/>
    <w:rsid w:val="002E0B4D"/>
    <w:rsid w:val="002E0EC6"/>
    <w:rsid w:val="002E315A"/>
    <w:rsid w:val="002E719A"/>
    <w:rsid w:val="002F078B"/>
    <w:rsid w:val="00301B09"/>
    <w:rsid w:val="003044F4"/>
    <w:rsid w:val="00304A5D"/>
    <w:rsid w:val="00305A94"/>
    <w:rsid w:val="00306CC7"/>
    <w:rsid w:val="00320942"/>
    <w:rsid w:val="00324FA3"/>
    <w:rsid w:val="0032538C"/>
    <w:rsid w:val="0032631C"/>
    <w:rsid w:val="0032734B"/>
    <w:rsid w:val="003304B3"/>
    <w:rsid w:val="00330851"/>
    <w:rsid w:val="003344F4"/>
    <w:rsid w:val="003376C4"/>
    <w:rsid w:val="003404D7"/>
    <w:rsid w:val="00341076"/>
    <w:rsid w:val="0034419D"/>
    <w:rsid w:val="00344BBE"/>
    <w:rsid w:val="003503BB"/>
    <w:rsid w:val="00350596"/>
    <w:rsid w:val="00350AD3"/>
    <w:rsid w:val="00350BB6"/>
    <w:rsid w:val="00353BCF"/>
    <w:rsid w:val="003568DC"/>
    <w:rsid w:val="00357713"/>
    <w:rsid w:val="0036558A"/>
    <w:rsid w:val="00365CE7"/>
    <w:rsid w:val="00365DC8"/>
    <w:rsid w:val="003662F8"/>
    <w:rsid w:val="00371AB5"/>
    <w:rsid w:val="00380091"/>
    <w:rsid w:val="003802D7"/>
    <w:rsid w:val="003836BD"/>
    <w:rsid w:val="00384F52"/>
    <w:rsid w:val="00392D62"/>
    <w:rsid w:val="00393267"/>
    <w:rsid w:val="003A14F6"/>
    <w:rsid w:val="003A26E5"/>
    <w:rsid w:val="003A3885"/>
    <w:rsid w:val="003A5159"/>
    <w:rsid w:val="003A5B61"/>
    <w:rsid w:val="003B2558"/>
    <w:rsid w:val="003B6F53"/>
    <w:rsid w:val="003C49D0"/>
    <w:rsid w:val="003C6FCD"/>
    <w:rsid w:val="003D1275"/>
    <w:rsid w:val="003D43F3"/>
    <w:rsid w:val="003E1472"/>
    <w:rsid w:val="003E5E69"/>
    <w:rsid w:val="003E6F9E"/>
    <w:rsid w:val="003F0D1E"/>
    <w:rsid w:val="003F43E3"/>
    <w:rsid w:val="003F4B9A"/>
    <w:rsid w:val="003F4C90"/>
    <w:rsid w:val="003F52B0"/>
    <w:rsid w:val="003F6657"/>
    <w:rsid w:val="004050AF"/>
    <w:rsid w:val="00405429"/>
    <w:rsid w:val="004069AF"/>
    <w:rsid w:val="00410178"/>
    <w:rsid w:val="00410B65"/>
    <w:rsid w:val="004129C4"/>
    <w:rsid w:val="00413B24"/>
    <w:rsid w:val="0041676F"/>
    <w:rsid w:val="00416DD7"/>
    <w:rsid w:val="00417CBF"/>
    <w:rsid w:val="00426DA4"/>
    <w:rsid w:val="00430AFA"/>
    <w:rsid w:val="00441F0B"/>
    <w:rsid w:val="004444A9"/>
    <w:rsid w:val="00444912"/>
    <w:rsid w:val="00447BB9"/>
    <w:rsid w:val="0045116D"/>
    <w:rsid w:val="0045398B"/>
    <w:rsid w:val="00454492"/>
    <w:rsid w:val="004555C7"/>
    <w:rsid w:val="0045584D"/>
    <w:rsid w:val="00463FE7"/>
    <w:rsid w:val="00464F54"/>
    <w:rsid w:val="0046771E"/>
    <w:rsid w:val="004679FA"/>
    <w:rsid w:val="0047024E"/>
    <w:rsid w:val="00473693"/>
    <w:rsid w:val="004753F6"/>
    <w:rsid w:val="00477386"/>
    <w:rsid w:val="00477A71"/>
    <w:rsid w:val="00484B0D"/>
    <w:rsid w:val="004860FD"/>
    <w:rsid w:val="00486644"/>
    <w:rsid w:val="0048783F"/>
    <w:rsid w:val="00487EE8"/>
    <w:rsid w:val="00492703"/>
    <w:rsid w:val="00492C0C"/>
    <w:rsid w:val="0049352F"/>
    <w:rsid w:val="00493E62"/>
    <w:rsid w:val="004A23DF"/>
    <w:rsid w:val="004A34A3"/>
    <w:rsid w:val="004B22B6"/>
    <w:rsid w:val="004B2EFD"/>
    <w:rsid w:val="004B557F"/>
    <w:rsid w:val="004C03A0"/>
    <w:rsid w:val="004D1629"/>
    <w:rsid w:val="004D190B"/>
    <w:rsid w:val="004D6AE1"/>
    <w:rsid w:val="004E2678"/>
    <w:rsid w:val="004E4D4D"/>
    <w:rsid w:val="004F21BC"/>
    <w:rsid w:val="004F3ADE"/>
    <w:rsid w:val="004F4A16"/>
    <w:rsid w:val="004F5E75"/>
    <w:rsid w:val="004F71CD"/>
    <w:rsid w:val="004F7257"/>
    <w:rsid w:val="00506956"/>
    <w:rsid w:val="00510CC6"/>
    <w:rsid w:val="00511826"/>
    <w:rsid w:val="00512811"/>
    <w:rsid w:val="00513B56"/>
    <w:rsid w:val="005147A8"/>
    <w:rsid w:val="005200FB"/>
    <w:rsid w:val="005224E8"/>
    <w:rsid w:val="005229F5"/>
    <w:rsid w:val="005410C3"/>
    <w:rsid w:val="0054178B"/>
    <w:rsid w:val="005431C2"/>
    <w:rsid w:val="005448E4"/>
    <w:rsid w:val="00546405"/>
    <w:rsid w:val="005471B1"/>
    <w:rsid w:val="00552F47"/>
    <w:rsid w:val="005566C5"/>
    <w:rsid w:val="00561A0D"/>
    <w:rsid w:val="00561A94"/>
    <w:rsid w:val="00570DAC"/>
    <w:rsid w:val="00572E5C"/>
    <w:rsid w:val="005743C3"/>
    <w:rsid w:val="005744AB"/>
    <w:rsid w:val="00576577"/>
    <w:rsid w:val="00582666"/>
    <w:rsid w:val="00583A4D"/>
    <w:rsid w:val="00584547"/>
    <w:rsid w:val="00585175"/>
    <w:rsid w:val="0058530D"/>
    <w:rsid w:val="00586025"/>
    <w:rsid w:val="00587A6A"/>
    <w:rsid w:val="005931E3"/>
    <w:rsid w:val="005A3E20"/>
    <w:rsid w:val="005B1752"/>
    <w:rsid w:val="005B2AEF"/>
    <w:rsid w:val="005B2D0A"/>
    <w:rsid w:val="005B5E59"/>
    <w:rsid w:val="005B61AC"/>
    <w:rsid w:val="005C1760"/>
    <w:rsid w:val="005C38F8"/>
    <w:rsid w:val="005D115B"/>
    <w:rsid w:val="005D34A2"/>
    <w:rsid w:val="005D3B4B"/>
    <w:rsid w:val="005D4479"/>
    <w:rsid w:val="005D4728"/>
    <w:rsid w:val="005D47B6"/>
    <w:rsid w:val="005D7691"/>
    <w:rsid w:val="005E6368"/>
    <w:rsid w:val="005F18F8"/>
    <w:rsid w:val="005F5137"/>
    <w:rsid w:val="005F557D"/>
    <w:rsid w:val="00600766"/>
    <w:rsid w:val="006018E4"/>
    <w:rsid w:val="0060192A"/>
    <w:rsid w:val="00601B02"/>
    <w:rsid w:val="0060456B"/>
    <w:rsid w:val="006117B1"/>
    <w:rsid w:val="00616108"/>
    <w:rsid w:val="00617D37"/>
    <w:rsid w:val="00617DDA"/>
    <w:rsid w:val="0062262D"/>
    <w:rsid w:val="00624132"/>
    <w:rsid w:val="0062545F"/>
    <w:rsid w:val="00625515"/>
    <w:rsid w:val="00625AEF"/>
    <w:rsid w:val="00626226"/>
    <w:rsid w:val="00630681"/>
    <w:rsid w:val="006322A0"/>
    <w:rsid w:val="0063312C"/>
    <w:rsid w:val="006348F4"/>
    <w:rsid w:val="00635CB0"/>
    <w:rsid w:val="00643366"/>
    <w:rsid w:val="00653489"/>
    <w:rsid w:val="00653EC6"/>
    <w:rsid w:val="00656B2F"/>
    <w:rsid w:val="006618F2"/>
    <w:rsid w:val="00663344"/>
    <w:rsid w:val="006704D5"/>
    <w:rsid w:val="00670B7F"/>
    <w:rsid w:val="00675F5F"/>
    <w:rsid w:val="00680138"/>
    <w:rsid w:val="006802C8"/>
    <w:rsid w:val="006828EA"/>
    <w:rsid w:val="00683EEC"/>
    <w:rsid w:val="00685045"/>
    <w:rsid w:val="00687170"/>
    <w:rsid w:val="00690D18"/>
    <w:rsid w:val="006910C5"/>
    <w:rsid w:val="00693C1F"/>
    <w:rsid w:val="00694E63"/>
    <w:rsid w:val="006A1BEB"/>
    <w:rsid w:val="006A7AFC"/>
    <w:rsid w:val="006B013F"/>
    <w:rsid w:val="006B05CE"/>
    <w:rsid w:val="006C0C39"/>
    <w:rsid w:val="006C17FA"/>
    <w:rsid w:val="006C1AAB"/>
    <w:rsid w:val="006C2B32"/>
    <w:rsid w:val="006D0EB1"/>
    <w:rsid w:val="006D1B23"/>
    <w:rsid w:val="006E2455"/>
    <w:rsid w:val="006E55A6"/>
    <w:rsid w:val="006F149A"/>
    <w:rsid w:val="006F36B3"/>
    <w:rsid w:val="006F6D66"/>
    <w:rsid w:val="00700976"/>
    <w:rsid w:val="0070582B"/>
    <w:rsid w:val="0070610E"/>
    <w:rsid w:val="00713BCC"/>
    <w:rsid w:val="00716833"/>
    <w:rsid w:val="00720445"/>
    <w:rsid w:val="007221CA"/>
    <w:rsid w:val="00724D49"/>
    <w:rsid w:val="00726900"/>
    <w:rsid w:val="00734FF1"/>
    <w:rsid w:val="007362CE"/>
    <w:rsid w:val="00740059"/>
    <w:rsid w:val="007412AB"/>
    <w:rsid w:val="00747A21"/>
    <w:rsid w:val="00750358"/>
    <w:rsid w:val="00753C18"/>
    <w:rsid w:val="00756930"/>
    <w:rsid w:val="00756C5A"/>
    <w:rsid w:val="00760A78"/>
    <w:rsid w:val="00762D2B"/>
    <w:rsid w:val="007677B1"/>
    <w:rsid w:val="00767E97"/>
    <w:rsid w:val="007730CD"/>
    <w:rsid w:val="00773691"/>
    <w:rsid w:val="00773D85"/>
    <w:rsid w:val="00776048"/>
    <w:rsid w:val="00781DB9"/>
    <w:rsid w:val="00783723"/>
    <w:rsid w:val="0078560E"/>
    <w:rsid w:val="00785993"/>
    <w:rsid w:val="007859AC"/>
    <w:rsid w:val="00786EC4"/>
    <w:rsid w:val="007906C0"/>
    <w:rsid w:val="0079089A"/>
    <w:rsid w:val="00791197"/>
    <w:rsid w:val="007959D0"/>
    <w:rsid w:val="007A296B"/>
    <w:rsid w:val="007B0607"/>
    <w:rsid w:val="007B325F"/>
    <w:rsid w:val="007B5506"/>
    <w:rsid w:val="007B6EA3"/>
    <w:rsid w:val="007C3B15"/>
    <w:rsid w:val="007C3BD5"/>
    <w:rsid w:val="007C453E"/>
    <w:rsid w:val="007C4C07"/>
    <w:rsid w:val="007C59D6"/>
    <w:rsid w:val="007D08CC"/>
    <w:rsid w:val="007D18CE"/>
    <w:rsid w:val="007D7BE6"/>
    <w:rsid w:val="007E031C"/>
    <w:rsid w:val="007E1593"/>
    <w:rsid w:val="007E170A"/>
    <w:rsid w:val="007E1DE6"/>
    <w:rsid w:val="007E20AC"/>
    <w:rsid w:val="007E54B2"/>
    <w:rsid w:val="007F0D95"/>
    <w:rsid w:val="007F31F6"/>
    <w:rsid w:val="007F3564"/>
    <w:rsid w:val="007F35D2"/>
    <w:rsid w:val="007F5C29"/>
    <w:rsid w:val="007F67ED"/>
    <w:rsid w:val="00806613"/>
    <w:rsid w:val="00823A16"/>
    <w:rsid w:val="00824546"/>
    <w:rsid w:val="008245CF"/>
    <w:rsid w:val="00825003"/>
    <w:rsid w:val="008404A5"/>
    <w:rsid w:val="00843E39"/>
    <w:rsid w:val="008500FD"/>
    <w:rsid w:val="00850423"/>
    <w:rsid w:val="0085064F"/>
    <w:rsid w:val="008546B3"/>
    <w:rsid w:val="008631A7"/>
    <w:rsid w:val="00864AC4"/>
    <w:rsid w:val="00864AFD"/>
    <w:rsid w:val="00864EA2"/>
    <w:rsid w:val="0086652F"/>
    <w:rsid w:val="00866673"/>
    <w:rsid w:val="008729EA"/>
    <w:rsid w:val="00872A51"/>
    <w:rsid w:val="00873A84"/>
    <w:rsid w:val="00874A99"/>
    <w:rsid w:val="00877FF5"/>
    <w:rsid w:val="008800F8"/>
    <w:rsid w:val="008814A7"/>
    <w:rsid w:val="00881B3F"/>
    <w:rsid w:val="00881E51"/>
    <w:rsid w:val="00882C87"/>
    <w:rsid w:val="00886EE1"/>
    <w:rsid w:val="00887104"/>
    <w:rsid w:val="008873CC"/>
    <w:rsid w:val="00892FFD"/>
    <w:rsid w:val="00893917"/>
    <w:rsid w:val="00895922"/>
    <w:rsid w:val="00896019"/>
    <w:rsid w:val="00896DC1"/>
    <w:rsid w:val="008976AC"/>
    <w:rsid w:val="008B4CD7"/>
    <w:rsid w:val="008B5AF5"/>
    <w:rsid w:val="008B63B4"/>
    <w:rsid w:val="008B669D"/>
    <w:rsid w:val="008C234C"/>
    <w:rsid w:val="008C29FE"/>
    <w:rsid w:val="008C4DD9"/>
    <w:rsid w:val="008C5B99"/>
    <w:rsid w:val="008C7B68"/>
    <w:rsid w:val="008D0880"/>
    <w:rsid w:val="008D1EBB"/>
    <w:rsid w:val="008D56F1"/>
    <w:rsid w:val="008D5BA5"/>
    <w:rsid w:val="008E595E"/>
    <w:rsid w:val="008F2C34"/>
    <w:rsid w:val="008F3800"/>
    <w:rsid w:val="008F4520"/>
    <w:rsid w:val="008F521E"/>
    <w:rsid w:val="008F727F"/>
    <w:rsid w:val="00900188"/>
    <w:rsid w:val="00900DBE"/>
    <w:rsid w:val="00903675"/>
    <w:rsid w:val="0090795C"/>
    <w:rsid w:val="00910D71"/>
    <w:rsid w:val="0091517E"/>
    <w:rsid w:val="00916C48"/>
    <w:rsid w:val="009176A5"/>
    <w:rsid w:val="009236C4"/>
    <w:rsid w:val="0093047C"/>
    <w:rsid w:val="00931AAF"/>
    <w:rsid w:val="0093499A"/>
    <w:rsid w:val="00940B15"/>
    <w:rsid w:val="00942EB7"/>
    <w:rsid w:val="00943863"/>
    <w:rsid w:val="00945602"/>
    <w:rsid w:val="00947D3B"/>
    <w:rsid w:val="00952465"/>
    <w:rsid w:val="00954F24"/>
    <w:rsid w:val="009554BB"/>
    <w:rsid w:val="00955993"/>
    <w:rsid w:val="00955A9A"/>
    <w:rsid w:val="00957F10"/>
    <w:rsid w:val="0096080E"/>
    <w:rsid w:val="009758A1"/>
    <w:rsid w:val="009766ED"/>
    <w:rsid w:val="00977908"/>
    <w:rsid w:val="00977A83"/>
    <w:rsid w:val="00980C8A"/>
    <w:rsid w:val="009863E8"/>
    <w:rsid w:val="00991044"/>
    <w:rsid w:val="00991109"/>
    <w:rsid w:val="009B02B1"/>
    <w:rsid w:val="009B124A"/>
    <w:rsid w:val="009B1582"/>
    <w:rsid w:val="009B24FD"/>
    <w:rsid w:val="009B29A9"/>
    <w:rsid w:val="009C09C4"/>
    <w:rsid w:val="009C2DB0"/>
    <w:rsid w:val="009C75A3"/>
    <w:rsid w:val="009C7E49"/>
    <w:rsid w:val="009E1BC1"/>
    <w:rsid w:val="009E2BCE"/>
    <w:rsid w:val="009E7D46"/>
    <w:rsid w:val="009F18A8"/>
    <w:rsid w:val="009F1A9D"/>
    <w:rsid w:val="009F1E07"/>
    <w:rsid w:val="009F67F0"/>
    <w:rsid w:val="00A01877"/>
    <w:rsid w:val="00A04F1F"/>
    <w:rsid w:val="00A051D4"/>
    <w:rsid w:val="00A05685"/>
    <w:rsid w:val="00A07D30"/>
    <w:rsid w:val="00A225A4"/>
    <w:rsid w:val="00A3089C"/>
    <w:rsid w:val="00A33EB3"/>
    <w:rsid w:val="00A360BC"/>
    <w:rsid w:val="00A37BB8"/>
    <w:rsid w:val="00A41F26"/>
    <w:rsid w:val="00A42824"/>
    <w:rsid w:val="00A43CDE"/>
    <w:rsid w:val="00A450AB"/>
    <w:rsid w:val="00A4542B"/>
    <w:rsid w:val="00A457C0"/>
    <w:rsid w:val="00A5255C"/>
    <w:rsid w:val="00A5408A"/>
    <w:rsid w:val="00A65D7B"/>
    <w:rsid w:val="00A67EE5"/>
    <w:rsid w:val="00A705D8"/>
    <w:rsid w:val="00A716DC"/>
    <w:rsid w:val="00A71EB7"/>
    <w:rsid w:val="00A7346C"/>
    <w:rsid w:val="00A73BD5"/>
    <w:rsid w:val="00A7580D"/>
    <w:rsid w:val="00A8643A"/>
    <w:rsid w:val="00A947AC"/>
    <w:rsid w:val="00A95D03"/>
    <w:rsid w:val="00AA15FD"/>
    <w:rsid w:val="00AA526B"/>
    <w:rsid w:val="00AA67C3"/>
    <w:rsid w:val="00AA6E18"/>
    <w:rsid w:val="00AB3BAB"/>
    <w:rsid w:val="00AC7E4B"/>
    <w:rsid w:val="00AD5D13"/>
    <w:rsid w:val="00AD6CF4"/>
    <w:rsid w:val="00AE0F61"/>
    <w:rsid w:val="00AE5E7E"/>
    <w:rsid w:val="00AF21BC"/>
    <w:rsid w:val="00AF34C4"/>
    <w:rsid w:val="00B01319"/>
    <w:rsid w:val="00B02DB9"/>
    <w:rsid w:val="00B0763D"/>
    <w:rsid w:val="00B1356A"/>
    <w:rsid w:val="00B1480F"/>
    <w:rsid w:val="00B14EBE"/>
    <w:rsid w:val="00B171C3"/>
    <w:rsid w:val="00B20CF4"/>
    <w:rsid w:val="00B22858"/>
    <w:rsid w:val="00B34764"/>
    <w:rsid w:val="00B34CEE"/>
    <w:rsid w:val="00B445F6"/>
    <w:rsid w:val="00B45498"/>
    <w:rsid w:val="00B47497"/>
    <w:rsid w:val="00B505EE"/>
    <w:rsid w:val="00B519C9"/>
    <w:rsid w:val="00B5354D"/>
    <w:rsid w:val="00B627DD"/>
    <w:rsid w:val="00B6367B"/>
    <w:rsid w:val="00B658F8"/>
    <w:rsid w:val="00B66B50"/>
    <w:rsid w:val="00B70ED7"/>
    <w:rsid w:val="00B734B1"/>
    <w:rsid w:val="00B76654"/>
    <w:rsid w:val="00B82B3E"/>
    <w:rsid w:val="00B843ED"/>
    <w:rsid w:val="00B9053A"/>
    <w:rsid w:val="00B91208"/>
    <w:rsid w:val="00B91639"/>
    <w:rsid w:val="00B944EC"/>
    <w:rsid w:val="00B95338"/>
    <w:rsid w:val="00BB0194"/>
    <w:rsid w:val="00BB0F72"/>
    <w:rsid w:val="00BB13B3"/>
    <w:rsid w:val="00BB1DBE"/>
    <w:rsid w:val="00BB2D96"/>
    <w:rsid w:val="00BC17B2"/>
    <w:rsid w:val="00BC253C"/>
    <w:rsid w:val="00BD0869"/>
    <w:rsid w:val="00BD10CD"/>
    <w:rsid w:val="00BD2B2C"/>
    <w:rsid w:val="00BE22B3"/>
    <w:rsid w:val="00BE2965"/>
    <w:rsid w:val="00BE61AF"/>
    <w:rsid w:val="00BE61B2"/>
    <w:rsid w:val="00BE678C"/>
    <w:rsid w:val="00BF0F76"/>
    <w:rsid w:val="00BF47CA"/>
    <w:rsid w:val="00BF5A27"/>
    <w:rsid w:val="00C03B91"/>
    <w:rsid w:val="00C04236"/>
    <w:rsid w:val="00C05C9B"/>
    <w:rsid w:val="00C10762"/>
    <w:rsid w:val="00C1214F"/>
    <w:rsid w:val="00C15443"/>
    <w:rsid w:val="00C206F8"/>
    <w:rsid w:val="00C20E6B"/>
    <w:rsid w:val="00C214F5"/>
    <w:rsid w:val="00C2499D"/>
    <w:rsid w:val="00C27A98"/>
    <w:rsid w:val="00C326ED"/>
    <w:rsid w:val="00C3299D"/>
    <w:rsid w:val="00C352BF"/>
    <w:rsid w:val="00C406F5"/>
    <w:rsid w:val="00C40B00"/>
    <w:rsid w:val="00C40FD1"/>
    <w:rsid w:val="00C42139"/>
    <w:rsid w:val="00C466BD"/>
    <w:rsid w:val="00C4711C"/>
    <w:rsid w:val="00C50201"/>
    <w:rsid w:val="00C5044E"/>
    <w:rsid w:val="00C50EFE"/>
    <w:rsid w:val="00C510ED"/>
    <w:rsid w:val="00C52C02"/>
    <w:rsid w:val="00C62DC3"/>
    <w:rsid w:val="00C665F8"/>
    <w:rsid w:val="00C70460"/>
    <w:rsid w:val="00C70E6D"/>
    <w:rsid w:val="00C74D70"/>
    <w:rsid w:val="00C8318D"/>
    <w:rsid w:val="00C84807"/>
    <w:rsid w:val="00C87A97"/>
    <w:rsid w:val="00C919D2"/>
    <w:rsid w:val="00CA1791"/>
    <w:rsid w:val="00CA46FC"/>
    <w:rsid w:val="00CA4C65"/>
    <w:rsid w:val="00CA7960"/>
    <w:rsid w:val="00CB73DD"/>
    <w:rsid w:val="00CB7E99"/>
    <w:rsid w:val="00CC1D95"/>
    <w:rsid w:val="00CC29B7"/>
    <w:rsid w:val="00CC2D7B"/>
    <w:rsid w:val="00CE0171"/>
    <w:rsid w:val="00CE0B1E"/>
    <w:rsid w:val="00CE0F90"/>
    <w:rsid w:val="00CE266D"/>
    <w:rsid w:val="00CE3263"/>
    <w:rsid w:val="00CE5611"/>
    <w:rsid w:val="00CE7438"/>
    <w:rsid w:val="00CF4965"/>
    <w:rsid w:val="00CF5346"/>
    <w:rsid w:val="00CF6993"/>
    <w:rsid w:val="00CF6E37"/>
    <w:rsid w:val="00D02F52"/>
    <w:rsid w:val="00D036BE"/>
    <w:rsid w:val="00D14B6F"/>
    <w:rsid w:val="00D1711A"/>
    <w:rsid w:val="00D255CE"/>
    <w:rsid w:val="00D37357"/>
    <w:rsid w:val="00D40908"/>
    <w:rsid w:val="00D41A11"/>
    <w:rsid w:val="00D41D25"/>
    <w:rsid w:val="00D4389D"/>
    <w:rsid w:val="00D4447D"/>
    <w:rsid w:val="00D464FA"/>
    <w:rsid w:val="00D46EEA"/>
    <w:rsid w:val="00D65083"/>
    <w:rsid w:val="00D66129"/>
    <w:rsid w:val="00D67F4C"/>
    <w:rsid w:val="00D7099A"/>
    <w:rsid w:val="00D80CE6"/>
    <w:rsid w:val="00D939BD"/>
    <w:rsid w:val="00D969D9"/>
    <w:rsid w:val="00DA1727"/>
    <w:rsid w:val="00DA366F"/>
    <w:rsid w:val="00DA7FB6"/>
    <w:rsid w:val="00DB0185"/>
    <w:rsid w:val="00DB1900"/>
    <w:rsid w:val="00DB2166"/>
    <w:rsid w:val="00DB2E9C"/>
    <w:rsid w:val="00DB3D43"/>
    <w:rsid w:val="00DB4BB7"/>
    <w:rsid w:val="00DB6030"/>
    <w:rsid w:val="00DC0528"/>
    <w:rsid w:val="00DC228C"/>
    <w:rsid w:val="00DC443F"/>
    <w:rsid w:val="00DC4FB6"/>
    <w:rsid w:val="00DC50D0"/>
    <w:rsid w:val="00DC56CF"/>
    <w:rsid w:val="00DC6B2A"/>
    <w:rsid w:val="00DD0CE3"/>
    <w:rsid w:val="00DD490A"/>
    <w:rsid w:val="00DE0D15"/>
    <w:rsid w:val="00DE165D"/>
    <w:rsid w:val="00DE6EE5"/>
    <w:rsid w:val="00DF03EB"/>
    <w:rsid w:val="00DF16CE"/>
    <w:rsid w:val="00DF6A55"/>
    <w:rsid w:val="00DF7FB2"/>
    <w:rsid w:val="00E000DB"/>
    <w:rsid w:val="00E103EE"/>
    <w:rsid w:val="00E11295"/>
    <w:rsid w:val="00E112B9"/>
    <w:rsid w:val="00E11937"/>
    <w:rsid w:val="00E12DE8"/>
    <w:rsid w:val="00E14AB1"/>
    <w:rsid w:val="00E14E38"/>
    <w:rsid w:val="00E16708"/>
    <w:rsid w:val="00E17BD1"/>
    <w:rsid w:val="00E17E41"/>
    <w:rsid w:val="00E21B3A"/>
    <w:rsid w:val="00E21BD0"/>
    <w:rsid w:val="00E21C82"/>
    <w:rsid w:val="00E228D7"/>
    <w:rsid w:val="00E22ABA"/>
    <w:rsid w:val="00E232F0"/>
    <w:rsid w:val="00E25971"/>
    <w:rsid w:val="00E30963"/>
    <w:rsid w:val="00E32A32"/>
    <w:rsid w:val="00E34C7E"/>
    <w:rsid w:val="00E36697"/>
    <w:rsid w:val="00E369B0"/>
    <w:rsid w:val="00E40CFA"/>
    <w:rsid w:val="00E43F54"/>
    <w:rsid w:val="00E44183"/>
    <w:rsid w:val="00E441AA"/>
    <w:rsid w:val="00E44D59"/>
    <w:rsid w:val="00E46D8E"/>
    <w:rsid w:val="00E50C29"/>
    <w:rsid w:val="00E52772"/>
    <w:rsid w:val="00E55447"/>
    <w:rsid w:val="00E55A69"/>
    <w:rsid w:val="00E61C0D"/>
    <w:rsid w:val="00E645C9"/>
    <w:rsid w:val="00E65A9A"/>
    <w:rsid w:val="00E70633"/>
    <w:rsid w:val="00E81887"/>
    <w:rsid w:val="00E8244E"/>
    <w:rsid w:val="00E8344C"/>
    <w:rsid w:val="00E865B5"/>
    <w:rsid w:val="00E91103"/>
    <w:rsid w:val="00E94E70"/>
    <w:rsid w:val="00E95649"/>
    <w:rsid w:val="00E97609"/>
    <w:rsid w:val="00E97E1C"/>
    <w:rsid w:val="00EA29D6"/>
    <w:rsid w:val="00EA482D"/>
    <w:rsid w:val="00EB1E83"/>
    <w:rsid w:val="00EB759C"/>
    <w:rsid w:val="00EB7E97"/>
    <w:rsid w:val="00EC3218"/>
    <w:rsid w:val="00EC404E"/>
    <w:rsid w:val="00EC4D83"/>
    <w:rsid w:val="00EC525D"/>
    <w:rsid w:val="00ED278A"/>
    <w:rsid w:val="00EE32A6"/>
    <w:rsid w:val="00EE4D5A"/>
    <w:rsid w:val="00EE605E"/>
    <w:rsid w:val="00EF291C"/>
    <w:rsid w:val="00EF3409"/>
    <w:rsid w:val="00EF45A9"/>
    <w:rsid w:val="00EF49D6"/>
    <w:rsid w:val="00EF7D94"/>
    <w:rsid w:val="00F033D5"/>
    <w:rsid w:val="00F03B07"/>
    <w:rsid w:val="00F11271"/>
    <w:rsid w:val="00F14029"/>
    <w:rsid w:val="00F15593"/>
    <w:rsid w:val="00F16510"/>
    <w:rsid w:val="00F16B5E"/>
    <w:rsid w:val="00F22353"/>
    <w:rsid w:val="00F237C5"/>
    <w:rsid w:val="00F309A7"/>
    <w:rsid w:val="00F30FCC"/>
    <w:rsid w:val="00F313C0"/>
    <w:rsid w:val="00F327C7"/>
    <w:rsid w:val="00F33C65"/>
    <w:rsid w:val="00F34E4F"/>
    <w:rsid w:val="00F419E8"/>
    <w:rsid w:val="00F44B31"/>
    <w:rsid w:val="00F4518E"/>
    <w:rsid w:val="00F50B3B"/>
    <w:rsid w:val="00F52495"/>
    <w:rsid w:val="00F53B03"/>
    <w:rsid w:val="00F55D77"/>
    <w:rsid w:val="00F56B9B"/>
    <w:rsid w:val="00F602C7"/>
    <w:rsid w:val="00F61880"/>
    <w:rsid w:val="00F618D5"/>
    <w:rsid w:val="00F632AD"/>
    <w:rsid w:val="00F63A7E"/>
    <w:rsid w:val="00F674E5"/>
    <w:rsid w:val="00F70D44"/>
    <w:rsid w:val="00F70ED3"/>
    <w:rsid w:val="00F73016"/>
    <w:rsid w:val="00F747B1"/>
    <w:rsid w:val="00F81BFD"/>
    <w:rsid w:val="00F870A8"/>
    <w:rsid w:val="00F9407C"/>
    <w:rsid w:val="00F9590F"/>
    <w:rsid w:val="00FA3238"/>
    <w:rsid w:val="00FA61FF"/>
    <w:rsid w:val="00FA6819"/>
    <w:rsid w:val="00FB0E16"/>
    <w:rsid w:val="00FB159F"/>
    <w:rsid w:val="00FB2F97"/>
    <w:rsid w:val="00FB3ED3"/>
    <w:rsid w:val="00FB5EDC"/>
    <w:rsid w:val="00FB6618"/>
    <w:rsid w:val="00FC000D"/>
    <w:rsid w:val="00FC14C9"/>
    <w:rsid w:val="00FC45DB"/>
    <w:rsid w:val="00FC66DC"/>
    <w:rsid w:val="00FC6A7F"/>
    <w:rsid w:val="00FD2A64"/>
    <w:rsid w:val="00FD575C"/>
    <w:rsid w:val="00FD660C"/>
    <w:rsid w:val="00FE4CE4"/>
    <w:rsid w:val="00FE629B"/>
    <w:rsid w:val="00FE69B5"/>
    <w:rsid w:val="00FE7F68"/>
    <w:rsid w:val="00FF10A2"/>
    <w:rsid w:val="00FF62E8"/>
    <w:rsid w:val="00FF6C77"/>
    <w:rsid w:val="00FF7ED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CA361917-79B9-4154-8528-464DB2C7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BC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link w:val="Heading1Char"/>
    <w:qFormat/>
    <w:rsid w:val="009E2BC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link w:val="Heading2Char"/>
    <w:autoRedefine/>
    <w:qFormat/>
    <w:rsid w:val="009E2BCE"/>
    <w:pPr>
      <w:keepNext/>
      <w:numPr>
        <w:ilvl w:val="1"/>
        <w:numId w:val="2"/>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
    <w:qFormat/>
    <w:rsid w:val="009E2BCE"/>
    <w:pPr>
      <w:keepNext/>
      <w:numPr>
        <w:ilvl w:val="2"/>
        <w:numId w:val="2"/>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
    <w:qFormat/>
    <w:rsid w:val="009E2BCE"/>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9E2BCE"/>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9E2BC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9E2BC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9E2BCE"/>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9E2BC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basedOn w:val="DefaultParagraphFont"/>
    <w:link w:val="Heading1"/>
    <w:rsid w:val="009E2BCE"/>
    <w:rPr>
      <w:rFonts w:ascii="Times New Roman Bold" w:eastAsia="Times New Roman" w:hAnsi="Times New Roman Bold" w:cs="Times New Roman"/>
      <w:b/>
      <w:caps/>
      <w:snapToGrid w:val="0"/>
      <w:kern w:val="28"/>
      <w:szCs w:val="20"/>
    </w:rPr>
  </w:style>
  <w:style w:type="character" w:customStyle="1" w:styleId="Heading2Char">
    <w:name w:val="Heading 2 Char"/>
    <w:aliases w:val="Heading 2 Char Char1 Char,Heading 2 Char Char1 Char Char Char,Heading 2 Char Char2 Char,Heading 2 Char Char3 Char Char,Heading 2 Char1 Char Char Char1,Heading 2 Char1 Char Char1,Heading 2 Char2 Char,UNDERRUBRIK 1-2 Char Char,h2 Char Char"/>
    <w:basedOn w:val="DefaultParagraphFont"/>
    <w:link w:val="Heading2"/>
    <w:rsid w:val="009E2BCE"/>
    <w:rPr>
      <w:rFonts w:ascii="Times New Roman" w:eastAsia="Times New Roman" w:hAnsi="Times New Roman" w:cs="Times New Roman"/>
      <w:b/>
      <w:snapToGrid w:val="0"/>
      <w:kern w:val="28"/>
      <w:szCs w:val="20"/>
    </w:rPr>
  </w:style>
  <w:style w:type="character" w:customStyle="1" w:styleId="Heading3Char">
    <w:name w:val="Heading 3 Char"/>
    <w:aliases w:val="1 Char Char,1 Char1,3 Char Char,3 Char1,31 Char Char,31 Char1,?? 3 Char Char,?? 3 Char1,Heading 3 Char Char Char Char Char1,Heading 3 Char1 Char Char Char,Titre 3 Char Char,Titre 3 Char1,Titre 31 Char Char,Titre 31 Char1"/>
    <w:basedOn w:val="DefaultParagraphFont"/>
    <w:link w:val="Heading3"/>
    <w:rsid w:val="009E2BCE"/>
    <w:rPr>
      <w:rFonts w:ascii="Times New Roman" w:eastAsia="Times New Roman" w:hAnsi="Times New Roman" w:cs="Times New Roman"/>
      <w:b/>
      <w:snapToGrid w:val="0"/>
      <w:kern w:val="28"/>
      <w:szCs w:val="20"/>
    </w:rPr>
  </w:style>
  <w:style w:type="character" w:customStyle="1" w:styleId="Heading4Char">
    <w:name w:val="Heading 4 Char"/>
    <w:aliases w:val="Heading 4 Char Char Char Char Char Char1 Char,Heading 4 Char Char1 Char Char1 Char,Heading 4 Char1 Char Char,Heading 4 Char1 Char Char Char Char1 Char,Heading 4 Char1 Char1 Char Char1 Char,Heading 4 Char2 Char Char1 Char"/>
    <w:basedOn w:val="DefaultParagraphFont"/>
    <w:link w:val="Heading4"/>
    <w:rsid w:val="009E2BC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9E2BC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9E2BC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9E2BC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9E2BC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9E2BC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9E2BCE"/>
    <w:pPr>
      <w:numPr>
        <w:numId w:val="1"/>
      </w:numPr>
      <w:tabs>
        <w:tab w:val="clear" w:pos="1080"/>
        <w:tab w:val="num" w:pos="1440"/>
      </w:tabs>
      <w:spacing w:after="120"/>
    </w:pPr>
  </w:style>
  <w:style w:type="paragraph" w:styleId="EndnoteText">
    <w:name w:val="endnote text"/>
    <w:basedOn w:val="Normal"/>
    <w:link w:val="EndnoteTextChar"/>
    <w:semiHidden/>
    <w:rsid w:val="009E2BCE"/>
    <w:rPr>
      <w:sz w:val="20"/>
    </w:rPr>
  </w:style>
  <w:style w:type="character" w:customStyle="1" w:styleId="EndnoteTextChar">
    <w:name w:val="Endnote Text Char"/>
    <w:basedOn w:val="DefaultParagraphFont"/>
    <w:link w:val="EndnoteText"/>
    <w:semiHidden/>
    <w:rsid w:val="009E2BCE"/>
    <w:rPr>
      <w:rFonts w:ascii="Times New Roman" w:eastAsia="Times New Roman" w:hAnsi="Times New Roman" w:cs="Times New Roman"/>
      <w:snapToGrid w:val="0"/>
      <w:kern w:val="28"/>
      <w:sz w:val="20"/>
      <w:szCs w:val="20"/>
    </w:rPr>
  </w:style>
  <w:style w:type="character" w:styleId="EndnoteReference">
    <w:name w:val="endnote reference"/>
    <w:semiHidden/>
    <w:rsid w:val="009E2BCE"/>
    <w:rPr>
      <w:vertAlign w:val="superscript"/>
    </w:rPr>
  </w:style>
  <w:style w:type="paragraph" w:styleId="FootnoteText">
    <w:name w:val="footnote text"/>
    <w:aliases w:val="ALTS FOOTNOT,Footnote Text Char Char,Footnote Text Char Char3 Char Char Char Char,Footnote Text Char1,Footnote Text Char1 Char1 Char,Footnote Text Char2,Footnote Text Char3 Char1 Char Char Char,Footnote Text Char4 Char Char Char,Styl,f,fn"/>
    <w:link w:val="FootnoteTextChar"/>
    <w:uiPriority w:val="99"/>
    <w:qFormat/>
    <w:rsid w:val="009E2BC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3 Char Char Char Char Char,Footnote Text Char1 Char1 Char Char,Footnote Text Char2 Char,Footnote Text Char3 Char1 Char Char Char Char,Footnote Text Char4 Char Char Char Char,f Char"/>
    <w:basedOn w:val="DefaultParagraphFont"/>
    <w:link w:val="FootnoteText"/>
    <w:uiPriority w:val="99"/>
    <w:rsid w:val="009E2BCE"/>
    <w:rPr>
      <w:rFonts w:ascii="Times New Roman" w:eastAsia="Times New Roman" w:hAnsi="Times New Roman" w:cs="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9E2BCE"/>
    <w:rPr>
      <w:rFonts w:ascii="Times New Roman" w:hAnsi="Times New Roman"/>
      <w:dstrike w:val="0"/>
      <w:color w:val="auto"/>
      <w:sz w:val="20"/>
      <w:vertAlign w:val="superscript"/>
    </w:rPr>
  </w:style>
  <w:style w:type="paragraph" w:styleId="TOC1">
    <w:name w:val="toc 1"/>
    <w:basedOn w:val="Normal"/>
    <w:next w:val="Normal"/>
    <w:rsid w:val="009E2BCE"/>
    <w:pPr>
      <w:tabs>
        <w:tab w:val="left" w:pos="360"/>
        <w:tab w:val="right" w:leader="dot" w:pos="9360"/>
      </w:tabs>
      <w:suppressAutoHyphens/>
      <w:ind w:left="360" w:right="720" w:hanging="360"/>
    </w:pPr>
    <w:rPr>
      <w:caps/>
      <w:noProof/>
    </w:rPr>
  </w:style>
  <w:style w:type="paragraph" w:styleId="TOC2">
    <w:name w:val="toc 2"/>
    <w:basedOn w:val="Normal"/>
    <w:next w:val="Normal"/>
    <w:rsid w:val="009E2BCE"/>
    <w:pPr>
      <w:tabs>
        <w:tab w:val="left" w:pos="720"/>
        <w:tab w:val="right" w:leader="dot" w:pos="9360"/>
      </w:tabs>
      <w:suppressAutoHyphens/>
      <w:ind w:left="720" w:right="720" w:hanging="360"/>
    </w:pPr>
    <w:rPr>
      <w:noProof/>
    </w:rPr>
  </w:style>
  <w:style w:type="paragraph" w:styleId="TOC3">
    <w:name w:val="toc 3"/>
    <w:basedOn w:val="Normal"/>
    <w:next w:val="Normal"/>
    <w:rsid w:val="009E2BC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E2BC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E2BC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E2BCE"/>
    <w:pPr>
      <w:tabs>
        <w:tab w:val="left" w:pos="2160"/>
        <w:tab w:val="right" w:leader="dot" w:pos="9360"/>
      </w:tabs>
      <w:suppressAutoHyphens/>
      <w:ind w:left="2160" w:hanging="360"/>
    </w:pPr>
    <w:rPr>
      <w:noProof/>
    </w:rPr>
  </w:style>
  <w:style w:type="paragraph" w:styleId="TOC7">
    <w:name w:val="toc 7"/>
    <w:basedOn w:val="Normal"/>
    <w:next w:val="Normal"/>
    <w:autoRedefine/>
    <w:rsid w:val="009E2BCE"/>
    <w:pPr>
      <w:tabs>
        <w:tab w:val="left" w:pos="2520"/>
        <w:tab w:val="right" w:leader="dot" w:pos="9360"/>
      </w:tabs>
      <w:suppressAutoHyphens/>
      <w:ind w:left="2520" w:hanging="360"/>
    </w:pPr>
    <w:rPr>
      <w:noProof/>
    </w:rPr>
  </w:style>
  <w:style w:type="paragraph" w:styleId="TOC8">
    <w:name w:val="toc 8"/>
    <w:basedOn w:val="Normal"/>
    <w:next w:val="Normal"/>
    <w:autoRedefine/>
    <w:rsid w:val="009E2BCE"/>
    <w:pPr>
      <w:tabs>
        <w:tab w:val="left" w:pos="2880"/>
        <w:tab w:val="right" w:leader="dot" w:pos="9360"/>
      </w:tabs>
      <w:suppressAutoHyphens/>
      <w:ind w:left="2880" w:hanging="360"/>
    </w:pPr>
    <w:rPr>
      <w:noProof/>
    </w:rPr>
  </w:style>
  <w:style w:type="paragraph" w:styleId="TOC9">
    <w:name w:val="toc 9"/>
    <w:basedOn w:val="Normal"/>
    <w:next w:val="Normal"/>
    <w:autoRedefine/>
    <w:rsid w:val="009E2BC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2BCE"/>
    <w:pPr>
      <w:tabs>
        <w:tab w:val="right" w:pos="9360"/>
      </w:tabs>
      <w:suppressAutoHyphens/>
    </w:pPr>
  </w:style>
  <w:style w:type="character" w:customStyle="1" w:styleId="EquationCaption">
    <w:name w:val="_Equation Caption"/>
    <w:rsid w:val="009E2BCE"/>
  </w:style>
  <w:style w:type="paragraph" w:styleId="Header">
    <w:name w:val="header"/>
    <w:basedOn w:val="Normal"/>
    <w:link w:val="HeaderChar"/>
    <w:autoRedefine/>
    <w:uiPriority w:val="99"/>
    <w:rsid w:val="007E1DE6"/>
    <w:pPr>
      <w:pBdr>
        <w:bottom w:val="single" w:sz="6" w:space="1" w:color="auto"/>
      </w:pBdr>
      <w:jc w:val="center"/>
    </w:pPr>
    <w:rPr>
      <w:b/>
      <w:szCs w:val="22"/>
    </w:rPr>
  </w:style>
  <w:style w:type="character" w:customStyle="1" w:styleId="HeaderChar">
    <w:name w:val="Header Char"/>
    <w:basedOn w:val="DefaultParagraphFont"/>
    <w:link w:val="Header"/>
    <w:uiPriority w:val="99"/>
    <w:rsid w:val="007E1DE6"/>
    <w:rPr>
      <w:rFonts w:ascii="Times New Roman" w:eastAsia="Times New Roman" w:hAnsi="Times New Roman" w:cs="Times New Roman"/>
      <w:b/>
      <w:snapToGrid w:val="0"/>
      <w:kern w:val="28"/>
    </w:rPr>
  </w:style>
  <w:style w:type="paragraph" w:styleId="Footer">
    <w:name w:val="footer"/>
    <w:basedOn w:val="Normal"/>
    <w:link w:val="FooterChar"/>
    <w:uiPriority w:val="99"/>
    <w:rsid w:val="009E2BCE"/>
    <w:pPr>
      <w:tabs>
        <w:tab w:val="center" w:pos="4320"/>
        <w:tab w:val="right" w:pos="8640"/>
      </w:tabs>
    </w:pPr>
  </w:style>
  <w:style w:type="character" w:customStyle="1" w:styleId="FooterChar">
    <w:name w:val="Footer Char"/>
    <w:basedOn w:val="DefaultParagraphFont"/>
    <w:link w:val="Footer"/>
    <w:uiPriority w:val="99"/>
    <w:rsid w:val="009E2BCE"/>
    <w:rPr>
      <w:rFonts w:ascii="Times New Roman" w:eastAsia="Times New Roman" w:hAnsi="Times New Roman" w:cs="Times New Roman"/>
      <w:snapToGrid w:val="0"/>
      <w:kern w:val="28"/>
      <w:szCs w:val="20"/>
    </w:rPr>
  </w:style>
  <w:style w:type="character" w:styleId="PageNumber">
    <w:name w:val="page number"/>
    <w:basedOn w:val="DefaultParagraphFont"/>
    <w:rsid w:val="009E2BCE"/>
  </w:style>
  <w:style w:type="paragraph" w:styleId="BlockText">
    <w:name w:val="Block Text"/>
    <w:basedOn w:val="Normal"/>
    <w:rsid w:val="009E2BCE"/>
    <w:pPr>
      <w:spacing w:after="240"/>
      <w:ind w:left="1440" w:right="1440"/>
    </w:pPr>
  </w:style>
  <w:style w:type="paragraph" w:customStyle="1" w:styleId="Paratitle">
    <w:name w:val="Para title"/>
    <w:basedOn w:val="Normal"/>
    <w:rsid w:val="009E2BCE"/>
    <w:pPr>
      <w:tabs>
        <w:tab w:val="center" w:pos="9270"/>
      </w:tabs>
      <w:spacing w:after="240"/>
    </w:pPr>
    <w:rPr>
      <w:spacing w:val="-2"/>
    </w:rPr>
  </w:style>
  <w:style w:type="paragraph" w:customStyle="1" w:styleId="Bullet">
    <w:name w:val="Bullet"/>
    <w:basedOn w:val="Normal"/>
    <w:rsid w:val="009E2BCE"/>
    <w:pPr>
      <w:tabs>
        <w:tab w:val="left" w:pos="2160"/>
      </w:tabs>
      <w:spacing w:after="220"/>
      <w:ind w:left="2160" w:hanging="720"/>
    </w:pPr>
  </w:style>
  <w:style w:type="paragraph" w:customStyle="1" w:styleId="TableFormat">
    <w:name w:val="TableFormat"/>
    <w:basedOn w:val="Bullet"/>
    <w:rsid w:val="009E2BCE"/>
    <w:pPr>
      <w:tabs>
        <w:tab w:val="clear" w:pos="2160"/>
        <w:tab w:val="left" w:pos="5040"/>
      </w:tabs>
      <w:ind w:left="5040" w:hanging="3600"/>
    </w:pPr>
  </w:style>
  <w:style w:type="paragraph" w:customStyle="1" w:styleId="TOCTitle">
    <w:name w:val="TOC Title"/>
    <w:basedOn w:val="Normal"/>
    <w:rsid w:val="009E2BC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2BCE"/>
    <w:pPr>
      <w:jc w:val="center"/>
    </w:pPr>
    <w:rPr>
      <w:rFonts w:ascii="Times New Roman Bold" w:hAnsi="Times New Roman Bold"/>
      <w:b/>
      <w:bCs/>
      <w:caps/>
      <w:szCs w:val="22"/>
    </w:rPr>
  </w:style>
  <w:style w:type="character" w:styleId="Hyperlink">
    <w:name w:val="Hyperlink"/>
    <w:rsid w:val="009E2BCE"/>
    <w:rPr>
      <w:color w:val="0000FF"/>
      <w:u w:val="single"/>
    </w:rPr>
  </w:style>
  <w:style w:type="paragraph" w:styleId="BalloonText">
    <w:name w:val="Balloon Text"/>
    <w:basedOn w:val="Normal"/>
    <w:link w:val="BalloonTextChar"/>
    <w:rsid w:val="009E2BCE"/>
    <w:rPr>
      <w:rFonts w:ascii="Segoe UI" w:hAnsi="Segoe UI" w:cs="Segoe UI"/>
      <w:sz w:val="18"/>
      <w:szCs w:val="18"/>
    </w:rPr>
  </w:style>
  <w:style w:type="character" w:customStyle="1" w:styleId="BalloonTextChar">
    <w:name w:val="Balloon Text Char"/>
    <w:basedOn w:val="DefaultParagraphFont"/>
    <w:link w:val="BalloonText"/>
    <w:rsid w:val="009E2BCE"/>
    <w:rPr>
      <w:rFonts w:ascii="Segoe UI" w:eastAsia="Times New Roman" w:hAnsi="Segoe UI" w:cs="Segoe UI"/>
      <w:snapToGrid w:val="0"/>
      <w:kern w:val="28"/>
      <w:sz w:val="18"/>
      <w:szCs w:val="18"/>
    </w:rPr>
  </w:style>
  <w:style w:type="paragraph" w:styleId="ListParagraph">
    <w:name w:val="List Paragraph"/>
    <w:basedOn w:val="Normal"/>
    <w:uiPriority w:val="34"/>
    <w:qFormat/>
    <w:rsid w:val="009E2BCE"/>
    <w:pPr>
      <w:spacing w:after="200" w:line="276" w:lineRule="auto"/>
      <w:ind w:left="720"/>
      <w:contextualSpacing/>
    </w:pPr>
  </w:style>
  <w:style w:type="character" w:styleId="CommentReference">
    <w:name w:val="annotation reference"/>
    <w:basedOn w:val="DefaultParagraphFont"/>
    <w:uiPriority w:val="99"/>
    <w:unhideWhenUsed/>
    <w:rsid w:val="009E2BCE"/>
    <w:rPr>
      <w:sz w:val="16"/>
      <w:szCs w:val="16"/>
    </w:rPr>
  </w:style>
  <w:style w:type="paragraph" w:styleId="CommentText">
    <w:name w:val="annotation text"/>
    <w:basedOn w:val="Normal"/>
    <w:link w:val="CommentTextChar"/>
    <w:uiPriority w:val="99"/>
    <w:unhideWhenUsed/>
    <w:rsid w:val="009E2BCE"/>
    <w:pPr>
      <w:spacing w:after="200"/>
    </w:pPr>
    <w:rPr>
      <w:sz w:val="20"/>
    </w:rPr>
  </w:style>
  <w:style w:type="character" w:customStyle="1" w:styleId="CommentTextChar">
    <w:name w:val="Comment Text Char"/>
    <w:basedOn w:val="DefaultParagraphFont"/>
    <w:link w:val="CommentText"/>
    <w:uiPriority w:val="99"/>
    <w:rsid w:val="009E2BCE"/>
    <w:rPr>
      <w:rFonts w:ascii="Times New Roman" w:eastAsia="Times New Roman" w:hAnsi="Times New Roman" w:cs="Times New Roman"/>
      <w:snapToGrid w:val="0"/>
      <w:kern w:val="28"/>
      <w:sz w:val="20"/>
      <w:szCs w:val="20"/>
    </w:rPr>
  </w:style>
  <w:style w:type="paragraph" w:styleId="TOCHeading">
    <w:name w:val="TOC Heading"/>
    <w:basedOn w:val="Heading1"/>
    <w:next w:val="Normal"/>
    <w:uiPriority w:val="39"/>
    <w:unhideWhenUsed/>
    <w:qFormat/>
    <w:rsid w:val="009E2BCE"/>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color w:val="2E74B5" w:themeColor="accent1" w:themeShade="BF"/>
      <w:sz w:val="32"/>
      <w:szCs w:val="32"/>
    </w:rPr>
  </w:style>
  <w:style w:type="character" w:customStyle="1" w:styleId="ParaNumChar">
    <w:name w:val="ParaNum Char"/>
    <w:link w:val="ParaNum"/>
    <w:locked/>
    <w:rsid w:val="009E2BCE"/>
    <w:rPr>
      <w:rFonts w:ascii="Times New Roman" w:eastAsia="Times New Roman" w:hAnsi="Times New Roman" w:cs="Times New Roman"/>
      <w:snapToGrid w:val="0"/>
      <w:kern w:val="28"/>
      <w:szCs w:val="20"/>
    </w:rPr>
  </w:style>
  <w:style w:type="paragraph" w:styleId="CommentSubject">
    <w:name w:val="annotation subject"/>
    <w:basedOn w:val="CommentText"/>
    <w:next w:val="CommentText"/>
    <w:link w:val="CommentSubjectChar"/>
    <w:uiPriority w:val="99"/>
    <w:rsid w:val="009E2BCE"/>
    <w:pPr>
      <w:spacing w:after="0"/>
    </w:pPr>
    <w:rPr>
      <w:b/>
      <w:bCs/>
      <w:snapToGrid/>
    </w:rPr>
  </w:style>
  <w:style w:type="character" w:customStyle="1" w:styleId="CommentSubjectChar">
    <w:name w:val="Comment Subject Char"/>
    <w:basedOn w:val="CommentTextChar"/>
    <w:link w:val="CommentSubject"/>
    <w:uiPriority w:val="99"/>
    <w:rsid w:val="009E2BCE"/>
    <w:rPr>
      <w:rFonts w:ascii="Times New Roman" w:eastAsia="Times New Roman" w:hAnsi="Times New Roman" w:cs="Times New Roman"/>
      <w:b/>
      <w:bCs/>
      <w:snapToGrid/>
      <w:kern w:val="28"/>
      <w:sz w:val="20"/>
      <w:szCs w:val="20"/>
    </w:rPr>
  </w:style>
  <w:style w:type="character" w:customStyle="1" w:styleId="apple-converted-space">
    <w:name w:val="apple-converted-space"/>
    <w:rsid w:val="009E2BCE"/>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9E2BCE"/>
    <w:rPr>
      <w:lang w:val="en-US" w:eastAsia="en-US" w:bidi="ar-SA"/>
    </w:rPr>
  </w:style>
  <w:style w:type="character" w:customStyle="1" w:styleId="FootnoteTextCharChar2">
    <w:name w:val="Footnote Text Char Char2"/>
    <w:aliases w:val="Footnote Text Char Char6 Char Char1,Footnote Text Char Char6 Char Char1 Char1 Char1,Footnote Text Char2 Char3 Char1,Footnote Text Char4 Char2 Char Char Char Char Char1,Footnote Text Char6 Char Char Char Char1"/>
    <w:locked/>
    <w:rsid w:val="009E2BCE"/>
  </w:style>
  <w:style w:type="paragraph" w:customStyle="1" w:styleId="BulletCharChar">
    <w:name w:val="Bullet Char Char"/>
    <w:basedOn w:val="Normal"/>
    <w:link w:val="BulletCharCharChar"/>
    <w:rsid w:val="009E2BCE"/>
    <w:pPr>
      <w:tabs>
        <w:tab w:val="left" w:pos="2160"/>
      </w:tabs>
      <w:spacing w:after="220" w:line="276" w:lineRule="auto"/>
      <w:ind w:left="2160" w:hanging="720"/>
    </w:pPr>
  </w:style>
  <w:style w:type="character" w:customStyle="1" w:styleId="BulletCharCharChar">
    <w:name w:val="Bullet Char Char Char"/>
    <w:link w:val="BulletCharChar"/>
    <w:rsid w:val="009E2BCE"/>
    <w:rPr>
      <w:rFonts w:ascii="Times New Roman" w:eastAsia="Times New Roman" w:hAnsi="Times New Roman" w:cs="Times New Roman"/>
      <w:snapToGrid w:val="0"/>
      <w:kern w:val="28"/>
      <w:szCs w:val="20"/>
    </w:rPr>
  </w:style>
  <w:style w:type="character" w:customStyle="1" w:styleId="footnote">
    <w:name w:val="footnote"/>
    <w:rsid w:val="009E2BCE"/>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rsid w:val="009E2BCE"/>
  </w:style>
  <w:style w:type="paragraph" w:styleId="NormalWeb">
    <w:name w:val="Normal (Web)"/>
    <w:basedOn w:val="Normal"/>
    <w:uiPriority w:val="99"/>
    <w:unhideWhenUsed/>
    <w:rsid w:val="009E2BCE"/>
    <w:pPr>
      <w:spacing w:after="200" w:line="330" w:lineRule="atLeast"/>
      <w:textAlignment w:val="baseline"/>
    </w:pPr>
    <w:rPr>
      <w:snapToGrid/>
      <w:color w:val="000000"/>
      <w:sz w:val="20"/>
    </w:rPr>
  </w:style>
  <w:style w:type="character" w:customStyle="1" w:styleId="cohovertext">
    <w:name w:val="co_hovertext"/>
    <w:basedOn w:val="DefaultParagraphFont"/>
    <w:rsid w:val="009E2BCE"/>
  </w:style>
  <w:style w:type="character" w:customStyle="1" w:styleId="cosearchterm">
    <w:name w:val="co_searchterm"/>
    <w:basedOn w:val="DefaultParagraphFont"/>
    <w:rsid w:val="009E2BCE"/>
  </w:style>
  <w:style w:type="character" w:styleId="FollowedHyperlink">
    <w:name w:val="FollowedHyperlink"/>
    <w:basedOn w:val="DefaultParagraphFont"/>
    <w:rsid w:val="009E2BCE"/>
    <w:rPr>
      <w:color w:val="954F72" w:themeColor="followedHyperlink"/>
      <w:u w:val="single"/>
    </w:rPr>
  </w:style>
  <w:style w:type="paragraph" w:styleId="Revision">
    <w:name w:val="Revision"/>
    <w:hidden/>
    <w:uiPriority w:val="99"/>
    <w:semiHidden/>
    <w:rsid w:val="009E2BCE"/>
    <w:pPr>
      <w:spacing w:after="0" w:line="240" w:lineRule="auto"/>
    </w:pPr>
    <w:rPr>
      <w:rFonts w:ascii="Times New Roman" w:eastAsia="Times New Roman" w:hAnsi="Times New Roman" w:cs="Times New Roman"/>
      <w:snapToGrid w:val="0"/>
      <w:kern w:val="28"/>
      <w:szCs w:val="24"/>
    </w:rPr>
  </w:style>
  <w:style w:type="character" w:styleId="Emphasis">
    <w:name w:val="Emphasis"/>
    <w:basedOn w:val="DefaultParagraphFont"/>
    <w:uiPriority w:val="20"/>
    <w:qFormat/>
    <w:rsid w:val="009E2BCE"/>
    <w:rPr>
      <w:i/>
      <w:iCs/>
    </w:rPr>
  </w:style>
  <w:style w:type="paragraph" w:customStyle="1" w:styleId="paranum0">
    <w:name w:val="paranum"/>
    <w:basedOn w:val="Normal"/>
    <w:uiPriority w:val="99"/>
    <w:rsid w:val="009E2BCE"/>
    <w:pPr>
      <w:widowControl/>
      <w:snapToGrid w:val="0"/>
      <w:spacing w:after="120"/>
      <w:ind w:firstLine="720"/>
    </w:pPr>
    <w:rPr>
      <w:rFonts w:ascii="Calibri" w:hAnsi="Calibri" w:eastAsiaTheme="minorHAnsi" w:cs="Calibri"/>
      <w:snapToGrid/>
      <w:kern w:val="0"/>
      <w:szCs w:val="22"/>
    </w:rPr>
  </w:style>
  <w:style w:type="paragraph" w:styleId="DocumentMap">
    <w:name w:val="Document Map"/>
    <w:basedOn w:val="Normal"/>
    <w:link w:val="DocumentMapChar"/>
    <w:uiPriority w:val="99"/>
    <w:semiHidden/>
    <w:unhideWhenUsed/>
    <w:rsid w:val="009E2BCE"/>
    <w:rPr>
      <w:sz w:val="24"/>
      <w:szCs w:val="24"/>
    </w:rPr>
  </w:style>
  <w:style w:type="character" w:customStyle="1" w:styleId="DocumentMapChar">
    <w:name w:val="Document Map Char"/>
    <w:basedOn w:val="DefaultParagraphFont"/>
    <w:link w:val="DocumentMap"/>
    <w:uiPriority w:val="99"/>
    <w:semiHidden/>
    <w:rsid w:val="009E2BCE"/>
    <w:rPr>
      <w:rFonts w:ascii="Times New Roman" w:eastAsia="Times New Roman" w:hAnsi="Times New Roman" w:cs="Times New Roman"/>
      <w:snapToGrid w:val="0"/>
      <w:kern w:val="28"/>
      <w:sz w:val="24"/>
      <w:szCs w:val="24"/>
    </w:rPr>
  </w:style>
  <w:style w:type="character" w:customStyle="1" w:styleId="Heading1Char1">
    <w:name w:val="Heading 1 Char1"/>
    <w:aliases w:val="Heading 1 Char Char Char Char1,Heading 1 Char Char1 Char Char1,Heading 1 Char Char1 Char2,Heading 1 Char1 Char Char Char2 Char Char1,Heading 1 Char1 Char Char1,Heading 1 Char2 Char Char1 Char Char1,Heading 1 Char2 Char1"/>
    <w:basedOn w:val="DefaultParagraphFont"/>
    <w:rsid w:val="009E2BCE"/>
    <w:rPr>
      <w:rFonts w:asciiTheme="majorHAnsi" w:eastAsiaTheme="majorEastAsia" w:hAnsiTheme="majorHAnsi" w:cstheme="majorBidi"/>
      <w:color w:val="2E74B5" w:themeColor="accent1" w:themeShade="BF"/>
      <w:kern w:val="28"/>
      <w:sz w:val="32"/>
      <w:szCs w:val="32"/>
    </w:rPr>
  </w:style>
  <w:style w:type="character" w:customStyle="1" w:styleId="Heading2Char1">
    <w:name w:val="Heading 2 Char1"/>
    <w:aliases w:val="Heading 2 Char Char1 Char Char Char1,Heading 2 Char Char1 Char1,Heading 2 Char Char2 Char1,Heading 2 Char Char3 Char Char1,Heading 2 Char1 Char Char Char2,Heading 2 Char1 Char Char2,UNDERRUBRIK 1-2 Char Char1,h2 Char Char1"/>
    <w:basedOn w:val="DefaultParagraphFont"/>
    <w:uiPriority w:val="9"/>
    <w:semiHidden/>
    <w:rsid w:val="009E2BCE"/>
    <w:rPr>
      <w:rFonts w:asciiTheme="majorHAnsi" w:eastAsiaTheme="majorEastAsia" w:hAnsiTheme="majorHAnsi" w:cstheme="majorBidi" w:hint="default"/>
      <w:b/>
      <w:bCs/>
      <w:color w:val="5B9BD5" w:themeColor="accent1"/>
      <w:sz w:val="26"/>
      <w:szCs w:val="26"/>
    </w:rPr>
  </w:style>
  <w:style w:type="character" w:customStyle="1" w:styleId="Heading3Char2">
    <w:name w:val="Heading 3 Char2"/>
    <w:aliases w:val="1 Char Char1,1 Char2,3 Char Char1,3 Char2,31 Char Char1,31 Char2,?? 3 Char Char1,?? 3 Char2,Heading 3 Char Char Char Char Char2,Heading 3 Char1 Char Char Char1,Titre 3 Char Char1,Titre 3 Char2,Titre 31 Char Char1,Titre 31 Char2"/>
    <w:basedOn w:val="DefaultParagraphFont"/>
    <w:semiHidden/>
    <w:rsid w:val="009E2BCE"/>
    <w:rPr>
      <w:rFonts w:asciiTheme="majorHAnsi" w:eastAsiaTheme="majorEastAsia" w:hAnsiTheme="majorHAnsi" w:cstheme="majorBidi"/>
      <w:color w:val="1F4D78" w:themeColor="accent1" w:themeShade="7F"/>
      <w:kern w:val="28"/>
    </w:rPr>
  </w:style>
  <w:style w:type="character" w:customStyle="1" w:styleId="Heading4Char1">
    <w:name w:val="Heading 4 Char1"/>
    <w:aliases w:val="Heading 4 Char Char Char Char Char Char1 Char1,Heading 4 Char Char1 Char Char1 Char1,Heading 4 Char1 Char Char Char Char1 Char1,Heading 4 Char1 Char Char1,Heading 4 Char1 Char1 Char Char1 Char1,Heading 4 Char2 Char Char1 Char1"/>
    <w:basedOn w:val="DefaultParagraphFont"/>
    <w:semiHidden/>
    <w:rsid w:val="009E2BCE"/>
    <w:rPr>
      <w:rFonts w:asciiTheme="majorHAnsi" w:eastAsiaTheme="majorEastAsia" w:hAnsiTheme="majorHAnsi" w:cstheme="majorBidi"/>
      <w:i/>
      <w:iCs/>
      <w:color w:val="2E74B5" w:themeColor="accent1" w:themeShade="BF"/>
      <w:kern w:val="28"/>
      <w:sz w:val="22"/>
      <w:szCs w:val="20"/>
    </w:rPr>
  </w:style>
  <w:style w:type="character" w:customStyle="1" w:styleId="Heading5Char1">
    <w:name w:val="Heading 5 Char1"/>
    <w:aliases w:val="Heading 5 Char Char Char Char Char Char1,Heading 5 Char Char Char1 Char1,Heading 5 Char Char1 Char Char1,Heading 5 Char Char2 Char1,Heading 5 Char1 Char Char Char Char1,Heading 5 Char1 Char1 Char1,Heading 5 Char2 Char1"/>
    <w:basedOn w:val="DefaultParagraphFont"/>
    <w:semiHidden/>
    <w:rsid w:val="009E2BCE"/>
    <w:rPr>
      <w:rFonts w:asciiTheme="majorHAnsi" w:eastAsiaTheme="majorEastAsia" w:hAnsiTheme="majorHAnsi" w:cstheme="majorBidi"/>
      <w:color w:val="2E74B5" w:themeColor="accent1" w:themeShade="BF"/>
      <w:kern w:val="28"/>
      <w:sz w:val="22"/>
      <w:szCs w:val="20"/>
    </w:rPr>
  </w:style>
  <w:style w:type="character" w:customStyle="1" w:styleId="Heading6Char3">
    <w:name w:val="Heading 6 Char3"/>
    <w:aliases w:val="Heading 6 Char Char Char Char1,Heading 6 Char Char Char2,Heading 6 Char Char1 Char1,Heading 6 Char1 Char Char1,Heading 6 Char1 Char2,Heading 6 Char2 Char1,h6 Char1"/>
    <w:basedOn w:val="DefaultParagraphFont"/>
    <w:semiHidden/>
    <w:rsid w:val="009E2BCE"/>
    <w:rPr>
      <w:rFonts w:asciiTheme="majorHAnsi" w:eastAsiaTheme="majorEastAsia" w:hAnsiTheme="majorHAnsi" w:cstheme="majorBidi"/>
      <w:color w:val="1F4D78" w:themeColor="accent1" w:themeShade="7F"/>
      <w:kern w:val="28"/>
      <w:sz w:val="22"/>
      <w:szCs w:val="20"/>
    </w:rPr>
  </w:style>
  <w:style w:type="character" w:styleId="HTMLTypewriter">
    <w:name w:val="HTML Typewriter"/>
    <w:uiPriority w:val="99"/>
    <w:semiHidden/>
    <w:unhideWhenUsed/>
    <w:rsid w:val="009E2BCE"/>
    <w:rPr>
      <w:rFonts w:ascii="Courier New" w:eastAsia="Calibri" w:hAnsi="Courier New" w:cs="Courier New" w:hint="default"/>
      <w:sz w:val="20"/>
      <w:szCs w:val="20"/>
    </w:rPr>
  </w:style>
  <w:style w:type="character" w:customStyle="1" w:styleId="Heading9Char1">
    <w:name w:val="Heading 9 Char1"/>
    <w:aliases w:val="9 Char1,Heading 9.table Char1,Titre 9 Char1,Topic Char1,t Char1,table Char1"/>
    <w:basedOn w:val="DefaultParagraphFont"/>
    <w:semiHidden/>
    <w:rsid w:val="009E2BCE"/>
    <w:rPr>
      <w:rFonts w:asciiTheme="majorHAnsi" w:eastAsiaTheme="majorEastAsia" w:hAnsiTheme="majorHAnsi" w:cstheme="majorBidi"/>
      <w:i/>
      <w:iCs/>
      <w:color w:val="272727" w:themeColor="text1" w:themeTint="D8"/>
      <w:kern w:val="28"/>
      <w:sz w:val="21"/>
      <w:szCs w:val="21"/>
    </w:rPr>
  </w:style>
  <w:style w:type="character" w:customStyle="1" w:styleId="FootnoteTextChar3">
    <w:name w:val="Footnote Text Char3"/>
    <w:aliases w:val="Footnote Text Char Char Char1,Footnote Text Char Char3 Char Char Char Char Char1,Footnote Text Char1 Char1 Char Char1,Footnote Text Char2 Char1,Footnote Text Char3 Char1 Char Char Char Char1,Footnote Text Char4 Char Char Char Char1"/>
    <w:basedOn w:val="DefaultParagraphFont"/>
    <w:semiHidden/>
    <w:rsid w:val="009E2BCE"/>
    <w:rPr>
      <w:kern w:val="28"/>
      <w:sz w:val="20"/>
      <w:szCs w:val="20"/>
    </w:rPr>
  </w:style>
  <w:style w:type="paragraph" w:styleId="Caption">
    <w:name w:val="caption"/>
    <w:basedOn w:val="Normal"/>
    <w:next w:val="Normal"/>
    <w:uiPriority w:val="35"/>
    <w:semiHidden/>
    <w:unhideWhenUsed/>
    <w:qFormat/>
    <w:rsid w:val="009E2BCE"/>
    <w:pPr>
      <w:keepLines/>
      <w:widowControl/>
      <w:snapToGrid w:val="0"/>
      <w:spacing w:before="120" w:after="120"/>
      <w:jc w:val="center"/>
    </w:pPr>
    <w:rPr>
      <w:rFonts w:eastAsiaTheme="minorHAnsi" w:cstheme="minorBidi"/>
      <w:b/>
      <w:iCs/>
      <w:snapToGrid/>
      <w:kern w:val="0"/>
      <w:sz w:val="20"/>
      <w:szCs w:val="18"/>
      <w:lang w:eastAsia="ja-JP"/>
    </w:rPr>
  </w:style>
  <w:style w:type="paragraph" w:styleId="Title">
    <w:name w:val="Title"/>
    <w:basedOn w:val="Normal"/>
    <w:next w:val="Normal"/>
    <w:link w:val="TitleChar"/>
    <w:uiPriority w:val="10"/>
    <w:qFormat/>
    <w:rsid w:val="009E2BCE"/>
    <w:pPr>
      <w:snapToGrid w:val="0"/>
      <w:spacing w:after="240"/>
      <w:jc w:val="center"/>
      <w:outlineLvl w:val="0"/>
    </w:pPr>
    <w:rPr>
      <w:rFonts w:ascii="Times New Roman Bold" w:hAnsi="Times New Roman Bold" w:eastAsiaTheme="majorEastAsia"/>
      <w:b/>
      <w:bCs/>
      <w:caps/>
      <w:snapToGrid/>
      <w:szCs w:val="22"/>
    </w:rPr>
  </w:style>
  <w:style w:type="character" w:customStyle="1" w:styleId="TitleChar">
    <w:name w:val="Title Char"/>
    <w:basedOn w:val="DefaultParagraphFont"/>
    <w:link w:val="Title"/>
    <w:uiPriority w:val="10"/>
    <w:rsid w:val="009E2BCE"/>
    <w:rPr>
      <w:rFonts w:ascii="Times New Roman Bold" w:hAnsi="Times New Roman Bold" w:eastAsiaTheme="majorEastAsia" w:cs="Times New Roman"/>
      <w:b/>
      <w:bCs/>
      <w:caps/>
      <w:kern w:val="28"/>
    </w:rPr>
  </w:style>
  <w:style w:type="paragraph" w:styleId="BodyText">
    <w:name w:val="Body Text"/>
    <w:basedOn w:val="Normal"/>
    <w:link w:val="BodyTextChar"/>
    <w:uiPriority w:val="99"/>
    <w:semiHidden/>
    <w:unhideWhenUsed/>
    <w:rsid w:val="009E2BCE"/>
    <w:pPr>
      <w:widowControl/>
      <w:snapToGrid w:val="0"/>
      <w:spacing w:after="160" w:line="256" w:lineRule="auto"/>
    </w:pPr>
    <w:rPr>
      <w:rFonts w:asciiTheme="minorHAnsi" w:eastAsiaTheme="minorHAnsi" w:hAnsiTheme="minorHAnsi" w:cstheme="minorBidi"/>
      <w:snapToGrid/>
      <w:kern w:val="0"/>
      <w:szCs w:val="22"/>
      <w:lang w:eastAsia="ja-JP"/>
    </w:rPr>
  </w:style>
  <w:style w:type="character" w:customStyle="1" w:styleId="BodyTextChar">
    <w:name w:val="Body Text Char"/>
    <w:basedOn w:val="DefaultParagraphFont"/>
    <w:link w:val="BodyText"/>
    <w:uiPriority w:val="99"/>
    <w:semiHidden/>
    <w:rsid w:val="009E2BCE"/>
    <w:rPr>
      <w:lang w:eastAsia="ja-JP"/>
    </w:rPr>
  </w:style>
  <w:style w:type="paragraph" w:styleId="BodyTextFirstIndent">
    <w:name w:val="Body Text First Indent"/>
    <w:basedOn w:val="BodyText"/>
    <w:link w:val="BodyTextFirstIndentChar"/>
    <w:uiPriority w:val="99"/>
    <w:unhideWhenUsed/>
    <w:rsid w:val="009E2BCE"/>
    <w:pPr>
      <w:ind w:firstLine="360"/>
    </w:pPr>
    <w:rPr>
      <w:rFonts w:ascii="Cambria" w:eastAsia="MS Minngs" w:hAnsi="Cambria"/>
    </w:rPr>
  </w:style>
  <w:style w:type="character" w:customStyle="1" w:styleId="BodyTextFirstIndentChar">
    <w:name w:val="Body Text First Indent Char"/>
    <w:basedOn w:val="BodyTextChar"/>
    <w:link w:val="BodyTextFirstIndent"/>
    <w:uiPriority w:val="99"/>
    <w:rsid w:val="009E2BCE"/>
    <w:rPr>
      <w:rFonts w:ascii="Cambria" w:eastAsia="MS Minngs" w:hAnsi="Cambria"/>
      <w:lang w:eastAsia="ja-JP"/>
    </w:rPr>
  </w:style>
  <w:style w:type="paragraph" w:styleId="PlainText">
    <w:name w:val="Plain Text"/>
    <w:basedOn w:val="Normal"/>
    <w:link w:val="PlainTextChar"/>
    <w:uiPriority w:val="99"/>
    <w:unhideWhenUsed/>
    <w:rsid w:val="009E2BCE"/>
    <w:pPr>
      <w:widowControl/>
      <w:snapToGrid w:val="0"/>
      <w:spacing w:after="160" w:line="256" w:lineRule="auto"/>
    </w:pPr>
    <w:rPr>
      <w:rFonts w:ascii="Calibri" w:hAnsi="Calibri" w:eastAsiaTheme="minorHAnsi" w:cs="Calibri"/>
      <w:snapToGrid/>
      <w:kern w:val="0"/>
      <w:szCs w:val="22"/>
      <w:lang w:eastAsia="ja-JP"/>
    </w:rPr>
  </w:style>
  <w:style w:type="character" w:customStyle="1" w:styleId="PlainTextChar">
    <w:name w:val="Plain Text Char"/>
    <w:basedOn w:val="DefaultParagraphFont"/>
    <w:link w:val="PlainText"/>
    <w:uiPriority w:val="99"/>
    <w:rsid w:val="009E2BCE"/>
    <w:rPr>
      <w:rFonts w:ascii="Calibri" w:hAnsi="Calibri" w:cs="Calibri"/>
      <w:lang w:eastAsia="ja-JP"/>
    </w:rPr>
  </w:style>
  <w:style w:type="paragraph" w:styleId="NoSpacing">
    <w:name w:val="No Spacing"/>
    <w:uiPriority w:val="1"/>
    <w:qFormat/>
    <w:rsid w:val="009E2BCE"/>
    <w:pPr>
      <w:spacing w:after="120" w:line="240" w:lineRule="auto"/>
    </w:pPr>
    <w:rPr>
      <w:rFonts w:eastAsiaTheme="minorEastAsia"/>
      <w:sz w:val="24"/>
      <w:szCs w:val="24"/>
    </w:rPr>
  </w:style>
  <w:style w:type="paragraph" w:customStyle="1" w:styleId="Body">
    <w:name w:val="Body"/>
    <w:uiPriority w:val="99"/>
    <w:rsid w:val="009E2BCE"/>
    <w:pPr>
      <w:spacing w:after="120" w:line="240" w:lineRule="auto"/>
    </w:pPr>
    <w:rPr>
      <w:rFonts w:ascii="Times New Roman" w:hAnsi="Times New Roman" w:eastAsiaTheme="minorEastAsia" w:cs="Arial Unicode MS"/>
    </w:rPr>
  </w:style>
  <w:style w:type="character" w:customStyle="1" w:styleId="AppendixTitleChar">
    <w:name w:val="Appendix Title Char"/>
    <w:basedOn w:val="TitleChar"/>
    <w:link w:val="AppendixTitle"/>
    <w:locked/>
    <w:rsid w:val="009E2BCE"/>
    <w:rPr>
      <w:rFonts w:ascii="Times New Roman Bold" w:hAnsi="Times New Roman Bold" w:eastAsiaTheme="majorEastAsia" w:cs="Times New Roman Bold"/>
      <w:b w:val="0"/>
      <w:bCs w:val="0"/>
      <w:caps w:val="0"/>
      <w:kern w:val="28"/>
    </w:rPr>
  </w:style>
  <w:style w:type="paragraph" w:customStyle="1" w:styleId="AppendixTitle">
    <w:name w:val="Appendix Title"/>
    <w:basedOn w:val="Title"/>
    <w:link w:val="AppendixTitleChar"/>
    <w:qFormat/>
    <w:rsid w:val="009E2BCE"/>
    <w:pPr>
      <w:outlineLvl w:val="1"/>
    </w:pPr>
    <w:rPr>
      <w:rFonts w:cs="Times New Roman Bold"/>
      <w:b w:val="0"/>
      <w:bCs w:val="0"/>
      <w:caps w:val="0"/>
    </w:rPr>
  </w:style>
  <w:style w:type="character" w:customStyle="1" w:styleId="AttachmentHeading1Char">
    <w:name w:val="Attachment Heading 1 Char"/>
    <w:basedOn w:val="DefaultParagraphFont"/>
    <w:link w:val="AttachmentHeading1"/>
    <w:locked/>
    <w:rsid w:val="009E2BCE"/>
    <w:rPr>
      <w:rFonts w:eastAsiaTheme="majorEastAsia"/>
      <w:b/>
      <w:bCs/>
      <w:kern w:val="28"/>
    </w:rPr>
  </w:style>
  <w:style w:type="paragraph" w:customStyle="1" w:styleId="AttachmentHeading2">
    <w:name w:val="Attachment Heading 2"/>
    <w:basedOn w:val="AttachmentHeading1"/>
    <w:next w:val="AttachmentHeading3"/>
    <w:link w:val="AttachmentHeading2Char"/>
    <w:uiPriority w:val="99"/>
    <w:qFormat/>
    <w:rsid w:val="009E2BCE"/>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9E2BCE"/>
    <w:pPr>
      <w:numPr>
        <w:numId w:val="4"/>
      </w:numPr>
      <w:snapToGrid w:val="0"/>
      <w:spacing w:after="240" w:line="480" w:lineRule="auto"/>
      <w:jc w:val="center"/>
      <w:outlineLvl w:val="0"/>
    </w:pPr>
    <w:rPr>
      <w:rFonts w:eastAsiaTheme="majorEastAsia"/>
      <w:b/>
      <w:bCs/>
      <w:kern w:val="28"/>
    </w:rPr>
  </w:style>
  <w:style w:type="character" w:styleId="PlaceholderText">
    <w:name w:val="Placeholder Text"/>
    <w:basedOn w:val="DefaultParagraphFont"/>
    <w:uiPriority w:val="99"/>
    <w:semiHidden/>
    <w:rsid w:val="009E2BCE"/>
    <w:rPr>
      <w:color w:val="808080"/>
    </w:rPr>
  </w:style>
  <w:style w:type="character" w:customStyle="1" w:styleId="ALTSFOOTNOTECharChar">
    <w:name w:val="ALTS FOOTNOTE Char Char"/>
    <w:semiHidden/>
    <w:locked/>
    <w:rsid w:val="009E2BCE"/>
  </w:style>
  <w:style w:type="character" w:customStyle="1" w:styleId="CommentSubjectChar1">
    <w:name w:val="Comment Subject Char1"/>
    <w:basedOn w:val="CommentTextChar"/>
    <w:uiPriority w:val="99"/>
    <w:semiHidden/>
    <w:rsid w:val="009E2BCE"/>
    <w:rPr>
      <w:rFonts w:ascii="Calibri" w:eastAsia="Times New Roman" w:hAnsi="Calibri" w:cs="Times New Roman"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9E2BCE"/>
    <w:pPr>
      <w:keepNext/>
      <w:keepLines/>
      <w:numPr>
        <w:ilvl w:val="2"/>
      </w:numPr>
      <w:tabs>
        <w:tab w:val="left" w:pos="720"/>
      </w:tabs>
      <w:spacing w:before="240" w:line="240" w:lineRule="auto"/>
      <w:jc w:val="left"/>
      <w:outlineLvl w:val="2"/>
    </w:pPr>
    <w:rPr>
      <w:szCs w:val="20"/>
    </w:rPr>
  </w:style>
  <w:style w:type="character" w:customStyle="1" w:styleId="AttachmentHeading3Char">
    <w:name w:val="Attachment Heading 3 Char"/>
    <w:basedOn w:val="Heading1Char"/>
    <w:link w:val="AttachmentHeading3"/>
    <w:uiPriority w:val="99"/>
    <w:locked/>
    <w:rsid w:val="009E2BCE"/>
    <w:rPr>
      <w:rFonts w:ascii="Times New Roman Bold" w:hAnsi="Times New Roman Bold" w:eastAsiaTheme="majorEastAsia" w:cs="Times New Roman Bold"/>
      <w:b/>
      <w:bCs/>
      <w:caps w:val="0"/>
      <w:snapToGrid/>
      <w:kern w:val="28"/>
      <w:szCs w:val="20"/>
    </w:rPr>
  </w:style>
  <w:style w:type="paragraph" w:customStyle="1" w:styleId="AttachmentHeading4">
    <w:name w:val="Attachment Heading 4"/>
    <w:basedOn w:val="AttachmentHeading3"/>
    <w:next w:val="Body"/>
    <w:link w:val="AttachmentHeading4Char"/>
    <w:uiPriority w:val="99"/>
    <w:qFormat/>
    <w:rsid w:val="009E2BCE"/>
    <w:pPr>
      <w:numPr>
        <w:ilvl w:val="3"/>
      </w:numPr>
      <w:tabs>
        <w:tab w:val="num" w:pos="360"/>
      </w:tabs>
      <w:outlineLvl w:val="3"/>
    </w:pPr>
  </w:style>
  <w:style w:type="character" w:customStyle="1" w:styleId="AttachmentHeading4Char">
    <w:name w:val="Attachment Heading 4 Char"/>
    <w:basedOn w:val="AttachmentHeading3Char"/>
    <w:link w:val="AttachmentHeading4"/>
    <w:uiPriority w:val="99"/>
    <w:locked/>
    <w:rsid w:val="009E2BCE"/>
    <w:rPr>
      <w:rFonts w:ascii="Times New Roman Bold" w:hAnsi="Times New Roman Bold" w:eastAsiaTheme="majorEastAsia" w:cs="Times New Roman Bold"/>
      <w:b/>
      <w:bCs/>
      <w:caps w:val="0"/>
      <w:snapToGrid/>
      <w:kern w:val="28"/>
      <w:szCs w:val="20"/>
    </w:rPr>
  </w:style>
  <w:style w:type="paragraph" w:customStyle="1" w:styleId="AttachmentHeading5">
    <w:name w:val="Attachment Heading 5"/>
    <w:basedOn w:val="AttachmentHeading4"/>
    <w:next w:val="Body"/>
    <w:link w:val="AttachmentHeading5Char"/>
    <w:uiPriority w:val="99"/>
    <w:qFormat/>
    <w:rsid w:val="009E2BCE"/>
    <w:pPr>
      <w:numPr>
        <w:ilvl w:val="4"/>
      </w:numPr>
      <w:outlineLvl w:val="4"/>
    </w:pPr>
  </w:style>
  <w:style w:type="character" w:customStyle="1" w:styleId="AttachmentHeading5Char">
    <w:name w:val="Attachment Heading 5 Char"/>
    <w:basedOn w:val="AttachmentHeading4Char"/>
    <w:link w:val="AttachmentHeading5"/>
    <w:uiPriority w:val="99"/>
    <w:locked/>
    <w:rsid w:val="009E2BCE"/>
    <w:rPr>
      <w:rFonts w:ascii="Times New Roman Bold" w:hAnsi="Times New Roman Bold" w:eastAsiaTheme="majorEastAsia" w:cs="Times New Roman Bold"/>
      <w:b/>
      <w:bCs/>
      <w:caps w:val="0"/>
      <w:snapToGrid/>
      <w:kern w:val="28"/>
      <w:szCs w:val="20"/>
    </w:rPr>
  </w:style>
  <w:style w:type="character" w:customStyle="1" w:styleId="AttachmentHeading2Char">
    <w:name w:val="Attachment Heading 2 Char"/>
    <w:basedOn w:val="AppendixTitleChar"/>
    <w:link w:val="AttachmentHeading2"/>
    <w:uiPriority w:val="99"/>
    <w:locked/>
    <w:rsid w:val="009E2BCE"/>
    <w:rPr>
      <w:rFonts w:ascii="Times New Roman Bold" w:hAnsi="Times New Roman Bold" w:eastAsiaTheme="majorEastAsia" w:cs="Times New Roman Bold"/>
      <w:b/>
      <w:bCs/>
      <w:caps w:val="0"/>
      <w:kern w:val="28"/>
    </w:rPr>
  </w:style>
  <w:style w:type="table" w:styleId="TableGrid">
    <w:name w:val="Table Grid"/>
    <w:basedOn w:val="TableNormal"/>
    <w:uiPriority w:val="39"/>
    <w:rsid w:val="009E2BCE"/>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semiHidden/>
    <w:unhideWhenUsed/>
    <w:rsid w:val="009E2BCE"/>
    <w:pPr>
      <w:spacing w:after="12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beforeLines="0" w:beforeAutospacing="0" w:after="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beforeLines="0" w:beforeAutospacing="0" w:after="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AttachmentHeadings">
    <w:name w:val="Attachment Headings"/>
    <w:uiPriority w:val="99"/>
    <w:rsid w:val="009E2BCE"/>
    <w:pPr>
      <w:numPr>
        <w:numId w:val="4"/>
      </w:numPr>
    </w:pPr>
  </w:style>
  <w:style w:type="numbering" w:customStyle="1" w:styleId="Style1">
    <w:name w:val="Style1"/>
    <w:uiPriority w:val="99"/>
    <w:rsid w:val="009E2BCE"/>
    <w:pPr>
      <w:numPr>
        <w:numId w:val="5"/>
      </w:numPr>
    </w:pPr>
  </w:style>
  <w:style w:type="character" w:customStyle="1" w:styleId="UnresolvedMention">
    <w:name w:val="Unresolved Mention"/>
    <w:basedOn w:val="DefaultParagraphFont"/>
    <w:uiPriority w:val="99"/>
    <w:semiHidden/>
    <w:unhideWhenUsed/>
    <w:rsid w:val="00154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blog.stata.com/2011/08/22/use-poisson-rather-than-regress-tell-a-friend/" TargetMode="External" /><Relationship Id="rId2" Type="http://schemas.openxmlformats.org/officeDocument/2006/relationships/hyperlink" Target="https://www.ers.usda.gov/data-products/county-level-data-sets/" TargetMode="External" /><Relationship Id="rId3" Type="http://schemas.openxmlformats.org/officeDocument/2006/relationships/hyperlink" Target="https://www.census.gov/programs-surveys/popest/data/data-sets.html" TargetMode="External" /><Relationship Id="rId4" Type="http://schemas.openxmlformats.org/officeDocument/2006/relationships/hyperlink" Target="https://www.census.gov/data/datasets/2017/demo/saipe/2017-state-and-county.html" TargetMode="External" /><Relationship Id="rId5" Type="http://schemas.openxmlformats.org/officeDocument/2006/relationships/hyperlink" Target="https://www.census.gov/geo/reference/ua/urban-rural-201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