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E2BCE" w:rsidRPr="00276F41" w:rsidP="000E3FDE" w14:paraId="22DA969E" w14:textId="3020AFCC">
      <w:pPr>
        <w:tabs>
          <w:tab w:val="left" w:pos="855"/>
          <w:tab w:val="center" w:pos="4680"/>
        </w:tabs>
        <w:spacing w:after="120" w:line="480" w:lineRule="auto"/>
        <w:jc w:val="center"/>
        <w:rPr>
          <w:b/>
        </w:rPr>
      </w:pPr>
      <w:bookmarkStart w:id="0" w:name="_Ref279671408"/>
      <w:bookmarkStart w:id="1" w:name="_GoBack"/>
      <w:bookmarkEnd w:id="1"/>
      <w:r>
        <w:rPr>
          <w:b/>
        </w:rPr>
        <w:t xml:space="preserve">Appendix </w:t>
      </w:r>
      <w:r w:rsidR="00F138DF">
        <w:rPr>
          <w:b/>
        </w:rPr>
        <w:t>D:</w:t>
      </w:r>
      <w:r w:rsidR="00F138DF">
        <w:rPr>
          <w:b/>
        </w:rPr>
        <w:t xml:space="preserve"> </w:t>
      </w:r>
      <w:r w:rsidR="00F138DF">
        <w:rPr>
          <w:b/>
        </w:rPr>
        <w:t xml:space="preserve"> </w:t>
      </w:r>
      <w:r w:rsidR="0063312C">
        <w:rPr>
          <w:b/>
        </w:rPr>
        <w:t>Initial Commitment</w:t>
      </w:r>
      <w:r w:rsidRPr="00276F41" w:rsidR="00E12DE8">
        <w:rPr>
          <w:b/>
        </w:rPr>
        <w:t xml:space="preserve"> Technical Guide</w:t>
      </w:r>
    </w:p>
    <w:p w:rsidR="00E97E1C" w:rsidP="003A26E5" w14:paraId="34ABED6B" w14:textId="6B1761C9">
      <w:pPr>
        <w:pStyle w:val="AttachmentHeading3"/>
        <w:numPr>
          <w:ilvl w:val="2"/>
          <w:numId w:val="3"/>
        </w:numPr>
        <w:spacing w:before="120"/>
        <w:contextualSpacing/>
      </w:pPr>
      <w:r>
        <w:t>Introduction</w:t>
      </w:r>
      <w:bookmarkEnd w:id="0"/>
    </w:p>
    <w:p w:rsidR="001A5E01" w:rsidP="00E97E1C" w14:paraId="39DDDF6F" w14:textId="713F09F1">
      <w:pPr>
        <w:pStyle w:val="ParaNum"/>
        <w:numPr>
          <w:ilvl w:val="0"/>
          <w:numId w:val="0"/>
        </w:numPr>
      </w:pPr>
      <w:r>
        <w:t xml:space="preserve">In the Initial Commitment System, an incumbent will be able to select among three options for </w:t>
      </w:r>
      <w:r w:rsidR="004A23DF">
        <w:t xml:space="preserve">its </w:t>
      </w:r>
      <w:r>
        <w:t>Initial Commitment.</w:t>
      </w:r>
      <w:r>
        <w:rPr>
          <w:rStyle w:val="FootnoteReference"/>
        </w:rPr>
        <w:footnoteReference w:id="2"/>
      </w:r>
      <w:r>
        <w:t xml:space="preserve">  An incumbent</w:t>
      </w:r>
      <w:r w:rsidRPr="0061111B">
        <w:t xml:space="preserve"> can choose to: (1) have its licenses modified based on the Commission’s proposed reconfiguration of its</w:t>
      </w:r>
      <w:r>
        <w:t xml:space="preserve"> license</w:t>
      </w:r>
      <w:r w:rsidRPr="0061111B">
        <w:t xml:space="preserve"> holdings; (2) have its licenses modified based on </w:t>
      </w:r>
      <w:r>
        <w:t>an acceptable</w:t>
      </w:r>
      <w:r w:rsidRPr="0061111B">
        <w:t xml:space="preserve"> alternative reconfiguration that </w:t>
      </w:r>
      <w:r>
        <w:t>the incumbent proposes, provided that it satisfies certain specified conditions</w:t>
      </w:r>
      <w:r w:rsidRPr="0061111B">
        <w:t>; or (3) commit to relinquish its licenses in exchange for an incentive payment and the ability to bid for new licenses.</w:t>
      </w:r>
    </w:p>
    <w:p w:rsidR="008C4DD9" w:rsidP="00E97E1C" w14:paraId="5B85BF65" w14:textId="358D6455">
      <w:pPr>
        <w:pStyle w:val="ParaNum"/>
        <w:numPr>
          <w:ilvl w:val="0"/>
          <w:numId w:val="0"/>
        </w:numPr>
      </w:pPr>
      <w:r>
        <w:t xml:space="preserve">In the Initial Commitment System, an incumbent that </w:t>
      </w:r>
      <w:r w:rsidR="00416DD7">
        <w:t>selects</w:t>
      </w:r>
      <w:r>
        <w:t xml:space="preserve"> Option 1 will also choose whether to keep or relinquish any modified license for a partial PEA.  An incumbent </w:t>
      </w:r>
      <w:r w:rsidR="00416DD7">
        <w:t>selecting</w:t>
      </w:r>
      <w:r>
        <w:t xml:space="preserve"> Option 2 will indicate </w:t>
      </w:r>
      <w:r w:rsidR="00416DD7">
        <w:t xml:space="preserve">its alternative reconfiguration </w:t>
      </w:r>
      <w:r>
        <w:t>in the Initial Commitment System</w:t>
      </w:r>
      <w:r w:rsidR="00416DD7">
        <w:t xml:space="preserve">, including the one PEA in which it wants to have </w:t>
      </w:r>
      <w:r w:rsidR="0045398B">
        <w:t xml:space="preserve">the </w:t>
      </w:r>
      <w:r w:rsidR="00416DD7">
        <w:t xml:space="preserve">holdings equivalent to less than a full </w:t>
      </w:r>
      <w:r w:rsidR="000755B8">
        <w:t xml:space="preserve">100 megahertz </w:t>
      </w:r>
      <w:r w:rsidR="00416DD7">
        <w:t>block, and whether it wants to keep or relinquish that partial block.</w:t>
      </w:r>
      <w:r>
        <w:t xml:space="preserve"> </w:t>
      </w:r>
      <w:r w:rsidRPr="00687896">
        <w:t xml:space="preserve">An incumbent that </w:t>
      </w:r>
      <w:r w:rsidR="00416DD7">
        <w:t xml:space="preserve">chooses Option 3, </w:t>
      </w:r>
      <w:r w:rsidRPr="00687896" w:rsidR="00416DD7">
        <w:t>commit</w:t>
      </w:r>
      <w:r w:rsidR="00416DD7">
        <w:t>ting</w:t>
      </w:r>
      <w:r w:rsidRPr="00687896">
        <w:t xml:space="preserve"> to relinquis</w:t>
      </w:r>
      <w:r w:rsidR="00416DD7">
        <w:t>h</w:t>
      </w:r>
      <w:r w:rsidRPr="00687896">
        <w:t xml:space="preserve"> all its existing spectrum usage rights</w:t>
      </w:r>
      <w:r w:rsidR="00416DD7">
        <w:t xml:space="preserve">, </w:t>
      </w:r>
      <w:r w:rsidR="004A23DF">
        <w:t xml:space="preserve">during </w:t>
      </w:r>
      <w:r w:rsidRPr="00687896" w:rsidR="004A23DF">
        <w:t>Round Zero</w:t>
      </w:r>
      <w:r w:rsidR="00AA6E18">
        <w:t xml:space="preserve"> </w:t>
      </w:r>
      <w:r w:rsidRPr="00687896">
        <w:t xml:space="preserve">will </w:t>
      </w:r>
      <w:r w:rsidR="004A23DF">
        <w:t xml:space="preserve">also </w:t>
      </w:r>
      <w:r w:rsidR="00AA6E18">
        <w:t xml:space="preserve">be able to </w:t>
      </w:r>
      <w:r w:rsidRPr="00687896">
        <w:t>redistribute</w:t>
      </w:r>
      <w:r w:rsidR="00416DD7">
        <w:t xml:space="preserve"> </w:t>
      </w:r>
      <w:r w:rsidR="00DE6EE5">
        <w:t xml:space="preserve">its </w:t>
      </w:r>
      <w:r w:rsidR="00AA6E18">
        <w:t xml:space="preserve">weighted </w:t>
      </w:r>
      <w:r>
        <w:t>MHz-</w:t>
      </w:r>
      <w:r w:rsidR="002670EA">
        <w:t>p</w:t>
      </w:r>
      <w:r>
        <w:t>ops</w:t>
      </w:r>
      <w:r w:rsidR="00AA6E18">
        <w:t xml:space="preserve"> across the PEAs in which its </w:t>
      </w:r>
      <w:r w:rsidR="00487EE8">
        <w:t xml:space="preserve">updated </w:t>
      </w:r>
      <w:r>
        <w:t xml:space="preserve">aggregated holdings </w:t>
      </w:r>
      <w:r w:rsidR="00AA6E18">
        <w:t>are equivalent to a partial P</w:t>
      </w:r>
      <w:r>
        <w:t>EA</w:t>
      </w:r>
      <w:r w:rsidR="00AA6E18">
        <w:t xml:space="preserve"> through the Initial Commitment System.  </w:t>
      </w:r>
      <w:r w:rsidRPr="00687896">
        <w:t xml:space="preserve">  </w:t>
      </w:r>
    </w:p>
    <w:p w:rsidR="009E2BCE" w:rsidRPr="00D4447D" w:rsidP="00E97E1C" w14:paraId="448F5498" w14:textId="377EF935">
      <w:pPr>
        <w:widowControl/>
        <w:spacing w:after="120"/>
        <w:rPr>
          <w:szCs w:val="22"/>
        </w:rPr>
      </w:pPr>
      <w:r>
        <w:rPr>
          <w:szCs w:val="22"/>
        </w:rPr>
        <w:t xml:space="preserve">This </w:t>
      </w:r>
      <w:r w:rsidR="007E031C">
        <w:rPr>
          <w:szCs w:val="22"/>
        </w:rPr>
        <w:t xml:space="preserve">technical guide </w:t>
      </w:r>
      <w:r>
        <w:rPr>
          <w:szCs w:val="22"/>
        </w:rPr>
        <w:t>detail</w:t>
      </w:r>
      <w:r w:rsidR="003404D7">
        <w:rPr>
          <w:szCs w:val="22"/>
        </w:rPr>
        <w:t>s</w:t>
      </w:r>
      <w:r w:rsidR="001C6CC2">
        <w:rPr>
          <w:szCs w:val="22"/>
        </w:rPr>
        <w:t xml:space="preserve"> </w:t>
      </w:r>
      <w:r w:rsidR="00E97E1C">
        <w:rPr>
          <w:szCs w:val="22"/>
        </w:rPr>
        <w:t xml:space="preserve">calculations related to submitting an alternative reconfiguration (Section </w:t>
      </w:r>
      <w:r w:rsidR="00E97E1C">
        <w:rPr>
          <w:szCs w:val="22"/>
        </w:rPr>
        <w:fldChar w:fldCharType="begin"/>
      </w:r>
      <w:r w:rsidR="00E97E1C">
        <w:rPr>
          <w:szCs w:val="22"/>
        </w:rPr>
        <w:instrText xml:space="preserve"> REF _Ref406491189 \r \h </w:instrText>
      </w:r>
      <w:r w:rsidR="00E97E1C">
        <w:rPr>
          <w:szCs w:val="22"/>
        </w:rPr>
        <w:fldChar w:fldCharType="separate"/>
      </w:r>
      <w:r w:rsidR="00F44B31">
        <w:rPr>
          <w:szCs w:val="22"/>
        </w:rPr>
        <w:t>2</w:t>
      </w:r>
      <w:r w:rsidR="00E97E1C">
        <w:rPr>
          <w:szCs w:val="22"/>
        </w:rPr>
        <w:fldChar w:fldCharType="end"/>
      </w:r>
      <w:r w:rsidR="00E97E1C">
        <w:rPr>
          <w:szCs w:val="22"/>
        </w:rPr>
        <w:t xml:space="preserve">) and to reallocating the incumbent’s </w:t>
      </w:r>
      <w:r w:rsidR="00F14029">
        <w:rPr>
          <w:szCs w:val="22"/>
        </w:rPr>
        <w:t xml:space="preserve">updated </w:t>
      </w:r>
      <w:r w:rsidR="00E97E1C">
        <w:rPr>
          <w:szCs w:val="22"/>
        </w:rPr>
        <w:t>aggregated holdings (</w:t>
      </w:r>
      <w:r>
        <w:rPr>
          <w:szCs w:val="22"/>
        </w:rPr>
        <w:t>Section</w:t>
      </w:r>
      <w:r w:rsidR="00F44B31">
        <w:rPr>
          <w:szCs w:val="22"/>
        </w:rPr>
        <w:t xml:space="preserve"> </w:t>
      </w:r>
      <w:r w:rsidR="00F44B31">
        <w:rPr>
          <w:szCs w:val="22"/>
        </w:rPr>
        <w:fldChar w:fldCharType="begin"/>
      </w:r>
      <w:r w:rsidR="00F44B31">
        <w:rPr>
          <w:szCs w:val="22"/>
        </w:rPr>
        <w:instrText xml:space="preserve"> REF _Ref3210727 \r \h </w:instrText>
      </w:r>
      <w:r w:rsidR="00F44B31">
        <w:rPr>
          <w:szCs w:val="22"/>
        </w:rPr>
        <w:fldChar w:fldCharType="separate"/>
      </w:r>
      <w:r w:rsidR="00F44B31">
        <w:rPr>
          <w:szCs w:val="22"/>
        </w:rPr>
        <w:t>3</w:t>
      </w:r>
      <w:r w:rsidR="00F44B31">
        <w:rPr>
          <w:szCs w:val="22"/>
        </w:rPr>
        <w:fldChar w:fldCharType="end"/>
      </w:r>
      <w:bookmarkStart w:id="2" w:name="_Hlk3558750"/>
      <w:r w:rsidR="00E97E1C">
        <w:rPr>
          <w:szCs w:val="22"/>
        </w:rPr>
        <w:t>)</w:t>
      </w:r>
      <w:r w:rsidR="00A834B7">
        <w:rPr>
          <w:szCs w:val="22"/>
        </w:rPr>
        <w:t xml:space="preserve"> </w:t>
      </w:r>
      <w:bookmarkStart w:id="3" w:name="_Hlk3558717"/>
      <w:r w:rsidRPr="0017770A" w:rsidR="00A834B7">
        <w:t xml:space="preserve">to supplement the descriptions of those processes in the </w:t>
      </w:r>
      <w:r w:rsidRPr="0017770A" w:rsidR="00A834B7">
        <w:rPr>
          <w:iCs/>
        </w:rPr>
        <w:t>Initial 39 GHz Reconfiguration Public Notice</w:t>
      </w:r>
      <w:bookmarkEnd w:id="2"/>
      <w:r>
        <w:rPr>
          <w:szCs w:val="22"/>
        </w:rPr>
        <w:t>.</w:t>
      </w:r>
      <w:bookmarkStart w:id="4" w:name="_Hlk3558791"/>
      <w:r>
        <w:rPr>
          <w:rStyle w:val="FootnoteReference"/>
          <w:szCs w:val="22"/>
        </w:rPr>
        <w:footnoteReference w:id="3"/>
      </w:r>
      <w:bookmarkEnd w:id="4"/>
      <w:r>
        <w:rPr>
          <w:szCs w:val="22"/>
        </w:rPr>
        <w:t xml:space="preserve">  </w:t>
      </w:r>
      <w:bookmarkEnd w:id="3"/>
      <w:r w:rsidRPr="00DD490A" w:rsidR="00DD490A">
        <w:rPr>
          <w:szCs w:val="22"/>
        </w:rPr>
        <w:t xml:space="preserve">The examples that appear in this document include fictitious data and are for illustrative purposes only.  </w:t>
      </w:r>
    </w:p>
    <w:p w:rsidR="009E2BCE" w:rsidP="009E2BCE" w14:paraId="12CDE43A" w14:textId="2DC2AB74">
      <w:pPr>
        <w:pStyle w:val="BodyTextFirstIndent"/>
        <w:spacing w:line="240" w:lineRule="auto"/>
        <w:ind w:firstLine="0"/>
        <w:rPr>
          <w:rFonts w:ascii="Times New Roman" w:hAnsi="Times New Roman"/>
        </w:rPr>
      </w:pPr>
      <w:r>
        <w:rPr>
          <w:rFonts w:ascii="Times New Roman" w:hAnsi="Times New Roman"/>
        </w:rPr>
        <w:t xml:space="preserve"> </w:t>
      </w:r>
    </w:p>
    <w:p w:rsidR="009E2BCE" w:rsidP="000539C9" w14:paraId="7FB942A8" w14:textId="5D6388BF">
      <w:pPr>
        <w:pStyle w:val="AttachmentHeading3"/>
        <w:numPr>
          <w:ilvl w:val="2"/>
          <w:numId w:val="3"/>
        </w:numPr>
      </w:pPr>
      <w:bookmarkStart w:id="6" w:name="_Ref406491189"/>
      <w:r>
        <w:t>Alternative Reconfiguration</w:t>
      </w:r>
      <w:bookmarkEnd w:id="6"/>
      <w:r w:rsidR="00A73BD5">
        <w:t>s Proposed by Incumbents</w:t>
      </w:r>
    </w:p>
    <w:p w:rsidR="0063312C" w:rsidP="0017770A" w14:paraId="65E260B9" w14:textId="31ACD7E9">
      <w:pPr>
        <w:pStyle w:val="ListParagraph"/>
        <w:spacing w:after="120" w:line="240" w:lineRule="auto"/>
        <w:ind w:left="0"/>
      </w:pPr>
      <w:r w:rsidRPr="00235657">
        <w:t>If the incumbent elects to modify its holdings according to an alternative reconfiguration</w:t>
      </w:r>
      <w:r w:rsidR="00DE6EE5">
        <w:t xml:space="preserve"> under Option 2</w:t>
      </w:r>
      <w:r w:rsidRPr="00235657">
        <w:t>, it submits its alternative reconfiguration as follows:</w:t>
      </w:r>
    </w:p>
    <w:p w:rsidR="0063312C" w:rsidRPr="00235657" w:rsidP="0017770A" w14:paraId="0452FFDE" w14:textId="77777777">
      <w:pPr>
        <w:pStyle w:val="ListParagraph"/>
        <w:spacing w:after="120" w:line="240" w:lineRule="auto"/>
        <w:ind w:left="0"/>
      </w:pPr>
    </w:p>
    <w:p w:rsidR="0063312C" w:rsidRPr="00235657" w:rsidP="0017770A" w14:paraId="38A5925E" w14:textId="6A4D0F15">
      <w:pPr>
        <w:pStyle w:val="ListParagraph"/>
        <w:spacing w:after="120" w:line="240" w:lineRule="auto"/>
        <w:ind w:left="0"/>
      </w:pPr>
      <w:r w:rsidRPr="00235657">
        <w:t xml:space="preserve">First, for all but one of the PEAs where it has </w:t>
      </w:r>
      <w:r w:rsidR="007F0D95">
        <w:t>weighted MHz-pops</w:t>
      </w:r>
      <w:r w:rsidRPr="00235657" w:rsidR="007F0D95">
        <w:t xml:space="preserve"> </w:t>
      </w:r>
      <w:r w:rsidRPr="00235657">
        <w:t>quantities</w:t>
      </w:r>
      <w:r w:rsidR="007F0D95">
        <w:t xml:space="preserve"> equivalent to a partial </w:t>
      </w:r>
      <w:r w:rsidR="00BB2D96">
        <w:t>block</w:t>
      </w:r>
      <w:r w:rsidRPr="00235657">
        <w:t xml:space="preserve">, the incumbent chooses to round its </w:t>
      </w:r>
      <w:r w:rsidR="007F0D95">
        <w:t>updated</w:t>
      </w:r>
      <w:r w:rsidRPr="00235657" w:rsidR="007F0D95">
        <w:t xml:space="preserve"> </w:t>
      </w:r>
      <w:r w:rsidR="004A23DF">
        <w:t xml:space="preserve">partial </w:t>
      </w:r>
      <w:r w:rsidRPr="00235657">
        <w:t xml:space="preserve">holdings in the PEA </w:t>
      </w:r>
      <w:r w:rsidRPr="0063312C">
        <w:rPr>
          <w:i/>
        </w:rPr>
        <w:t>either</w:t>
      </w:r>
      <w:r w:rsidRPr="00235657">
        <w:t xml:space="preserve"> down to the greatest integer less than or equal to the incumbent’s </w:t>
      </w:r>
      <w:r w:rsidR="00DF6A55">
        <w:t>updated</w:t>
      </w:r>
      <w:r w:rsidRPr="00235657">
        <w:t xml:space="preserve"> holdings </w:t>
      </w:r>
      <w:r w:rsidRPr="0063312C">
        <w:rPr>
          <w:i/>
        </w:rPr>
        <w:t>or</w:t>
      </w:r>
      <w:r w:rsidRPr="00235657">
        <w:t xml:space="preserve"> up to the least integer greater than or equal to the incumbent’s </w:t>
      </w:r>
      <w:r w:rsidR="00DF6A55">
        <w:t>updated</w:t>
      </w:r>
      <w:r w:rsidRPr="00235657">
        <w:t xml:space="preserve"> holdings.  For example, if the incumbent’s </w:t>
      </w:r>
      <w:r w:rsidR="00DF6A55">
        <w:t>updated</w:t>
      </w:r>
      <w:r w:rsidRPr="00235657">
        <w:t xml:space="preserve"> holdings are 2.5674 blocks in a PEA, the incumbent can either round the quantity down to 2 blocks or round it up to 3 blocks.</w:t>
      </w:r>
    </w:p>
    <w:p w:rsidR="0063312C" w:rsidP="0017770A" w14:paraId="3B9FD9AD" w14:textId="77777777">
      <w:pPr>
        <w:pStyle w:val="ListParagraph"/>
        <w:spacing w:after="120" w:line="240" w:lineRule="auto"/>
        <w:ind w:left="0"/>
      </w:pPr>
    </w:p>
    <w:p w:rsidR="0063312C" w:rsidP="0017770A" w14:paraId="42ECEEF9" w14:textId="7C24764C">
      <w:pPr>
        <w:pStyle w:val="ListParagraph"/>
        <w:spacing w:after="120" w:line="240" w:lineRule="auto"/>
        <w:ind w:left="0"/>
      </w:pPr>
      <w:r w:rsidRPr="00235657">
        <w:t xml:space="preserve">Once the incumbent has rounded </w:t>
      </w:r>
      <w:r w:rsidR="004A23DF">
        <w:t xml:space="preserve">its partial holdings </w:t>
      </w:r>
      <w:r w:rsidRPr="00235657">
        <w:t xml:space="preserve">down or up </w:t>
      </w:r>
      <w:r w:rsidR="004A23DF">
        <w:t xml:space="preserve">to the nearest integer </w:t>
      </w:r>
      <w:r w:rsidRPr="00235657">
        <w:t>in all but one of the PEAs</w:t>
      </w:r>
      <w:r w:rsidR="00F70ED3">
        <w:t xml:space="preserve"> in which it has partial quantities</w:t>
      </w:r>
      <w:r w:rsidRPr="00235657">
        <w:t xml:space="preserve">, the system </w:t>
      </w:r>
      <w:r w:rsidR="004A23DF">
        <w:t xml:space="preserve">will </w:t>
      </w:r>
      <w:r w:rsidRPr="00235657">
        <w:t xml:space="preserve">calculate the weighted MHz-pops for the remaining PEA.  Specifically, if </w:t>
      </w:r>
      <m:oMath>
        <m:r>
          <w:rPr>
            <w:rFonts w:ascii="Cambria Math" w:hAnsi="Cambria Math"/>
          </w:rPr>
          <m:t>j</m:t>
        </m:r>
      </m:oMath>
      <w:r w:rsidRPr="0063312C">
        <w:rPr>
          <w:rFonts w:eastAsiaTheme="minorEastAsia"/>
        </w:rPr>
        <w:t xml:space="preserve"> is the remaining PEA, the system will calculate the weighted MHz-pops for PEA </w:t>
      </w:r>
      <m:oMath>
        <m:r>
          <w:rPr>
            <w:rFonts w:ascii="Cambria Math" w:hAnsi="Cambria Math" w:eastAsiaTheme="minorEastAsia"/>
          </w:rPr>
          <m:t>j</m:t>
        </m:r>
      </m:oMath>
      <w:r w:rsidRPr="00235657">
        <w:t xml:space="preserve"> as follows:</w:t>
      </w:r>
    </w:p>
    <w:p w:rsidR="0063312C" w:rsidRPr="00235657" w:rsidP="0063312C" w14:paraId="58074BD7" w14:textId="77777777">
      <w:pPr>
        <w:pStyle w:val="ListParagraph"/>
        <w:ind w:left="0"/>
      </w:pPr>
    </w:p>
    <w:p w:rsidR="0063312C" w:rsidRPr="00235657" w:rsidP="0063312C" w14:paraId="1698A399" w14:textId="77777777">
      <w:pPr>
        <w:pStyle w:val="ListParagraph"/>
        <w:ind w:left="0"/>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45pt;height:36.35pt" o:oleicon="f" o:ole="">
            <v:imagedata r:id="rId5" o:title=""/>
          </v:shape>
          <o:OLEObject Type="Embed" ProgID="Equation.DSMT4" ShapeID="_x0000_i1025" DrawAspect="Content" ObjectID="_1614610359" r:id="rId6"/>
        </w:object>
      </w:r>
    </w:p>
    <w:p w:rsidR="0063312C" w:rsidRPr="00235657" w:rsidP="0063312C" w14:paraId="78C8CF96" w14:textId="77777777">
      <w:pPr>
        <w:pStyle w:val="ListParagraph"/>
        <w:ind w:left="0"/>
      </w:pPr>
      <w:r w:rsidRPr="00235657">
        <w:t>Where:</w:t>
      </w:r>
    </w:p>
    <w:p w:rsidR="0063312C" w:rsidRPr="00235657" w:rsidP="0063312C" w14:paraId="4AD0B7BC" w14:textId="57E466D4">
      <w:pPr>
        <w:pStyle w:val="ListParagraph"/>
        <w:ind w:left="0" w:firstLine="720"/>
      </w:pPr>
      <w:r>
        <w:rPr>
          <w:position w:val="-12"/>
        </w:rPr>
        <w:object>
          <v:shape id="_x0000_i1026" type="#_x0000_t75" style="width:14.4pt;height:21.95pt" o:oleicon="f" o:ole="">
            <v:imagedata r:id="rId7" o:title=""/>
          </v:shape>
          <o:OLEObject Type="Embed" ProgID="Equation.DSMT4" ShapeID="_x0000_i1026" DrawAspect="Content" ObjectID="_1614610360" r:id="rId8"/>
        </w:object>
      </w:r>
      <w:r w:rsidRPr="00235657">
        <w:t xml:space="preserve"> denotes the incumbent’s </w:t>
      </w:r>
      <w:r w:rsidR="00DF6A55">
        <w:t>updated</w:t>
      </w:r>
      <w:r w:rsidRPr="00235657">
        <w:t xml:space="preserve"> weighted MHz-pops</w:t>
      </w:r>
      <w:r w:rsidR="0032631C">
        <w:t xml:space="preserve"> </w:t>
      </w:r>
      <w:r w:rsidRPr="00235657">
        <w:t xml:space="preserve">in PEA </w:t>
      </w:r>
      <m:oMath>
        <m:r>
          <w:rPr>
            <w:rFonts w:ascii="Cambria Math" w:hAnsi="Cambria Math"/>
          </w:rPr>
          <m:t>i</m:t>
        </m:r>
      </m:oMath>
      <w:r w:rsidRPr="00235657">
        <w:t>.</w:t>
      </w:r>
    </w:p>
    <w:p w:rsidR="0063312C" w:rsidRPr="00235657" w:rsidP="0063312C" w14:paraId="44258615" w14:textId="56875313">
      <w:pPr>
        <w:pStyle w:val="ListParagraph"/>
        <w:ind w:left="0" w:firstLine="720"/>
      </w:pPr>
      <w:r>
        <w:rPr>
          <w:position w:val="-12"/>
        </w:rPr>
        <w:object>
          <v:shape id="_x0000_i1027" type="#_x0000_t75" style="width:14.4pt;height:21.95pt" o:oleicon="f" o:ole="">
            <v:imagedata r:id="rId9" o:title=""/>
          </v:shape>
          <o:OLEObject Type="Embed" ProgID="Equation.DSMT4" ShapeID="_x0000_i1027" DrawAspect="Content" ObjectID="_1614610361" r:id="rId10"/>
        </w:object>
      </w:r>
      <w:r w:rsidRPr="00235657">
        <w:t xml:space="preserve"> denotes the weighted MHz-pops of PEA </w:t>
      </w:r>
      <m:oMath>
        <m:r>
          <w:rPr>
            <w:rFonts w:ascii="Cambria Math" w:hAnsi="Cambria Math"/>
          </w:rPr>
          <m:t>i</m:t>
        </m:r>
      </m:oMath>
      <w:r w:rsidR="00B14EBE">
        <w:t xml:space="preserve"> per block</w:t>
      </w:r>
      <w:r w:rsidR="0032631C">
        <w:t>.</w:t>
      </w:r>
    </w:p>
    <w:p w:rsidR="0063312C" w:rsidRPr="0063312C" w:rsidP="0063312C" w14:paraId="6E95A4D9" w14:textId="77777777">
      <w:pPr>
        <w:pStyle w:val="ListParagraph"/>
        <w:ind w:left="0" w:firstLine="720"/>
        <w:rPr>
          <w:rFonts w:eastAsiaTheme="minorEastAsia"/>
        </w:rPr>
      </w:pPr>
      <w:r>
        <w:rPr>
          <w:position w:val="-12"/>
        </w:rPr>
        <w:object>
          <v:shape id="_x0000_i1028" type="#_x0000_t75" style="width:7.55pt;height:21.95pt" o:oleicon="f" o:ole="">
            <v:imagedata r:id="rId11" o:title=""/>
          </v:shape>
          <o:OLEObject Type="Embed" ProgID="Equation.DSMT4" ShapeID="_x0000_i1028" DrawAspect="Content" ObjectID="_1614610362" r:id="rId12"/>
        </w:object>
      </w:r>
      <w:r w:rsidRPr="00235657">
        <w:t xml:space="preserve"> denotes the number of blocks in PEA </w:t>
      </w:r>
      <m:oMath>
        <m:r>
          <w:rPr>
            <w:rFonts w:ascii="Cambria Math" w:hAnsi="Cambria Math"/>
          </w:rPr>
          <m:t>i</m:t>
        </m:r>
      </m:oMath>
      <w:r w:rsidRPr="0063312C">
        <w:rPr>
          <w:rFonts w:eastAsiaTheme="minorEastAsia"/>
        </w:rPr>
        <w:t xml:space="preserve"> in the alternative reconfiguration.</w:t>
      </w:r>
    </w:p>
    <w:p w:rsidR="0063312C" w:rsidRPr="00235657" w:rsidP="0063312C" w14:paraId="7DE21522" w14:textId="77777777">
      <w:pPr>
        <w:pStyle w:val="ListParagraph"/>
        <w:ind w:left="0" w:firstLine="720"/>
      </w:pPr>
      <w:r w:rsidRPr="0063312C">
        <w:rPr>
          <w:rFonts w:eastAsiaTheme="minorEastAsia"/>
        </w:rPr>
        <w:t xml:space="preserve">(Note that </w:t>
      </w:r>
      <w:r>
        <w:rPr>
          <w:position w:val="-12"/>
        </w:rPr>
        <w:object>
          <v:shape id="_x0000_i1029" type="#_x0000_t75" style="width:7.55pt;height:21.95pt" o:oleicon="f" o:ole="">
            <v:imagedata r:id="rId11" o:title=""/>
          </v:shape>
          <o:OLEObject Type="Embed" ProgID="Equation.DSMT4" ShapeID="_x0000_i1029" DrawAspect="Content" ObjectID="_1614610363" r:id="rId13"/>
        </w:object>
      </w:r>
      <w:r w:rsidRPr="00235657">
        <w:t xml:space="preserve">is defined for all </w:t>
      </w:r>
      <w:r>
        <w:rPr>
          <w:position w:val="-10"/>
        </w:rPr>
        <w:object>
          <v:shape id="_x0000_i1030" type="#_x0000_t75" style="width:28.45pt;height:14.4pt" o:oleicon="f" o:ole="">
            <v:imagedata r:id="rId14" o:title=""/>
          </v:shape>
          <o:OLEObject Type="Embed" ProgID="Equation.DSMT4" ShapeID="_x0000_i1030" DrawAspect="Content" ObjectID="_1614610364" r:id="rId15"/>
        </w:object>
      </w:r>
      <w:r w:rsidRPr="00235657">
        <w:t xml:space="preserve"> and is an integer for all those PEAs.)</w:t>
      </w:r>
    </w:p>
    <w:p w:rsidR="0063312C" w:rsidRPr="00235657" w:rsidP="0063312C" w14:paraId="6551C6BD" w14:textId="77777777">
      <w:pPr>
        <w:pStyle w:val="ListParagraph"/>
        <w:ind w:left="0"/>
      </w:pPr>
    </w:p>
    <w:p w:rsidR="0063312C" w:rsidRPr="0063312C" w:rsidP="0017770A" w14:paraId="0D423793" w14:textId="119CD0EB">
      <w:pPr>
        <w:pStyle w:val="ListParagraph"/>
        <w:spacing w:after="120" w:line="240" w:lineRule="auto"/>
        <w:ind w:left="0"/>
        <w:rPr>
          <w:sz w:val="24"/>
          <w:szCs w:val="24"/>
        </w:rPr>
      </w:pPr>
      <w:r w:rsidRPr="00235657">
        <w:t xml:space="preserve">In what follows, we use </w:t>
      </w:r>
      <w:r>
        <w:rPr>
          <w:position w:val="-14"/>
        </w:rPr>
        <w:object>
          <v:shape id="_x0000_i1031" type="#_x0000_t75" style="width:21.95pt;height:21.95pt" o:oleicon="f" o:ole="">
            <v:imagedata r:id="rId16" o:title=""/>
          </v:shape>
          <o:OLEObject Type="Embed" ProgID="Equation.DSMT4" ShapeID="_x0000_i1031" DrawAspect="Content" ObjectID="_1614610365" r:id="rId17"/>
        </w:object>
      </w:r>
      <w:r w:rsidRPr="00235657">
        <w:t xml:space="preserve"> to denote the greate</w:t>
      </w:r>
      <w:r w:rsidR="00F70ED3">
        <w:t>st</w:t>
      </w:r>
      <w:r w:rsidRPr="00235657">
        <w:t xml:space="preserve"> integer that is less than or equal to </w:t>
      </w:r>
      <w:r>
        <w:rPr>
          <w:position w:val="-6"/>
        </w:rPr>
        <w:object>
          <v:shape id="_x0000_i1032" type="#_x0000_t75" style="width:7.55pt;height:7.55pt" o:oleicon="f" o:ole="">
            <v:imagedata r:id="rId18" o:title=""/>
          </v:shape>
          <o:OLEObject Type="Embed" ProgID="Equation.DSMT4" ShapeID="_x0000_i1032" DrawAspect="Content" ObjectID="_1614610366" r:id="rId19"/>
        </w:object>
      </w:r>
      <w:r w:rsidRPr="00235657">
        <w:t xml:space="preserve"> and </w:t>
      </w:r>
      <w:r>
        <w:rPr>
          <w:position w:val="-14"/>
        </w:rPr>
        <w:object>
          <v:shape id="_x0000_i1033" type="#_x0000_t75" style="width:21.95pt;height:21.95pt" o:oleicon="f" o:ole="">
            <v:imagedata r:id="rId20" o:title=""/>
          </v:shape>
          <o:OLEObject Type="Embed" ProgID="Equation.DSMT4" ShapeID="_x0000_i1033" DrawAspect="Content" ObjectID="_1614610367" r:id="rId21"/>
        </w:object>
      </w:r>
      <w:r w:rsidRPr="00235657">
        <w:t xml:space="preserve"> to denote the least integer that is greater than or equal to </w:t>
      </w:r>
      <w:r>
        <w:rPr>
          <w:position w:val="-6"/>
        </w:rPr>
        <w:object>
          <v:shape id="_x0000_i1034" type="#_x0000_t75" style="width:7.55pt;height:7.55pt" o:oleicon="f" o:ole="">
            <v:imagedata r:id="rId18" o:title=""/>
          </v:shape>
          <o:OLEObject Type="Embed" ProgID="Equation.DSMT4" ShapeID="_x0000_i1034" DrawAspect="Content" ObjectID="_1614610368" r:id="rId22"/>
        </w:object>
      </w:r>
      <w:r w:rsidRPr="00235657">
        <w:t>.</w:t>
      </w:r>
      <w:r w:rsidR="00F033D5">
        <w:t xml:space="preserve">  Thus, </w:t>
      </w:r>
      <w:r>
        <w:rPr>
          <w:position w:val="-16"/>
        </w:rPr>
        <w:object>
          <v:shape id="_x0000_i1035" type="#_x0000_t75" style="width:43.55pt;height:21.95pt" o:oleicon="f" o:ole="">
            <v:imagedata r:id="rId23" o:title=""/>
          </v:shape>
          <o:OLEObject Type="Embed" ProgID="Equation.DSMT4" ShapeID="_x0000_i1035" DrawAspect="Content" ObjectID="_1614610369" r:id="rId24"/>
        </w:object>
      </w:r>
      <w:r w:rsidR="00F033D5">
        <w:t xml:space="preserve"> is the greatest integer less than or equal to the incumbent’s updated holdings, and </w:t>
      </w:r>
      <w:r>
        <w:rPr>
          <w:position w:val="-16"/>
        </w:rPr>
        <w:object>
          <v:shape id="_x0000_i1036" type="#_x0000_t75" style="width:43.55pt;height:21.95pt" o:oleicon="f" o:ole="">
            <v:imagedata r:id="rId25" o:title=""/>
          </v:shape>
          <o:OLEObject Type="Embed" ProgID="Equation.DSMT4" ShapeID="_x0000_i1036" DrawAspect="Content" ObjectID="_1614610370" r:id="rId26"/>
        </w:object>
      </w:r>
      <w:r w:rsidR="00F033D5">
        <w:t xml:space="preserve"> is the least integer greater than or equal to the incumbent’s updated holdings.</w:t>
      </w:r>
    </w:p>
    <w:p w:rsidR="0063312C" w:rsidRPr="00235657" w:rsidP="0017770A" w14:paraId="405ABFFE" w14:textId="77777777">
      <w:pPr>
        <w:pStyle w:val="ListParagraph"/>
        <w:spacing w:after="120" w:line="240" w:lineRule="auto"/>
        <w:ind w:left="0"/>
      </w:pPr>
    </w:p>
    <w:p w:rsidR="0063312C" w:rsidRPr="00F55D77" w:rsidP="0017770A" w14:paraId="14554EC7" w14:textId="738E66A6">
      <w:pPr>
        <w:pStyle w:val="ListParagraph"/>
        <w:spacing w:after="120" w:line="240" w:lineRule="auto"/>
        <w:ind w:left="0"/>
        <w:rPr>
          <w:rFonts w:eastAsiaTheme="minorEastAsia"/>
        </w:rPr>
      </w:pPr>
      <w:r w:rsidRPr="00235657">
        <w:t xml:space="preserve">The </w:t>
      </w:r>
      <w:r w:rsidR="00D4447D">
        <w:t xml:space="preserve">incumbent’s </w:t>
      </w:r>
      <w:r w:rsidRPr="00235657">
        <w:t xml:space="preserve">weighted MHz-pops for PEA </w:t>
      </w:r>
      <m:oMath>
        <m:r>
          <w:rPr>
            <w:rFonts w:ascii="Cambria Math" w:hAnsi="Cambria Math"/>
          </w:rPr>
          <m:t>j</m:t>
        </m:r>
      </m:oMath>
      <w:r w:rsidRPr="0063312C">
        <w:rPr>
          <w:rFonts w:eastAsiaTheme="minorEastAsia"/>
        </w:rPr>
        <w:t xml:space="preserve"> that is calculated according to the equation above is valid if:</w:t>
      </w:r>
    </w:p>
    <w:p w:rsidR="0063312C" w:rsidRPr="00235657" w:rsidP="0063312C" w14:paraId="27BBDC5F" w14:textId="77777777">
      <w:pPr>
        <w:pStyle w:val="ListParagraph"/>
        <w:ind w:left="0"/>
        <w:jc w:val="center"/>
      </w:pPr>
      <w:r>
        <w:object>
          <v:shape id="_x0000_i1037" type="#_x0000_t75" style="width:93.6pt;height:43.55pt" o:oleicon="f" o:ole="">
            <v:imagedata r:id="rId27" o:title=""/>
          </v:shape>
          <o:OLEObject Type="Embed" ProgID="Equation.DSMT4" ShapeID="_x0000_i1037" DrawAspect="Content" ObjectID="_1614610371" r:id="rId28"/>
        </w:object>
      </w:r>
    </w:p>
    <w:p w:rsidR="0063312C" w:rsidRPr="00235657" w:rsidP="0063312C" w14:paraId="6D01E534" w14:textId="1F9B4B2A">
      <w:pPr>
        <w:pStyle w:val="ListParagraph"/>
        <w:ind w:left="0"/>
      </w:pPr>
      <w:r w:rsidRPr="00235657">
        <w:t xml:space="preserve">If the calculated </w:t>
      </w:r>
      <w:r>
        <w:rPr>
          <w:position w:val="-14"/>
        </w:rPr>
        <w:object>
          <v:shape id="_x0000_i1038" type="#_x0000_t75" style="width:14.4pt;height:21.95pt" o:oleicon="f" o:ole="">
            <v:imagedata r:id="rId29" o:title=""/>
          </v:shape>
          <o:OLEObject Type="Embed" ProgID="Equation.DSMT4" ShapeID="_x0000_i1038" DrawAspect="Content" ObjectID="_1614610372" r:id="rId30"/>
        </w:object>
      </w:r>
      <w:r w:rsidRPr="00235657">
        <w:t xml:space="preserve"> is valid, the incumbent’s number of blocks for PEA </w:t>
      </w:r>
      <m:oMath>
        <m:r>
          <w:rPr>
            <w:rFonts w:ascii="Cambria Math" w:hAnsi="Cambria Math"/>
          </w:rPr>
          <m:t>j</m:t>
        </m:r>
      </m:oMath>
      <w:r w:rsidRPr="0063312C">
        <w:rPr>
          <w:rFonts w:eastAsiaTheme="minorEastAsia"/>
        </w:rPr>
        <w:t xml:space="preserve"> in the alternative reconfiguration is calculated as </w:t>
      </w:r>
      <w:r>
        <w:rPr>
          <w:position w:val="-14"/>
        </w:rPr>
        <w:object>
          <v:shape id="_x0000_i1039" type="#_x0000_t75" style="width:36.35pt;height:21.95pt" o:oleicon="f" o:ole="">
            <v:imagedata r:id="rId31" o:title=""/>
          </v:shape>
          <o:OLEObject Type="Embed" ProgID="Equation.DSMT4" ShapeID="_x0000_i1039" DrawAspect="Content" ObjectID="_1614610373" r:id="rId32"/>
        </w:object>
      </w:r>
      <w:r w:rsidRPr="00235657">
        <w:t xml:space="preserve">, rounded to 4 decimal places.  Then, the incumbent can choose whether to keep or relinquish the partial block in PEA </w:t>
      </w:r>
      <m:oMath>
        <m:r>
          <w:rPr>
            <w:rFonts w:ascii="Cambria Math" w:hAnsi="Cambria Math"/>
          </w:rPr>
          <m:t>j</m:t>
        </m:r>
      </m:oMath>
      <w:r w:rsidRPr="0063312C">
        <w:rPr>
          <w:rFonts w:eastAsiaTheme="minorEastAsia"/>
        </w:rPr>
        <w:t xml:space="preserve"> (if any) and then submit its alternative reconfiguration.</w:t>
      </w:r>
      <w:r w:rsidRPr="00235657">
        <w:t xml:space="preserve">  As in the case of the FCC-proposed reconfiguration, if the partial block exceeds the </w:t>
      </w:r>
      <w:r w:rsidRPr="000D1E4E">
        <w:rPr>
          <w:i/>
        </w:rPr>
        <w:t>de minimis</w:t>
      </w:r>
      <w:r w:rsidRPr="00235657">
        <w:t xml:space="preserve"> threshold, then the incumbent can either keep a full block or relinquish the partial.</w:t>
      </w:r>
    </w:p>
    <w:p w:rsidR="0063312C" w:rsidP="0063312C" w14:paraId="234881E5" w14:textId="77777777">
      <w:pPr>
        <w:pStyle w:val="ListParagraph"/>
        <w:ind w:left="0"/>
      </w:pPr>
    </w:p>
    <w:p w:rsidR="0063312C" w:rsidRPr="00235657" w:rsidP="0063312C" w14:paraId="7CC2DAAC" w14:textId="2AF565A0">
      <w:pPr>
        <w:pStyle w:val="ListParagraph"/>
        <w:ind w:left="0"/>
      </w:pPr>
      <w:r w:rsidRPr="00235657">
        <w:t xml:space="preserve">If the calculated </w:t>
      </w:r>
      <w:r>
        <w:rPr>
          <w:position w:val="-14"/>
        </w:rPr>
        <w:object>
          <v:shape id="_x0000_i1040" type="#_x0000_t75" style="width:14.4pt;height:21.95pt" o:oleicon="f" o:ole="">
            <v:imagedata r:id="rId29" o:title=""/>
          </v:shape>
          <o:OLEObject Type="Embed" ProgID="Equation.DSMT4" ShapeID="_x0000_i1040" DrawAspect="Content" ObjectID="_1614610374" r:id="rId33"/>
        </w:object>
      </w:r>
      <w:r w:rsidRPr="00235657">
        <w:t xml:space="preserve"> is not valid, this will be due to one of the following reasons:</w:t>
      </w:r>
    </w:p>
    <w:p w:rsidR="0063312C" w:rsidRPr="00235657" w:rsidP="0063312C" w14:paraId="5A4BF025" w14:textId="7571B83D">
      <w:pPr>
        <w:pStyle w:val="ListParagraph"/>
        <w:ind w:left="0"/>
      </w:pPr>
      <w:r w:rsidRPr="00235657">
        <w:t xml:space="preserve">Case 1: </w:t>
      </w:r>
      <w:r>
        <w:rPr>
          <w:position w:val="-34"/>
        </w:rPr>
        <w:object>
          <v:shape id="_x0000_i1041" type="#_x0000_t75" style="width:57.6pt;height:43.55pt" o:oleicon="f" o:ole="">
            <v:imagedata r:id="rId34" o:title=""/>
          </v:shape>
          <o:OLEObject Type="Embed" ProgID="Equation.DSMT4" ShapeID="_x0000_i1041" DrawAspect="Content" ObjectID="_1614610375" r:id="rId35"/>
        </w:object>
      </w:r>
      <w:r w:rsidRPr="00235657">
        <w:t>.  This means that, based on the incumbent’s choices so far, its total weighted MHz-pops across all PEAs would exce</w:t>
      </w:r>
      <w:r w:rsidR="00AA6E18">
        <w:t>ed</w:t>
      </w:r>
      <w:r w:rsidRPr="00235657">
        <w:t xml:space="preserve"> its </w:t>
      </w:r>
      <w:r w:rsidR="00DF6A55">
        <w:t>updated</w:t>
      </w:r>
      <w:r w:rsidRPr="00235657">
        <w:t xml:space="preserve"> total weighted MHz-pops across all PEAs.  In this case, the incumbent needs to round down (instead o</w:t>
      </w:r>
      <w:r w:rsidR="006018E4">
        <w:t>f</w:t>
      </w:r>
      <w:r w:rsidRPr="00235657">
        <w:t xml:space="preserve"> up) in some PEAs in order to get a valid alternative reconfiguration.</w:t>
      </w:r>
    </w:p>
    <w:p w:rsidR="0063312C" w:rsidP="0063312C" w14:paraId="2E48986E" w14:textId="04E9049A">
      <w:pPr>
        <w:pStyle w:val="ListParagraph"/>
        <w:ind w:left="0"/>
      </w:pPr>
      <w:r w:rsidRPr="00235657">
        <w:t xml:space="preserve">Case 2: </w:t>
      </w:r>
      <w:r>
        <w:rPr>
          <w:position w:val="-34"/>
        </w:rPr>
        <w:object>
          <v:shape id="_x0000_i1042" type="#_x0000_t75" style="width:57.6pt;height:43.55pt" o:oleicon="f" o:ole="">
            <v:imagedata r:id="rId36" o:title=""/>
          </v:shape>
          <o:OLEObject Type="Embed" ProgID="Equation.DSMT4" ShapeID="_x0000_i1042" DrawAspect="Content" ObjectID="_1614610376" r:id="rId37"/>
        </w:object>
      </w:r>
      <w:r w:rsidRPr="00235657">
        <w:t xml:space="preserve">.  This means that, based on the incumbent’s choices so far, the incumbent would </w:t>
      </w:r>
      <w:r w:rsidR="00DE6EE5">
        <w:t>not account for all of its</w:t>
      </w:r>
      <w:r w:rsidRPr="00235657">
        <w:t xml:space="preserve"> weighted MHz-pops in the alternative reconfiguration.  In this case, the incumbent needs to round up (instead of down) in some PEAs in order to get a valid alternative reconfiguration.</w:t>
      </w:r>
    </w:p>
    <w:p w:rsidR="0054178B" w:rsidP="0063312C" w14:paraId="452AFB58" w14:textId="02B0A926">
      <w:pPr>
        <w:pStyle w:val="ListParagraph"/>
        <w:ind w:left="0"/>
      </w:pPr>
    </w:p>
    <w:p w:rsidR="00EF45A9" w:rsidRPr="003568DC" w:rsidP="00EF45A9" w14:paraId="4B0D5709" w14:textId="1DDB35AD">
      <w:pPr>
        <w:pStyle w:val="Body"/>
      </w:pPr>
      <w:r w:rsidRPr="003568DC">
        <w:rPr>
          <w:b/>
          <w:u w:val="single"/>
        </w:rPr>
        <w:t>Example</w:t>
      </w:r>
      <w:r>
        <w:rPr>
          <w:b/>
          <w:u w:val="single"/>
        </w:rPr>
        <w:t xml:space="preserve"> 1</w:t>
      </w:r>
      <w:r w:rsidRPr="003568DC">
        <w:t xml:space="preserve">:  Consider an incumbent with </w:t>
      </w:r>
      <w:r w:rsidR="00DF6A55">
        <w:t>updated</w:t>
      </w:r>
      <w:r w:rsidRPr="003568DC">
        <w:t xml:space="preserve"> holdings in three PEAs </w:t>
      </w:r>
      <w:r w:rsidR="00AD6CF4">
        <w:t xml:space="preserve">that </w:t>
      </w:r>
      <w:r w:rsidRPr="003568DC">
        <w:t xml:space="preserve">has </w:t>
      </w:r>
      <w:r>
        <w:t xml:space="preserve">selected Option </w:t>
      </w:r>
      <w:r w:rsidR="00DD490A">
        <w:t>2</w:t>
      </w:r>
      <w:r w:rsidRPr="003568DC">
        <w:t xml:space="preserve">.  The weighted MHz-pops and the incumbent’s </w:t>
      </w:r>
      <w:r w:rsidR="00DF6A55">
        <w:t>updated</w:t>
      </w:r>
      <w:r w:rsidRPr="003568DC">
        <w:t xml:space="preserve"> holdings in each PEA are shown in the table below.</w:t>
      </w:r>
    </w:p>
    <w:tbl>
      <w:tblPr>
        <w:tblStyle w:val="TableGrid"/>
        <w:tblW w:w="0" w:type="auto"/>
        <w:tblInd w:w="535" w:type="dxa"/>
        <w:tblLook w:val="04A0"/>
      </w:tblPr>
      <w:tblGrid>
        <w:gridCol w:w="1080"/>
        <w:gridCol w:w="2634"/>
        <w:gridCol w:w="1739"/>
        <w:gridCol w:w="2207"/>
      </w:tblGrid>
      <w:tr w14:paraId="6ECAB57D" w14:textId="77777777" w:rsidTr="005C0F66">
        <w:tblPrEx>
          <w:tblW w:w="0" w:type="auto"/>
          <w:tblInd w:w="535" w:type="dxa"/>
          <w:tblLook w:val="04A0"/>
        </w:tblPrEx>
        <w:trPr>
          <w:cantSplit/>
          <w:trHeight w:val="347"/>
        </w:trPr>
        <w:tc>
          <w:tcPr>
            <w:tcW w:w="1080" w:type="dxa"/>
            <w:vMerge w:val="restart"/>
          </w:tcPr>
          <w:p w:rsidR="00DD490A" w:rsidRPr="003568DC" w:rsidP="00F55D77" w14:paraId="59D0D42D" w14:textId="77777777">
            <w:pPr>
              <w:pStyle w:val="Body"/>
              <w:jc w:val="center"/>
            </w:pPr>
            <w:r w:rsidRPr="003568DC">
              <w:t>PEA</w:t>
            </w:r>
          </w:p>
        </w:tc>
        <w:tc>
          <w:tcPr>
            <w:tcW w:w="2634" w:type="dxa"/>
            <w:vMerge w:val="restart"/>
          </w:tcPr>
          <w:p w:rsidR="00DD490A" w:rsidRPr="003568DC" w:rsidP="00F55D77" w14:paraId="3A1C8E01" w14:textId="09A9BAD9">
            <w:pPr>
              <w:pStyle w:val="Body"/>
              <w:jc w:val="center"/>
            </w:pPr>
            <w:r w:rsidRPr="003568DC">
              <w:t>PEA Weighted MHz-Pops</w:t>
            </w:r>
            <w:r>
              <w:t xml:space="preserve"> per Block</w:t>
            </w:r>
          </w:p>
        </w:tc>
        <w:tc>
          <w:tcPr>
            <w:tcW w:w="3946" w:type="dxa"/>
            <w:gridSpan w:val="2"/>
          </w:tcPr>
          <w:p w:rsidR="00DD490A" w:rsidRPr="003568DC" w:rsidP="00F55D77" w14:paraId="011DFC73" w14:textId="4F71D865">
            <w:pPr>
              <w:pStyle w:val="Body"/>
              <w:jc w:val="center"/>
            </w:pPr>
            <w:r>
              <w:t>Updated</w:t>
            </w:r>
            <w:r w:rsidRPr="003568DC">
              <w:t xml:space="preserve"> Holdings</w:t>
            </w:r>
          </w:p>
        </w:tc>
      </w:tr>
      <w:tr w14:paraId="49C9DC9E" w14:textId="77777777" w:rsidTr="005C0F66">
        <w:tblPrEx>
          <w:tblW w:w="0" w:type="auto"/>
          <w:tblInd w:w="535" w:type="dxa"/>
          <w:tblLook w:val="04A0"/>
        </w:tblPrEx>
        <w:trPr>
          <w:cantSplit/>
          <w:trHeight w:val="346"/>
        </w:trPr>
        <w:tc>
          <w:tcPr>
            <w:tcW w:w="1080" w:type="dxa"/>
            <w:vMerge/>
          </w:tcPr>
          <w:p w:rsidR="00DD490A" w:rsidRPr="003568DC" w:rsidP="00F55D77" w14:paraId="71A17C03" w14:textId="77777777">
            <w:pPr>
              <w:pStyle w:val="Body"/>
              <w:jc w:val="center"/>
            </w:pPr>
          </w:p>
        </w:tc>
        <w:tc>
          <w:tcPr>
            <w:tcW w:w="2634" w:type="dxa"/>
            <w:vMerge/>
          </w:tcPr>
          <w:p w:rsidR="00DD490A" w:rsidRPr="003568DC" w:rsidP="00F55D77" w14:paraId="5B1F65D1" w14:textId="77777777">
            <w:pPr>
              <w:pStyle w:val="Body"/>
              <w:jc w:val="center"/>
            </w:pPr>
          </w:p>
        </w:tc>
        <w:tc>
          <w:tcPr>
            <w:tcW w:w="1739" w:type="dxa"/>
          </w:tcPr>
          <w:p w:rsidR="00DD490A" w:rsidRPr="003568DC" w:rsidP="00F55D77" w14:paraId="5E91DDF6" w14:textId="20D18C85">
            <w:pPr>
              <w:pStyle w:val="Body"/>
              <w:jc w:val="center"/>
            </w:pPr>
            <w:r w:rsidRPr="003568DC">
              <w:t>Blocks</w:t>
            </w:r>
            <w:r w:rsidR="00806613">
              <w:t xml:space="preserve"> (rounded to 4 decimal places)</w:t>
            </w:r>
          </w:p>
        </w:tc>
        <w:tc>
          <w:tcPr>
            <w:tcW w:w="2207" w:type="dxa"/>
          </w:tcPr>
          <w:p w:rsidR="00DD490A" w:rsidRPr="003568DC" w:rsidP="00F55D77" w14:paraId="1CFD1ACF" w14:textId="77777777">
            <w:pPr>
              <w:pStyle w:val="Body"/>
              <w:jc w:val="center"/>
            </w:pPr>
            <w:r w:rsidRPr="003568DC">
              <w:t>Weighted MHz-Pops</w:t>
            </w:r>
          </w:p>
        </w:tc>
      </w:tr>
      <w:tr w14:paraId="44A82D30" w14:textId="77777777" w:rsidTr="005C0F66">
        <w:tblPrEx>
          <w:tblW w:w="0" w:type="auto"/>
          <w:tblInd w:w="535" w:type="dxa"/>
          <w:tblLook w:val="04A0"/>
        </w:tblPrEx>
        <w:trPr>
          <w:cantSplit/>
        </w:trPr>
        <w:tc>
          <w:tcPr>
            <w:tcW w:w="1080" w:type="dxa"/>
          </w:tcPr>
          <w:p w:rsidR="00DD490A" w:rsidRPr="003568DC" w:rsidP="00F55D77" w14:paraId="60217509" w14:textId="77777777">
            <w:pPr>
              <w:pStyle w:val="Body"/>
              <w:jc w:val="center"/>
            </w:pPr>
            <w:r w:rsidRPr="003568DC">
              <w:t>075</w:t>
            </w:r>
          </w:p>
        </w:tc>
        <w:tc>
          <w:tcPr>
            <w:tcW w:w="2634" w:type="dxa"/>
          </w:tcPr>
          <w:p w:rsidR="00DD490A" w:rsidRPr="003568DC" w:rsidP="00F55D77" w14:paraId="7E93B9BA" w14:textId="77777777">
            <w:pPr>
              <w:pStyle w:val="Body"/>
              <w:jc w:val="right"/>
            </w:pPr>
            <w:r w:rsidRPr="003568DC">
              <w:t>272,241,100</w:t>
            </w:r>
          </w:p>
        </w:tc>
        <w:tc>
          <w:tcPr>
            <w:tcW w:w="1739" w:type="dxa"/>
          </w:tcPr>
          <w:p w:rsidR="00DD490A" w:rsidRPr="003568DC" w:rsidP="00F55D77" w14:paraId="0448FE26" w14:textId="77777777">
            <w:pPr>
              <w:pStyle w:val="Body"/>
              <w:jc w:val="right"/>
            </w:pPr>
            <w:r w:rsidRPr="003568DC">
              <w:t>1.9020</w:t>
            </w:r>
          </w:p>
        </w:tc>
        <w:tc>
          <w:tcPr>
            <w:tcW w:w="2207" w:type="dxa"/>
          </w:tcPr>
          <w:p w:rsidR="00DD490A" w:rsidRPr="003568DC" w:rsidP="00F55D77" w14:paraId="7F4AA8BB" w14:textId="77777777">
            <w:pPr>
              <w:pStyle w:val="Body"/>
              <w:jc w:val="right"/>
            </w:pPr>
            <w:r w:rsidRPr="003568DC">
              <w:t>517,798,800.00</w:t>
            </w:r>
          </w:p>
        </w:tc>
      </w:tr>
      <w:tr w14:paraId="236FAC7D" w14:textId="77777777" w:rsidTr="005C0F66">
        <w:tblPrEx>
          <w:tblW w:w="0" w:type="auto"/>
          <w:tblInd w:w="535" w:type="dxa"/>
          <w:tblLook w:val="04A0"/>
        </w:tblPrEx>
        <w:trPr>
          <w:cantSplit/>
        </w:trPr>
        <w:tc>
          <w:tcPr>
            <w:tcW w:w="1080" w:type="dxa"/>
          </w:tcPr>
          <w:p w:rsidR="00DD490A" w:rsidRPr="003568DC" w:rsidP="00F55D77" w14:paraId="02DA61E2" w14:textId="77777777">
            <w:pPr>
              <w:pStyle w:val="Body"/>
              <w:jc w:val="center"/>
            </w:pPr>
            <w:r w:rsidRPr="003568DC">
              <w:t>300</w:t>
            </w:r>
          </w:p>
        </w:tc>
        <w:tc>
          <w:tcPr>
            <w:tcW w:w="2634" w:type="dxa"/>
            <w:vAlign w:val="bottom"/>
          </w:tcPr>
          <w:p w:rsidR="00DD490A" w:rsidRPr="003568DC" w:rsidP="00F55D77" w14:paraId="0EE9CD9B" w14:textId="77777777">
            <w:pPr>
              <w:pStyle w:val="Body"/>
              <w:jc w:val="right"/>
            </w:pPr>
            <w:r w:rsidRPr="003568DC">
              <w:t>14,437,600</w:t>
            </w:r>
          </w:p>
        </w:tc>
        <w:tc>
          <w:tcPr>
            <w:tcW w:w="1739" w:type="dxa"/>
          </w:tcPr>
          <w:p w:rsidR="00DD490A" w:rsidRPr="003568DC" w:rsidP="00F55D77" w14:paraId="3A81771F" w14:textId="77777777">
            <w:pPr>
              <w:pStyle w:val="Body"/>
              <w:jc w:val="right"/>
            </w:pPr>
            <w:r w:rsidRPr="003568DC">
              <w:t>1.1826</w:t>
            </w:r>
          </w:p>
        </w:tc>
        <w:tc>
          <w:tcPr>
            <w:tcW w:w="2207" w:type="dxa"/>
            <w:vAlign w:val="bottom"/>
          </w:tcPr>
          <w:p w:rsidR="00DD490A" w:rsidRPr="003568DC" w:rsidP="00F55D77" w14:paraId="13C3B981" w14:textId="77777777">
            <w:pPr>
              <w:pStyle w:val="Body"/>
              <w:jc w:val="right"/>
            </w:pPr>
            <w:r w:rsidRPr="003568DC">
              <w:t>17,074,600.00</w:t>
            </w:r>
          </w:p>
        </w:tc>
      </w:tr>
      <w:tr w14:paraId="1D668574" w14:textId="77777777" w:rsidTr="005C0F66">
        <w:tblPrEx>
          <w:tblW w:w="0" w:type="auto"/>
          <w:tblInd w:w="535" w:type="dxa"/>
          <w:tblLook w:val="04A0"/>
        </w:tblPrEx>
        <w:trPr>
          <w:cantSplit/>
        </w:trPr>
        <w:tc>
          <w:tcPr>
            <w:tcW w:w="1080" w:type="dxa"/>
            <w:tcBorders>
              <w:bottom w:val="single" w:sz="4" w:space="0" w:color="auto"/>
            </w:tcBorders>
          </w:tcPr>
          <w:p w:rsidR="00DD490A" w:rsidRPr="003568DC" w:rsidP="00F55D77" w14:paraId="0E38F8FA" w14:textId="77777777">
            <w:pPr>
              <w:pStyle w:val="Body"/>
              <w:jc w:val="center"/>
            </w:pPr>
            <w:r w:rsidRPr="003568DC">
              <w:t>315</w:t>
            </w:r>
          </w:p>
        </w:tc>
        <w:tc>
          <w:tcPr>
            <w:tcW w:w="2634" w:type="dxa"/>
            <w:tcBorders>
              <w:bottom w:val="single" w:sz="4" w:space="0" w:color="auto"/>
            </w:tcBorders>
            <w:vAlign w:val="bottom"/>
          </w:tcPr>
          <w:p w:rsidR="00DD490A" w:rsidRPr="003568DC" w:rsidP="00F55D77" w14:paraId="3AB43FD3" w14:textId="77777777">
            <w:pPr>
              <w:pStyle w:val="Body"/>
              <w:jc w:val="right"/>
            </w:pPr>
            <w:r w:rsidRPr="003568DC">
              <w:t>12,796,300</w:t>
            </w:r>
          </w:p>
        </w:tc>
        <w:tc>
          <w:tcPr>
            <w:tcW w:w="1739" w:type="dxa"/>
            <w:tcBorders>
              <w:bottom w:val="single" w:sz="4" w:space="0" w:color="auto"/>
            </w:tcBorders>
          </w:tcPr>
          <w:p w:rsidR="00DD490A" w:rsidRPr="003568DC" w:rsidP="00F55D77" w14:paraId="3001538D" w14:textId="5D58C0EA">
            <w:pPr>
              <w:pStyle w:val="Body"/>
              <w:jc w:val="right"/>
            </w:pPr>
            <w:r w:rsidRPr="003568DC">
              <w:t>3.</w:t>
            </w:r>
            <w:r w:rsidR="003376C4">
              <w:t>3126</w:t>
            </w:r>
          </w:p>
        </w:tc>
        <w:tc>
          <w:tcPr>
            <w:tcW w:w="2207" w:type="dxa"/>
            <w:vAlign w:val="bottom"/>
          </w:tcPr>
          <w:p w:rsidR="00DD490A" w:rsidRPr="003568DC" w:rsidP="00F55D77" w14:paraId="3DEF1027" w14:textId="5AFF409A">
            <w:pPr>
              <w:pStyle w:val="Body"/>
              <w:jc w:val="right"/>
            </w:pPr>
            <w:r>
              <w:t>42</w:t>
            </w:r>
            <w:r w:rsidRPr="003568DC">
              <w:t>,388,900.00</w:t>
            </w:r>
          </w:p>
        </w:tc>
      </w:tr>
      <w:tr w14:paraId="56F34407" w14:textId="77777777" w:rsidTr="005C0F66">
        <w:tblPrEx>
          <w:tblW w:w="0" w:type="auto"/>
          <w:tblInd w:w="535" w:type="dxa"/>
          <w:tblLook w:val="04A0"/>
        </w:tblPrEx>
        <w:trPr>
          <w:cantSplit/>
        </w:trPr>
        <w:tc>
          <w:tcPr>
            <w:tcW w:w="3714" w:type="dxa"/>
            <w:gridSpan w:val="2"/>
            <w:tcBorders>
              <w:left w:val="nil"/>
              <w:bottom w:val="nil"/>
              <w:right w:val="nil"/>
            </w:tcBorders>
          </w:tcPr>
          <w:p w:rsidR="00DD490A" w:rsidRPr="003568DC" w:rsidP="005720CA" w14:paraId="011A7C93" w14:textId="77777777">
            <w:pPr>
              <w:pStyle w:val="Body"/>
            </w:pPr>
          </w:p>
        </w:tc>
        <w:tc>
          <w:tcPr>
            <w:tcW w:w="1739" w:type="dxa"/>
            <w:tcBorders>
              <w:left w:val="nil"/>
              <w:bottom w:val="nil"/>
            </w:tcBorders>
          </w:tcPr>
          <w:p w:rsidR="00DD490A" w:rsidRPr="003568DC" w:rsidP="00F55D77" w14:paraId="7029C72D" w14:textId="77777777">
            <w:pPr>
              <w:pStyle w:val="Body"/>
              <w:jc w:val="right"/>
            </w:pPr>
            <w:r w:rsidRPr="003568DC">
              <w:t>Sum</w:t>
            </w:r>
          </w:p>
        </w:tc>
        <w:tc>
          <w:tcPr>
            <w:tcW w:w="2207" w:type="dxa"/>
            <w:vAlign w:val="bottom"/>
          </w:tcPr>
          <w:p w:rsidR="00DD490A" w:rsidRPr="003568DC" w:rsidP="00F55D77" w14:paraId="0DCAF6E6" w14:textId="302F7B59">
            <w:pPr>
              <w:pStyle w:val="Body"/>
              <w:jc w:val="right"/>
              <w:rPr>
                <w:b/>
              </w:rPr>
            </w:pPr>
            <w:r w:rsidRPr="003568DC">
              <w:rPr>
                <w:b/>
              </w:rPr>
              <w:t>57</w:t>
            </w:r>
            <w:r>
              <w:rPr>
                <w:b/>
              </w:rPr>
              <w:t>7</w:t>
            </w:r>
            <w:r w:rsidRPr="003568DC">
              <w:rPr>
                <w:b/>
              </w:rPr>
              <w:t>,262,300.00</w:t>
            </w:r>
          </w:p>
        </w:tc>
      </w:tr>
    </w:tbl>
    <w:p w:rsidR="00EF45A9" w:rsidP="0063312C" w14:paraId="4E55C257" w14:textId="51E5DCA3">
      <w:pPr>
        <w:pStyle w:val="ListParagraph"/>
        <w:ind w:left="0"/>
      </w:pPr>
    </w:p>
    <w:p w:rsidR="00806613" w:rsidRPr="003568DC" w:rsidP="00806613" w14:paraId="26512304" w14:textId="3DE74E7A">
      <w:pPr>
        <w:pStyle w:val="Body"/>
      </w:pPr>
      <w:r>
        <w:t>The number of blocks for the incumbent’s updated holdings in a PEA shown in the table above is calculated as the weighted MHz-pops of the incumbent’s updated holdings in the PEA divided by the PEA weighted MHz-pops per block, rounded to 4 decimal places.</w:t>
      </w:r>
    </w:p>
    <w:p w:rsidR="00806613" w:rsidP="0063312C" w14:paraId="7A4E3B98" w14:textId="77777777">
      <w:pPr>
        <w:pStyle w:val="ListParagraph"/>
        <w:ind w:left="0"/>
      </w:pPr>
    </w:p>
    <w:p w:rsidR="003376C4" w:rsidP="003376C4" w14:paraId="7C7C594B" w14:textId="1B02E842">
      <w:pPr>
        <w:pStyle w:val="ListParagraph"/>
        <w:ind w:left="0"/>
      </w:pPr>
      <w:r w:rsidRPr="00F55D77">
        <w:rPr>
          <w:u w:val="single"/>
        </w:rPr>
        <w:t>Case 1</w:t>
      </w:r>
      <w:r>
        <w:t xml:space="preserve">: Suppose that the incumbent rounds its quantity in PEA075 up to 2 blocks and rounds its quantity in PEA300 up to 2 blocks.  Then, the system will calculate the incumbent’s weighted MHz-pops for the remaining PEA (PEA315) as </w:t>
      </w:r>
    </w:p>
    <w:p w:rsidR="003376C4" w:rsidP="003376C4" w14:paraId="77348554" w14:textId="71A953F1">
      <w:pPr>
        <w:pStyle w:val="ListParagraph"/>
        <w:ind w:left="0" w:firstLine="720"/>
      </w:pPr>
      <w:r>
        <w:rPr>
          <w:position w:val="-14"/>
        </w:rPr>
        <w:object>
          <v:shape id="_x0000_i1043" type="#_x0000_t75" style="width:324pt;height:21.95pt" o:oleicon="f" o:ole="">
            <v:imagedata r:id="rId38" o:title=""/>
          </v:shape>
          <o:OLEObject Type="Embed" ProgID="Equation.DSMT4" ShapeID="_x0000_i1043" DrawAspect="Content" ObjectID="_1614610377" r:id="rId39"/>
        </w:object>
      </w:r>
      <w:r>
        <w:t xml:space="preserve"> </w:t>
      </w:r>
    </w:p>
    <w:p w:rsidR="003376C4" w:rsidP="003376C4" w14:paraId="5DA2812B" w14:textId="2DAB60A0">
      <w:r>
        <w:t xml:space="preserve">This is not valid because </w:t>
      </w:r>
      <w:r w:rsidR="00C5044E">
        <w:t xml:space="preserve">it corresponds to 0.3052 blocks in PEA315; however, </w:t>
      </w:r>
      <w:r>
        <w:t>the incumbent</w:t>
      </w:r>
      <w:r w:rsidR="00DF6A55">
        <w:t>’s updated holdings were</w:t>
      </w:r>
      <w:r>
        <w:t xml:space="preserve"> </w:t>
      </w:r>
      <w:r w:rsidR="002E0EC6">
        <w:t>equivalent to</w:t>
      </w:r>
      <w:r w:rsidR="00806613">
        <w:t xml:space="preserve"> </w:t>
      </w:r>
      <w:r w:rsidR="00C5044E">
        <w:t xml:space="preserve">3.3126 </w:t>
      </w:r>
      <w:r w:rsidR="00BB2D96">
        <w:t xml:space="preserve">blocks </w:t>
      </w:r>
      <w:r w:rsidR="00C5044E">
        <w:t xml:space="preserve">in PEA315 and thus </w:t>
      </w:r>
      <w:r w:rsidR="00F61880">
        <w:t xml:space="preserve">the incumbent </w:t>
      </w:r>
      <w:r w:rsidR="00C5044E">
        <w:t>cannot have less than 3 blocks in that PEA in an alternative reconfiguration.</w:t>
      </w:r>
    </w:p>
    <w:p w:rsidR="00C5044E" w:rsidP="003376C4" w14:paraId="07BE0351" w14:textId="1F91FACB"/>
    <w:p w:rsidR="00C5044E" w:rsidP="00C5044E" w14:paraId="168E3BFE" w14:textId="3D5A7527">
      <w:pPr>
        <w:pStyle w:val="ListParagraph"/>
        <w:ind w:left="0"/>
      </w:pPr>
      <w:r w:rsidRPr="00F55D77">
        <w:rPr>
          <w:u w:val="single"/>
        </w:rPr>
        <w:t>Case 2</w:t>
      </w:r>
      <w:r>
        <w:t xml:space="preserve">: Suppose that the incumbent rounds its quantity in PEA075 down to 1 block and rounds its quantity in PEA315 up to </w:t>
      </w:r>
      <w:r w:rsidR="005A3E20">
        <w:t>4</w:t>
      </w:r>
      <w:r>
        <w:t xml:space="preserve"> blocks.  Then, the system will calculate the incumbent’s weighted MHz-pops for the remaining PEA (PEA3</w:t>
      </w:r>
      <w:r w:rsidR="005A3E20">
        <w:t>00</w:t>
      </w:r>
      <w:r>
        <w:t xml:space="preserve">) as </w:t>
      </w:r>
    </w:p>
    <w:p w:rsidR="00C5044E" w:rsidP="00C5044E" w14:paraId="69A02CC1" w14:textId="5D6A4E53">
      <w:pPr>
        <w:pStyle w:val="ListParagraph"/>
        <w:ind w:left="0" w:firstLine="720"/>
      </w:pPr>
      <w:r>
        <w:rPr>
          <w:position w:val="-14"/>
        </w:rPr>
        <w:object>
          <v:shape id="_x0000_i1044" type="#_x0000_t75" style="width:317.15pt;height:21.95pt" o:oleicon="f" o:ole="">
            <v:imagedata r:id="rId40" o:title=""/>
          </v:shape>
          <o:OLEObject Type="Embed" ProgID="Equation.DSMT4" ShapeID="_x0000_i1044" DrawAspect="Content" ObjectID="_1614610378" r:id="rId41"/>
        </w:object>
      </w:r>
      <w:r>
        <w:t xml:space="preserve"> </w:t>
      </w:r>
    </w:p>
    <w:p w:rsidR="00C5044E" w:rsidP="00C5044E" w14:paraId="40E1CBC5" w14:textId="2315FBFA">
      <w:r>
        <w:t xml:space="preserve">This is not valid because it corresponds to </w:t>
      </w:r>
      <w:r w:rsidR="005A3E20">
        <w:t>17.58</w:t>
      </w:r>
      <w:r w:rsidR="00F61880">
        <w:t>16</w:t>
      </w:r>
      <w:r>
        <w:t xml:space="preserve"> blocks in PEA3</w:t>
      </w:r>
      <w:r w:rsidR="005A3E20">
        <w:t>00</w:t>
      </w:r>
      <w:r>
        <w:t xml:space="preserve">; however, the </w:t>
      </w:r>
      <w:r w:rsidR="00DF6A55">
        <w:t>incumbent’s updated holdings were</w:t>
      </w:r>
      <w:r w:rsidR="002E0EC6">
        <w:t xml:space="preserve"> equivalent to </w:t>
      </w:r>
      <w:r w:rsidR="005A3E20">
        <w:t>1.1826</w:t>
      </w:r>
      <w:r>
        <w:t xml:space="preserve"> </w:t>
      </w:r>
      <w:r w:rsidR="00BB2D96">
        <w:t>blocks</w:t>
      </w:r>
      <w:r w:rsidR="00FB0E16">
        <w:t xml:space="preserve"> </w:t>
      </w:r>
      <w:r>
        <w:t>in PEA3</w:t>
      </w:r>
      <w:r w:rsidR="005A3E20">
        <w:t>00</w:t>
      </w:r>
      <w:r>
        <w:t xml:space="preserve"> and thus </w:t>
      </w:r>
      <w:r w:rsidR="00F61880">
        <w:t xml:space="preserve">the incumbent </w:t>
      </w:r>
      <w:r>
        <w:t xml:space="preserve">cannot have </w:t>
      </w:r>
      <w:r w:rsidR="005A3E20">
        <w:t>more</w:t>
      </w:r>
      <w:r>
        <w:t xml:space="preserve"> than </w:t>
      </w:r>
      <w:r w:rsidR="005A3E20">
        <w:t>2</w:t>
      </w:r>
      <w:r>
        <w:t xml:space="preserve"> blocks in that PEA in an alternative reconfiguration.</w:t>
      </w:r>
    </w:p>
    <w:p w:rsidR="005A3E20" w:rsidP="00C5044E" w14:paraId="344643C6" w14:textId="06A2CB17"/>
    <w:p w:rsidR="005A3E20" w:rsidP="005A3E20" w14:paraId="38C858C1" w14:textId="3859F2FC">
      <w:pPr>
        <w:pStyle w:val="ListParagraph"/>
        <w:ind w:left="0"/>
      </w:pPr>
      <w:r>
        <w:t>Case 3: Suppose that the incumbent rounds its quantity in PEA300 down to 1 block and rounds its quantity in PEA315 down to 3 blocks.  Then, the system will calculate the incumbent’s weighted MHz-pops for the remaining PEA (PEA075) as</w:t>
      </w:r>
    </w:p>
    <w:p w:rsidR="005A3E20" w:rsidP="005A3E20" w14:paraId="7901B9D4" w14:textId="30A9AFFD">
      <w:pPr>
        <w:pStyle w:val="ListParagraph"/>
        <w:ind w:left="0" w:firstLine="720"/>
      </w:pPr>
      <w:r>
        <w:rPr>
          <w:position w:val="-14"/>
        </w:rPr>
        <w:object>
          <v:shape id="_x0000_i1045" type="#_x0000_t75" style="width:309.95pt;height:21.95pt" o:oleicon="f" o:ole="">
            <v:imagedata r:id="rId42" o:title=""/>
          </v:shape>
          <o:OLEObject Type="Embed" ProgID="Equation.DSMT4" ShapeID="_x0000_i1045" DrawAspect="Content" ObjectID="_1614610379" r:id="rId43"/>
        </w:object>
      </w:r>
      <w:r>
        <w:t xml:space="preserve"> </w:t>
      </w:r>
    </w:p>
    <w:p w:rsidR="007F31F6" w:rsidP="00C5044E" w14:paraId="7CFB6128" w14:textId="6DCB7507">
      <w:r>
        <w:t>This is a valid reconfiguration because it corresponds to 1.9264 blocks in PEA075</w:t>
      </w:r>
      <w:r>
        <w:t>, and for PEA075:</w:t>
      </w:r>
    </w:p>
    <w:p w:rsidR="00C5044E" w:rsidP="003A26E5" w14:paraId="3E4EF259" w14:textId="109FFF8D">
      <w:pPr>
        <w:jc w:val="center"/>
      </w:pPr>
      <w:r>
        <w:rPr>
          <w:position w:val="-34"/>
        </w:rPr>
        <w:object>
          <v:shape id="_x0000_i1046" type="#_x0000_t75" style="width:115.55pt;height:43.55pt" o:oleicon="f" o:ole="">
            <v:imagedata r:id="rId44" o:title=""/>
          </v:shape>
          <o:OLEObject Type="Embed" ProgID="Equation.DSMT4" ShapeID="_x0000_i1046" DrawAspect="Content" ObjectID="_1614610380" r:id="rId45"/>
        </w:object>
      </w:r>
    </w:p>
    <w:p w:rsidR="00DD490A" w:rsidP="0063312C" w14:paraId="110D8247" w14:textId="77777777">
      <w:pPr>
        <w:pStyle w:val="ListParagraph"/>
        <w:ind w:left="0"/>
      </w:pPr>
    </w:p>
    <w:p w:rsidR="0063312C" w:rsidP="0063312C" w14:paraId="1175D56D" w14:textId="69BCE42B">
      <w:pPr>
        <w:pStyle w:val="AttachmentHeading3"/>
        <w:numPr>
          <w:ilvl w:val="2"/>
          <w:numId w:val="3"/>
        </w:numPr>
      </w:pPr>
      <w:bookmarkStart w:id="7" w:name="_Ref3210727"/>
      <w:r>
        <w:t>Reallocating</w:t>
      </w:r>
      <w:r w:rsidR="0046771E">
        <w:t xml:space="preserve"> an Incumbent’s </w:t>
      </w:r>
      <w:r w:rsidR="00DF6A55">
        <w:t>Updated</w:t>
      </w:r>
      <w:r>
        <w:t xml:space="preserve"> Holdings</w:t>
      </w:r>
      <w:r w:rsidR="003E5E69">
        <w:t xml:space="preserve"> (Round Zero)</w:t>
      </w:r>
      <w:bookmarkEnd w:id="7"/>
    </w:p>
    <w:p w:rsidR="003568DC" w:rsidRPr="003568DC" w:rsidP="003568DC" w14:paraId="3F4C4F62" w14:textId="4E9607D8">
      <w:pPr>
        <w:pStyle w:val="Body"/>
      </w:pPr>
      <w:r w:rsidRPr="003568DC">
        <w:t xml:space="preserve">An incumbent that relinquishes all its licenses </w:t>
      </w:r>
      <w:r w:rsidR="00DE6EE5">
        <w:t xml:space="preserve">(Option 3) </w:t>
      </w:r>
      <w:r w:rsidRPr="003568DC">
        <w:t xml:space="preserve">has the </w:t>
      </w:r>
      <w:r w:rsidR="00DE6EE5">
        <w:t xml:space="preserve">additional </w:t>
      </w:r>
      <w:r w:rsidRPr="003568DC">
        <w:t xml:space="preserve">option of redistributing its </w:t>
      </w:r>
      <w:r w:rsidR="00DF6A55">
        <w:t>updated</w:t>
      </w:r>
      <w:r w:rsidRPr="003568DC" w:rsidR="00DF6A55">
        <w:t xml:space="preserve"> </w:t>
      </w:r>
      <w:r w:rsidRPr="003568DC">
        <w:t>holdings across all PEAs where it has partial holdings.</w:t>
      </w:r>
    </w:p>
    <w:p w:rsidR="003568DC" w:rsidRPr="003568DC" w:rsidP="003568DC" w14:paraId="6D8E316C" w14:textId="77777777">
      <w:pPr>
        <w:pStyle w:val="Body"/>
      </w:pPr>
      <w:r w:rsidRPr="003568DC">
        <w:t>The redistributed holdings are valid if the following conditions are satisfied:</w:t>
      </w:r>
    </w:p>
    <w:p w:rsidR="003568DC" w:rsidRPr="003568DC" w:rsidP="003568DC" w14:paraId="030AFFBD" w14:textId="6CB7D942">
      <w:pPr>
        <w:pStyle w:val="Body"/>
        <w:numPr>
          <w:ilvl w:val="0"/>
          <w:numId w:val="63"/>
        </w:numPr>
      </w:pPr>
      <w:r w:rsidRPr="003568DC">
        <w:t xml:space="preserve">The incumbent’s total weighted MHz-pops of the redistributed holdings is equal to the total weighted MHz-pops of its </w:t>
      </w:r>
      <w:r w:rsidR="00DF6A55">
        <w:t>updated</w:t>
      </w:r>
      <w:r w:rsidRPr="003568DC">
        <w:t xml:space="preserve"> holdings; and</w:t>
      </w:r>
    </w:p>
    <w:p w:rsidR="003568DC" w:rsidRPr="003568DC" w:rsidP="003568DC" w14:paraId="5801A0BE" w14:textId="56D66AF0">
      <w:pPr>
        <w:pStyle w:val="Body"/>
        <w:numPr>
          <w:ilvl w:val="0"/>
          <w:numId w:val="63"/>
        </w:numPr>
      </w:pPr>
      <w:r w:rsidRPr="003568DC">
        <w:t xml:space="preserve">For every PEA, the holdings can only be reduced down to the greatest integer less than or equal to the incumbent’s </w:t>
      </w:r>
      <w:r w:rsidR="00DF6A55">
        <w:t>updated</w:t>
      </w:r>
      <w:r w:rsidRPr="003568DC">
        <w:t xml:space="preserve"> holdings or increased up to the least integer greater than or equal to the incumbent’s </w:t>
      </w:r>
      <w:r w:rsidR="00DF6A55">
        <w:t>updated</w:t>
      </w:r>
      <w:r w:rsidRPr="003568DC">
        <w:t xml:space="preserve"> holdings.</w:t>
      </w:r>
    </w:p>
    <w:p w:rsidR="003568DC" w:rsidRPr="003568DC" w:rsidP="003568DC" w14:paraId="518083DF" w14:textId="31E0CAF0">
      <w:pPr>
        <w:pStyle w:val="Body"/>
      </w:pPr>
      <w:r w:rsidRPr="003568DC">
        <w:t>Note that in an incumbent’s redistributed holdings there can be non-integer quantities in multiple PEAs.</w:t>
      </w:r>
    </w:p>
    <w:p w:rsidR="003568DC" w:rsidRPr="003568DC" w:rsidP="003568DC" w14:paraId="4A4FF39A" w14:textId="25F2AD02">
      <w:pPr>
        <w:pStyle w:val="Body"/>
      </w:pPr>
      <w:r w:rsidRPr="003568DC">
        <w:t xml:space="preserve">To redistribute its holdings, the incumbent enters a quantity (number of blocks) with up to 4 decimal places for each PEA where it has non-integer </w:t>
      </w:r>
      <w:r w:rsidR="00DF6A55">
        <w:t>updated</w:t>
      </w:r>
      <w:r w:rsidRPr="003568DC">
        <w:t xml:space="preserve"> holdings.  The quantity entered for a PEA must be less than or equal to the greatest integer less than or equal to the incumbent’s </w:t>
      </w:r>
      <w:r w:rsidR="00DF6A55">
        <w:t>updated</w:t>
      </w:r>
      <w:r w:rsidRPr="003568DC">
        <w:t xml:space="preserve"> holdings in that PEA </w:t>
      </w:r>
      <w:r w:rsidRPr="003568DC">
        <w:rPr>
          <w:i/>
        </w:rPr>
        <w:t>and</w:t>
      </w:r>
      <w:r w:rsidRPr="003568DC">
        <w:t xml:space="preserve"> less than or equal to the least integer greater than or equal to the incumbent’s </w:t>
      </w:r>
      <w:r w:rsidR="00DF6A55">
        <w:t>updated</w:t>
      </w:r>
      <w:r w:rsidRPr="003568DC">
        <w:t xml:space="preserve"> holdings in that PEA.</w:t>
      </w:r>
    </w:p>
    <w:p w:rsidR="003568DC" w:rsidRPr="003568DC" w:rsidP="003568DC" w14:paraId="784142DE" w14:textId="69E3EF74">
      <w:pPr>
        <w:pStyle w:val="Body"/>
      </w:pPr>
      <w:r w:rsidRPr="003568DC">
        <w:t xml:space="preserve">The system will allow the incumbent to submit quantities for redistributed holdings as long as the total weighted MHz-pops corresponding to those quantities is less than or equal to the total weighted MHz-pops of the incumbent’s </w:t>
      </w:r>
      <w:r w:rsidR="00DF6A55">
        <w:t>updated</w:t>
      </w:r>
      <w:r w:rsidRPr="003568DC">
        <w:t xml:space="preserve"> holdings.</w:t>
      </w:r>
    </w:p>
    <w:p w:rsidR="003568DC" w:rsidRPr="003568DC" w:rsidP="003568DC" w14:paraId="7AAF3C60" w14:textId="7DA6EF42">
      <w:pPr>
        <w:pStyle w:val="Body"/>
      </w:pPr>
      <w:r w:rsidRPr="003568DC">
        <w:t xml:space="preserve">If the total weighted MHz-pops corresponding to quantities entered by the incumbent </w:t>
      </w:r>
      <w:r w:rsidR="00DE6EE5">
        <w:t>are</w:t>
      </w:r>
      <w:r w:rsidRPr="003568DC" w:rsidR="00DE6EE5">
        <w:t xml:space="preserve"> </w:t>
      </w:r>
      <w:r w:rsidRPr="003568DC">
        <w:t xml:space="preserve">less than the total weighted MHz-pops of the incumbent’s </w:t>
      </w:r>
      <w:r w:rsidR="00DF6A55">
        <w:t>updated</w:t>
      </w:r>
      <w:r w:rsidRPr="003568DC">
        <w:t xml:space="preserve"> holdings, then the system will assign the </w:t>
      </w:r>
      <w:r w:rsidR="005C38F8">
        <w:t>remaining</w:t>
      </w:r>
      <w:r w:rsidR="000D1E4E">
        <w:t xml:space="preserve"> </w:t>
      </w:r>
      <w:r w:rsidRPr="003568DC">
        <w:t>weighted MHz-pops to PEAs, starting with the lowest numbered PEA</w:t>
      </w:r>
      <w:r w:rsidR="003E5E69">
        <w:t xml:space="preserve"> in which the incumbent has partial block holdings</w:t>
      </w:r>
      <w:r w:rsidRPr="003568DC">
        <w:t xml:space="preserve">, subject to condition (ii) above.  </w:t>
      </w:r>
    </w:p>
    <w:p w:rsidR="003568DC" w:rsidRPr="003568DC" w:rsidP="003568DC" w14:paraId="2FAC2749" w14:textId="64DA91CF">
      <w:pPr>
        <w:pStyle w:val="Body"/>
      </w:pPr>
      <w:r w:rsidRPr="003568DC">
        <w:t xml:space="preserve">An incumbent’s weighted MHz-pops in a PEA are rounded to the nearest two decimal places.  The system will show the incumbent’s weighted MHz-pops for both its </w:t>
      </w:r>
      <w:r w:rsidR="00DF6A55">
        <w:t>updated</w:t>
      </w:r>
      <w:r w:rsidRPr="003568DC">
        <w:t xml:space="preserve"> holdings and its </w:t>
      </w:r>
      <w:r w:rsidR="003E5E69">
        <w:t>redistributed holdings</w:t>
      </w:r>
      <w:r w:rsidRPr="003568DC" w:rsidR="003E5E69">
        <w:t xml:space="preserve"> </w:t>
      </w:r>
      <w:r w:rsidRPr="003568DC">
        <w:t>with two decimal places, as shown in the tables of the following examples.</w:t>
      </w:r>
      <w:r w:rsidRPr="00A65D7B" w:rsidR="00A65D7B">
        <w:t xml:space="preserve"> </w:t>
      </w:r>
      <w:r w:rsidR="00A65D7B">
        <w:t>The number of blocks for the incumbent’s updated holdings in a PEA shown in the tables for these examples is calculated as the weighted MHz-pops of the incumbent’s updated holdings in the PEA divided by the PEA weighted MHz-pops per block, rounded to 4 decimal places.</w:t>
      </w:r>
    </w:p>
    <w:p w:rsidR="003568DC" w:rsidRPr="003568DC" w:rsidP="003568DC" w14:paraId="7A6BF176" w14:textId="403CDD9D">
      <w:pPr>
        <w:pStyle w:val="Body"/>
      </w:pPr>
      <w:r w:rsidRPr="003568DC">
        <w:rPr>
          <w:b/>
          <w:u w:val="single"/>
        </w:rPr>
        <w:t>Example</w:t>
      </w:r>
      <w:r w:rsidR="00D4447D">
        <w:rPr>
          <w:b/>
          <w:u w:val="single"/>
        </w:rPr>
        <w:t xml:space="preserve"> </w:t>
      </w:r>
      <w:r w:rsidR="00F55D77">
        <w:rPr>
          <w:b/>
          <w:u w:val="single"/>
        </w:rPr>
        <w:t>2</w:t>
      </w:r>
      <w:r w:rsidRPr="003568DC">
        <w:t xml:space="preserve">:  Consider an incumbent with </w:t>
      </w:r>
      <w:r w:rsidR="00DF6A55">
        <w:t>updated</w:t>
      </w:r>
      <w:r w:rsidRPr="003568DC">
        <w:t xml:space="preserve"> holdings in three PEAs who has </w:t>
      </w:r>
      <w:r w:rsidR="003E5E69">
        <w:t>selected Option 3</w:t>
      </w:r>
      <w:r w:rsidRPr="003568DC">
        <w:t xml:space="preserve">.  The weighted MHz-pops and the incumbent’s </w:t>
      </w:r>
      <w:r w:rsidR="00DF6A55">
        <w:t>updated</w:t>
      </w:r>
      <w:r w:rsidRPr="003568DC">
        <w:t xml:space="preserve"> holdings in each PEA are shown in the table below.</w:t>
      </w:r>
      <w:r w:rsidR="00B658F8">
        <w:t xml:space="preserve">  </w:t>
      </w:r>
    </w:p>
    <w:tbl>
      <w:tblPr>
        <w:tblStyle w:val="TableGrid"/>
        <w:tblW w:w="0" w:type="auto"/>
        <w:jc w:val="center"/>
        <w:tblLook w:val="04A0"/>
      </w:tblPr>
      <w:tblGrid>
        <w:gridCol w:w="853"/>
        <w:gridCol w:w="2112"/>
        <w:gridCol w:w="1440"/>
        <w:gridCol w:w="1620"/>
        <w:gridCol w:w="1734"/>
        <w:gridCol w:w="1591"/>
      </w:tblGrid>
      <w:tr w14:paraId="5F696199" w14:textId="77777777" w:rsidTr="005C0F66">
        <w:tblPrEx>
          <w:tblW w:w="0" w:type="auto"/>
          <w:jc w:val="center"/>
          <w:tblLook w:val="04A0"/>
        </w:tblPrEx>
        <w:trPr>
          <w:cantSplit/>
          <w:trHeight w:val="347"/>
          <w:jc w:val="center"/>
        </w:trPr>
        <w:tc>
          <w:tcPr>
            <w:tcW w:w="853" w:type="dxa"/>
            <w:vMerge w:val="restart"/>
          </w:tcPr>
          <w:p w:rsidR="003568DC" w:rsidRPr="003568DC" w:rsidP="00F55D77" w14:paraId="1A1B22D2" w14:textId="77777777">
            <w:pPr>
              <w:pStyle w:val="Body"/>
              <w:jc w:val="center"/>
            </w:pPr>
            <w:r w:rsidRPr="003568DC">
              <w:t>PEA</w:t>
            </w:r>
          </w:p>
        </w:tc>
        <w:tc>
          <w:tcPr>
            <w:tcW w:w="2112" w:type="dxa"/>
            <w:vMerge w:val="restart"/>
          </w:tcPr>
          <w:p w:rsidR="003568DC" w:rsidRPr="003568DC" w:rsidP="00F55D77" w14:paraId="71525B98" w14:textId="4EB6E98B">
            <w:pPr>
              <w:pStyle w:val="Body"/>
              <w:jc w:val="center"/>
            </w:pPr>
            <w:r w:rsidRPr="003568DC">
              <w:t>PEA Weighted MHz-Pops</w:t>
            </w:r>
            <w:r w:rsidR="003E5E69">
              <w:t xml:space="preserve"> per Block</w:t>
            </w:r>
          </w:p>
        </w:tc>
        <w:tc>
          <w:tcPr>
            <w:tcW w:w="3060" w:type="dxa"/>
            <w:gridSpan w:val="2"/>
          </w:tcPr>
          <w:p w:rsidR="003568DC" w:rsidRPr="003568DC" w:rsidP="00F55D77" w14:paraId="6DD8B485" w14:textId="0CC9D95D">
            <w:pPr>
              <w:pStyle w:val="Body"/>
              <w:jc w:val="center"/>
            </w:pPr>
            <w:r>
              <w:t>Updated</w:t>
            </w:r>
            <w:r w:rsidRPr="003568DC">
              <w:t xml:space="preserve"> Holdings</w:t>
            </w:r>
          </w:p>
        </w:tc>
        <w:tc>
          <w:tcPr>
            <w:tcW w:w="3325" w:type="dxa"/>
            <w:gridSpan w:val="2"/>
          </w:tcPr>
          <w:p w:rsidR="003568DC" w:rsidRPr="003568DC" w:rsidP="00F55D77" w14:paraId="2D9244E2" w14:textId="12D75D28">
            <w:pPr>
              <w:pStyle w:val="Body"/>
              <w:jc w:val="center"/>
            </w:pPr>
            <w:r w:rsidRPr="003568DC">
              <w:t>Redistributed Holdings</w:t>
            </w:r>
          </w:p>
        </w:tc>
      </w:tr>
      <w:tr w14:paraId="50F22FC9" w14:textId="77777777" w:rsidTr="005C0F66">
        <w:tblPrEx>
          <w:tblW w:w="0" w:type="auto"/>
          <w:jc w:val="center"/>
          <w:tblLook w:val="04A0"/>
        </w:tblPrEx>
        <w:trPr>
          <w:cantSplit/>
          <w:trHeight w:val="346"/>
          <w:jc w:val="center"/>
        </w:trPr>
        <w:tc>
          <w:tcPr>
            <w:tcW w:w="853" w:type="dxa"/>
            <w:vMerge/>
          </w:tcPr>
          <w:p w:rsidR="003568DC" w:rsidRPr="003568DC" w:rsidP="00F55D77" w14:paraId="68D22011" w14:textId="77777777">
            <w:pPr>
              <w:pStyle w:val="Body"/>
              <w:jc w:val="center"/>
            </w:pPr>
          </w:p>
        </w:tc>
        <w:tc>
          <w:tcPr>
            <w:tcW w:w="2112" w:type="dxa"/>
            <w:vMerge/>
          </w:tcPr>
          <w:p w:rsidR="003568DC" w:rsidRPr="003568DC" w:rsidP="00F55D77" w14:paraId="6025252F" w14:textId="77777777">
            <w:pPr>
              <w:pStyle w:val="Body"/>
              <w:jc w:val="center"/>
            </w:pPr>
          </w:p>
        </w:tc>
        <w:tc>
          <w:tcPr>
            <w:tcW w:w="1440" w:type="dxa"/>
          </w:tcPr>
          <w:p w:rsidR="003568DC" w:rsidRPr="003568DC" w:rsidP="00F55D77" w14:paraId="0C106354" w14:textId="54110766">
            <w:pPr>
              <w:pStyle w:val="Body"/>
              <w:jc w:val="center"/>
            </w:pPr>
            <w:r>
              <w:t xml:space="preserve"> </w:t>
            </w:r>
            <w:r w:rsidRPr="003568DC">
              <w:t>Blocks</w:t>
            </w:r>
            <w:r w:rsidR="00B658F8">
              <w:t xml:space="preserve"> (rounded to 4 decimal places)</w:t>
            </w:r>
          </w:p>
        </w:tc>
        <w:tc>
          <w:tcPr>
            <w:tcW w:w="1620" w:type="dxa"/>
          </w:tcPr>
          <w:p w:rsidR="003568DC" w:rsidRPr="003568DC" w:rsidP="00F55D77" w14:paraId="6BBF4C87" w14:textId="77777777">
            <w:pPr>
              <w:pStyle w:val="Body"/>
              <w:jc w:val="center"/>
            </w:pPr>
            <w:r w:rsidRPr="003568DC">
              <w:t>Weighted MHz-Pops</w:t>
            </w:r>
          </w:p>
        </w:tc>
        <w:tc>
          <w:tcPr>
            <w:tcW w:w="1734" w:type="dxa"/>
          </w:tcPr>
          <w:p w:rsidR="003568DC" w:rsidRPr="003568DC" w:rsidP="00F55D77" w14:paraId="24E7CE08" w14:textId="5CD7A8D5">
            <w:pPr>
              <w:pStyle w:val="Body"/>
              <w:jc w:val="center"/>
            </w:pPr>
            <w:r w:rsidRPr="003568DC">
              <w:t>Blocks (</w:t>
            </w:r>
            <w:r w:rsidR="00B658F8">
              <w:t>e</w:t>
            </w:r>
            <w:r w:rsidRPr="003568DC" w:rsidR="00B658F8">
              <w:t xml:space="preserve">ntered </w:t>
            </w:r>
            <w:r w:rsidRPr="003568DC">
              <w:t xml:space="preserve">by </w:t>
            </w:r>
            <w:r w:rsidR="00B658F8">
              <w:t>i</w:t>
            </w:r>
            <w:r w:rsidRPr="003568DC" w:rsidR="00B658F8">
              <w:t>ncumbent</w:t>
            </w:r>
            <w:r w:rsidRPr="003568DC">
              <w:t>)</w:t>
            </w:r>
          </w:p>
        </w:tc>
        <w:tc>
          <w:tcPr>
            <w:tcW w:w="1591" w:type="dxa"/>
          </w:tcPr>
          <w:p w:rsidR="003568DC" w:rsidRPr="003568DC" w:rsidP="00F55D77" w14:paraId="6BD7CD77" w14:textId="77777777">
            <w:pPr>
              <w:pStyle w:val="Body"/>
              <w:jc w:val="center"/>
            </w:pPr>
            <w:r w:rsidRPr="003568DC">
              <w:t>Weighted MHz-Pops</w:t>
            </w:r>
          </w:p>
        </w:tc>
      </w:tr>
      <w:tr w14:paraId="59E4C702" w14:textId="77777777" w:rsidTr="005C0F66">
        <w:tblPrEx>
          <w:tblW w:w="0" w:type="auto"/>
          <w:jc w:val="center"/>
          <w:tblLook w:val="04A0"/>
        </w:tblPrEx>
        <w:trPr>
          <w:cantSplit/>
          <w:jc w:val="center"/>
        </w:trPr>
        <w:tc>
          <w:tcPr>
            <w:tcW w:w="853" w:type="dxa"/>
          </w:tcPr>
          <w:p w:rsidR="003568DC" w:rsidRPr="003568DC" w:rsidP="00F55D77" w14:paraId="76201F0A" w14:textId="77777777">
            <w:pPr>
              <w:pStyle w:val="Body"/>
              <w:jc w:val="right"/>
            </w:pPr>
            <w:r w:rsidRPr="003568DC">
              <w:t>075</w:t>
            </w:r>
          </w:p>
        </w:tc>
        <w:tc>
          <w:tcPr>
            <w:tcW w:w="2112" w:type="dxa"/>
          </w:tcPr>
          <w:p w:rsidR="003568DC" w:rsidRPr="003568DC" w:rsidP="00F55D77" w14:paraId="4953A77C" w14:textId="77777777">
            <w:pPr>
              <w:pStyle w:val="Body"/>
              <w:jc w:val="right"/>
            </w:pPr>
            <w:r w:rsidRPr="003568DC">
              <w:t>272,241,100</w:t>
            </w:r>
          </w:p>
        </w:tc>
        <w:tc>
          <w:tcPr>
            <w:tcW w:w="1440" w:type="dxa"/>
          </w:tcPr>
          <w:p w:rsidR="003568DC" w:rsidRPr="003568DC" w:rsidP="00F55D77" w14:paraId="294D2CC5" w14:textId="77777777">
            <w:pPr>
              <w:pStyle w:val="Body"/>
              <w:jc w:val="right"/>
            </w:pPr>
            <w:r w:rsidRPr="003568DC">
              <w:t>1.9020</w:t>
            </w:r>
          </w:p>
        </w:tc>
        <w:tc>
          <w:tcPr>
            <w:tcW w:w="1620" w:type="dxa"/>
          </w:tcPr>
          <w:p w:rsidR="003568DC" w:rsidRPr="003568DC" w:rsidP="00F55D77" w14:paraId="10BB4A8D" w14:textId="77777777">
            <w:pPr>
              <w:pStyle w:val="Body"/>
              <w:jc w:val="right"/>
            </w:pPr>
            <w:r w:rsidRPr="003568DC">
              <w:t>517,798,800.00</w:t>
            </w:r>
          </w:p>
        </w:tc>
        <w:tc>
          <w:tcPr>
            <w:tcW w:w="1734" w:type="dxa"/>
          </w:tcPr>
          <w:p w:rsidR="003568DC" w:rsidRPr="003568DC" w:rsidP="00F55D77" w14:paraId="7C27B38C" w14:textId="77777777">
            <w:pPr>
              <w:pStyle w:val="Body"/>
              <w:jc w:val="right"/>
            </w:pPr>
            <w:r w:rsidRPr="003568DC">
              <w:t>1.9116</w:t>
            </w:r>
          </w:p>
        </w:tc>
        <w:tc>
          <w:tcPr>
            <w:tcW w:w="1591" w:type="dxa"/>
          </w:tcPr>
          <w:p w:rsidR="003568DC" w:rsidRPr="003568DC" w:rsidP="00F55D77" w14:paraId="1A200822" w14:textId="77777777">
            <w:pPr>
              <w:pStyle w:val="Body"/>
              <w:jc w:val="right"/>
            </w:pPr>
            <w:r w:rsidRPr="003568DC">
              <w:t>520,416,086.76</w:t>
            </w:r>
          </w:p>
        </w:tc>
      </w:tr>
      <w:tr w14:paraId="3AE405EE" w14:textId="77777777" w:rsidTr="005C0F66">
        <w:tblPrEx>
          <w:tblW w:w="0" w:type="auto"/>
          <w:jc w:val="center"/>
          <w:tblLook w:val="04A0"/>
        </w:tblPrEx>
        <w:trPr>
          <w:cantSplit/>
          <w:jc w:val="center"/>
        </w:trPr>
        <w:tc>
          <w:tcPr>
            <w:tcW w:w="853" w:type="dxa"/>
          </w:tcPr>
          <w:p w:rsidR="003568DC" w:rsidRPr="003568DC" w:rsidP="00F55D77" w14:paraId="38B37C95" w14:textId="77777777">
            <w:pPr>
              <w:pStyle w:val="Body"/>
              <w:jc w:val="right"/>
            </w:pPr>
            <w:r w:rsidRPr="003568DC">
              <w:t>300</w:t>
            </w:r>
          </w:p>
        </w:tc>
        <w:tc>
          <w:tcPr>
            <w:tcW w:w="2112" w:type="dxa"/>
            <w:vAlign w:val="bottom"/>
          </w:tcPr>
          <w:p w:rsidR="003568DC" w:rsidRPr="003568DC" w:rsidP="00F55D77" w14:paraId="58BF2656" w14:textId="77777777">
            <w:pPr>
              <w:pStyle w:val="Body"/>
              <w:jc w:val="right"/>
            </w:pPr>
            <w:r w:rsidRPr="003568DC">
              <w:t>14,437,600</w:t>
            </w:r>
          </w:p>
        </w:tc>
        <w:tc>
          <w:tcPr>
            <w:tcW w:w="1440" w:type="dxa"/>
          </w:tcPr>
          <w:p w:rsidR="003568DC" w:rsidRPr="003568DC" w:rsidP="00F55D77" w14:paraId="382E92A6" w14:textId="77777777">
            <w:pPr>
              <w:pStyle w:val="Body"/>
              <w:jc w:val="right"/>
            </w:pPr>
            <w:r w:rsidRPr="003568DC">
              <w:t>1.1826</w:t>
            </w:r>
          </w:p>
        </w:tc>
        <w:tc>
          <w:tcPr>
            <w:tcW w:w="1620" w:type="dxa"/>
            <w:vAlign w:val="bottom"/>
          </w:tcPr>
          <w:p w:rsidR="003568DC" w:rsidRPr="003568DC" w:rsidP="00F55D77" w14:paraId="6DBCC93D" w14:textId="77777777">
            <w:pPr>
              <w:pStyle w:val="Body"/>
              <w:jc w:val="right"/>
            </w:pPr>
            <w:r w:rsidRPr="003568DC">
              <w:t>17,074,600.00</w:t>
            </w:r>
          </w:p>
        </w:tc>
        <w:tc>
          <w:tcPr>
            <w:tcW w:w="1734" w:type="dxa"/>
          </w:tcPr>
          <w:p w:rsidR="003568DC" w:rsidRPr="003568DC" w:rsidP="00F55D77" w14:paraId="7E810851" w14:textId="77777777">
            <w:pPr>
              <w:pStyle w:val="Body"/>
              <w:jc w:val="right"/>
            </w:pPr>
            <w:r w:rsidRPr="003568DC">
              <w:t>1.0000</w:t>
            </w:r>
          </w:p>
        </w:tc>
        <w:tc>
          <w:tcPr>
            <w:tcW w:w="1591" w:type="dxa"/>
          </w:tcPr>
          <w:p w:rsidR="003568DC" w:rsidRPr="003568DC" w:rsidP="00F55D77" w14:paraId="3728FFA4" w14:textId="77777777">
            <w:pPr>
              <w:pStyle w:val="Body"/>
              <w:jc w:val="right"/>
            </w:pPr>
            <w:r w:rsidRPr="003568DC">
              <w:t>14,437,600.00</w:t>
            </w:r>
          </w:p>
        </w:tc>
      </w:tr>
      <w:tr w14:paraId="5BA3F9F3" w14:textId="77777777" w:rsidTr="005C0F66">
        <w:tblPrEx>
          <w:tblW w:w="0" w:type="auto"/>
          <w:jc w:val="center"/>
          <w:tblLook w:val="04A0"/>
        </w:tblPrEx>
        <w:trPr>
          <w:cantSplit/>
          <w:jc w:val="center"/>
        </w:trPr>
        <w:tc>
          <w:tcPr>
            <w:tcW w:w="853" w:type="dxa"/>
            <w:tcBorders>
              <w:bottom w:val="single" w:sz="4" w:space="0" w:color="auto"/>
            </w:tcBorders>
          </w:tcPr>
          <w:p w:rsidR="003568DC" w:rsidRPr="003568DC" w:rsidP="00F55D77" w14:paraId="58C43CA6" w14:textId="77777777">
            <w:pPr>
              <w:pStyle w:val="Body"/>
              <w:jc w:val="right"/>
            </w:pPr>
            <w:r w:rsidRPr="003568DC">
              <w:t>315</w:t>
            </w:r>
          </w:p>
        </w:tc>
        <w:tc>
          <w:tcPr>
            <w:tcW w:w="2112" w:type="dxa"/>
            <w:tcBorders>
              <w:bottom w:val="single" w:sz="4" w:space="0" w:color="auto"/>
            </w:tcBorders>
            <w:vAlign w:val="bottom"/>
          </w:tcPr>
          <w:p w:rsidR="003568DC" w:rsidRPr="003568DC" w:rsidP="00F55D77" w14:paraId="7B578730" w14:textId="77777777">
            <w:pPr>
              <w:pStyle w:val="Body"/>
              <w:jc w:val="right"/>
            </w:pPr>
            <w:r w:rsidRPr="003568DC">
              <w:t>12,796,300</w:t>
            </w:r>
          </w:p>
        </w:tc>
        <w:tc>
          <w:tcPr>
            <w:tcW w:w="1440" w:type="dxa"/>
            <w:tcBorders>
              <w:bottom w:val="single" w:sz="4" w:space="0" w:color="auto"/>
            </w:tcBorders>
          </w:tcPr>
          <w:p w:rsidR="003568DC" w:rsidRPr="003568DC" w:rsidP="00F55D77" w14:paraId="67EA494D" w14:textId="77777777">
            <w:pPr>
              <w:pStyle w:val="Body"/>
              <w:jc w:val="right"/>
            </w:pPr>
            <w:r w:rsidRPr="003568DC">
              <w:t>3.0000</w:t>
            </w:r>
          </w:p>
        </w:tc>
        <w:tc>
          <w:tcPr>
            <w:tcW w:w="1620" w:type="dxa"/>
            <w:vAlign w:val="bottom"/>
          </w:tcPr>
          <w:p w:rsidR="003568DC" w:rsidRPr="003568DC" w:rsidP="00F55D77" w14:paraId="220AFB65" w14:textId="77777777">
            <w:pPr>
              <w:pStyle w:val="Body"/>
              <w:jc w:val="right"/>
            </w:pPr>
            <w:r w:rsidRPr="003568DC">
              <w:t>38,388,900.00</w:t>
            </w:r>
          </w:p>
        </w:tc>
        <w:tc>
          <w:tcPr>
            <w:tcW w:w="1734" w:type="dxa"/>
            <w:tcBorders>
              <w:bottom w:val="single" w:sz="4" w:space="0" w:color="auto"/>
            </w:tcBorders>
          </w:tcPr>
          <w:p w:rsidR="003568DC" w:rsidRPr="003568DC" w:rsidP="00F55D77" w14:paraId="1A5B252A" w14:textId="77777777">
            <w:pPr>
              <w:pStyle w:val="Body"/>
              <w:jc w:val="right"/>
            </w:pPr>
            <w:r w:rsidRPr="003568DC">
              <w:t>3.0000</w:t>
            </w:r>
          </w:p>
        </w:tc>
        <w:tc>
          <w:tcPr>
            <w:tcW w:w="1591" w:type="dxa"/>
          </w:tcPr>
          <w:p w:rsidR="003568DC" w:rsidRPr="003568DC" w:rsidP="00F55D77" w14:paraId="35AD7D12" w14:textId="77777777">
            <w:pPr>
              <w:pStyle w:val="Body"/>
              <w:jc w:val="right"/>
            </w:pPr>
            <w:r w:rsidRPr="003568DC">
              <w:t>38,388,900.00</w:t>
            </w:r>
          </w:p>
        </w:tc>
      </w:tr>
      <w:tr w14:paraId="718B9836" w14:textId="77777777" w:rsidTr="005C0F66">
        <w:tblPrEx>
          <w:tblW w:w="0" w:type="auto"/>
          <w:jc w:val="center"/>
          <w:tblLook w:val="04A0"/>
        </w:tblPrEx>
        <w:trPr>
          <w:cantSplit/>
          <w:jc w:val="center"/>
        </w:trPr>
        <w:tc>
          <w:tcPr>
            <w:tcW w:w="2965" w:type="dxa"/>
            <w:gridSpan w:val="2"/>
            <w:tcBorders>
              <w:left w:val="nil"/>
              <w:bottom w:val="nil"/>
              <w:right w:val="nil"/>
            </w:tcBorders>
          </w:tcPr>
          <w:p w:rsidR="003568DC" w:rsidRPr="003568DC" w:rsidP="00F55D77" w14:paraId="3CB8B406" w14:textId="77777777">
            <w:pPr>
              <w:pStyle w:val="Body"/>
              <w:jc w:val="right"/>
            </w:pPr>
          </w:p>
        </w:tc>
        <w:tc>
          <w:tcPr>
            <w:tcW w:w="1440" w:type="dxa"/>
            <w:tcBorders>
              <w:left w:val="nil"/>
              <w:bottom w:val="nil"/>
            </w:tcBorders>
          </w:tcPr>
          <w:p w:rsidR="003568DC" w:rsidRPr="003568DC" w:rsidP="00F55D77" w14:paraId="14DF0E5E" w14:textId="77777777">
            <w:pPr>
              <w:pStyle w:val="Body"/>
              <w:jc w:val="right"/>
            </w:pPr>
            <w:r w:rsidRPr="003568DC">
              <w:t>Sum</w:t>
            </w:r>
          </w:p>
        </w:tc>
        <w:tc>
          <w:tcPr>
            <w:tcW w:w="1620" w:type="dxa"/>
            <w:vAlign w:val="bottom"/>
          </w:tcPr>
          <w:p w:rsidR="003568DC" w:rsidRPr="003568DC" w:rsidP="00F55D77" w14:paraId="4C36EADD" w14:textId="77777777">
            <w:pPr>
              <w:pStyle w:val="Body"/>
              <w:jc w:val="right"/>
              <w:rPr>
                <w:b/>
              </w:rPr>
            </w:pPr>
            <w:r w:rsidRPr="003568DC">
              <w:rPr>
                <w:b/>
              </w:rPr>
              <w:t>573,262,300.00</w:t>
            </w:r>
          </w:p>
        </w:tc>
        <w:tc>
          <w:tcPr>
            <w:tcW w:w="1734" w:type="dxa"/>
            <w:tcBorders>
              <w:bottom w:val="nil"/>
            </w:tcBorders>
          </w:tcPr>
          <w:p w:rsidR="003568DC" w:rsidRPr="003568DC" w:rsidP="00F55D77" w14:paraId="71DCFB65" w14:textId="77777777">
            <w:pPr>
              <w:pStyle w:val="Body"/>
              <w:jc w:val="right"/>
            </w:pPr>
            <w:r w:rsidRPr="003568DC">
              <w:t>Sum</w:t>
            </w:r>
          </w:p>
        </w:tc>
        <w:tc>
          <w:tcPr>
            <w:tcW w:w="1591" w:type="dxa"/>
          </w:tcPr>
          <w:p w:rsidR="003568DC" w:rsidRPr="003568DC" w:rsidP="00F55D77" w14:paraId="45A54D19" w14:textId="77777777">
            <w:pPr>
              <w:pStyle w:val="Body"/>
              <w:jc w:val="right"/>
              <w:rPr>
                <w:b/>
              </w:rPr>
            </w:pPr>
            <w:r w:rsidRPr="003568DC">
              <w:rPr>
                <w:b/>
              </w:rPr>
              <w:t>573,242,586.76</w:t>
            </w:r>
          </w:p>
        </w:tc>
      </w:tr>
    </w:tbl>
    <w:p w:rsidR="003568DC" w:rsidRPr="003568DC" w:rsidP="003568DC" w14:paraId="135B518C" w14:textId="77777777">
      <w:pPr>
        <w:pStyle w:val="Body"/>
      </w:pPr>
    </w:p>
    <w:p w:rsidR="003568DC" w:rsidRPr="003568DC" w:rsidP="003568DC" w14:paraId="31541A23" w14:textId="3551A9CA">
      <w:pPr>
        <w:pStyle w:val="Body"/>
      </w:pPr>
      <w:r w:rsidRPr="003568DC">
        <w:t>Note that the incumbent cannot change its quantity in PEA315 because it</w:t>
      </w:r>
      <w:r w:rsidR="00FB0E16">
        <w:t>s</w:t>
      </w:r>
      <w:r w:rsidR="00DF6A55">
        <w:t xml:space="preserve"> updated holdings were</w:t>
      </w:r>
      <w:r w:rsidRPr="003568DC">
        <w:t xml:space="preserve"> </w:t>
      </w:r>
      <w:r w:rsidR="00DF6A55">
        <w:t xml:space="preserve">equivalent to </w:t>
      </w:r>
      <w:r w:rsidRPr="003568DC">
        <w:t>an integer number of blocks in that PEA.</w:t>
      </w:r>
    </w:p>
    <w:p w:rsidR="003568DC" w:rsidRPr="003568DC" w:rsidP="003568DC" w14:paraId="027B85FD" w14:textId="2FB5FFFD">
      <w:pPr>
        <w:pStyle w:val="Body"/>
      </w:pPr>
      <w:r w:rsidRPr="003568DC">
        <w:t xml:space="preserve">The weighted MHz-pops of the </w:t>
      </w:r>
      <w:r w:rsidR="00DF6A55">
        <w:t>updated</w:t>
      </w:r>
      <w:r w:rsidRPr="003568DC">
        <w:t xml:space="preserve"> holdings exceed the weighted MHz-pops of the redistributed holdings by 573,262,300.00 - 573,242,</w:t>
      </w:r>
      <w:r w:rsidRPr="003568DC" w:rsidR="00B658F8">
        <w:t>58</w:t>
      </w:r>
      <w:r w:rsidR="00B658F8">
        <w:t>6</w:t>
      </w:r>
      <w:r w:rsidRPr="003568DC">
        <w:t xml:space="preserve">.76 = 19,713.24.  This </w:t>
      </w:r>
      <w:r w:rsidR="005C38F8">
        <w:t>remainder</w:t>
      </w:r>
      <w:r w:rsidRPr="003568DC">
        <w:t xml:space="preserve"> will be assigned to PEA075, the lowest numbered PEA where the incumbent’s quantity can be increased.  </w:t>
      </w:r>
    </w:p>
    <w:p w:rsidR="003568DC" w:rsidRPr="003568DC" w:rsidP="003568DC" w14:paraId="57CFE325" w14:textId="708A412F">
      <w:pPr>
        <w:pStyle w:val="Body"/>
      </w:pPr>
      <w:r w:rsidRPr="003568DC">
        <w:t xml:space="preserve">Then, the resulting weighted MHz-pops after the </w:t>
      </w:r>
      <w:r w:rsidR="0034419D">
        <w:t>initial commitment</w:t>
      </w:r>
      <w:r w:rsidRPr="003568DC">
        <w:t xml:space="preserve"> will be as follows:</w:t>
      </w:r>
    </w:p>
    <w:tbl>
      <w:tblPr>
        <w:tblStyle w:val="TableGrid"/>
        <w:tblW w:w="0" w:type="auto"/>
        <w:jc w:val="center"/>
        <w:tblLook w:val="04A0"/>
      </w:tblPr>
      <w:tblGrid>
        <w:gridCol w:w="1260"/>
        <w:gridCol w:w="2425"/>
        <w:gridCol w:w="2970"/>
      </w:tblGrid>
      <w:tr w14:paraId="33CEB56B" w14:textId="542580B6" w:rsidTr="005C0F66">
        <w:tblPrEx>
          <w:tblW w:w="0" w:type="auto"/>
          <w:jc w:val="center"/>
          <w:tblLook w:val="04A0"/>
        </w:tblPrEx>
        <w:trPr>
          <w:cantSplit/>
          <w:jc w:val="center"/>
        </w:trPr>
        <w:tc>
          <w:tcPr>
            <w:tcW w:w="1260" w:type="dxa"/>
          </w:tcPr>
          <w:p w:rsidR="00D4447D" w:rsidRPr="003568DC" w:rsidP="00C20E6B" w14:paraId="5D49F109" w14:textId="77777777">
            <w:pPr>
              <w:pStyle w:val="Body"/>
              <w:jc w:val="center"/>
            </w:pPr>
            <w:r w:rsidRPr="003568DC">
              <w:t>PEA</w:t>
            </w:r>
          </w:p>
        </w:tc>
        <w:tc>
          <w:tcPr>
            <w:tcW w:w="2425" w:type="dxa"/>
          </w:tcPr>
          <w:p w:rsidR="00D4447D" w:rsidRPr="003568DC" w:rsidP="00C20E6B" w14:paraId="78B0DB01" w14:textId="77777777">
            <w:pPr>
              <w:pStyle w:val="Body"/>
              <w:jc w:val="center"/>
            </w:pPr>
            <w:r w:rsidRPr="003568DC">
              <w:t>Relinquishments in Weighted MHz-Pops</w:t>
            </w:r>
          </w:p>
        </w:tc>
        <w:tc>
          <w:tcPr>
            <w:tcW w:w="2970" w:type="dxa"/>
          </w:tcPr>
          <w:p w:rsidR="007959D0" w:rsidP="00C20E6B" w14:paraId="6B7D8F8D" w14:textId="5BED47C8">
            <w:pPr>
              <w:pStyle w:val="Body"/>
              <w:jc w:val="center"/>
            </w:pPr>
            <w:r>
              <w:t>Block Equivalents</w:t>
            </w:r>
          </w:p>
          <w:p w:rsidR="00D4447D" w:rsidRPr="003568DC" w:rsidP="00C20E6B" w14:paraId="3DC7B649" w14:textId="1A5B5DEC">
            <w:pPr>
              <w:pStyle w:val="Body"/>
              <w:jc w:val="center"/>
            </w:pPr>
            <w:r>
              <w:t>(rounded to 4 decimal places)</w:t>
            </w:r>
          </w:p>
        </w:tc>
      </w:tr>
      <w:tr w14:paraId="3140D8EB" w14:textId="31A8E523" w:rsidTr="005C0F66">
        <w:tblPrEx>
          <w:tblW w:w="0" w:type="auto"/>
          <w:jc w:val="center"/>
          <w:tblLook w:val="04A0"/>
        </w:tblPrEx>
        <w:trPr>
          <w:cantSplit/>
          <w:jc w:val="center"/>
        </w:trPr>
        <w:tc>
          <w:tcPr>
            <w:tcW w:w="1260" w:type="dxa"/>
          </w:tcPr>
          <w:p w:rsidR="00D4447D" w:rsidRPr="003568DC" w:rsidP="00C20E6B" w14:paraId="1C128DAF" w14:textId="77777777">
            <w:pPr>
              <w:pStyle w:val="Body"/>
              <w:jc w:val="right"/>
            </w:pPr>
            <w:r w:rsidRPr="003568DC">
              <w:t>075</w:t>
            </w:r>
          </w:p>
        </w:tc>
        <w:tc>
          <w:tcPr>
            <w:tcW w:w="2425" w:type="dxa"/>
          </w:tcPr>
          <w:p w:rsidR="00D4447D" w:rsidRPr="003568DC" w:rsidP="00C20E6B" w14:paraId="0ED234D0" w14:textId="77777777">
            <w:pPr>
              <w:pStyle w:val="Body"/>
              <w:jc w:val="right"/>
            </w:pPr>
            <w:r w:rsidRPr="003568DC">
              <w:t>520,435,800.00</w:t>
            </w:r>
          </w:p>
        </w:tc>
        <w:tc>
          <w:tcPr>
            <w:tcW w:w="2970" w:type="dxa"/>
          </w:tcPr>
          <w:p w:rsidR="00D4447D" w:rsidRPr="003568DC" w:rsidP="00C20E6B" w14:paraId="376B48A8" w14:textId="20F73AEB">
            <w:pPr>
              <w:pStyle w:val="Body"/>
              <w:jc w:val="right"/>
            </w:pPr>
            <w:r>
              <w:t>1.9117</w:t>
            </w:r>
          </w:p>
        </w:tc>
      </w:tr>
      <w:tr w14:paraId="611A5600" w14:textId="29CF1FD0" w:rsidTr="005C0F66">
        <w:tblPrEx>
          <w:tblW w:w="0" w:type="auto"/>
          <w:jc w:val="center"/>
          <w:tblLook w:val="04A0"/>
        </w:tblPrEx>
        <w:trPr>
          <w:cantSplit/>
          <w:jc w:val="center"/>
        </w:trPr>
        <w:tc>
          <w:tcPr>
            <w:tcW w:w="1260" w:type="dxa"/>
          </w:tcPr>
          <w:p w:rsidR="00D4447D" w:rsidRPr="003568DC" w:rsidP="00C20E6B" w14:paraId="1FCE828B" w14:textId="77777777">
            <w:pPr>
              <w:pStyle w:val="Body"/>
              <w:jc w:val="right"/>
            </w:pPr>
            <w:r w:rsidRPr="003568DC">
              <w:t>300</w:t>
            </w:r>
          </w:p>
        </w:tc>
        <w:tc>
          <w:tcPr>
            <w:tcW w:w="2425" w:type="dxa"/>
          </w:tcPr>
          <w:p w:rsidR="00D4447D" w:rsidRPr="003568DC" w:rsidP="00C20E6B" w14:paraId="5072D9CC" w14:textId="77777777">
            <w:pPr>
              <w:pStyle w:val="Body"/>
              <w:jc w:val="right"/>
            </w:pPr>
            <w:r w:rsidRPr="003568DC">
              <w:t>14,437,600.00</w:t>
            </w:r>
          </w:p>
        </w:tc>
        <w:tc>
          <w:tcPr>
            <w:tcW w:w="2970" w:type="dxa"/>
          </w:tcPr>
          <w:p w:rsidR="00D4447D" w:rsidRPr="003568DC" w:rsidP="00C20E6B" w14:paraId="0A042CAF" w14:textId="00DCE867">
            <w:pPr>
              <w:pStyle w:val="Body"/>
              <w:jc w:val="right"/>
            </w:pPr>
            <w:r>
              <w:t>1.0000</w:t>
            </w:r>
          </w:p>
        </w:tc>
      </w:tr>
      <w:tr w14:paraId="497B6153" w14:textId="5D32D8F0" w:rsidTr="005C0F66">
        <w:tblPrEx>
          <w:tblW w:w="0" w:type="auto"/>
          <w:jc w:val="center"/>
          <w:tblLook w:val="04A0"/>
        </w:tblPrEx>
        <w:trPr>
          <w:cantSplit/>
          <w:jc w:val="center"/>
        </w:trPr>
        <w:tc>
          <w:tcPr>
            <w:tcW w:w="1260" w:type="dxa"/>
            <w:tcBorders>
              <w:bottom w:val="single" w:sz="4" w:space="0" w:color="auto"/>
            </w:tcBorders>
          </w:tcPr>
          <w:p w:rsidR="00D4447D" w:rsidRPr="003568DC" w:rsidP="00C20E6B" w14:paraId="4A62379C" w14:textId="77777777">
            <w:pPr>
              <w:pStyle w:val="Body"/>
              <w:jc w:val="right"/>
            </w:pPr>
            <w:r w:rsidRPr="003568DC">
              <w:t>315</w:t>
            </w:r>
          </w:p>
        </w:tc>
        <w:tc>
          <w:tcPr>
            <w:tcW w:w="2425" w:type="dxa"/>
          </w:tcPr>
          <w:p w:rsidR="00D4447D" w:rsidRPr="003568DC" w:rsidP="00C20E6B" w14:paraId="34FC2DF2" w14:textId="77777777">
            <w:pPr>
              <w:pStyle w:val="Body"/>
              <w:jc w:val="right"/>
            </w:pPr>
            <w:r w:rsidRPr="003568DC">
              <w:t>38,388,900.00</w:t>
            </w:r>
          </w:p>
        </w:tc>
        <w:tc>
          <w:tcPr>
            <w:tcW w:w="2970" w:type="dxa"/>
            <w:tcBorders>
              <w:bottom w:val="single" w:sz="4" w:space="0" w:color="auto"/>
            </w:tcBorders>
          </w:tcPr>
          <w:p w:rsidR="00D4447D" w:rsidRPr="003568DC" w:rsidP="00C20E6B" w14:paraId="02B96534" w14:textId="12E855D0">
            <w:pPr>
              <w:pStyle w:val="Body"/>
              <w:jc w:val="right"/>
            </w:pPr>
            <w:r>
              <w:t>3.0000</w:t>
            </w:r>
          </w:p>
        </w:tc>
      </w:tr>
      <w:tr w14:paraId="782EBB60" w14:textId="1D6C3297" w:rsidTr="005C0F66">
        <w:tblPrEx>
          <w:tblW w:w="0" w:type="auto"/>
          <w:jc w:val="center"/>
          <w:tblLook w:val="04A0"/>
        </w:tblPrEx>
        <w:trPr>
          <w:cantSplit/>
          <w:jc w:val="center"/>
        </w:trPr>
        <w:tc>
          <w:tcPr>
            <w:tcW w:w="1260" w:type="dxa"/>
            <w:tcBorders>
              <w:left w:val="nil"/>
              <w:bottom w:val="nil"/>
            </w:tcBorders>
          </w:tcPr>
          <w:p w:rsidR="00D4447D" w:rsidRPr="003568DC" w:rsidP="00C20E6B" w14:paraId="1D5180C6" w14:textId="77777777">
            <w:pPr>
              <w:pStyle w:val="Body"/>
              <w:jc w:val="right"/>
            </w:pPr>
            <w:r w:rsidRPr="003568DC">
              <w:t>Sum</w:t>
            </w:r>
          </w:p>
        </w:tc>
        <w:tc>
          <w:tcPr>
            <w:tcW w:w="2425" w:type="dxa"/>
          </w:tcPr>
          <w:p w:rsidR="00D4447D" w:rsidRPr="003568DC" w:rsidP="00C20E6B" w14:paraId="5AC5FAAE" w14:textId="77777777">
            <w:pPr>
              <w:pStyle w:val="Body"/>
              <w:jc w:val="right"/>
              <w:rPr>
                <w:b/>
              </w:rPr>
            </w:pPr>
            <w:r w:rsidRPr="003568DC">
              <w:rPr>
                <w:b/>
              </w:rPr>
              <w:t>573,262,300.00</w:t>
            </w:r>
          </w:p>
        </w:tc>
        <w:tc>
          <w:tcPr>
            <w:tcW w:w="2970" w:type="dxa"/>
            <w:tcBorders>
              <w:bottom w:val="nil"/>
              <w:right w:val="nil"/>
            </w:tcBorders>
          </w:tcPr>
          <w:p w:rsidR="00D4447D" w:rsidRPr="003568DC" w:rsidP="00C20E6B" w14:paraId="5ADD9543" w14:textId="77777777">
            <w:pPr>
              <w:pStyle w:val="Body"/>
              <w:jc w:val="right"/>
              <w:rPr>
                <w:b/>
              </w:rPr>
            </w:pPr>
          </w:p>
        </w:tc>
      </w:tr>
    </w:tbl>
    <w:p w:rsidR="003568DC" w:rsidRPr="003568DC" w:rsidP="003568DC" w14:paraId="33D74DBC" w14:textId="77777777">
      <w:pPr>
        <w:pStyle w:val="Body"/>
      </w:pPr>
    </w:p>
    <w:p w:rsidR="003568DC" w:rsidRPr="003568DC" w:rsidP="003568DC" w14:paraId="65CDE283" w14:textId="33E583B7">
      <w:pPr>
        <w:pStyle w:val="Body"/>
      </w:pPr>
      <w:r w:rsidRPr="003568DC">
        <w:t xml:space="preserve">The incumbent’s incentive payment will be determined based on </w:t>
      </w:r>
      <w:r w:rsidR="001D674B">
        <w:t>its relinquishments in weighted MHz-pops</w:t>
      </w:r>
      <w:r w:rsidRPr="003568DC">
        <w:t>.</w:t>
      </w:r>
    </w:p>
    <w:p w:rsidR="003568DC" w:rsidRPr="003568DC" w:rsidP="003568DC" w14:paraId="2677A4CB" w14:textId="2AD1691D">
      <w:pPr>
        <w:pStyle w:val="Body"/>
      </w:pPr>
      <w:r w:rsidRPr="003568DC">
        <w:rPr>
          <w:b/>
          <w:u w:val="single"/>
        </w:rPr>
        <w:t>Example</w:t>
      </w:r>
      <w:r w:rsidR="00D4447D">
        <w:rPr>
          <w:b/>
          <w:u w:val="single"/>
        </w:rPr>
        <w:t xml:space="preserve"> </w:t>
      </w:r>
      <w:r w:rsidR="00C20E6B">
        <w:rPr>
          <w:b/>
          <w:u w:val="single"/>
        </w:rPr>
        <w:t>3</w:t>
      </w:r>
      <w:r w:rsidRPr="003568DC">
        <w:t xml:space="preserve">:  Consider an incumbent with </w:t>
      </w:r>
      <w:r w:rsidR="00DF6A55">
        <w:t>updated</w:t>
      </w:r>
      <w:r w:rsidRPr="003568DC">
        <w:t xml:space="preserve"> holdings in four PEAs who </w:t>
      </w:r>
      <w:r w:rsidR="007B5506">
        <w:t>selected Option 3</w:t>
      </w:r>
      <w:r w:rsidRPr="003568DC">
        <w:t xml:space="preserve">.  The weighted MHz-pops and the incumbent’s </w:t>
      </w:r>
      <w:r w:rsidR="00DF6A55">
        <w:t>updated</w:t>
      </w:r>
      <w:r w:rsidRPr="003568DC">
        <w:t xml:space="preserve"> holdings in each PEA are shown in the table below.</w:t>
      </w:r>
    </w:p>
    <w:p w:rsidR="003568DC" w:rsidRPr="003568DC" w:rsidP="003568DC" w14:paraId="56F9B41F" w14:textId="77777777">
      <w:pPr>
        <w:pStyle w:val="Body"/>
      </w:pPr>
    </w:p>
    <w:tbl>
      <w:tblPr>
        <w:tblStyle w:val="TableGrid"/>
        <w:tblW w:w="0" w:type="auto"/>
        <w:jc w:val="center"/>
        <w:tblLook w:val="04A0"/>
      </w:tblPr>
      <w:tblGrid>
        <w:gridCol w:w="680"/>
        <w:gridCol w:w="2105"/>
        <w:gridCol w:w="1474"/>
        <w:gridCol w:w="1756"/>
        <w:gridCol w:w="1744"/>
        <w:gridCol w:w="1591"/>
      </w:tblGrid>
      <w:tr w14:paraId="4CF6933C" w14:textId="77777777" w:rsidTr="005C0F66">
        <w:tblPrEx>
          <w:tblW w:w="0" w:type="auto"/>
          <w:jc w:val="center"/>
          <w:tblLook w:val="04A0"/>
        </w:tblPrEx>
        <w:trPr>
          <w:cantSplit/>
          <w:trHeight w:val="347"/>
          <w:jc w:val="center"/>
        </w:trPr>
        <w:tc>
          <w:tcPr>
            <w:tcW w:w="680" w:type="dxa"/>
            <w:vMerge w:val="restart"/>
          </w:tcPr>
          <w:p w:rsidR="003568DC" w:rsidRPr="003568DC" w:rsidP="00C20E6B" w14:paraId="447FE1D4" w14:textId="77777777">
            <w:pPr>
              <w:pStyle w:val="Body"/>
              <w:jc w:val="center"/>
            </w:pPr>
            <w:r w:rsidRPr="003568DC">
              <w:t>PEA</w:t>
            </w:r>
          </w:p>
        </w:tc>
        <w:tc>
          <w:tcPr>
            <w:tcW w:w="2105" w:type="dxa"/>
            <w:vMerge w:val="restart"/>
          </w:tcPr>
          <w:p w:rsidR="003568DC" w:rsidRPr="003568DC" w:rsidP="00C20E6B" w14:paraId="79075050" w14:textId="52AD0252">
            <w:pPr>
              <w:pStyle w:val="Body"/>
              <w:jc w:val="center"/>
            </w:pPr>
            <w:r w:rsidRPr="003568DC">
              <w:t>PEA Weighted MHz-Pops</w:t>
            </w:r>
            <w:r w:rsidR="00D4447D">
              <w:t xml:space="preserve"> per Block</w:t>
            </w:r>
          </w:p>
          <w:p w:rsidR="003568DC" w:rsidRPr="003568DC" w:rsidP="00C20E6B" w14:paraId="28A10626" w14:textId="77777777">
            <w:pPr>
              <w:pStyle w:val="Body"/>
              <w:jc w:val="center"/>
            </w:pPr>
          </w:p>
        </w:tc>
        <w:tc>
          <w:tcPr>
            <w:tcW w:w="3230" w:type="dxa"/>
            <w:gridSpan w:val="2"/>
          </w:tcPr>
          <w:p w:rsidR="003568DC" w:rsidRPr="003568DC" w:rsidP="00C20E6B" w14:paraId="70ADDFA6" w14:textId="3EBA3CDA">
            <w:pPr>
              <w:pStyle w:val="Body"/>
              <w:jc w:val="center"/>
            </w:pPr>
            <w:r>
              <w:t>Updated</w:t>
            </w:r>
            <w:r w:rsidRPr="003568DC">
              <w:t xml:space="preserve"> Holdings</w:t>
            </w:r>
          </w:p>
        </w:tc>
        <w:tc>
          <w:tcPr>
            <w:tcW w:w="3335" w:type="dxa"/>
            <w:gridSpan w:val="2"/>
          </w:tcPr>
          <w:p w:rsidR="003568DC" w:rsidRPr="003568DC" w:rsidP="00C20E6B" w14:paraId="5969DAAA" w14:textId="4F3B2166">
            <w:pPr>
              <w:pStyle w:val="Body"/>
              <w:jc w:val="center"/>
            </w:pPr>
            <w:r w:rsidRPr="003568DC">
              <w:t>Redistributed Holdings</w:t>
            </w:r>
          </w:p>
        </w:tc>
      </w:tr>
      <w:tr w14:paraId="680849F6" w14:textId="77777777" w:rsidTr="00C20E6B">
        <w:tblPrEx>
          <w:tblW w:w="0" w:type="auto"/>
          <w:jc w:val="center"/>
          <w:tblLook w:val="04A0"/>
        </w:tblPrEx>
        <w:trPr>
          <w:trHeight w:val="346"/>
          <w:jc w:val="center"/>
        </w:trPr>
        <w:tc>
          <w:tcPr>
            <w:tcW w:w="680" w:type="dxa"/>
            <w:vMerge/>
          </w:tcPr>
          <w:p w:rsidR="003568DC" w:rsidRPr="003568DC" w:rsidP="00C20E6B" w14:paraId="2A7B38B8" w14:textId="77777777">
            <w:pPr>
              <w:pStyle w:val="Body"/>
              <w:jc w:val="center"/>
            </w:pPr>
          </w:p>
        </w:tc>
        <w:tc>
          <w:tcPr>
            <w:tcW w:w="2105" w:type="dxa"/>
            <w:vMerge/>
          </w:tcPr>
          <w:p w:rsidR="003568DC" w:rsidRPr="003568DC" w:rsidP="00C20E6B" w14:paraId="543BAF1A" w14:textId="77777777">
            <w:pPr>
              <w:pStyle w:val="Body"/>
              <w:jc w:val="center"/>
            </w:pPr>
          </w:p>
        </w:tc>
        <w:tc>
          <w:tcPr>
            <w:tcW w:w="1474" w:type="dxa"/>
          </w:tcPr>
          <w:p w:rsidR="003568DC" w:rsidRPr="003568DC" w:rsidP="00C20E6B" w14:paraId="10B9647F" w14:textId="6025C4DD">
            <w:pPr>
              <w:pStyle w:val="Body"/>
              <w:jc w:val="center"/>
            </w:pPr>
            <w:r>
              <w:t xml:space="preserve"> </w:t>
            </w:r>
            <w:r w:rsidRPr="003568DC">
              <w:t>Blocks</w:t>
            </w:r>
            <w:r w:rsidR="00B658F8">
              <w:t xml:space="preserve"> (rounded to 4 decimal places)</w:t>
            </w:r>
          </w:p>
        </w:tc>
        <w:tc>
          <w:tcPr>
            <w:tcW w:w="1756" w:type="dxa"/>
          </w:tcPr>
          <w:p w:rsidR="003568DC" w:rsidRPr="003568DC" w:rsidP="00C20E6B" w14:paraId="33510CC4" w14:textId="44AE9F05">
            <w:pPr>
              <w:pStyle w:val="Body"/>
              <w:jc w:val="center"/>
            </w:pPr>
            <w:r w:rsidRPr="003568DC">
              <w:t xml:space="preserve">Weighted </w:t>
            </w:r>
            <w:r w:rsidR="00C20E6B">
              <w:t xml:space="preserve">   </w:t>
            </w:r>
            <w:r w:rsidRPr="003568DC">
              <w:t>MHz-Pops</w:t>
            </w:r>
          </w:p>
        </w:tc>
        <w:tc>
          <w:tcPr>
            <w:tcW w:w="1744" w:type="dxa"/>
          </w:tcPr>
          <w:p w:rsidR="003568DC" w:rsidRPr="003568DC" w:rsidP="00C20E6B" w14:paraId="4763909F" w14:textId="3BE699F4">
            <w:pPr>
              <w:pStyle w:val="Body"/>
              <w:jc w:val="center"/>
            </w:pPr>
            <w:r w:rsidRPr="003568DC">
              <w:t>Blocks (</w:t>
            </w:r>
            <w:r w:rsidR="00B658F8">
              <w:t>e</w:t>
            </w:r>
            <w:r w:rsidRPr="003568DC" w:rsidR="00B658F8">
              <w:t xml:space="preserve">ntered </w:t>
            </w:r>
            <w:r w:rsidRPr="003568DC">
              <w:t xml:space="preserve">by </w:t>
            </w:r>
            <w:r w:rsidR="00B658F8">
              <w:t>i</w:t>
            </w:r>
            <w:r w:rsidRPr="003568DC" w:rsidR="00B658F8">
              <w:t>ncumbent</w:t>
            </w:r>
            <w:r w:rsidRPr="003568DC">
              <w:t>)</w:t>
            </w:r>
          </w:p>
        </w:tc>
        <w:tc>
          <w:tcPr>
            <w:tcW w:w="1591" w:type="dxa"/>
          </w:tcPr>
          <w:p w:rsidR="003568DC" w:rsidRPr="003568DC" w:rsidP="00C20E6B" w14:paraId="51B0004C" w14:textId="77777777">
            <w:pPr>
              <w:pStyle w:val="Body"/>
              <w:jc w:val="center"/>
            </w:pPr>
            <w:r w:rsidRPr="003568DC">
              <w:t>Weighted MHz-Pops</w:t>
            </w:r>
          </w:p>
        </w:tc>
      </w:tr>
      <w:tr w14:paraId="65DA56ED" w14:textId="77777777" w:rsidTr="00C20E6B">
        <w:tblPrEx>
          <w:tblW w:w="0" w:type="auto"/>
          <w:jc w:val="center"/>
          <w:tblLook w:val="04A0"/>
        </w:tblPrEx>
        <w:trPr>
          <w:jc w:val="center"/>
        </w:trPr>
        <w:tc>
          <w:tcPr>
            <w:tcW w:w="680" w:type="dxa"/>
          </w:tcPr>
          <w:p w:rsidR="003568DC" w:rsidRPr="003568DC" w:rsidP="00C20E6B" w14:paraId="210A40DB" w14:textId="77777777">
            <w:pPr>
              <w:pStyle w:val="Body"/>
              <w:jc w:val="right"/>
            </w:pPr>
            <w:r w:rsidRPr="003568DC">
              <w:t>075</w:t>
            </w:r>
          </w:p>
        </w:tc>
        <w:tc>
          <w:tcPr>
            <w:tcW w:w="2105" w:type="dxa"/>
          </w:tcPr>
          <w:p w:rsidR="003568DC" w:rsidRPr="003568DC" w:rsidP="00C20E6B" w14:paraId="2166C6E9" w14:textId="77777777">
            <w:pPr>
              <w:pStyle w:val="Body"/>
              <w:jc w:val="right"/>
            </w:pPr>
            <w:r w:rsidRPr="003568DC">
              <w:t>272,241,100</w:t>
            </w:r>
          </w:p>
        </w:tc>
        <w:tc>
          <w:tcPr>
            <w:tcW w:w="1474" w:type="dxa"/>
          </w:tcPr>
          <w:p w:rsidR="003568DC" w:rsidRPr="003568DC" w:rsidP="00C20E6B" w14:paraId="7EE998B4" w14:textId="77777777">
            <w:pPr>
              <w:pStyle w:val="Body"/>
              <w:jc w:val="right"/>
            </w:pPr>
            <w:r w:rsidRPr="003568DC">
              <w:t>1.9755</w:t>
            </w:r>
          </w:p>
        </w:tc>
        <w:tc>
          <w:tcPr>
            <w:tcW w:w="1756" w:type="dxa"/>
          </w:tcPr>
          <w:p w:rsidR="003568DC" w:rsidRPr="003568DC" w:rsidP="00C20E6B" w14:paraId="62943D34" w14:textId="77777777">
            <w:pPr>
              <w:pStyle w:val="Body"/>
              <w:jc w:val="right"/>
            </w:pPr>
            <w:r w:rsidRPr="003568DC">
              <w:t>537,798,800.00</w:t>
            </w:r>
          </w:p>
        </w:tc>
        <w:tc>
          <w:tcPr>
            <w:tcW w:w="1744" w:type="dxa"/>
          </w:tcPr>
          <w:p w:rsidR="003568DC" w:rsidRPr="003568DC" w:rsidP="00C20E6B" w14:paraId="6BFCF1FE" w14:textId="77777777">
            <w:pPr>
              <w:pStyle w:val="Body"/>
              <w:jc w:val="right"/>
            </w:pPr>
            <w:r w:rsidRPr="003568DC">
              <w:t>2.0000</w:t>
            </w:r>
          </w:p>
        </w:tc>
        <w:tc>
          <w:tcPr>
            <w:tcW w:w="1591" w:type="dxa"/>
          </w:tcPr>
          <w:p w:rsidR="003568DC" w:rsidRPr="003568DC" w:rsidP="00C20E6B" w14:paraId="61DC9203" w14:textId="77777777">
            <w:pPr>
              <w:pStyle w:val="Body"/>
              <w:jc w:val="right"/>
            </w:pPr>
            <w:r w:rsidRPr="003568DC">
              <w:t>544,482,200.00</w:t>
            </w:r>
          </w:p>
        </w:tc>
      </w:tr>
      <w:tr w14:paraId="691DBD5C" w14:textId="77777777" w:rsidTr="00C20E6B">
        <w:tblPrEx>
          <w:tblW w:w="0" w:type="auto"/>
          <w:jc w:val="center"/>
          <w:tblLook w:val="04A0"/>
        </w:tblPrEx>
        <w:trPr>
          <w:jc w:val="center"/>
        </w:trPr>
        <w:tc>
          <w:tcPr>
            <w:tcW w:w="680" w:type="dxa"/>
          </w:tcPr>
          <w:p w:rsidR="003568DC" w:rsidRPr="003568DC" w:rsidP="00C20E6B" w14:paraId="0445BA23" w14:textId="77777777">
            <w:pPr>
              <w:pStyle w:val="Body"/>
              <w:jc w:val="right"/>
            </w:pPr>
            <w:r w:rsidRPr="003568DC">
              <w:t>100</w:t>
            </w:r>
          </w:p>
        </w:tc>
        <w:tc>
          <w:tcPr>
            <w:tcW w:w="2105" w:type="dxa"/>
          </w:tcPr>
          <w:p w:rsidR="003568DC" w:rsidRPr="003568DC" w:rsidP="00C20E6B" w14:paraId="020283BF" w14:textId="77777777">
            <w:pPr>
              <w:pStyle w:val="Body"/>
              <w:jc w:val="right"/>
            </w:pPr>
            <w:r w:rsidRPr="003568DC">
              <w:t>254,421,200</w:t>
            </w:r>
          </w:p>
        </w:tc>
        <w:tc>
          <w:tcPr>
            <w:tcW w:w="1474" w:type="dxa"/>
          </w:tcPr>
          <w:p w:rsidR="003568DC" w:rsidRPr="003568DC" w:rsidP="00C20E6B" w14:paraId="3584DE40" w14:textId="77777777">
            <w:pPr>
              <w:pStyle w:val="Body"/>
              <w:jc w:val="right"/>
            </w:pPr>
            <w:r w:rsidRPr="003568DC">
              <w:t>0.9639</w:t>
            </w:r>
          </w:p>
        </w:tc>
        <w:tc>
          <w:tcPr>
            <w:tcW w:w="1756" w:type="dxa"/>
          </w:tcPr>
          <w:p w:rsidR="003568DC" w:rsidRPr="003568DC" w:rsidP="00C20E6B" w14:paraId="454F0901" w14:textId="77777777">
            <w:pPr>
              <w:pStyle w:val="Body"/>
              <w:jc w:val="right"/>
            </w:pPr>
            <w:r w:rsidRPr="003568DC">
              <w:t>245,231,400.00</w:t>
            </w:r>
          </w:p>
        </w:tc>
        <w:tc>
          <w:tcPr>
            <w:tcW w:w="1744" w:type="dxa"/>
          </w:tcPr>
          <w:p w:rsidR="003568DC" w:rsidRPr="003568DC" w:rsidP="00C20E6B" w14:paraId="04194E59" w14:textId="77777777">
            <w:pPr>
              <w:pStyle w:val="Body"/>
              <w:jc w:val="right"/>
            </w:pPr>
            <w:r w:rsidRPr="003568DC">
              <w:t>0.5000</w:t>
            </w:r>
          </w:p>
        </w:tc>
        <w:tc>
          <w:tcPr>
            <w:tcW w:w="1591" w:type="dxa"/>
          </w:tcPr>
          <w:p w:rsidR="003568DC" w:rsidRPr="003568DC" w:rsidP="00C20E6B" w14:paraId="59DF5DC9" w14:textId="77777777">
            <w:pPr>
              <w:pStyle w:val="Body"/>
              <w:jc w:val="right"/>
            </w:pPr>
            <w:r w:rsidRPr="003568DC">
              <w:t>127,210,600.00</w:t>
            </w:r>
          </w:p>
        </w:tc>
      </w:tr>
      <w:tr w14:paraId="28CDDAF5" w14:textId="77777777" w:rsidTr="00C20E6B">
        <w:tblPrEx>
          <w:tblW w:w="0" w:type="auto"/>
          <w:jc w:val="center"/>
          <w:tblLook w:val="04A0"/>
        </w:tblPrEx>
        <w:trPr>
          <w:jc w:val="center"/>
        </w:trPr>
        <w:tc>
          <w:tcPr>
            <w:tcW w:w="680" w:type="dxa"/>
          </w:tcPr>
          <w:p w:rsidR="003568DC" w:rsidRPr="003568DC" w:rsidP="00C20E6B" w14:paraId="34F66E5B" w14:textId="77777777">
            <w:pPr>
              <w:pStyle w:val="Body"/>
              <w:jc w:val="right"/>
            </w:pPr>
            <w:r w:rsidRPr="003568DC">
              <w:t>125</w:t>
            </w:r>
          </w:p>
        </w:tc>
        <w:tc>
          <w:tcPr>
            <w:tcW w:w="2105" w:type="dxa"/>
            <w:vAlign w:val="bottom"/>
          </w:tcPr>
          <w:p w:rsidR="003568DC" w:rsidRPr="003568DC" w:rsidP="00C20E6B" w14:paraId="6CF45D2A" w14:textId="77777777">
            <w:pPr>
              <w:pStyle w:val="Body"/>
              <w:jc w:val="right"/>
            </w:pPr>
            <w:r w:rsidRPr="003568DC">
              <w:t>189,302,200</w:t>
            </w:r>
          </w:p>
        </w:tc>
        <w:tc>
          <w:tcPr>
            <w:tcW w:w="1474" w:type="dxa"/>
          </w:tcPr>
          <w:p w:rsidR="003568DC" w:rsidRPr="003568DC" w:rsidP="00C20E6B" w14:paraId="75A718BA" w14:textId="77777777">
            <w:pPr>
              <w:pStyle w:val="Body"/>
              <w:jc w:val="right"/>
            </w:pPr>
            <w:r w:rsidRPr="003568DC">
              <w:t>1.0876</w:t>
            </w:r>
          </w:p>
        </w:tc>
        <w:tc>
          <w:tcPr>
            <w:tcW w:w="1756" w:type="dxa"/>
            <w:vAlign w:val="bottom"/>
          </w:tcPr>
          <w:p w:rsidR="003568DC" w:rsidRPr="003568DC" w:rsidP="00C20E6B" w14:paraId="266C9D2B" w14:textId="77777777">
            <w:pPr>
              <w:pStyle w:val="Body"/>
              <w:jc w:val="right"/>
            </w:pPr>
            <w:r w:rsidRPr="003568DC">
              <w:t>205,891,400.00</w:t>
            </w:r>
          </w:p>
        </w:tc>
        <w:tc>
          <w:tcPr>
            <w:tcW w:w="1744" w:type="dxa"/>
          </w:tcPr>
          <w:p w:rsidR="003568DC" w:rsidRPr="003568DC" w:rsidP="00C20E6B" w14:paraId="2FD64F5E" w14:textId="77777777">
            <w:pPr>
              <w:pStyle w:val="Body"/>
              <w:jc w:val="right"/>
            </w:pPr>
            <w:r w:rsidRPr="003568DC">
              <w:t>1.0000</w:t>
            </w:r>
          </w:p>
        </w:tc>
        <w:tc>
          <w:tcPr>
            <w:tcW w:w="1591" w:type="dxa"/>
          </w:tcPr>
          <w:p w:rsidR="003568DC" w:rsidRPr="003568DC" w:rsidP="00C20E6B" w14:paraId="4BAF8D55" w14:textId="77777777">
            <w:pPr>
              <w:pStyle w:val="Body"/>
              <w:jc w:val="right"/>
            </w:pPr>
            <w:r w:rsidRPr="003568DC">
              <w:t>189,302,200.00</w:t>
            </w:r>
          </w:p>
        </w:tc>
      </w:tr>
      <w:tr w14:paraId="2AF4A78D" w14:textId="77777777" w:rsidTr="00C20E6B">
        <w:tblPrEx>
          <w:tblW w:w="0" w:type="auto"/>
          <w:jc w:val="center"/>
          <w:tblLook w:val="04A0"/>
        </w:tblPrEx>
        <w:trPr>
          <w:jc w:val="center"/>
        </w:trPr>
        <w:tc>
          <w:tcPr>
            <w:tcW w:w="680" w:type="dxa"/>
            <w:tcBorders>
              <w:bottom w:val="single" w:sz="4" w:space="0" w:color="auto"/>
            </w:tcBorders>
          </w:tcPr>
          <w:p w:rsidR="003568DC" w:rsidRPr="003568DC" w:rsidP="00C20E6B" w14:paraId="7C55C41D" w14:textId="77777777">
            <w:pPr>
              <w:pStyle w:val="Body"/>
              <w:jc w:val="right"/>
            </w:pPr>
            <w:r w:rsidRPr="003568DC">
              <w:t>300</w:t>
            </w:r>
          </w:p>
        </w:tc>
        <w:tc>
          <w:tcPr>
            <w:tcW w:w="2105" w:type="dxa"/>
            <w:tcBorders>
              <w:bottom w:val="single" w:sz="4" w:space="0" w:color="auto"/>
            </w:tcBorders>
            <w:vAlign w:val="bottom"/>
          </w:tcPr>
          <w:p w:rsidR="003568DC" w:rsidRPr="003568DC" w:rsidP="00C20E6B" w14:paraId="015187F2" w14:textId="77777777">
            <w:pPr>
              <w:pStyle w:val="Body"/>
              <w:jc w:val="right"/>
            </w:pPr>
            <w:r w:rsidRPr="003568DC">
              <w:t>14,437,600</w:t>
            </w:r>
          </w:p>
        </w:tc>
        <w:tc>
          <w:tcPr>
            <w:tcW w:w="1474" w:type="dxa"/>
            <w:tcBorders>
              <w:bottom w:val="single" w:sz="4" w:space="0" w:color="auto"/>
            </w:tcBorders>
          </w:tcPr>
          <w:p w:rsidR="003568DC" w:rsidRPr="003568DC" w:rsidP="00C20E6B" w14:paraId="2FD908AF" w14:textId="77777777">
            <w:pPr>
              <w:pStyle w:val="Body"/>
              <w:jc w:val="right"/>
            </w:pPr>
            <w:r w:rsidRPr="003568DC">
              <w:t>1.1826</w:t>
            </w:r>
          </w:p>
        </w:tc>
        <w:tc>
          <w:tcPr>
            <w:tcW w:w="1756" w:type="dxa"/>
            <w:vAlign w:val="bottom"/>
          </w:tcPr>
          <w:p w:rsidR="003568DC" w:rsidRPr="003568DC" w:rsidP="00C20E6B" w14:paraId="342EFD24" w14:textId="77777777">
            <w:pPr>
              <w:pStyle w:val="Body"/>
              <w:jc w:val="right"/>
            </w:pPr>
            <w:r w:rsidRPr="003568DC">
              <w:t>17,074,600.00</w:t>
            </w:r>
          </w:p>
        </w:tc>
        <w:tc>
          <w:tcPr>
            <w:tcW w:w="1744" w:type="dxa"/>
            <w:tcBorders>
              <w:bottom w:val="single" w:sz="4" w:space="0" w:color="auto"/>
            </w:tcBorders>
          </w:tcPr>
          <w:p w:rsidR="003568DC" w:rsidRPr="003568DC" w:rsidP="00C20E6B" w14:paraId="09B20BB6" w14:textId="77777777">
            <w:pPr>
              <w:pStyle w:val="Body"/>
              <w:jc w:val="right"/>
            </w:pPr>
            <w:r w:rsidRPr="003568DC">
              <w:t>1.1000</w:t>
            </w:r>
          </w:p>
        </w:tc>
        <w:tc>
          <w:tcPr>
            <w:tcW w:w="1591" w:type="dxa"/>
          </w:tcPr>
          <w:p w:rsidR="003568DC" w:rsidRPr="003568DC" w:rsidP="00C20E6B" w14:paraId="0E77F4BD" w14:textId="77777777">
            <w:pPr>
              <w:pStyle w:val="Body"/>
              <w:jc w:val="right"/>
            </w:pPr>
            <w:r w:rsidRPr="003568DC">
              <w:t xml:space="preserve">  15,881,360.00</w:t>
            </w:r>
          </w:p>
        </w:tc>
      </w:tr>
      <w:tr w14:paraId="10FD4527" w14:textId="77777777" w:rsidTr="00C20E6B">
        <w:tblPrEx>
          <w:tblW w:w="0" w:type="auto"/>
          <w:jc w:val="center"/>
          <w:tblLook w:val="04A0"/>
        </w:tblPrEx>
        <w:trPr>
          <w:jc w:val="center"/>
        </w:trPr>
        <w:tc>
          <w:tcPr>
            <w:tcW w:w="2785" w:type="dxa"/>
            <w:gridSpan w:val="2"/>
            <w:tcBorders>
              <w:left w:val="nil"/>
              <w:bottom w:val="nil"/>
              <w:right w:val="nil"/>
            </w:tcBorders>
          </w:tcPr>
          <w:p w:rsidR="003568DC" w:rsidRPr="003568DC" w:rsidP="00C20E6B" w14:paraId="06CCA6DA" w14:textId="77777777">
            <w:pPr>
              <w:pStyle w:val="Body"/>
              <w:jc w:val="right"/>
            </w:pPr>
          </w:p>
        </w:tc>
        <w:tc>
          <w:tcPr>
            <w:tcW w:w="1474" w:type="dxa"/>
            <w:tcBorders>
              <w:left w:val="nil"/>
              <w:bottom w:val="nil"/>
            </w:tcBorders>
          </w:tcPr>
          <w:p w:rsidR="003568DC" w:rsidRPr="003568DC" w:rsidP="00C20E6B" w14:paraId="7429B420" w14:textId="77777777">
            <w:pPr>
              <w:pStyle w:val="Body"/>
              <w:jc w:val="right"/>
            </w:pPr>
            <w:r w:rsidRPr="003568DC">
              <w:t>Sum</w:t>
            </w:r>
          </w:p>
        </w:tc>
        <w:tc>
          <w:tcPr>
            <w:tcW w:w="1756" w:type="dxa"/>
            <w:vAlign w:val="bottom"/>
          </w:tcPr>
          <w:p w:rsidR="003568DC" w:rsidRPr="003568DC" w:rsidP="00C20E6B" w14:paraId="7EF01749" w14:textId="77777777">
            <w:pPr>
              <w:pStyle w:val="Body"/>
              <w:jc w:val="right"/>
              <w:rPr>
                <w:b/>
              </w:rPr>
            </w:pPr>
            <w:r w:rsidRPr="003568DC">
              <w:rPr>
                <w:b/>
              </w:rPr>
              <w:t>1,005,996,200.00</w:t>
            </w:r>
          </w:p>
        </w:tc>
        <w:tc>
          <w:tcPr>
            <w:tcW w:w="1744" w:type="dxa"/>
            <w:tcBorders>
              <w:bottom w:val="nil"/>
            </w:tcBorders>
          </w:tcPr>
          <w:p w:rsidR="003568DC" w:rsidRPr="003568DC" w:rsidP="00C20E6B" w14:paraId="5BBA4414" w14:textId="77777777">
            <w:pPr>
              <w:pStyle w:val="Body"/>
              <w:jc w:val="right"/>
            </w:pPr>
            <w:r w:rsidRPr="003568DC">
              <w:t>Sum</w:t>
            </w:r>
          </w:p>
        </w:tc>
        <w:tc>
          <w:tcPr>
            <w:tcW w:w="1591" w:type="dxa"/>
          </w:tcPr>
          <w:p w:rsidR="003568DC" w:rsidRPr="003568DC" w:rsidP="00C20E6B" w14:paraId="13D29726" w14:textId="77777777">
            <w:pPr>
              <w:pStyle w:val="Body"/>
              <w:jc w:val="right"/>
              <w:rPr>
                <w:b/>
              </w:rPr>
            </w:pPr>
            <w:r w:rsidRPr="003568DC">
              <w:rPr>
                <w:b/>
              </w:rPr>
              <w:t>876,876,360.00</w:t>
            </w:r>
          </w:p>
        </w:tc>
      </w:tr>
    </w:tbl>
    <w:p w:rsidR="003568DC" w:rsidRPr="003568DC" w:rsidP="003568DC" w14:paraId="5F52B36C" w14:textId="77777777">
      <w:pPr>
        <w:pStyle w:val="Body"/>
      </w:pPr>
    </w:p>
    <w:p w:rsidR="003568DC" w:rsidRPr="003568DC" w:rsidP="003568DC" w14:paraId="02BA104D" w14:textId="18AD08B3">
      <w:pPr>
        <w:pStyle w:val="Body"/>
      </w:pPr>
      <w:r w:rsidRPr="003568DC">
        <w:t xml:space="preserve">The weighted MHz-pops of the </w:t>
      </w:r>
      <w:r w:rsidR="00DF6A55">
        <w:t>updated</w:t>
      </w:r>
      <w:r w:rsidRPr="003568DC">
        <w:t xml:space="preserve"> holdings exceed the weighted MHz-pops of the redistributed holdings by 1,005,996,200.00 – 876,876,360.00 = 129,119,840.00.  To assign this </w:t>
      </w:r>
      <w:r w:rsidR="005C38F8">
        <w:t>remainder</w:t>
      </w:r>
      <w:r w:rsidRPr="003568DC">
        <w:t>:</w:t>
      </w:r>
    </w:p>
    <w:p w:rsidR="003568DC" w:rsidRPr="003568DC" w:rsidP="003568DC" w14:paraId="37101A30" w14:textId="52A182E2">
      <w:pPr>
        <w:pStyle w:val="Body"/>
        <w:numPr>
          <w:ilvl w:val="0"/>
          <w:numId w:val="64"/>
        </w:numPr>
      </w:pPr>
      <w:r w:rsidRPr="003568DC">
        <w:t xml:space="preserve">The system will first consider whether it can assign any of the </w:t>
      </w:r>
      <w:r w:rsidR="005C38F8">
        <w:t>remainder</w:t>
      </w:r>
      <w:r w:rsidRPr="003568DC">
        <w:t xml:space="preserve"> to PEA075, but that is not possible because the incumbent already has 2 </w:t>
      </w:r>
      <w:r w:rsidR="005C38F8">
        <w:t xml:space="preserve">full </w:t>
      </w:r>
      <w:r w:rsidRPr="003568DC">
        <w:t>blocks in PEA075.</w:t>
      </w:r>
    </w:p>
    <w:p w:rsidR="003568DC" w:rsidRPr="003568DC" w:rsidP="003568DC" w14:paraId="7FC97076" w14:textId="19270726">
      <w:pPr>
        <w:pStyle w:val="Body"/>
        <w:numPr>
          <w:ilvl w:val="0"/>
          <w:numId w:val="64"/>
        </w:numPr>
      </w:pPr>
      <w:r w:rsidRPr="003568DC">
        <w:t xml:space="preserve">The system will then consider whether it can assign any of the </w:t>
      </w:r>
      <w:r w:rsidR="005C38F8">
        <w:t>remainder</w:t>
      </w:r>
      <w:r w:rsidRPr="003568DC">
        <w:t xml:space="preserve"> to PEA100.  There </w:t>
      </w:r>
      <w:r w:rsidR="005C38F8">
        <w:t>are</w:t>
      </w:r>
      <w:r w:rsidRPr="003568DC">
        <w:t xml:space="preserve"> enough </w:t>
      </w:r>
      <w:r w:rsidR="005C38F8">
        <w:t>remaining</w:t>
      </w:r>
      <w:r w:rsidRPr="003568DC">
        <w:t xml:space="preserve"> weighted MHz-pops to increase the quantity in PEA100 to 1 block (the maximum amount for that PEA) which corresponds to weighted MHz-pops of 254,421,200.  After this increase in PEA100, the </w:t>
      </w:r>
      <w:r w:rsidR="005C38F8">
        <w:t>remainder</w:t>
      </w:r>
      <w:r w:rsidRPr="003568DC">
        <w:t xml:space="preserve"> MHz-pops is 1,909,240.</w:t>
      </w:r>
    </w:p>
    <w:p w:rsidR="003568DC" w:rsidRPr="003568DC" w:rsidP="003568DC" w14:paraId="6DEC6B94" w14:textId="1C7D11DA">
      <w:pPr>
        <w:pStyle w:val="Body"/>
        <w:numPr>
          <w:ilvl w:val="0"/>
          <w:numId w:val="64"/>
        </w:numPr>
      </w:pPr>
      <w:r w:rsidRPr="003568DC">
        <w:t xml:space="preserve">The remaining leftover quantity is assigned to PEA125.  </w:t>
      </w:r>
    </w:p>
    <w:p w:rsidR="003568DC" w:rsidRPr="003568DC" w:rsidP="003568DC" w14:paraId="21E811C4" w14:textId="77777777">
      <w:pPr>
        <w:pStyle w:val="Body"/>
      </w:pPr>
    </w:p>
    <w:p w:rsidR="003568DC" w:rsidRPr="003568DC" w:rsidP="003568DC" w14:paraId="5EFE4F90" w14:textId="2ECA8F0F">
      <w:pPr>
        <w:pStyle w:val="Body"/>
      </w:pPr>
      <w:r w:rsidRPr="003568DC">
        <w:t xml:space="preserve">Then, the resulting weighted MHz-pops </w:t>
      </w:r>
      <w:r w:rsidR="00C87A97">
        <w:t xml:space="preserve">after the initial commitment </w:t>
      </w:r>
      <w:r w:rsidRPr="003568DC">
        <w:t>will be as follows:</w:t>
      </w:r>
    </w:p>
    <w:tbl>
      <w:tblPr>
        <w:tblStyle w:val="TableGrid"/>
        <w:tblW w:w="0" w:type="auto"/>
        <w:jc w:val="center"/>
        <w:tblLook w:val="04A0"/>
      </w:tblPr>
      <w:tblGrid>
        <w:gridCol w:w="1260"/>
        <w:gridCol w:w="2425"/>
        <w:gridCol w:w="2880"/>
      </w:tblGrid>
      <w:tr w14:paraId="3280D4FC" w14:textId="1816CA8E" w:rsidTr="005C0F66">
        <w:tblPrEx>
          <w:tblW w:w="0" w:type="auto"/>
          <w:jc w:val="center"/>
          <w:tblLook w:val="04A0"/>
        </w:tblPrEx>
        <w:trPr>
          <w:cantSplit/>
          <w:jc w:val="center"/>
        </w:trPr>
        <w:tc>
          <w:tcPr>
            <w:tcW w:w="1260" w:type="dxa"/>
          </w:tcPr>
          <w:p w:rsidR="007B5506" w:rsidRPr="003568DC" w:rsidP="00C20E6B" w14:paraId="5D3F2C77" w14:textId="77777777">
            <w:pPr>
              <w:pStyle w:val="Body"/>
              <w:jc w:val="center"/>
            </w:pPr>
            <w:r w:rsidRPr="003568DC">
              <w:t>PEA</w:t>
            </w:r>
          </w:p>
        </w:tc>
        <w:tc>
          <w:tcPr>
            <w:tcW w:w="2425" w:type="dxa"/>
          </w:tcPr>
          <w:p w:rsidR="007B5506" w:rsidRPr="003568DC" w:rsidP="00C20E6B" w14:paraId="5B99B34F" w14:textId="77777777">
            <w:pPr>
              <w:pStyle w:val="Body"/>
              <w:jc w:val="center"/>
            </w:pPr>
            <w:r w:rsidRPr="003568DC">
              <w:t>Relinquishments in Weighted MHz-Pops</w:t>
            </w:r>
          </w:p>
        </w:tc>
        <w:tc>
          <w:tcPr>
            <w:tcW w:w="2880" w:type="dxa"/>
          </w:tcPr>
          <w:p w:rsidR="007959D0" w:rsidP="007959D0" w14:paraId="5AB5B96F" w14:textId="41337373">
            <w:pPr>
              <w:pStyle w:val="Body"/>
              <w:jc w:val="center"/>
            </w:pPr>
            <w:r>
              <w:t>Block Equivalents</w:t>
            </w:r>
          </w:p>
          <w:p w:rsidR="007B5506" w:rsidRPr="003568DC" w:rsidP="007959D0" w14:paraId="3D656BC0" w14:textId="6DE0D3FF">
            <w:pPr>
              <w:pStyle w:val="Body"/>
              <w:jc w:val="center"/>
            </w:pPr>
            <w:r>
              <w:t>(rounded to 4 decimal places)</w:t>
            </w:r>
          </w:p>
        </w:tc>
      </w:tr>
      <w:tr w14:paraId="30F9C0FC" w14:textId="76E36722" w:rsidTr="005C0F66">
        <w:tblPrEx>
          <w:tblW w:w="0" w:type="auto"/>
          <w:jc w:val="center"/>
          <w:tblLook w:val="04A0"/>
        </w:tblPrEx>
        <w:trPr>
          <w:cantSplit/>
          <w:jc w:val="center"/>
        </w:trPr>
        <w:tc>
          <w:tcPr>
            <w:tcW w:w="1260" w:type="dxa"/>
          </w:tcPr>
          <w:p w:rsidR="007B5506" w:rsidRPr="003568DC" w:rsidP="00C20E6B" w14:paraId="1377A7FC" w14:textId="77777777">
            <w:pPr>
              <w:pStyle w:val="Body"/>
              <w:jc w:val="right"/>
            </w:pPr>
            <w:r w:rsidRPr="003568DC">
              <w:t>075</w:t>
            </w:r>
          </w:p>
        </w:tc>
        <w:tc>
          <w:tcPr>
            <w:tcW w:w="2425" w:type="dxa"/>
          </w:tcPr>
          <w:p w:rsidR="007B5506" w:rsidRPr="003568DC" w:rsidP="00C20E6B" w14:paraId="70741941" w14:textId="77777777">
            <w:pPr>
              <w:pStyle w:val="Body"/>
              <w:jc w:val="right"/>
            </w:pPr>
            <w:r w:rsidRPr="003568DC">
              <w:t>544,482,200.00</w:t>
            </w:r>
          </w:p>
        </w:tc>
        <w:tc>
          <w:tcPr>
            <w:tcW w:w="2880" w:type="dxa"/>
          </w:tcPr>
          <w:p w:rsidR="007B5506" w:rsidRPr="003568DC" w:rsidP="00C20E6B" w14:paraId="0CF88102" w14:textId="54E32A0E">
            <w:pPr>
              <w:pStyle w:val="Body"/>
              <w:jc w:val="right"/>
            </w:pPr>
            <w:r>
              <w:t>2.0000</w:t>
            </w:r>
          </w:p>
        </w:tc>
      </w:tr>
      <w:tr w14:paraId="63587B50" w14:textId="3479F4BB" w:rsidTr="005C0F66">
        <w:tblPrEx>
          <w:tblW w:w="0" w:type="auto"/>
          <w:jc w:val="center"/>
          <w:tblLook w:val="04A0"/>
        </w:tblPrEx>
        <w:trPr>
          <w:cantSplit/>
          <w:jc w:val="center"/>
        </w:trPr>
        <w:tc>
          <w:tcPr>
            <w:tcW w:w="1260" w:type="dxa"/>
          </w:tcPr>
          <w:p w:rsidR="007B5506" w:rsidRPr="003568DC" w:rsidP="00C20E6B" w14:paraId="786D4C73" w14:textId="77777777">
            <w:pPr>
              <w:pStyle w:val="Body"/>
              <w:jc w:val="right"/>
            </w:pPr>
            <w:r w:rsidRPr="003568DC">
              <w:t>100</w:t>
            </w:r>
          </w:p>
        </w:tc>
        <w:tc>
          <w:tcPr>
            <w:tcW w:w="2425" w:type="dxa"/>
          </w:tcPr>
          <w:p w:rsidR="007B5506" w:rsidRPr="003568DC" w:rsidP="00C20E6B" w14:paraId="141ACDDE" w14:textId="77777777">
            <w:pPr>
              <w:pStyle w:val="Body"/>
              <w:jc w:val="right"/>
            </w:pPr>
            <w:r w:rsidRPr="003568DC">
              <w:t>254,421,200.00</w:t>
            </w:r>
          </w:p>
        </w:tc>
        <w:tc>
          <w:tcPr>
            <w:tcW w:w="2880" w:type="dxa"/>
          </w:tcPr>
          <w:p w:rsidR="007B5506" w:rsidRPr="003568DC" w:rsidP="00C20E6B" w14:paraId="45AE7CF4" w14:textId="6999FF7B">
            <w:pPr>
              <w:pStyle w:val="Body"/>
              <w:jc w:val="right"/>
            </w:pPr>
            <w:r>
              <w:t>1.0000</w:t>
            </w:r>
          </w:p>
        </w:tc>
      </w:tr>
      <w:tr w14:paraId="5D330CCD" w14:textId="51FC805F" w:rsidTr="005C0F66">
        <w:tblPrEx>
          <w:tblW w:w="0" w:type="auto"/>
          <w:jc w:val="center"/>
          <w:tblLook w:val="04A0"/>
        </w:tblPrEx>
        <w:trPr>
          <w:cantSplit/>
          <w:jc w:val="center"/>
        </w:trPr>
        <w:tc>
          <w:tcPr>
            <w:tcW w:w="1260" w:type="dxa"/>
          </w:tcPr>
          <w:p w:rsidR="007B5506" w:rsidRPr="003568DC" w:rsidP="00C20E6B" w14:paraId="547F98B5" w14:textId="77777777">
            <w:pPr>
              <w:pStyle w:val="Body"/>
              <w:jc w:val="right"/>
            </w:pPr>
            <w:r w:rsidRPr="003568DC">
              <w:t>125</w:t>
            </w:r>
          </w:p>
        </w:tc>
        <w:tc>
          <w:tcPr>
            <w:tcW w:w="2425" w:type="dxa"/>
          </w:tcPr>
          <w:p w:rsidR="007B5506" w:rsidRPr="003568DC" w:rsidP="00C20E6B" w14:paraId="3E124021" w14:textId="77777777">
            <w:pPr>
              <w:pStyle w:val="Body"/>
              <w:jc w:val="right"/>
            </w:pPr>
            <w:r w:rsidRPr="003568DC">
              <w:t>191,211,440.00</w:t>
            </w:r>
          </w:p>
        </w:tc>
        <w:tc>
          <w:tcPr>
            <w:tcW w:w="2880" w:type="dxa"/>
          </w:tcPr>
          <w:p w:rsidR="007B5506" w:rsidRPr="003568DC" w:rsidP="00C20E6B" w14:paraId="5ED58D48" w14:textId="580E7A2C">
            <w:pPr>
              <w:pStyle w:val="Body"/>
              <w:jc w:val="right"/>
            </w:pPr>
            <w:r>
              <w:t>1.0101</w:t>
            </w:r>
          </w:p>
        </w:tc>
      </w:tr>
      <w:tr w14:paraId="64062960" w14:textId="4199FC04" w:rsidTr="005C0F66">
        <w:tblPrEx>
          <w:tblW w:w="0" w:type="auto"/>
          <w:jc w:val="center"/>
          <w:tblLook w:val="04A0"/>
        </w:tblPrEx>
        <w:trPr>
          <w:cantSplit/>
          <w:jc w:val="center"/>
        </w:trPr>
        <w:tc>
          <w:tcPr>
            <w:tcW w:w="1260" w:type="dxa"/>
            <w:tcBorders>
              <w:bottom w:val="single" w:sz="4" w:space="0" w:color="auto"/>
            </w:tcBorders>
          </w:tcPr>
          <w:p w:rsidR="007B5506" w:rsidRPr="003568DC" w:rsidP="00C20E6B" w14:paraId="0A7EF403" w14:textId="77777777">
            <w:pPr>
              <w:pStyle w:val="Body"/>
              <w:jc w:val="right"/>
            </w:pPr>
            <w:r w:rsidRPr="003568DC">
              <w:t>300</w:t>
            </w:r>
          </w:p>
        </w:tc>
        <w:tc>
          <w:tcPr>
            <w:tcW w:w="2425" w:type="dxa"/>
          </w:tcPr>
          <w:p w:rsidR="007B5506" w:rsidRPr="003568DC" w:rsidP="00C20E6B" w14:paraId="4363BAE8" w14:textId="77777777">
            <w:pPr>
              <w:pStyle w:val="Body"/>
              <w:jc w:val="right"/>
            </w:pPr>
            <w:r w:rsidRPr="003568DC">
              <w:t>15,881,360.00</w:t>
            </w:r>
          </w:p>
        </w:tc>
        <w:tc>
          <w:tcPr>
            <w:tcW w:w="2880" w:type="dxa"/>
            <w:tcBorders>
              <w:bottom w:val="single" w:sz="4" w:space="0" w:color="auto"/>
            </w:tcBorders>
          </w:tcPr>
          <w:p w:rsidR="007B5506" w:rsidRPr="003568DC" w:rsidP="00C20E6B" w14:paraId="4B65FEC4" w14:textId="0D2C2FCD">
            <w:pPr>
              <w:pStyle w:val="Body"/>
              <w:jc w:val="right"/>
            </w:pPr>
            <w:r>
              <w:t>1.1000</w:t>
            </w:r>
          </w:p>
        </w:tc>
      </w:tr>
      <w:tr w14:paraId="149D31F6" w14:textId="22EB92D3" w:rsidTr="005C0F66">
        <w:tblPrEx>
          <w:tblW w:w="0" w:type="auto"/>
          <w:jc w:val="center"/>
          <w:tblLook w:val="04A0"/>
        </w:tblPrEx>
        <w:trPr>
          <w:cantSplit/>
          <w:jc w:val="center"/>
        </w:trPr>
        <w:tc>
          <w:tcPr>
            <w:tcW w:w="1260" w:type="dxa"/>
            <w:tcBorders>
              <w:left w:val="nil"/>
              <w:bottom w:val="nil"/>
            </w:tcBorders>
          </w:tcPr>
          <w:p w:rsidR="007B5506" w:rsidRPr="003568DC" w:rsidP="00C20E6B" w14:paraId="5B6E3292" w14:textId="77777777">
            <w:pPr>
              <w:pStyle w:val="Body"/>
              <w:jc w:val="right"/>
            </w:pPr>
            <w:r w:rsidRPr="003568DC">
              <w:t>Sum</w:t>
            </w:r>
          </w:p>
        </w:tc>
        <w:tc>
          <w:tcPr>
            <w:tcW w:w="2425" w:type="dxa"/>
          </w:tcPr>
          <w:p w:rsidR="007B5506" w:rsidRPr="003568DC" w:rsidP="00C20E6B" w14:paraId="2D96FE0E" w14:textId="77777777">
            <w:pPr>
              <w:pStyle w:val="Body"/>
              <w:jc w:val="right"/>
              <w:rPr>
                <w:b/>
              </w:rPr>
            </w:pPr>
            <w:r w:rsidRPr="003568DC">
              <w:rPr>
                <w:b/>
              </w:rPr>
              <w:t>1,005,996,200.00</w:t>
            </w:r>
          </w:p>
        </w:tc>
        <w:tc>
          <w:tcPr>
            <w:tcW w:w="2880" w:type="dxa"/>
            <w:tcBorders>
              <w:bottom w:val="nil"/>
              <w:right w:val="nil"/>
            </w:tcBorders>
          </w:tcPr>
          <w:p w:rsidR="007B5506" w:rsidRPr="003568DC" w:rsidP="00C20E6B" w14:paraId="426C7887" w14:textId="77777777">
            <w:pPr>
              <w:pStyle w:val="Body"/>
              <w:jc w:val="right"/>
              <w:rPr>
                <w:b/>
              </w:rPr>
            </w:pPr>
          </w:p>
        </w:tc>
      </w:tr>
    </w:tbl>
    <w:p w:rsidR="003568DC" w:rsidRPr="003568DC" w:rsidP="003568DC" w14:paraId="6D9259CB" w14:textId="77777777">
      <w:pPr>
        <w:pStyle w:val="Body"/>
      </w:pPr>
    </w:p>
    <w:p w:rsidR="0063312C" w:rsidRPr="0063312C" w:rsidP="0063312C" w14:paraId="2834ED06" w14:textId="06FACA97">
      <w:pPr>
        <w:pStyle w:val="Body"/>
      </w:pPr>
      <w:r w:rsidRPr="003568DC">
        <w:t xml:space="preserve">The incumbent’s incentive payment will be determined based on </w:t>
      </w:r>
      <w:r w:rsidR="0070610E">
        <w:t>its relinquishments in weighted MHz-pops</w:t>
      </w:r>
      <w:r w:rsidR="005C38F8">
        <w:t>.</w:t>
      </w:r>
    </w:p>
    <w:sectPr w:rsidSect="007E1DE6">
      <w:headerReference w:type="default"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1AD351BB" w14:textId="048B8FA2">
    <w:pPr>
      <w:pStyle w:val="Footer"/>
      <w:tabs>
        <w:tab w:val="clear" w:pos="4320"/>
        <w:tab w:val="center" w:pos="4680"/>
        <w:tab w:val="clear" w:pos="8640"/>
        <w:tab w:val="right" w:pos="9360"/>
      </w:tabs>
    </w:pPr>
    <w:r>
      <w:rPr>
        <w:noProof/>
      </w:rPr>
      <w:tab/>
      <w:t xml:space="preserve">March </w:t>
    </w:r>
    <w:r w:rsidR="00574C5F">
      <w:rPr>
        <w:noProof/>
      </w:rPr>
      <w:t>20</w:t>
    </w:r>
    <w:r>
      <w:rPr>
        <w:noProof/>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0F903513" w14:textId="74876B02">
    <w:pPr>
      <w:pStyle w:val="Footer"/>
      <w:tabs>
        <w:tab w:val="clear" w:pos="4320"/>
        <w:tab w:val="center" w:pos="4680"/>
        <w:tab w:val="clear" w:pos="8640"/>
        <w:tab w:val="right" w:pos="9360"/>
      </w:tabs>
    </w:pPr>
    <w:r>
      <w:tab/>
    </w:r>
    <w:r>
      <w:tab/>
    </w:r>
    <w:r w:rsidR="00AA6E18">
      <w:rPr>
        <w:noProof/>
      </w:rPr>
      <w:t xml:space="preserve">March </w:t>
    </w:r>
    <w:r w:rsidR="00574C5F">
      <w:rPr>
        <w:noProof/>
      </w:rPr>
      <w:t>20</w:t>
    </w:r>
    <w:r>
      <w:rPr>
        <w:noProof/>
      </w:rPr>
      <w:t>, 201</w:t>
    </w:r>
    <w:r w:rsidR="000D1E4E">
      <w:rPr>
        <w:noProo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21BC" w:rsidP="009E2BCE" w14:paraId="5C1B6E3F" w14:textId="77777777">
      <w:r>
        <w:separator/>
      </w:r>
    </w:p>
  </w:footnote>
  <w:footnote w:type="continuationSeparator" w:id="1">
    <w:p w:rsidR="00AF21BC" w:rsidP="009E2BCE" w14:paraId="69555F31" w14:textId="77777777">
      <w:r>
        <w:continuationSeparator/>
      </w:r>
    </w:p>
  </w:footnote>
  <w:footnote w:id="2">
    <w:p w:rsidR="00371AB5" w14:paraId="2C611067" w14:textId="2870A141">
      <w:pPr>
        <w:pStyle w:val="FootnoteText"/>
      </w:pPr>
      <w:r>
        <w:rPr>
          <w:rStyle w:val="FootnoteReference"/>
        </w:rPr>
        <w:footnoteRef/>
      </w:r>
      <w:r>
        <w:t xml:space="preserve"> Formally, it is the incumbent’s Initial Commitment Representative that will select an option in the Initial Commitment System.  </w:t>
      </w:r>
    </w:p>
  </w:footnote>
  <w:footnote w:id="3">
    <w:p w:rsidR="00A834B7" w14:paraId="1D2B3AB3" w14:textId="21A4294F">
      <w:pPr>
        <w:pStyle w:val="FootnoteText"/>
      </w:pPr>
      <w:r>
        <w:rPr>
          <w:rStyle w:val="FootnoteReference"/>
        </w:rPr>
        <w:footnoteRef/>
      </w:r>
      <w:r>
        <w:t xml:space="preserve"> </w:t>
      </w:r>
      <w:bookmarkStart w:id="5" w:name="_Hlk3558574"/>
      <w:r>
        <w:rPr>
          <w:i/>
        </w:rPr>
        <w:t>See generally, Notice of Initial 39 GHz Reconfiguration Procedures</w:t>
      </w:r>
      <w:r w:rsidRPr="00A450AB">
        <w:rPr>
          <w:i/>
        </w:rPr>
        <w:t>, et al</w:t>
      </w:r>
      <w:r w:rsidRPr="00A450AB">
        <w:t xml:space="preserve">., </w:t>
      </w:r>
      <w:r w:rsidRPr="0017770A">
        <w:t>GN Docket No. 14-177, AU Docket No. 19-59</w:t>
      </w:r>
      <w:r>
        <w:rPr>
          <w:i/>
        </w:rPr>
        <w:t xml:space="preserve">, </w:t>
      </w:r>
      <w:r>
        <w:t>Public Notice, DA 19-</w:t>
      </w:r>
      <w:r w:rsidR="00574C5F">
        <w:t>196</w:t>
      </w:r>
      <w:r>
        <w:t xml:space="preserve"> (</w:t>
      </w:r>
      <w:r w:rsidR="00166DE6">
        <w:rPr>
          <w:snapToGrid w:val="0"/>
        </w:rPr>
        <w:t xml:space="preserve">WTB/OEA </w:t>
      </w:r>
      <w:r>
        <w:t>Mar</w:t>
      </w:r>
      <w:r w:rsidR="00495185">
        <w:t>.</w:t>
      </w:r>
      <w:r>
        <w:t xml:space="preserve"> </w:t>
      </w:r>
      <w:r w:rsidR="00574C5F">
        <w:t>20</w:t>
      </w:r>
      <w:r>
        <w:t>, 2019) (</w:t>
      </w:r>
      <w:r w:rsidRPr="00495185">
        <w:rPr>
          <w:i/>
        </w:rPr>
        <w:t>Initial 39 GHz Reconfiguration Procedures Public Notice</w:t>
      </w:r>
      <w:r>
        <w:t>)</w:t>
      </w:r>
      <w:r w:rsidRPr="0032577E">
        <w:t>.</w:t>
      </w:r>
      <w:r w:rsidRPr="00FD3B45">
        <w:t xml:space="preserve"> </w:t>
      </w:r>
      <w:r>
        <w:t xml:space="preserve"> </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91197" w14:paraId="6F9118DA" w14:textId="77777777">
    <w:pPr>
      <w:pStyle w:val="Header"/>
      <w:pBdr>
        <w:bottom w:val="single" w:sz="6" w:space="2" w:color="auto"/>
      </w:pBdr>
    </w:pPr>
    <w:r w:rsidRPr="00F63A7E">
      <w:t>Federal Communications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A16" w:rsidP="007E1DE6" w14:paraId="06297AEA" w14:textId="77777777">
    <w:pPr>
      <w:pStyle w:val="Header"/>
      <w:pBdr>
        <w:bottom w:val="single" w:sz="6" w:space="2" w:color="auto"/>
      </w:pBdr>
    </w:pPr>
    <w:r w:rsidRPr="00F63A7E">
      <w:t>Federal Communications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34D73"/>
    <w:multiLevelType w:val="hybridMultilevel"/>
    <w:tmpl w:val="F7D0B24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EB4611"/>
    <w:multiLevelType w:val="hybridMultilevel"/>
    <w:tmpl w:val="2716DD1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821482"/>
    <w:multiLevelType w:val="hybridMultilevel"/>
    <w:tmpl w:val="FC76C66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06FB722B"/>
    <w:multiLevelType w:val="hybridMultilevel"/>
    <w:tmpl w:val="759205A8"/>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DF5000"/>
    <w:multiLevelType w:val="hybridMultilevel"/>
    <w:tmpl w:val="B462BD10"/>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06B3B"/>
    <w:multiLevelType w:val="hybridMultilevel"/>
    <w:tmpl w:val="03CAC070"/>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925CF2"/>
    <w:multiLevelType w:val="hybridMultilevel"/>
    <w:tmpl w:val="F97A804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DC7BA7"/>
    <w:multiLevelType w:val="hybridMultilevel"/>
    <w:tmpl w:val="F69A2DA0"/>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F23567A"/>
    <w:multiLevelType w:val="hybridMultilevel"/>
    <w:tmpl w:val="8FD68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5C4D18"/>
    <w:multiLevelType w:val="hybridMultilevel"/>
    <w:tmpl w:val="ABC8B294"/>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671AEB"/>
    <w:multiLevelType w:val="hybridMultilevel"/>
    <w:tmpl w:val="E43EB616"/>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40F3642"/>
    <w:multiLevelType w:val="hybridMultilevel"/>
    <w:tmpl w:val="5EAED1E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3">
    <w:nsid w:val="18D712F9"/>
    <w:multiLevelType w:val="hybridMultilevel"/>
    <w:tmpl w:val="07500208"/>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90F7B3A"/>
    <w:multiLevelType w:val="hybridMultilevel"/>
    <w:tmpl w:val="61241344"/>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A1E2762"/>
    <w:multiLevelType w:val="hybridMultilevel"/>
    <w:tmpl w:val="48427A34"/>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B960217"/>
    <w:multiLevelType w:val="hybridMultilevel"/>
    <w:tmpl w:val="C36E0F5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893167"/>
    <w:multiLevelType w:val="hybridMultilevel"/>
    <w:tmpl w:val="EDB023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1B0CD3"/>
    <w:multiLevelType w:val="hybridMultilevel"/>
    <w:tmpl w:val="683C3C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38F4E02"/>
    <w:multiLevelType w:val="hybridMultilevel"/>
    <w:tmpl w:val="C390E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5F1140"/>
    <w:multiLevelType w:val="hybridMultilevel"/>
    <w:tmpl w:val="F3EA0200"/>
    <w:lvl w:ilvl="0">
      <w:start w:val="0"/>
      <w:numFmt w:val="bullet"/>
      <w:lvlText w:val="-"/>
      <w:lvlJc w:val="left"/>
      <w:pPr>
        <w:ind w:left="776" w:hanging="360"/>
      </w:pPr>
      <w:rPr>
        <w:rFonts w:ascii="Calibri" w:hAnsi="Calibri" w:eastAsiaTheme="minorHAnsi" w:cstheme="minorBidi"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21">
    <w:nsid w:val="275D5724"/>
    <w:multiLevelType w:val="hybridMultilevel"/>
    <w:tmpl w:val="6ACEC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2B6C1A8C"/>
    <w:multiLevelType w:val="hybridMultilevel"/>
    <w:tmpl w:val="475E443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CDA5C37"/>
    <w:multiLevelType w:val="hybridMultilevel"/>
    <w:tmpl w:val="0D5AAE58"/>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ED42E28"/>
    <w:multiLevelType w:val="hybridMultilevel"/>
    <w:tmpl w:val="F9BA0F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2F300858"/>
    <w:multiLevelType w:val="hybridMultilevel"/>
    <w:tmpl w:val="819477BC"/>
    <w:lvl w:ilvl="0">
      <w:start w:val="1"/>
      <w:numFmt w:val="bullet"/>
      <w:lvlText w:val="-"/>
      <w:lvlJc w:val="left"/>
      <w:pPr>
        <w:ind w:left="720" w:hanging="360"/>
      </w:pPr>
      <w:rPr>
        <w:rFonts w:ascii="Cambria" w:eastAsia="MS Minngs"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F60290A"/>
    <w:multiLevelType w:val="hybridMultilevel"/>
    <w:tmpl w:val="8FD68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4ED3225"/>
    <w:multiLevelType w:val="hybridMultilevel"/>
    <w:tmpl w:val="DDE073B2"/>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6325D37"/>
    <w:multiLevelType w:val="hybridMultilevel"/>
    <w:tmpl w:val="9DBE1ACC"/>
    <w:lvl w:ilvl="0">
      <w:start w:val="1"/>
      <w:numFmt w:val="lowerRoman"/>
      <w:lvlText w:val="(%1)"/>
      <w:lvlJc w:val="left"/>
      <w:pPr>
        <w:tabs>
          <w:tab w:val="num" w:pos="720"/>
        </w:tabs>
        <w:ind w:left="720" w:hanging="360"/>
      </w:pPr>
      <w:rPr>
        <w:rFonts w:asciiTheme="minorHAnsi" w:eastAsiaTheme="minorHAnsi" w:hAnsiTheme="minorHAnsi" w:cstheme="minorBidi"/>
      </w:rPr>
    </w:lvl>
    <w:lvl w:ilvl="1">
      <w:start w:val="18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EF21922"/>
    <w:multiLevelType w:val="hybridMultilevel"/>
    <w:tmpl w:val="A52AD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F542D2C"/>
    <w:multiLevelType w:val="hybridMultilevel"/>
    <w:tmpl w:val="5FD61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FD049EE"/>
    <w:multiLevelType w:val="hybridMultilevel"/>
    <w:tmpl w:val="E8C6B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3BC508D"/>
    <w:multiLevelType w:val="hybridMultilevel"/>
    <w:tmpl w:val="646A9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68696D"/>
    <w:multiLevelType w:val="hybridMultilevel"/>
    <w:tmpl w:val="8C00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9712E41"/>
    <w:multiLevelType w:val="hybridMultilevel"/>
    <w:tmpl w:val="0D420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AFA26AE"/>
    <w:multiLevelType w:val="hybridMultilevel"/>
    <w:tmpl w:val="54969614"/>
    <w:lvl w:ilvl="0">
      <w:start w:val="1"/>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D447776"/>
    <w:multiLevelType w:val="hybridMultilevel"/>
    <w:tmpl w:val="9A14985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DE22551"/>
    <w:multiLevelType w:val="hybridMultilevel"/>
    <w:tmpl w:val="003C7B2C"/>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40">
    <w:nsid w:val="4F4A7DA6"/>
    <w:multiLevelType w:val="hybridMultilevel"/>
    <w:tmpl w:val="B30AF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9822756"/>
    <w:multiLevelType w:val="hybridMultilevel"/>
    <w:tmpl w:val="86FCE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9E56937"/>
    <w:multiLevelType w:val="hybridMultilevel"/>
    <w:tmpl w:val="754EC946"/>
    <w:lvl w:ilvl="0">
      <w:start w:val="1"/>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E547FA9"/>
    <w:multiLevelType w:val="hybridMultilevel"/>
    <w:tmpl w:val="B97C6C6C"/>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5FA3338C"/>
    <w:multiLevelType w:val="hybridMultilevel"/>
    <w:tmpl w:val="8638AB7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6">
    <w:nsid w:val="63573D38"/>
    <w:multiLevelType w:val="hybridMultilevel"/>
    <w:tmpl w:val="8B06E252"/>
    <w:lvl w:ilvl="0">
      <w:start w:val="1"/>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4B41933"/>
    <w:multiLevelType w:val="multilevel"/>
    <w:tmpl w:val="C5FCED1C"/>
    <w:numStyleLink w:val="Attachmen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8">
    <w:nsid w:val="664115D2"/>
    <w:multiLevelType w:val="hybridMultilevel"/>
    <w:tmpl w:val="9C2CC5F4"/>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8083CD8"/>
    <w:multiLevelType w:val="hybridMultilevel"/>
    <w:tmpl w:val="E794B82C"/>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D104C20"/>
    <w:multiLevelType w:val="hybridMultilevel"/>
    <w:tmpl w:val="9D7292F4"/>
    <w:lvl w:ilvl="0">
      <w:start w:val="0"/>
      <w:numFmt w:val="bullet"/>
      <w:lvlText w:val="-"/>
      <w:lvlJc w:val="left"/>
      <w:pPr>
        <w:ind w:left="720" w:hanging="360"/>
      </w:pPr>
      <w:rPr>
        <w:rFonts w:ascii="Times New Roman" w:eastAsia="MS Minngs"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1">
    <w:nsid w:val="74E711F1"/>
    <w:multiLevelType w:val="hybridMultilevel"/>
    <w:tmpl w:val="B8F2B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77F41E58"/>
    <w:multiLevelType w:val="hybridMultilevel"/>
    <w:tmpl w:val="7818C5AA"/>
    <w:lvl w:ilvl="0">
      <w:start w:val="0"/>
      <w:numFmt w:val="bullet"/>
      <w:lvlText w:val="-"/>
      <w:lvlJc w:val="left"/>
      <w:pPr>
        <w:ind w:left="768" w:hanging="360"/>
      </w:pPr>
      <w:rPr>
        <w:rFonts w:ascii="Calibri" w:hAnsi="Calibri" w:eastAsiaTheme="minorHAnsi" w:cstheme="minorBidi"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53">
    <w:nsid w:val="78B74CBB"/>
    <w:multiLevelType w:val="hybridMultilevel"/>
    <w:tmpl w:val="3D16DEEC"/>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7A5E3D87"/>
    <w:multiLevelType w:val="hybridMultilevel"/>
    <w:tmpl w:val="284669E4"/>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EF42749"/>
    <w:multiLevelType w:val="hybridMultilevel"/>
    <w:tmpl w:val="9EA0EA2A"/>
    <w:lvl w:ilvl="0">
      <w:start w:val="1"/>
      <w:numFmt w:val="bullet"/>
      <w:lvlText w:val="-"/>
      <w:lvlJc w:val="left"/>
      <w:pPr>
        <w:ind w:left="775" w:hanging="360"/>
      </w:pPr>
      <w:rPr>
        <w:rFonts w:ascii="Calibri" w:hAnsi="Calibri" w:eastAsiaTheme="minorHAnsi" w:cs="Calibri"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56">
    <w:nsid w:val="7F3A1A51"/>
    <w:multiLevelType w:val="hybridMultilevel"/>
    <w:tmpl w:val="9BB846B6"/>
    <w:lvl w:ilvl="0">
      <w:start w:val="1"/>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6"/>
  </w:num>
  <w:num w:numId="9">
    <w:abstractNumId w:val="48"/>
  </w:num>
  <w:num w:numId="10">
    <w:abstractNumId w:val="6"/>
  </w:num>
  <w:num w:numId="11">
    <w:abstractNumId w:val="33"/>
  </w:num>
  <w:num w:numId="12">
    <w:abstractNumId w:val="24"/>
  </w:num>
  <w:num w:numId="13">
    <w:abstractNumId w:val="37"/>
  </w:num>
  <w:num w:numId="14">
    <w:abstractNumId w:val="56"/>
  </w:num>
  <w:num w:numId="15">
    <w:abstractNumId w:val="42"/>
  </w:num>
  <w:num w:numId="16">
    <w:abstractNumId w:val="49"/>
  </w:num>
  <w:num w:numId="17">
    <w:abstractNumId w:val="21"/>
  </w:num>
  <w:num w:numId="18">
    <w:abstractNumId w:val="36"/>
  </w:num>
  <w:num w:numId="19">
    <w:abstractNumId w:val="5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3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2"/>
  </w:num>
  <w:num w:numId="30">
    <w:abstractNumId w:val="11"/>
  </w:num>
  <w:num w:numId="31">
    <w:abstractNumId w:val="31"/>
  </w:num>
  <w:num w:numId="32">
    <w:abstractNumId w:val="29"/>
  </w:num>
  <w:num w:numId="33">
    <w:abstractNumId w:val="18"/>
  </w:num>
  <w:num w:numId="34">
    <w:abstractNumId w:val="1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2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27"/>
  </w:num>
  <w:num w:numId="44">
    <w:abstractNumId w:val="53"/>
  </w:num>
  <w:num w:numId="45">
    <w:abstractNumId w:val="3"/>
  </w:num>
  <w:num w:numId="46">
    <w:abstractNumId w:val="9"/>
  </w:num>
  <w:num w:numId="47">
    <w:abstractNumId w:val="5"/>
  </w:num>
  <w:num w:numId="48">
    <w:abstractNumId w:val="54"/>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43"/>
  </w:num>
  <w:num w:numId="52">
    <w:abstractNumId w:val="12"/>
  </w:num>
  <w:num w:numId="53">
    <w:abstractNumId w:val="25"/>
  </w:num>
  <w:num w:numId="54">
    <w:abstractNumId w:val="10"/>
  </w:num>
  <w:num w:numId="55">
    <w:abstractNumId w:val="1"/>
  </w:num>
  <w:num w:numId="56">
    <w:abstractNumId w:val="0"/>
  </w:num>
  <w:num w:numId="57">
    <w:abstractNumId w:val="7"/>
  </w:num>
  <w:num w:numId="58">
    <w:abstractNumId w:val="12"/>
  </w:num>
  <w:num w:numId="59">
    <w:abstractNumId w:val="12"/>
  </w:num>
  <w:num w:numId="60">
    <w:abstractNumId w:val="12"/>
  </w:num>
  <w:num w:numId="61">
    <w:abstractNumId w:val="12"/>
  </w:num>
  <w:num w:numId="62">
    <w:abstractNumId w:val="12"/>
  </w:num>
  <w:num w:numId="63">
    <w:abstractNumId w:val="30"/>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CE"/>
    <w:rsid w:val="00006139"/>
    <w:rsid w:val="0000785A"/>
    <w:rsid w:val="00013B16"/>
    <w:rsid w:val="00020FDD"/>
    <w:rsid w:val="00026B9F"/>
    <w:rsid w:val="000270C4"/>
    <w:rsid w:val="00042261"/>
    <w:rsid w:val="00043252"/>
    <w:rsid w:val="00043E98"/>
    <w:rsid w:val="0004713F"/>
    <w:rsid w:val="000475FB"/>
    <w:rsid w:val="00051BDE"/>
    <w:rsid w:val="00052E5D"/>
    <w:rsid w:val="000539C9"/>
    <w:rsid w:val="000612C2"/>
    <w:rsid w:val="0006449D"/>
    <w:rsid w:val="00064C2D"/>
    <w:rsid w:val="00065D25"/>
    <w:rsid w:val="000755B8"/>
    <w:rsid w:val="00076619"/>
    <w:rsid w:val="00087045"/>
    <w:rsid w:val="000920C9"/>
    <w:rsid w:val="0009657D"/>
    <w:rsid w:val="0009706E"/>
    <w:rsid w:val="000A044C"/>
    <w:rsid w:val="000A30D7"/>
    <w:rsid w:val="000B193D"/>
    <w:rsid w:val="000B1CB9"/>
    <w:rsid w:val="000B53A7"/>
    <w:rsid w:val="000B7E68"/>
    <w:rsid w:val="000C17E4"/>
    <w:rsid w:val="000C2372"/>
    <w:rsid w:val="000C4773"/>
    <w:rsid w:val="000C6522"/>
    <w:rsid w:val="000C7A22"/>
    <w:rsid w:val="000D0ED2"/>
    <w:rsid w:val="000D1E4E"/>
    <w:rsid w:val="000D37D3"/>
    <w:rsid w:val="000D3FAE"/>
    <w:rsid w:val="000D4780"/>
    <w:rsid w:val="000E3FDE"/>
    <w:rsid w:val="000E5407"/>
    <w:rsid w:val="000F2D6E"/>
    <w:rsid w:val="000F5CDC"/>
    <w:rsid w:val="000F5D3D"/>
    <w:rsid w:val="00100C16"/>
    <w:rsid w:val="00103A82"/>
    <w:rsid w:val="00104D79"/>
    <w:rsid w:val="00110D97"/>
    <w:rsid w:val="0012134D"/>
    <w:rsid w:val="001345B5"/>
    <w:rsid w:val="001364A6"/>
    <w:rsid w:val="001415E7"/>
    <w:rsid w:val="00141985"/>
    <w:rsid w:val="001432DE"/>
    <w:rsid w:val="00151CE4"/>
    <w:rsid w:val="00153E53"/>
    <w:rsid w:val="00161839"/>
    <w:rsid w:val="00166DBC"/>
    <w:rsid w:val="00166DE6"/>
    <w:rsid w:val="00166F04"/>
    <w:rsid w:val="0016717F"/>
    <w:rsid w:val="00174F08"/>
    <w:rsid w:val="0017636C"/>
    <w:rsid w:val="00176D0B"/>
    <w:rsid w:val="0017770A"/>
    <w:rsid w:val="00184456"/>
    <w:rsid w:val="00185B19"/>
    <w:rsid w:val="001901D8"/>
    <w:rsid w:val="001914C1"/>
    <w:rsid w:val="00192191"/>
    <w:rsid w:val="001924E7"/>
    <w:rsid w:val="001971BD"/>
    <w:rsid w:val="00197520"/>
    <w:rsid w:val="001A3224"/>
    <w:rsid w:val="001A4A5F"/>
    <w:rsid w:val="001A4AE9"/>
    <w:rsid w:val="001A5E01"/>
    <w:rsid w:val="001B0338"/>
    <w:rsid w:val="001B0AAE"/>
    <w:rsid w:val="001B32F7"/>
    <w:rsid w:val="001B3633"/>
    <w:rsid w:val="001B6105"/>
    <w:rsid w:val="001C2E36"/>
    <w:rsid w:val="001C3BDC"/>
    <w:rsid w:val="001C4C34"/>
    <w:rsid w:val="001C6CC2"/>
    <w:rsid w:val="001C7EF4"/>
    <w:rsid w:val="001D674B"/>
    <w:rsid w:val="001E4C2D"/>
    <w:rsid w:val="001E7F4F"/>
    <w:rsid w:val="001F2C76"/>
    <w:rsid w:val="001F4BCB"/>
    <w:rsid w:val="00204D9A"/>
    <w:rsid w:val="002078B9"/>
    <w:rsid w:val="00210E5B"/>
    <w:rsid w:val="00211C04"/>
    <w:rsid w:val="00224FB3"/>
    <w:rsid w:val="00232F74"/>
    <w:rsid w:val="00235657"/>
    <w:rsid w:val="00235F2F"/>
    <w:rsid w:val="00243E60"/>
    <w:rsid w:val="00246D6B"/>
    <w:rsid w:val="002670EA"/>
    <w:rsid w:val="002748BB"/>
    <w:rsid w:val="00276F41"/>
    <w:rsid w:val="002856C6"/>
    <w:rsid w:val="002874B5"/>
    <w:rsid w:val="00287CC2"/>
    <w:rsid w:val="00290182"/>
    <w:rsid w:val="002A2317"/>
    <w:rsid w:val="002B2A26"/>
    <w:rsid w:val="002B337A"/>
    <w:rsid w:val="002B3BDC"/>
    <w:rsid w:val="002D0875"/>
    <w:rsid w:val="002D4773"/>
    <w:rsid w:val="002D5EF0"/>
    <w:rsid w:val="002D5FC7"/>
    <w:rsid w:val="002D7F97"/>
    <w:rsid w:val="002E0B4D"/>
    <w:rsid w:val="002E0EC6"/>
    <w:rsid w:val="002E315A"/>
    <w:rsid w:val="002E719A"/>
    <w:rsid w:val="00301B09"/>
    <w:rsid w:val="00304A5D"/>
    <w:rsid w:val="00305A94"/>
    <w:rsid w:val="00306CC7"/>
    <w:rsid w:val="00324FA3"/>
    <w:rsid w:val="0032538C"/>
    <w:rsid w:val="0032577E"/>
    <w:rsid w:val="0032631C"/>
    <w:rsid w:val="0032734B"/>
    <w:rsid w:val="003304B3"/>
    <w:rsid w:val="00330851"/>
    <w:rsid w:val="003344F4"/>
    <w:rsid w:val="003376C4"/>
    <w:rsid w:val="003404D7"/>
    <w:rsid w:val="00341076"/>
    <w:rsid w:val="0034419D"/>
    <w:rsid w:val="00344BBE"/>
    <w:rsid w:val="003503BB"/>
    <w:rsid w:val="00350596"/>
    <w:rsid w:val="00350AD3"/>
    <w:rsid w:val="00350BB6"/>
    <w:rsid w:val="00353BCF"/>
    <w:rsid w:val="003568DC"/>
    <w:rsid w:val="00357713"/>
    <w:rsid w:val="0036558A"/>
    <w:rsid w:val="00365CE7"/>
    <w:rsid w:val="00365DC8"/>
    <w:rsid w:val="003662F8"/>
    <w:rsid w:val="00371AB5"/>
    <w:rsid w:val="00380091"/>
    <w:rsid w:val="003802D7"/>
    <w:rsid w:val="003836BD"/>
    <w:rsid w:val="00384F52"/>
    <w:rsid w:val="00392D62"/>
    <w:rsid w:val="00393267"/>
    <w:rsid w:val="003A14F6"/>
    <w:rsid w:val="003A26E5"/>
    <w:rsid w:val="003A3885"/>
    <w:rsid w:val="003A5159"/>
    <w:rsid w:val="003A5B61"/>
    <w:rsid w:val="003B2558"/>
    <w:rsid w:val="003B6F53"/>
    <w:rsid w:val="003C49D0"/>
    <w:rsid w:val="003C6FCD"/>
    <w:rsid w:val="003D1275"/>
    <w:rsid w:val="003D43F3"/>
    <w:rsid w:val="003E1472"/>
    <w:rsid w:val="003E5E69"/>
    <w:rsid w:val="003E6F9E"/>
    <w:rsid w:val="003F0D1E"/>
    <w:rsid w:val="003F43E3"/>
    <w:rsid w:val="003F4B9A"/>
    <w:rsid w:val="003F6657"/>
    <w:rsid w:val="004050AF"/>
    <w:rsid w:val="00405429"/>
    <w:rsid w:val="004069AF"/>
    <w:rsid w:val="00410178"/>
    <w:rsid w:val="00410B65"/>
    <w:rsid w:val="004129C4"/>
    <w:rsid w:val="00413B24"/>
    <w:rsid w:val="0041676F"/>
    <w:rsid w:val="00416DD7"/>
    <w:rsid w:val="00417CBF"/>
    <w:rsid w:val="00426DA4"/>
    <w:rsid w:val="00441F0B"/>
    <w:rsid w:val="00444912"/>
    <w:rsid w:val="00447BB9"/>
    <w:rsid w:val="0045398B"/>
    <w:rsid w:val="00454492"/>
    <w:rsid w:val="004555C7"/>
    <w:rsid w:val="0045584D"/>
    <w:rsid w:val="00463FE7"/>
    <w:rsid w:val="00464F54"/>
    <w:rsid w:val="0046771E"/>
    <w:rsid w:val="004679FA"/>
    <w:rsid w:val="0047024E"/>
    <w:rsid w:val="00473693"/>
    <w:rsid w:val="004753F6"/>
    <w:rsid w:val="00477386"/>
    <w:rsid w:val="00477A71"/>
    <w:rsid w:val="00484B0D"/>
    <w:rsid w:val="00486644"/>
    <w:rsid w:val="0048783F"/>
    <w:rsid w:val="00487EE8"/>
    <w:rsid w:val="00492703"/>
    <w:rsid w:val="00492C0C"/>
    <w:rsid w:val="0049352F"/>
    <w:rsid w:val="00493E62"/>
    <w:rsid w:val="00495185"/>
    <w:rsid w:val="004A23DF"/>
    <w:rsid w:val="004A34A3"/>
    <w:rsid w:val="004B22B6"/>
    <w:rsid w:val="004B2EFD"/>
    <w:rsid w:val="004B557F"/>
    <w:rsid w:val="004C03A0"/>
    <w:rsid w:val="004D1629"/>
    <w:rsid w:val="004D190B"/>
    <w:rsid w:val="004D6AE1"/>
    <w:rsid w:val="004E2678"/>
    <w:rsid w:val="004F21BC"/>
    <w:rsid w:val="004F3ADE"/>
    <w:rsid w:val="004F4A16"/>
    <w:rsid w:val="004F5E75"/>
    <w:rsid w:val="004F71CD"/>
    <w:rsid w:val="004F7257"/>
    <w:rsid w:val="00506956"/>
    <w:rsid w:val="00510CC6"/>
    <w:rsid w:val="00511826"/>
    <w:rsid w:val="00512811"/>
    <w:rsid w:val="005147A8"/>
    <w:rsid w:val="005200FB"/>
    <w:rsid w:val="005224E8"/>
    <w:rsid w:val="005229F5"/>
    <w:rsid w:val="005410C3"/>
    <w:rsid w:val="0054178B"/>
    <w:rsid w:val="005431C2"/>
    <w:rsid w:val="005448E4"/>
    <w:rsid w:val="00546405"/>
    <w:rsid w:val="005471B1"/>
    <w:rsid w:val="00552F47"/>
    <w:rsid w:val="005566C5"/>
    <w:rsid w:val="00561A0D"/>
    <w:rsid w:val="00561A94"/>
    <w:rsid w:val="00570DAC"/>
    <w:rsid w:val="005720CA"/>
    <w:rsid w:val="00572E5C"/>
    <w:rsid w:val="005743C3"/>
    <w:rsid w:val="005744AB"/>
    <w:rsid w:val="00574C5F"/>
    <w:rsid w:val="00576577"/>
    <w:rsid w:val="00582666"/>
    <w:rsid w:val="00584547"/>
    <w:rsid w:val="00585175"/>
    <w:rsid w:val="0058530D"/>
    <w:rsid w:val="00587A6A"/>
    <w:rsid w:val="005931E3"/>
    <w:rsid w:val="005A3E20"/>
    <w:rsid w:val="005B1752"/>
    <w:rsid w:val="005B2AEF"/>
    <w:rsid w:val="005B2D0A"/>
    <w:rsid w:val="005B5E59"/>
    <w:rsid w:val="005B61AC"/>
    <w:rsid w:val="005C0F66"/>
    <w:rsid w:val="005C1760"/>
    <w:rsid w:val="005C38F8"/>
    <w:rsid w:val="005D115B"/>
    <w:rsid w:val="005D34A2"/>
    <w:rsid w:val="005D3B4B"/>
    <w:rsid w:val="005D4479"/>
    <w:rsid w:val="005D4728"/>
    <w:rsid w:val="005D47B6"/>
    <w:rsid w:val="005D7691"/>
    <w:rsid w:val="005E6368"/>
    <w:rsid w:val="005F18F8"/>
    <w:rsid w:val="005F5137"/>
    <w:rsid w:val="005F557D"/>
    <w:rsid w:val="00600766"/>
    <w:rsid w:val="006018E4"/>
    <w:rsid w:val="0060192A"/>
    <w:rsid w:val="00601B02"/>
    <w:rsid w:val="0060456B"/>
    <w:rsid w:val="0061111B"/>
    <w:rsid w:val="006117B1"/>
    <w:rsid w:val="00616108"/>
    <w:rsid w:val="00617D37"/>
    <w:rsid w:val="00617DDA"/>
    <w:rsid w:val="0062262D"/>
    <w:rsid w:val="00624132"/>
    <w:rsid w:val="0062545F"/>
    <w:rsid w:val="00625515"/>
    <w:rsid w:val="00625AEF"/>
    <w:rsid w:val="00626226"/>
    <w:rsid w:val="00630681"/>
    <w:rsid w:val="006322A0"/>
    <w:rsid w:val="0063312C"/>
    <w:rsid w:val="006348F4"/>
    <w:rsid w:val="00635CB0"/>
    <w:rsid w:val="00643366"/>
    <w:rsid w:val="00653489"/>
    <w:rsid w:val="00653EC6"/>
    <w:rsid w:val="00656B2F"/>
    <w:rsid w:val="006618F2"/>
    <w:rsid w:val="006704D5"/>
    <w:rsid w:val="00670B7F"/>
    <w:rsid w:val="00675F5F"/>
    <w:rsid w:val="00680138"/>
    <w:rsid w:val="006802C8"/>
    <w:rsid w:val="006828EA"/>
    <w:rsid w:val="00683EEC"/>
    <w:rsid w:val="00685045"/>
    <w:rsid w:val="00687170"/>
    <w:rsid w:val="00687896"/>
    <w:rsid w:val="00690D18"/>
    <w:rsid w:val="006910C5"/>
    <w:rsid w:val="00694E63"/>
    <w:rsid w:val="006A1BEB"/>
    <w:rsid w:val="006A7AFC"/>
    <w:rsid w:val="006B013F"/>
    <w:rsid w:val="006B05CE"/>
    <w:rsid w:val="006C0C39"/>
    <w:rsid w:val="006C17FA"/>
    <w:rsid w:val="006C2B32"/>
    <w:rsid w:val="006D1B23"/>
    <w:rsid w:val="006E2455"/>
    <w:rsid w:val="006E55A6"/>
    <w:rsid w:val="006F149A"/>
    <w:rsid w:val="006F36B3"/>
    <w:rsid w:val="006F6D66"/>
    <w:rsid w:val="00700976"/>
    <w:rsid w:val="0070582B"/>
    <w:rsid w:val="0070610E"/>
    <w:rsid w:val="00713BCC"/>
    <w:rsid w:val="00716833"/>
    <w:rsid w:val="00720445"/>
    <w:rsid w:val="007221CA"/>
    <w:rsid w:val="00724D49"/>
    <w:rsid w:val="00726900"/>
    <w:rsid w:val="00734FF1"/>
    <w:rsid w:val="007362CE"/>
    <w:rsid w:val="00740059"/>
    <w:rsid w:val="007412AB"/>
    <w:rsid w:val="00747A21"/>
    <w:rsid w:val="00750358"/>
    <w:rsid w:val="00753C18"/>
    <w:rsid w:val="00756930"/>
    <w:rsid w:val="00756C5A"/>
    <w:rsid w:val="00762D2B"/>
    <w:rsid w:val="007677B1"/>
    <w:rsid w:val="00767E97"/>
    <w:rsid w:val="00773691"/>
    <w:rsid w:val="00773D85"/>
    <w:rsid w:val="00776048"/>
    <w:rsid w:val="00781DB9"/>
    <w:rsid w:val="00783723"/>
    <w:rsid w:val="0078560E"/>
    <w:rsid w:val="00785993"/>
    <w:rsid w:val="007859AC"/>
    <w:rsid w:val="00786EC4"/>
    <w:rsid w:val="007906C0"/>
    <w:rsid w:val="0079089A"/>
    <w:rsid w:val="00791197"/>
    <w:rsid w:val="007959D0"/>
    <w:rsid w:val="007A296B"/>
    <w:rsid w:val="007B0607"/>
    <w:rsid w:val="007B325F"/>
    <w:rsid w:val="007B5506"/>
    <w:rsid w:val="007B6EA3"/>
    <w:rsid w:val="007C3B15"/>
    <w:rsid w:val="007C3BD5"/>
    <w:rsid w:val="007C453E"/>
    <w:rsid w:val="007C59D6"/>
    <w:rsid w:val="007D08CC"/>
    <w:rsid w:val="007D18CE"/>
    <w:rsid w:val="007D7BE6"/>
    <w:rsid w:val="007E031C"/>
    <w:rsid w:val="007E1593"/>
    <w:rsid w:val="007E170A"/>
    <w:rsid w:val="007E1DE6"/>
    <w:rsid w:val="007E20AC"/>
    <w:rsid w:val="007E54B2"/>
    <w:rsid w:val="007F0D95"/>
    <w:rsid w:val="007F31F6"/>
    <w:rsid w:val="007F3564"/>
    <w:rsid w:val="007F35D2"/>
    <w:rsid w:val="007F5C29"/>
    <w:rsid w:val="007F67ED"/>
    <w:rsid w:val="00806613"/>
    <w:rsid w:val="00823A16"/>
    <w:rsid w:val="00824546"/>
    <w:rsid w:val="008245CF"/>
    <w:rsid w:val="00825003"/>
    <w:rsid w:val="008404A5"/>
    <w:rsid w:val="00843E39"/>
    <w:rsid w:val="008500FD"/>
    <w:rsid w:val="00850423"/>
    <w:rsid w:val="0085064F"/>
    <w:rsid w:val="008546B3"/>
    <w:rsid w:val="008631A7"/>
    <w:rsid w:val="00864AC4"/>
    <w:rsid w:val="00864AFD"/>
    <w:rsid w:val="00864EA2"/>
    <w:rsid w:val="00866673"/>
    <w:rsid w:val="008729EA"/>
    <w:rsid w:val="00872A51"/>
    <w:rsid w:val="00873A84"/>
    <w:rsid w:val="00874A99"/>
    <w:rsid w:val="00877FF5"/>
    <w:rsid w:val="008800F8"/>
    <w:rsid w:val="008814A7"/>
    <w:rsid w:val="00881B3F"/>
    <w:rsid w:val="00881E51"/>
    <w:rsid w:val="00882C87"/>
    <w:rsid w:val="00886EE1"/>
    <w:rsid w:val="00887104"/>
    <w:rsid w:val="008873CC"/>
    <w:rsid w:val="00892FFD"/>
    <w:rsid w:val="00893917"/>
    <w:rsid w:val="00895922"/>
    <w:rsid w:val="00896019"/>
    <w:rsid w:val="00896DC1"/>
    <w:rsid w:val="008976AC"/>
    <w:rsid w:val="008B4CD7"/>
    <w:rsid w:val="008B63B4"/>
    <w:rsid w:val="008B669D"/>
    <w:rsid w:val="008C234C"/>
    <w:rsid w:val="008C29FE"/>
    <w:rsid w:val="008C4DD9"/>
    <w:rsid w:val="008C5B99"/>
    <w:rsid w:val="008C7B68"/>
    <w:rsid w:val="008D0880"/>
    <w:rsid w:val="008D56F1"/>
    <w:rsid w:val="008D5BA5"/>
    <w:rsid w:val="008E595E"/>
    <w:rsid w:val="008F0D88"/>
    <w:rsid w:val="008F2C34"/>
    <w:rsid w:val="008F3800"/>
    <w:rsid w:val="008F4520"/>
    <w:rsid w:val="008F521E"/>
    <w:rsid w:val="008F727F"/>
    <w:rsid w:val="00900188"/>
    <w:rsid w:val="00900DBE"/>
    <w:rsid w:val="00903675"/>
    <w:rsid w:val="00910D71"/>
    <w:rsid w:val="0091517E"/>
    <w:rsid w:val="00916C48"/>
    <w:rsid w:val="009176A5"/>
    <w:rsid w:val="009236C4"/>
    <w:rsid w:val="0093047C"/>
    <w:rsid w:val="00931AAF"/>
    <w:rsid w:val="0093499A"/>
    <w:rsid w:val="00940B15"/>
    <w:rsid w:val="00942EB7"/>
    <w:rsid w:val="00943863"/>
    <w:rsid w:val="00945602"/>
    <w:rsid w:val="00947D3B"/>
    <w:rsid w:val="00952465"/>
    <w:rsid w:val="00954F24"/>
    <w:rsid w:val="009554BB"/>
    <w:rsid w:val="00955993"/>
    <w:rsid w:val="00955A9A"/>
    <w:rsid w:val="00957F10"/>
    <w:rsid w:val="0096080E"/>
    <w:rsid w:val="009758A1"/>
    <w:rsid w:val="009766ED"/>
    <w:rsid w:val="00977908"/>
    <w:rsid w:val="00977A83"/>
    <w:rsid w:val="00980C8A"/>
    <w:rsid w:val="009863E8"/>
    <w:rsid w:val="00991044"/>
    <w:rsid w:val="00991109"/>
    <w:rsid w:val="009B02B1"/>
    <w:rsid w:val="009B124A"/>
    <w:rsid w:val="009B1582"/>
    <w:rsid w:val="009B24FD"/>
    <w:rsid w:val="009C09C4"/>
    <w:rsid w:val="009C2DB0"/>
    <w:rsid w:val="009C75A3"/>
    <w:rsid w:val="009C7E49"/>
    <w:rsid w:val="009E1BC1"/>
    <w:rsid w:val="009E2BCE"/>
    <w:rsid w:val="009E7D46"/>
    <w:rsid w:val="009F18A8"/>
    <w:rsid w:val="009F1A9D"/>
    <w:rsid w:val="009F1E07"/>
    <w:rsid w:val="009F67F0"/>
    <w:rsid w:val="00A01877"/>
    <w:rsid w:val="00A04F1F"/>
    <w:rsid w:val="00A051D4"/>
    <w:rsid w:val="00A05685"/>
    <w:rsid w:val="00A07D30"/>
    <w:rsid w:val="00A225A4"/>
    <w:rsid w:val="00A3089C"/>
    <w:rsid w:val="00A33EB3"/>
    <w:rsid w:val="00A360BC"/>
    <w:rsid w:val="00A37BB8"/>
    <w:rsid w:val="00A41F26"/>
    <w:rsid w:val="00A42824"/>
    <w:rsid w:val="00A43CDE"/>
    <w:rsid w:val="00A450AB"/>
    <w:rsid w:val="00A4542B"/>
    <w:rsid w:val="00A457C0"/>
    <w:rsid w:val="00A5255C"/>
    <w:rsid w:val="00A5408A"/>
    <w:rsid w:val="00A65D7B"/>
    <w:rsid w:val="00A67EE5"/>
    <w:rsid w:val="00A705D8"/>
    <w:rsid w:val="00A716DC"/>
    <w:rsid w:val="00A71EB7"/>
    <w:rsid w:val="00A7346C"/>
    <w:rsid w:val="00A73BD5"/>
    <w:rsid w:val="00A834B7"/>
    <w:rsid w:val="00A8643A"/>
    <w:rsid w:val="00A91923"/>
    <w:rsid w:val="00A947AC"/>
    <w:rsid w:val="00A95D03"/>
    <w:rsid w:val="00AA15FD"/>
    <w:rsid w:val="00AA526B"/>
    <w:rsid w:val="00AA67C3"/>
    <w:rsid w:val="00AA6E18"/>
    <w:rsid w:val="00AC7E4B"/>
    <w:rsid w:val="00AD5D13"/>
    <w:rsid w:val="00AD6CF4"/>
    <w:rsid w:val="00AE0F61"/>
    <w:rsid w:val="00AE5E7E"/>
    <w:rsid w:val="00AF21BC"/>
    <w:rsid w:val="00AF34C4"/>
    <w:rsid w:val="00B01319"/>
    <w:rsid w:val="00B02DB9"/>
    <w:rsid w:val="00B0763D"/>
    <w:rsid w:val="00B1356A"/>
    <w:rsid w:val="00B1480F"/>
    <w:rsid w:val="00B14EBE"/>
    <w:rsid w:val="00B171C3"/>
    <w:rsid w:val="00B20CF4"/>
    <w:rsid w:val="00B22858"/>
    <w:rsid w:val="00B34764"/>
    <w:rsid w:val="00B34CEE"/>
    <w:rsid w:val="00B445F6"/>
    <w:rsid w:val="00B45498"/>
    <w:rsid w:val="00B47497"/>
    <w:rsid w:val="00B505EE"/>
    <w:rsid w:val="00B519C9"/>
    <w:rsid w:val="00B5354D"/>
    <w:rsid w:val="00B627DD"/>
    <w:rsid w:val="00B6367B"/>
    <w:rsid w:val="00B658F8"/>
    <w:rsid w:val="00B66B50"/>
    <w:rsid w:val="00B70ED7"/>
    <w:rsid w:val="00B734B1"/>
    <w:rsid w:val="00B76654"/>
    <w:rsid w:val="00B82B3E"/>
    <w:rsid w:val="00B843ED"/>
    <w:rsid w:val="00B9053A"/>
    <w:rsid w:val="00B91208"/>
    <w:rsid w:val="00B944EC"/>
    <w:rsid w:val="00BB0194"/>
    <w:rsid w:val="00BB13B3"/>
    <w:rsid w:val="00BB2D96"/>
    <w:rsid w:val="00BC17B2"/>
    <w:rsid w:val="00BC253C"/>
    <w:rsid w:val="00BD0869"/>
    <w:rsid w:val="00BD10CD"/>
    <w:rsid w:val="00BD2B2C"/>
    <w:rsid w:val="00BE22B3"/>
    <w:rsid w:val="00BE2965"/>
    <w:rsid w:val="00BE61AF"/>
    <w:rsid w:val="00BE61B2"/>
    <w:rsid w:val="00BE678C"/>
    <w:rsid w:val="00BF0F76"/>
    <w:rsid w:val="00BF47CA"/>
    <w:rsid w:val="00C04236"/>
    <w:rsid w:val="00C05C9B"/>
    <w:rsid w:val="00C10762"/>
    <w:rsid w:val="00C1214F"/>
    <w:rsid w:val="00C15443"/>
    <w:rsid w:val="00C206F8"/>
    <w:rsid w:val="00C20E6B"/>
    <w:rsid w:val="00C214F5"/>
    <w:rsid w:val="00C2499D"/>
    <w:rsid w:val="00C27A98"/>
    <w:rsid w:val="00C326ED"/>
    <w:rsid w:val="00C3299D"/>
    <w:rsid w:val="00C352BF"/>
    <w:rsid w:val="00C40B00"/>
    <w:rsid w:val="00C40FD1"/>
    <w:rsid w:val="00C42139"/>
    <w:rsid w:val="00C466BD"/>
    <w:rsid w:val="00C4711C"/>
    <w:rsid w:val="00C50201"/>
    <w:rsid w:val="00C5044E"/>
    <w:rsid w:val="00C50EFE"/>
    <w:rsid w:val="00C510ED"/>
    <w:rsid w:val="00C52C02"/>
    <w:rsid w:val="00C62DC3"/>
    <w:rsid w:val="00C665F8"/>
    <w:rsid w:val="00C70460"/>
    <w:rsid w:val="00C70E6D"/>
    <w:rsid w:val="00C74D70"/>
    <w:rsid w:val="00C8318D"/>
    <w:rsid w:val="00C84807"/>
    <w:rsid w:val="00C87A97"/>
    <w:rsid w:val="00C919D2"/>
    <w:rsid w:val="00CA1791"/>
    <w:rsid w:val="00CA46FC"/>
    <w:rsid w:val="00CA4C65"/>
    <w:rsid w:val="00CA7960"/>
    <w:rsid w:val="00CB73DD"/>
    <w:rsid w:val="00CC1D95"/>
    <w:rsid w:val="00CC29B7"/>
    <w:rsid w:val="00CC2D7B"/>
    <w:rsid w:val="00CE0171"/>
    <w:rsid w:val="00CE0B1E"/>
    <w:rsid w:val="00CE0F90"/>
    <w:rsid w:val="00CE266D"/>
    <w:rsid w:val="00CE3263"/>
    <w:rsid w:val="00CE5611"/>
    <w:rsid w:val="00CE7438"/>
    <w:rsid w:val="00CF4965"/>
    <w:rsid w:val="00CF5346"/>
    <w:rsid w:val="00CF6993"/>
    <w:rsid w:val="00CF6E37"/>
    <w:rsid w:val="00D0001A"/>
    <w:rsid w:val="00D02F52"/>
    <w:rsid w:val="00D14B6F"/>
    <w:rsid w:val="00D1711A"/>
    <w:rsid w:val="00D255CE"/>
    <w:rsid w:val="00D37357"/>
    <w:rsid w:val="00D40908"/>
    <w:rsid w:val="00D41A11"/>
    <w:rsid w:val="00D4447D"/>
    <w:rsid w:val="00D464FA"/>
    <w:rsid w:val="00D46EEA"/>
    <w:rsid w:val="00D65083"/>
    <w:rsid w:val="00D66129"/>
    <w:rsid w:val="00D67F4C"/>
    <w:rsid w:val="00D7099A"/>
    <w:rsid w:val="00D80CE6"/>
    <w:rsid w:val="00D939BD"/>
    <w:rsid w:val="00D969D9"/>
    <w:rsid w:val="00DA1727"/>
    <w:rsid w:val="00DA366F"/>
    <w:rsid w:val="00DA7FB6"/>
    <w:rsid w:val="00DB0185"/>
    <w:rsid w:val="00DB1900"/>
    <w:rsid w:val="00DB2166"/>
    <w:rsid w:val="00DB2E9C"/>
    <w:rsid w:val="00DB3D43"/>
    <w:rsid w:val="00DB4BB7"/>
    <w:rsid w:val="00DB6030"/>
    <w:rsid w:val="00DC0528"/>
    <w:rsid w:val="00DC228C"/>
    <w:rsid w:val="00DC443F"/>
    <w:rsid w:val="00DC4FB6"/>
    <w:rsid w:val="00DC50D0"/>
    <w:rsid w:val="00DC56CF"/>
    <w:rsid w:val="00DC6B2A"/>
    <w:rsid w:val="00DD0CE3"/>
    <w:rsid w:val="00DD490A"/>
    <w:rsid w:val="00DE0D15"/>
    <w:rsid w:val="00DE165D"/>
    <w:rsid w:val="00DE6EE5"/>
    <w:rsid w:val="00DF03EB"/>
    <w:rsid w:val="00DF16CE"/>
    <w:rsid w:val="00DF6A55"/>
    <w:rsid w:val="00DF7FB2"/>
    <w:rsid w:val="00E000DB"/>
    <w:rsid w:val="00E103EE"/>
    <w:rsid w:val="00E11295"/>
    <w:rsid w:val="00E112B9"/>
    <w:rsid w:val="00E12DE8"/>
    <w:rsid w:val="00E14AB1"/>
    <w:rsid w:val="00E14E38"/>
    <w:rsid w:val="00E16708"/>
    <w:rsid w:val="00E17BD1"/>
    <w:rsid w:val="00E17E41"/>
    <w:rsid w:val="00E21B3A"/>
    <w:rsid w:val="00E21BD0"/>
    <w:rsid w:val="00E21C82"/>
    <w:rsid w:val="00E228D7"/>
    <w:rsid w:val="00E22ABA"/>
    <w:rsid w:val="00E232F0"/>
    <w:rsid w:val="00E25971"/>
    <w:rsid w:val="00E30963"/>
    <w:rsid w:val="00E32A32"/>
    <w:rsid w:val="00E34C7E"/>
    <w:rsid w:val="00E36697"/>
    <w:rsid w:val="00E369B0"/>
    <w:rsid w:val="00E40CFA"/>
    <w:rsid w:val="00E43F54"/>
    <w:rsid w:val="00E44183"/>
    <w:rsid w:val="00E441AA"/>
    <w:rsid w:val="00E44D59"/>
    <w:rsid w:val="00E46D8E"/>
    <w:rsid w:val="00E50C29"/>
    <w:rsid w:val="00E52772"/>
    <w:rsid w:val="00E55447"/>
    <w:rsid w:val="00E55A69"/>
    <w:rsid w:val="00E645C9"/>
    <w:rsid w:val="00E65A9A"/>
    <w:rsid w:val="00E70633"/>
    <w:rsid w:val="00E81887"/>
    <w:rsid w:val="00E8244E"/>
    <w:rsid w:val="00E8344C"/>
    <w:rsid w:val="00E865B5"/>
    <w:rsid w:val="00E91103"/>
    <w:rsid w:val="00E94E70"/>
    <w:rsid w:val="00E95649"/>
    <w:rsid w:val="00E97609"/>
    <w:rsid w:val="00E97E1C"/>
    <w:rsid w:val="00EA29D6"/>
    <w:rsid w:val="00EA482D"/>
    <w:rsid w:val="00EB1E83"/>
    <w:rsid w:val="00EB759C"/>
    <w:rsid w:val="00EB7E97"/>
    <w:rsid w:val="00EC3218"/>
    <w:rsid w:val="00EC404E"/>
    <w:rsid w:val="00EC4D83"/>
    <w:rsid w:val="00EC525D"/>
    <w:rsid w:val="00ED278A"/>
    <w:rsid w:val="00ED5860"/>
    <w:rsid w:val="00EE32A6"/>
    <w:rsid w:val="00EE4D5A"/>
    <w:rsid w:val="00EE605E"/>
    <w:rsid w:val="00EF291C"/>
    <w:rsid w:val="00EF3409"/>
    <w:rsid w:val="00EF45A9"/>
    <w:rsid w:val="00EF49D6"/>
    <w:rsid w:val="00EF7D94"/>
    <w:rsid w:val="00F033D5"/>
    <w:rsid w:val="00F03B07"/>
    <w:rsid w:val="00F11271"/>
    <w:rsid w:val="00F138DF"/>
    <w:rsid w:val="00F14029"/>
    <w:rsid w:val="00F15593"/>
    <w:rsid w:val="00F16510"/>
    <w:rsid w:val="00F16B5E"/>
    <w:rsid w:val="00F22353"/>
    <w:rsid w:val="00F237C5"/>
    <w:rsid w:val="00F309A7"/>
    <w:rsid w:val="00F30FCC"/>
    <w:rsid w:val="00F313C0"/>
    <w:rsid w:val="00F327C7"/>
    <w:rsid w:val="00F33C65"/>
    <w:rsid w:val="00F34E4F"/>
    <w:rsid w:val="00F419E8"/>
    <w:rsid w:val="00F44B31"/>
    <w:rsid w:val="00F4518E"/>
    <w:rsid w:val="00F50B3B"/>
    <w:rsid w:val="00F52495"/>
    <w:rsid w:val="00F53B03"/>
    <w:rsid w:val="00F55D77"/>
    <w:rsid w:val="00F61880"/>
    <w:rsid w:val="00F618D5"/>
    <w:rsid w:val="00F632AD"/>
    <w:rsid w:val="00F63A7E"/>
    <w:rsid w:val="00F674E5"/>
    <w:rsid w:val="00F70D44"/>
    <w:rsid w:val="00F70ED3"/>
    <w:rsid w:val="00F73016"/>
    <w:rsid w:val="00F747B1"/>
    <w:rsid w:val="00F81BFD"/>
    <w:rsid w:val="00F870A8"/>
    <w:rsid w:val="00F9407C"/>
    <w:rsid w:val="00F9590F"/>
    <w:rsid w:val="00FA3238"/>
    <w:rsid w:val="00FA61FF"/>
    <w:rsid w:val="00FA6819"/>
    <w:rsid w:val="00FB0E16"/>
    <w:rsid w:val="00FB159F"/>
    <w:rsid w:val="00FB2F97"/>
    <w:rsid w:val="00FB3ED3"/>
    <w:rsid w:val="00FB5EDC"/>
    <w:rsid w:val="00FB6618"/>
    <w:rsid w:val="00FC000D"/>
    <w:rsid w:val="00FC14C9"/>
    <w:rsid w:val="00FC45DB"/>
    <w:rsid w:val="00FC66DC"/>
    <w:rsid w:val="00FC6A7F"/>
    <w:rsid w:val="00FD2A64"/>
    <w:rsid w:val="00FD3B45"/>
    <w:rsid w:val="00FD575C"/>
    <w:rsid w:val="00FE4CE4"/>
    <w:rsid w:val="00FE629B"/>
    <w:rsid w:val="00FE69B5"/>
    <w:rsid w:val="00FE7F68"/>
    <w:rsid w:val="00FF10A2"/>
    <w:rsid w:val="00FF62E8"/>
    <w:rsid w:val="00FF6C77"/>
    <w:rsid w:val="00FF7ED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CA361917-79B9-4154-8528-464DB2C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C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9E2BC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9E2BCE"/>
    <w:pPr>
      <w:keepNext/>
      <w:numPr>
        <w:ilvl w:val="1"/>
        <w:numId w:val="2"/>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9E2BCE"/>
    <w:pPr>
      <w:keepNext/>
      <w:numPr>
        <w:ilvl w:val="2"/>
        <w:numId w:val="2"/>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9E2BCE"/>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9E2BCE"/>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E2BCE"/>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E2BCE"/>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E2BCE"/>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9E2BC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9E2BCE"/>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basedOn w:val="DefaultParagraphFont"/>
    <w:link w:val="Heading2"/>
    <w:rsid w:val="009E2BCE"/>
    <w:rPr>
      <w:rFonts w:ascii="Times New Roman" w:eastAsia="Times New Roman" w:hAnsi="Times New Roman" w:cs="Times New Roman"/>
      <w:b/>
      <w:snapToGrid w:val="0"/>
      <w:kern w:val="28"/>
      <w:szCs w:val="20"/>
    </w:rPr>
  </w:style>
  <w:style w:type="character" w:customStyle="1" w:styleId="Heading3Char">
    <w:name w:val="Heading 3 Char"/>
    <w:aliases w:val="1 Char Char,1 Char1,3 Char Char,3 Char1,31 Char Char,31 Char1,?? 3 Char Char,?? 3 Char1,Heading 3 Char Char Char Char Char1,Heading 3 Char1 Char Char Char,Titre 3 Char Char,Titre 3 Char1,Titre 31 Char Char,Titre 31 Char1"/>
    <w:basedOn w:val="DefaultParagraphFont"/>
    <w:link w:val="Heading3"/>
    <w:rsid w:val="009E2BCE"/>
    <w:rPr>
      <w:rFonts w:ascii="Times New Roman" w:eastAsia="Times New Roman" w:hAnsi="Times New Roman" w:cs="Times New Roman"/>
      <w:b/>
      <w:snapToGrid w:val="0"/>
      <w:kern w:val="28"/>
      <w:szCs w:val="20"/>
    </w:rPr>
  </w:style>
  <w:style w:type="character" w:customStyle="1" w:styleId="Heading4Char">
    <w:name w:val="Heading 4 Char"/>
    <w:aliases w:val="Heading 4 Char Char Char Char Char Char1 Char,Heading 4 Char Char1 Char Char1 Char,Heading 4 Char1 Char Char,Heading 4 Char1 Char Char Char Char1 Char,Heading 4 Char1 Char1 Char Char1 Char,Heading 4 Char2 Char Char1 Char"/>
    <w:basedOn w:val="DefaultParagraphFont"/>
    <w:link w:val="Heading4"/>
    <w:rsid w:val="009E2BC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9E2BC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9E2B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E2B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E2BC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9E2BC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9E2BCE"/>
    <w:pPr>
      <w:numPr>
        <w:numId w:val="1"/>
      </w:numPr>
      <w:tabs>
        <w:tab w:val="clear" w:pos="1080"/>
        <w:tab w:val="num" w:pos="1440"/>
      </w:tabs>
      <w:spacing w:after="120"/>
    </w:pPr>
  </w:style>
  <w:style w:type="paragraph" w:styleId="EndnoteText">
    <w:name w:val="endnote text"/>
    <w:basedOn w:val="Normal"/>
    <w:link w:val="EndnoteTextChar"/>
    <w:semiHidden/>
    <w:rsid w:val="009E2BCE"/>
    <w:rPr>
      <w:sz w:val="20"/>
    </w:rPr>
  </w:style>
  <w:style w:type="character" w:customStyle="1" w:styleId="EndnoteTextChar">
    <w:name w:val="Endnote Text Char"/>
    <w:basedOn w:val="DefaultParagraphFont"/>
    <w:link w:val="EndnoteText"/>
    <w:semiHidden/>
    <w:rsid w:val="009E2BCE"/>
    <w:rPr>
      <w:rFonts w:ascii="Times New Roman" w:eastAsia="Times New Roman" w:hAnsi="Times New Roman" w:cs="Times New Roman"/>
      <w:snapToGrid w:val="0"/>
      <w:kern w:val="28"/>
      <w:sz w:val="20"/>
      <w:szCs w:val="20"/>
    </w:rPr>
  </w:style>
  <w:style w:type="character" w:styleId="EndnoteReference">
    <w:name w:val="endnote reference"/>
    <w:semiHidden/>
    <w:rsid w:val="009E2BCE"/>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Styl,f,fn"/>
    <w:link w:val="FootnoteTextChar"/>
    <w:qFormat/>
    <w:rsid w:val="009E2BC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basedOn w:val="DefaultParagraphFont"/>
    <w:link w:val="FootnoteText"/>
    <w:rsid w:val="009E2BCE"/>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E2BCE"/>
    <w:rPr>
      <w:rFonts w:ascii="Times New Roman" w:hAnsi="Times New Roman"/>
      <w:dstrike w:val="0"/>
      <w:color w:val="auto"/>
      <w:sz w:val="20"/>
      <w:vertAlign w:val="superscript"/>
    </w:rPr>
  </w:style>
  <w:style w:type="paragraph" w:styleId="TOC1">
    <w:name w:val="toc 1"/>
    <w:basedOn w:val="Normal"/>
    <w:next w:val="Normal"/>
    <w:rsid w:val="009E2BCE"/>
    <w:pPr>
      <w:tabs>
        <w:tab w:val="left" w:pos="360"/>
        <w:tab w:val="right" w:leader="dot" w:pos="9360"/>
      </w:tabs>
      <w:suppressAutoHyphens/>
      <w:ind w:left="360" w:right="720" w:hanging="360"/>
    </w:pPr>
    <w:rPr>
      <w:caps/>
      <w:noProof/>
    </w:rPr>
  </w:style>
  <w:style w:type="paragraph" w:styleId="TOC2">
    <w:name w:val="toc 2"/>
    <w:basedOn w:val="Normal"/>
    <w:next w:val="Normal"/>
    <w:rsid w:val="009E2BCE"/>
    <w:pPr>
      <w:tabs>
        <w:tab w:val="left" w:pos="720"/>
        <w:tab w:val="right" w:leader="dot" w:pos="9360"/>
      </w:tabs>
      <w:suppressAutoHyphens/>
      <w:ind w:left="720" w:right="720" w:hanging="360"/>
    </w:pPr>
    <w:rPr>
      <w:noProof/>
    </w:rPr>
  </w:style>
  <w:style w:type="paragraph" w:styleId="TOC3">
    <w:name w:val="toc 3"/>
    <w:basedOn w:val="Normal"/>
    <w:next w:val="Normal"/>
    <w:rsid w:val="009E2BC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E2BC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E2BC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E2BCE"/>
    <w:pPr>
      <w:tabs>
        <w:tab w:val="left" w:pos="2160"/>
        <w:tab w:val="right" w:leader="dot" w:pos="9360"/>
      </w:tabs>
      <w:suppressAutoHyphens/>
      <w:ind w:left="2160" w:hanging="360"/>
    </w:pPr>
    <w:rPr>
      <w:noProof/>
    </w:rPr>
  </w:style>
  <w:style w:type="paragraph" w:styleId="TOC7">
    <w:name w:val="toc 7"/>
    <w:basedOn w:val="Normal"/>
    <w:next w:val="Normal"/>
    <w:autoRedefine/>
    <w:rsid w:val="009E2BCE"/>
    <w:pPr>
      <w:tabs>
        <w:tab w:val="left" w:pos="2520"/>
        <w:tab w:val="right" w:leader="dot" w:pos="9360"/>
      </w:tabs>
      <w:suppressAutoHyphens/>
      <w:ind w:left="2520" w:hanging="360"/>
    </w:pPr>
    <w:rPr>
      <w:noProof/>
    </w:rPr>
  </w:style>
  <w:style w:type="paragraph" w:styleId="TOC8">
    <w:name w:val="toc 8"/>
    <w:basedOn w:val="Normal"/>
    <w:next w:val="Normal"/>
    <w:autoRedefine/>
    <w:rsid w:val="009E2BCE"/>
    <w:pPr>
      <w:tabs>
        <w:tab w:val="left" w:pos="2880"/>
        <w:tab w:val="right" w:leader="dot" w:pos="9360"/>
      </w:tabs>
      <w:suppressAutoHyphens/>
      <w:ind w:left="2880" w:hanging="360"/>
    </w:pPr>
    <w:rPr>
      <w:noProof/>
    </w:rPr>
  </w:style>
  <w:style w:type="paragraph" w:styleId="TOC9">
    <w:name w:val="toc 9"/>
    <w:basedOn w:val="Normal"/>
    <w:next w:val="Normal"/>
    <w:autoRedefine/>
    <w:rsid w:val="009E2B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2BCE"/>
    <w:pPr>
      <w:tabs>
        <w:tab w:val="right" w:pos="9360"/>
      </w:tabs>
      <w:suppressAutoHyphens/>
    </w:pPr>
  </w:style>
  <w:style w:type="character" w:customStyle="1" w:styleId="EquationCaption">
    <w:name w:val="_Equation Caption"/>
    <w:rsid w:val="009E2BCE"/>
  </w:style>
  <w:style w:type="paragraph" w:styleId="Header">
    <w:name w:val="header"/>
    <w:basedOn w:val="Normal"/>
    <w:link w:val="HeaderChar"/>
    <w:autoRedefine/>
    <w:uiPriority w:val="99"/>
    <w:rsid w:val="007E1DE6"/>
    <w:pPr>
      <w:pBdr>
        <w:bottom w:val="single" w:sz="6" w:space="1" w:color="auto"/>
      </w:pBdr>
      <w:jc w:val="center"/>
    </w:pPr>
    <w:rPr>
      <w:b/>
      <w:szCs w:val="22"/>
    </w:rPr>
  </w:style>
  <w:style w:type="character" w:customStyle="1" w:styleId="HeaderChar">
    <w:name w:val="Header Char"/>
    <w:basedOn w:val="DefaultParagraphFont"/>
    <w:link w:val="Header"/>
    <w:uiPriority w:val="99"/>
    <w:rsid w:val="007E1DE6"/>
    <w:rPr>
      <w:rFonts w:ascii="Times New Roman" w:eastAsia="Times New Roman" w:hAnsi="Times New Roman" w:cs="Times New Roman"/>
      <w:b/>
      <w:snapToGrid w:val="0"/>
      <w:kern w:val="28"/>
    </w:rPr>
  </w:style>
  <w:style w:type="paragraph" w:styleId="Footer">
    <w:name w:val="footer"/>
    <w:basedOn w:val="Normal"/>
    <w:link w:val="FooterChar"/>
    <w:uiPriority w:val="99"/>
    <w:rsid w:val="009E2BCE"/>
    <w:pPr>
      <w:tabs>
        <w:tab w:val="center" w:pos="4320"/>
        <w:tab w:val="right" w:pos="8640"/>
      </w:tabs>
    </w:pPr>
  </w:style>
  <w:style w:type="character" w:customStyle="1" w:styleId="FooterChar">
    <w:name w:val="Footer Char"/>
    <w:basedOn w:val="DefaultParagraphFont"/>
    <w:link w:val="Footer"/>
    <w:uiPriority w:val="99"/>
    <w:rsid w:val="009E2BCE"/>
    <w:rPr>
      <w:rFonts w:ascii="Times New Roman" w:eastAsia="Times New Roman" w:hAnsi="Times New Roman" w:cs="Times New Roman"/>
      <w:snapToGrid w:val="0"/>
      <w:kern w:val="28"/>
      <w:szCs w:val="20"/>
    </w:rPr>
  </w:style>
  <w:style w:type="character" w:styleId="PageNumber">
    <w:name w:val="page number"/>
    <w:basedOn w:val="DefaultParagraphFont"/>
    <w:rsid w:val="009E2BCE"/>
  </w:style>
  <w:style w:type="paragraph" w:styleId="BlockText">
    <w:name w:val="Block Text"/>
    <w:basedOn w:val="Normal"/>
    <w:rsid w:val="009E2BCE"/>
    <w:pPr>
      <w:spacing w:after="240"/>
      <w:ind w:left="1440" w:right="1440"/>
    </w:pPr>
  </w:style>
  <w:style w:type="paragraph" w:customStyle="1" w:styleId="Paratitle">
    <w:name w:val="Para title"/>
    <w:basedOn w:val="Normal"/>
    <w:rsid w:val="009E2BCE"/>
    <w:pPr>
      <w:tabs>
        <w:tab w:val="center" w:pos="9270"/>
      </w:tabs>
      <w:spacing w:after="240"/>
    </w:pPr>
    <w:rPr>
      <w:spacing w:val="-2"/>
    </w:rPr>
  </w:style>
  <w:style w:type="paragraph" w:customStyle="1" w:styleId="Bullet">
    <w:name w:val="Bullet"/>
    <w:basedOn w:val="Normal"/>
    <w:rsid w:val="009E2BCE"/>
    <w:pPr>
      <w:tabs>
        <w:tab w:val="left" w:pos="2160"/>
      </w:tabs>
      <w:spacing w:after="220"/>
      <w:ind w:left="2160" w:hanging="720"/>
    </w:pPr>
  </w:style>
  <w:style w:type="paragraph" w:customStyle="1" w:styleId="TableFormat">
    <w:name w:val="TableFormat"/>
    <w:basedOn w:val="Bullet"/>
    <w:rsid w:val="009E2BCE"/>
    <w:pPr>
      <w:tabs>
        <w:tab w:val="clear" w:pos="2160"/>
        <w:tab w:val="left" w:pos="5040"/>
      </w:tabs>
      <w:ind w:left="5040" w:hanging="3600"/>
    </w:pPr>
  </w:style>
  <w:style w:type="paragraph" w:customStyle="1" w:styleId="TOCTitle">
    <w:name w:val="TOC Title"/>
    <w:basedOn w:val="Normal"/>
    <w:rsid w:val="009E2B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2BCE"/>
    <w:pPr>
      <w:jc w:val="center"/>
    </w:pPr>
    <w:rPr>
      <w:rFonts w:ascii="Times New Roman Bold" w:hAnsi="Times New Roman Bold"/>
      <w:b/>
      <w:bCs/>
      <w:caps/>
      <w:szCs w:val="22"/>
    </w:rPr>
  </w:style>
  <w:style w:type="character" w:styleId="Hyperlink">
    <w:name w:val="Hyperlink"/>
    <w:rsid w:val="009E2BCE"/>
    <w:rPr>
      <w:color w:val="0000FF"/>
      <w:u w:val="single"/>
    </w:rPr>
  </w:style>
  <w:style w:type="paragraph" w:styleId="BalloonText">
    <w:name w:val="Balloon Text"/>
    <w:basedOn w:val="Normal"/>
    <w:link w:val="BalloonTextChar"/>
    <w:rsid w:val="009E2BCE"/>
    <w:rPr>
      <w:rFonts w:ascii="Segoe UI" w:hAnsi="Segoe UI" w:cs="Segoe UI"/>
      <w:sz w:val="18"/>
      <w:szCs w:val="18"/>
    </w:rPr>
  </w:style>
  <w:style w:type="character" w:customStyle="1" w:styleId="BalloonTextChar">
    <w:name w:val="Balloon Text Char"/>
    <w:basedOn w:val="DefaultParagraphFont"/>
    <w:link w:val="BalloonText"/>
    <w:rsid w:val="009E2BCE"/>
    <w:rPr>
      <w:rFonts w:ascii="Segoe UI" w:eastAsia="Times New Roman" w:hAnsi="Segoe UI" w:cs="Segoe UI"/>
      <w:snapToGrid w:val="0"/>
      <w:kern w:val="28"/>
      <w:sz w:val="18"/>
      <w:szCs w:val="18"/>
    </w:rPr>
  </w:style>
  <w:style w:type="paragraph" w:styleId="ListParagraph">
    <w:name w:val="List Paragraph"/>
    <w:basedOn w:val="Normal"/>
    <w:uiPriority w:val="34"/>
    <w:qFormat/>
    <w:rsid w:val="009E2BCE"/>
    <w:pPr>
      <w:spacing w:after="200" w:line="276" w:lineRule="auto"/>
      <w:ind w:left="720"/>
      <w:contextualSpacing/>
    </w:pPr>
  </w:style>
  <w:style w:type="character" w:styleId="CommentReference">
    <w:name w:val="annotation reference"/>
    <w:basedOn w:val="DefaultParagraphFont"/>
    <w:uiPriority w:val="99"/>
    <w:unhideWhenUsed/>
    <w:rsid w:val="009E2BCE"/>
    <w:rPr>
      <w:sz w:val="16"/>
      <w:szCs w:val="16"/>
    </w:rPr>
  </w:style>
  <w:style w:type="paragraph" w:styleId="CommentText">
    <w:name w:val="annotation text"/>
    <w:basedOn w:val="Normal"/>
    <w:link w:val="CommentTextChar"/>
    <w:uiPriority w:val="99"/>
    <w:unhideWhenUsed/>
    <w:rsid w:val="009E2BCE"/>
    <w:pPr>
      <w:spacing w:after="200"/>
    </w:pPr>
    <w:rPr>
      <w:sz w:val="20"/>
    </w:rPr>
  </w:style>
  <w:style w:type="character" w:customStyle="1" w:styleId="CommentTextChar">
    <w:name w:val="Comment Text Char"/>
    <w:basedOn w:val="DefaultParagraphFont"/>
    <w:link w:val="CommentText"/>
    <w:uiPriority w:val="99"/>
    <w:rsid w:val="009E2BCE"/>
    <w:rPr>
      <w:rFonts w:ascii="Times New Roman" w:eastAsia="Times New Roman" w:hAnsi="Times New Roman" w:cs="Times New Roman"/>
      <w:snapToGrid w:val="0"/>
      <w:kern w:val="28"/>
      <w:sz w:val="20"/>
      <w:szCs w:val="20"/>
    </w:rPr>
  </w:style>
  <w:style w:type="paragraph" w:styleId="TOCHeading">
    <w:name w:val="TOC Heading"/>
    <w:basedOn w:val="Heading1"/>
    <w:next w:val="Normal"/>
    <w:uiPriority w:val="39"/>
    <w:unhideWhenUsed/>
    <w:qFormat/>
    <w:rsid w:val="009E2BCE"/>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ParaNumChar">
    <w:name w:val="ParaNum Char"/>
    <w:link w:val="ParaNum"/>
    <w:locked/>
    <w:rsid w:val="009E2BCE"/>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rsid w:val="009E2BCE"/>
    <w:pPr>
      <w:spacing w:after="0"/>
    </w:pPr>
    <w:rPr>
      <w:b/>
      <w:bCs/>
      <w:snapToGrid/>
    </w:rPr>
  </w:style>
  <w:style w:type="character" w:customStyle="1" w:styleId="CommentSubjectChar">
    <w:name w:val="Comment Subject Char"/>
    <w:basedOn w:val="CommentTextChar"/>
    <w:link w:val="CommentSubject"/>
    <w:uiPriority w:val="99"/>
    <w:rsid w:val="009E2BCE"/>
    <w:rPr>
      <w:rFonts w:ascii="Times New Roman" w:eastAsia="Times New Roman" w:hAnsi="Times New Roman" w:cs="Times New Roman"/>
      <w:b/>
      <w:bCs/>
      <w:snapToGrid/>
      <w:kern w:val="28"/>
      <w:sz w:val="20"/>
      <w:szCs w:val="20"/>
    </w:rPr>
  </w:style>
  <w:style w:type="character" w:customStyle="1" w:styleId="apple-converted-space">
    <w:name w:val="apple-converted-space"/>
    <w:rsid w:val="009E2BCE"/>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9E2BCE"/>
    <w:rPr>
      <w:lang w:val="en-US" w:eastAsia="en-US" w:bidi="ar-SA"/>
    </w:rPr>
  </w:style>
  <w:style w:type="character" w:customStyle="1" w:styleId="FootnoteTextCharChar2">
    <w:name w:val="Footnote Text Char Char2"/>
    <w:aliases w:val="Footnote Text Char Char6 Char Char1,Footnote Text Char Char6 Char Char1 Char1 Char1,Footnote Text Char2 Char3 Char1,Footnote Text Char4 Char2 Char Char Char Char Char1,Footnote Text Char6 Char Char Char Char1"/>
    <w:locked/>
    <w:rsid w:val="009E2BCE"/>
  </w:style>
  <w:style w:type="paragraph" w:customStyle="1" w:styleId="BulletCharChar">
    <w:name w:val="Bullet Char Char"/>
    <w:basedOn w:val="Normal"/>
    <w:link w:val="BulletCharCharChar"/>
    <w:rsid w:val="009E2BCE"/>
    <w:pPr>
      <w:tabs>
        <w:tab w:val="left" w:pos="2160"/>
      </w:tabs>
      <w:spacing w:after="220" w:line="276" w:lineRule="auto"/>
      <w:ind w:left="2160" w:hanging="720"/>
    </w:pPr>
  </w:style>
  <w:style w:type="character" w:customStyle="1" w:styleId="BulletCharCharChar">
    <w:name w:val="Bullet Char Char Char"/>
    <w:link w:val="BulletCharChar"/>
    <w:rsid w:val="009E2BCE"/>
    <w:rPr>
      <w:rFonts w:ascii="Times New Roman" w:eastAsia="Times New Roman" w:hAnsi="Times New Roman" w:cs="Times New Roman"/>
      <w:snapToGrid w:val="0"/>
      <w:kern w:val="28"/>
      <w:szCs w:val="20"/>
    </w:rPr>
  </w:style>
  <w:style w:type="character" w:customStyle="1" w:styleId="footnote">
    <w:name w:val="footnote"/>
    <w:rsid w:val="009E2BCE"/>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9E2BCE"/>
  </w:style>
  <w:style w:type="paragraph" w:styleId="NormalWeb">
    <w:name w:val="Normal (Web)"/>
    <w:basedOn w:val="Normal"/>
    <w:uiPriority w:val="99"/>
    <w:unhideWhenUsed/>
    <w:rsid w:val="009E2BCE"/>
    <w:pPr>
      <w:spacing w:after="200" w:line="330" w:lineRule="atLeast"/>
      <w:textAlignment w:val="baseline"/>
    </w:pPr>
    <w:rPr>
      <w:snapToGrid/>
      <w:color w:val="000000"/>
      <w:sz w:val="20"/>
    </w:rPr>
  </w:style>
  <w:style w:type="character" w:customStyle="1" w:styleId="cohovertext">
    <w:name w:val="co_hovertext"/>
    <w:basedOn w:val="DefaultParagraphFont"/>
    <w:rsid w:val="009E2BCE"/>
  </w:style>
  <w:style w:type="character" w:customStyle="1" w:styleId="cosearchterm">
    <w:name w:val="co_searchterm"/>
    <w:basedOn w:val="DefaultParagraphFont"/>
    <w:rsid w:val="009E2BCE"/>
  </w:style>
  <w:style w:type="character" w:styleId="FollowedHyperlink">
    <w:name w:val="FollowedHyperlink"/>
    <w:basedOn w:val="DefaultParagraphFont"/>
    <w:rsid w:val="009E2BCE"/>
    <w:rPr>
      <w:color w:val="954F72" w:themeColor="followedHyperlink"/>
      <w:u w:val="single"/>
    </w:rPr>
  </w:style>
  <w:style w:type="paragraph" w:styleId="Revision">
    <w:name w:val="Revision"/>
    <w:hidden/>
    <w:uiPriority w:val="99"/>
    <w:semiHidden/>
    <w:rsid w:val="009E2BCE"/>
    <w:pPr>
      <w:spacing w:after="0" w:line="240" w:lineRule="auto"/>
    </w:pPr>
    <w:rPr>
      <w:rFonts w:ascii="Times New Roman" w:eastAsia="Times New Roman" w:hAnsi="Times New Roman" w:cs="Times New Roman"/>
      <w:snapToGrid w:val="0"/>
      <w:kern w:val="28"/>
      <w:szCs w:val="24"/>
    </w:rPr>
  </w:style>
  <w:style w:type="character" w:styleId="Emphasis">
    <w:name w:val="Emphasis"/>
    <w:basedOn w:val="DefaultParagraphFont"/>
    <w:uiPriority w:val="20"/>
    <w:qFormat/>
    <w:rsid w:val="009E2BCE"/>
    <w:rPr>
      <w:i/>
      <w:iCs/>
    </w:rPr>
  </w:style>
  <w:style w:type="paragraph" w:customStyle="1" w:styleId="paranum0">
    <w:name w:val="paranum"/>
    <w:basedOn w:val="Normal"/>
    <w:uiPriority w:val="99"/>
    <w:rsid w:val="009E2BCE"/>
    <w:pPr>
      <w:widowControl/>
      <w:snapToGrid w:val="0"/>
      <w:spacing w:after="120"/>
      <w:ind w:firstLine="720"/>
    </w:pPr>
    <w:rPr>
      <w:rFonts w:ascii="Calibri" w:hAnsi="Calibri" w:eastAsiaTheme="minorHAnsi" w:cs="Calibri"/>
      <w:snapToGrid/>
      <w:kern w:val="0"/>
      <w:szCs w:val="22"/>
    </w:rPr>
  </w:style>
  <w:style w:type="paragraph" w:styleId="DocumentMap">
    <w:name w:val="Document Map"/>
    <w:basedOn w:val="Normal"/>
    <w:link w:val="DocumentMapChar"/>
    <w:uiPriority w:val="99"/>
    <w:semiHidden/>
    <w:unhideWhenUsed/>
    <w:rsid w:val="009E2BCE"/>
    <w:rPr>
      <w:sz w:val="24"/>
      <w:szCs w:val="24"/>
    </w:rPr>
  </w:style>
  <w:style w:type="character" w:customStyle="1" w:styleId="DocumentMapChar">
    <w:name w:val="Document Map Char"/>
    <w:basedOn w:val="DefaultParagraphFont"/>
    <w:link w:val="DocumentMap"/>
    <w:uiPriority w:val="99"/>
    <w:semiHidden/>
    <w:rsid w:val="009E2BCE"/>
    <w:rPr>
      <w:rFonts w:ascii="Times New Roman" w:eastAsia="Times New Roman" w:hAnsi="Times New Roman" w:cs="Times New Roman"/>
      <w:snapToGrid w:val="0"/>
      <w:kern w:val="28"/>
      <w:sz w:val="24"/>
      <w:szCs w:val="24"/>
    </w:rPr>
  </w:style>
  <w:style w:type="character" w:customStyle="1" w:styleId="Heading1Char1">
    <w:name w:val="Heading 1 Char1"/>
    <w:aliases w:val="Heading 1 Char Char Char Char1,Heading 1 Char Char1 Char Char1,Heading 1 Char Char1 Char2,Heading 1 Char1 Char Char Char2 Char Char1,Heading 1 Char1 Char Char1,Heading 1 Char2 Char Char1 Char Char1,Heading 1 Char2 Char1"/>
    <w:basedOn w:val="DefaultParagraphFont"/>
    <w:rsid w:val="009E2BCE"/>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eading 2 Char Char1 Char Char Char1,Heading 2 Char Char1 Char1,Heading 2 Char Char2 Char1,Heading 2 Char Char3 Char Char1,Heading 2 Char1 Char Char Char2,Heading 2 Char1 Char Char2,UNDERRUBRIK 1-2 Char Char1,h2 Char Char1"/>
    <w:basedOn w:val="DefaultParagraphFont"/>
    <w:uiPriority w:val="9"/>
    <w:semiHidden/>
    <w:rsid w:val="009E2BCE"/>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1 Char Char1,1 Char2,3 Char Char1,3 Char2,31 Char Char1,31 Char2,?? 3 Char Char1,?? 3 Char2,Heading 3 Char Char Char Char Char2,Heading 3 Char1 Char Char Char1,Titre 3 Char Char1,Titre 3 Char2,Titre 31 Char Char1,Titre 31 Char2"/>
    <w:basedOn w:val="DefaultParagraphFont"/>
    <w:semiHidden/>
    <w:rsid w:val="009E2BCE"/>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 Char Char Char Char Char1 Char1,Heading 4 Char Char1 Char Char1 Char1,Heading 4 Char1 Char Char Char Char1 Char1,Heading 4 Char1 Char Char1,Heading 4 Char1 Char1 Char Char1 Char1,Heading 4 Char2 Char Char1 Char1"/>
    <w:basedOn w:val="DefaultParagraphFont"/>
    <w:semiHidden/>
    <w:rsid w:val="009E2BCE"/>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 Char Char Char Char Char1,Heading 5 Char Char Char1 Char1,Heading 5 Char Char1 Char Char1,Heading 5 Char Char2 Char1,Heading 5 Char1 Char Char Char Char1,Heading 5 Char1 Char1 Char1,Heading 5 Char2 Char1"/>
    <w:basedOn w:val="DefaultParagraphFont"/>
    <w:semiHidden/>
    <w:rsid w:val="009E2BCE"/>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 Char Char Char1,Heading 6 Char Char Char2,Heading 6 Char Char1 Char1,Heading 6 Char1 Char Char1,Heading 6 Char1 Char2,Heading 6 Char2 Char1,h6 Char1"/>
    <w:basedOn w:val="DefaultParagraphFont"/>
    <w:semiHidden/>
    <w:rsid w:val="009E2BCE"/>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9E2BCE"/>
    <w:rPr>
      <w:rFonts w:ascii="Courier New" w:eastAsia="Calibri" w:hAnsi="Courier New" w:cs="Courier New" w:hint="default"/>
      <w:sz w:val="20"/>
      <w:szCs w:val="20"/>
    </w:rPr>
  </w:style>
  <w:style w:type="character" w:customStyle="1" w:styleId="Heading9Char1">
    <w:name w:val="Heading 9 Char1"/>
    <w:aliases w:val="9 Char1,Heading 9.table Char1,Titre 9 Char1,Topic Char1,t Char1,table Char1"/>
    <w:basedOn w:val="DefaultParagraphFont"/>
    <w:semiHidden/>
    <w:rsid w:val="009E2BCE"/>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 Char Char1,Footnote Text Char Char3 Char Char Char Char Char1,Footnote Text Char1 Char1 Char Char1,Footnote Text Char2 Char1,Footnote Text Char3 Char1 Char Char Char Char1,Footnote Text Char4 Char Char Char Char1"/>
    <w:basedOn w:val="DefaultParagraphFont"/>
    <w:semiHidden/>
    <w:rsid w:val="009E2BCE"/>
    <w:rPr>
      <w:kern w:val="28"/>
      <w:sz w:val="20"/>
      <w:szCs w:val="20"/>
    </w:rPr>
  </w:style>
  <w:style w:type="paragraph" w:styleId="Caption">
    <w:name w:val="caption"/>
    <w:basedOn w:val="Normal"/>
    <w:next w:val="Normal"/>
    <w:uiPriority w:val="35"/>
    <w:semiHidden/>
    <w:unhideWhenUsed/>
    <w:qFormat/>
    <w:rsid w:val="009E2BCE"/>
    <w:pPr>
      <w:keepLines/>
      <w:widowControl/>
      <w:snapToGrid w:val="0"/>
      <w:spacing w:before="120" w:after="120"/>
      <w:jc w:val="center"/>
    </w:pPr>
    <w:rPr>
      <w:rFonts w:eastAsiaTheme="minorHAnsi" w:cstheme="minorBidi"/>
      <w:b/>
      <w:iCs/>
      <w:snapToGrid/>
      <w:kern w:val="0"/>
      <w:sz w:val="20"/>
      <w:szCs w:val="18"/>
      <w:lang w:eastAsia="ja-JP"/>
    </w:rPr>
  </w:style>
  <w:style w:type="paragraph" w:styleId="Title">
    <w:name w:val="Title"/>
    <w:basedOn w:val="Normal"/>
    <w:next w:val="Normal"/>
    <w:link w:val="TitleChar"/>
    <w:uiPriority w:val="10"/>
    <w:qFormat/>
    <w:rsid w:val="009E2BCE"/>
    <w:pPr>
      <w:snapToGrid w:val="0"/>
      <w:spacing w:after="240"/>
      <w:jc w:val="center"/>
      <w:outlineLvl w:val="0"/>
    </w:pPr>
    <w:rPr>
      <w:rFonts w:ascii="Times New Roman Bold" w:hAnsi="Times New Roman Bold" w:eastAsiaTheme="majorEastAsia"/>
      <w:b/>
      <w:bCs/>
      <w:caps/>
      <w:snapToGrid/>
      <w:szCs w:val="22"/>
    </w:rPr>
  </w:style>
  <w:style w:type="character" w:customStyle="1" w:styleId="TitleChar">
    <w:name w:val="Title Char"/>
    <w:basedOn w:val="DefaultParagraphFont"/>
    <w:link w:val="Title"/>
    <w:uiPriority w:val="10"/>
    <w:rsid w:val="009E2BCE"/>
    <w:rPr>
      <w:rFonts w:ascii="Times New Roman Bold" w:hAnsi="Times New Roman Bold" w:eastAsiaTheme="majorEastAsia" w:cs="Times New Roman"/>
      <w:b/>
      <w:bCs/>
      <w:caps/>
      <w:kern w:val="28"/>
    </w:rPr>
  </w:style>
  <w:style w:type="paragraph" w:styleId="BodyText">
    <w:name w:val="Body Text"/>
    <w:basedOn w:val="Normal"/>
    <w:link w:val="BodyTextChar"/>
    <w:uiPriority w:val="99"/>
    <w:semiHidden/>
    <w:unhideWhenUsed/>
    <w:rsid w:val="009E2BCE"/>
    <w:pPr>
      <w:widowControl/>
      <w:snapToGrid w:val="0"/>
      <w:spacing w:after="160" w:line="256" w:lineRule="auto"/>
    </w:pPr>
    <w:rPr>
      <w:rFonts w:asciiTheme="minorHAnsi" w:eastAsiaTheme="minorHAnsi" w:hAnsiTheme="minorHAnsi" w:cstheme="minorBidi"/>
      <w:snapToGrid/>
      <w:kern w:val="0"/>
      <w:szCs w:val="22"/>
      <w:lang w:eastAsia="ja-JP"/>
    </w:rPr>
  </w:style>
  <w:style w:type="character" w:customStyle="1" w:styleId="BodyTextChar">
    <w:name w:val="Body Text Char"/>
    <w:basedOn w:val="DefaultParagraphFont"/>
    <w:link w:val="BodyText"/>
    <w:uiPriority w:val="99"/>
    <w:semiHidden/>
    <w:rsid w:val="009E2BCE"/>
    <w:rPr>
      <w:lang w:eastAsia="ja-JP"/>
    </w:rPr>
  </w:style>
  <w:style w:type="paragraph" w:styleId="BodyTextFirstIndent">
    <w:name w:val="Body Text First Indent"/>
    <w:basedOn w:val="BodyText"/>
    <w:link w:val="BodyTextFirstIndentChar"/>
    <w:uiPriority w:val="99"/>
    <w:unhideWhenUsed/>
    <w:rsid w:val="009E2BCE"/>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rsid w:val="009E2BCE"/>
    <w:rPr>
      <w:rFonts w:ascii="Cambria" w:eastAsia="MS Minngs" w:hAnsi="Cambria"/>
      <w:lang w:eastAsia="ja-JP"/>
    </w:rPr>
  </w:style>
  <w:style w:type="paragraph" w:styleId="PlainText">
    <w:name w:val="Plain Text"/>
    <w:basedOn w:val="Normal"/>
    <w:link w:val="PlainTextChar"/>
    <w:uiPriority w:val="99"/>
    <w:unhideWhenUsed/>
    <w:rsid w:val="009E2BCE"/>
    <w:pPr>
      <w:widowControl/>
      <w:snapToGrid w:val="0"/>
      <w:spacing w:after="160" w:line="256" w:lineRule="auto"/>
    </w:pPr>
    <w:rPr>
      <w:rFonts w:ascii="Calibri" w:hAnsi="Calibri" w:eastAsiaTheme="minorHAnsi" w:cs="Calibri"/>
      <w:snapToGrid/>
      <w:kern w:val="0"/>
      <w:szCs w:val="22"/>
      <w:lang w:eastAsia="ja-JP"/>
    </w:rPr>
  </w:style>
  <w:style w:type="character" w:customStyle="1" w:styleId="PlainTextChar">
    <w:name w:val="Plain Text Char"/>
    <w:basedOn w:val="DefaultParagraphFont"/>
    <w:link w:val="PlainText"/>
    <w:uiPriority w:val="99"/>
    <w:rsid w:val="009E2BCE"/>
    <w:rPr>
      <w:rFonts w:ascii="Calibri" w:hAnsi="Calibri" w:cs="Calibri"/>
      <w:lang w:eastAsia="ja-JP"/>
    </w:rPr>
  </w:style>
  <w:style w:type="paragraph" w:styleId="NoSpacing">
    <w:name w:val="No Spacing"/>
    <w:uiPriority w:val="1"/>
    <w:qFormat/>
    <w:rsid w:val="009E2BCE"/>
    <w:pPr>
      <w:spacing w:after="120" w:line="240" w:lineRule="auto"/>
    </w:pPr>
    <w:rPr>
      <w:rFonts w:eastAsiaTheme="minorEastAsia"/>
      <w:sz w:val="24"/>
      <w:szCs w:val="24"/>
    </w:rPr>
  </w:style>
  <w:style w:type="paragraph" w:customStyle="1" w:styleId="Body">
    <w:name w:val="Body"/>
    <w:uiPriority w:val="99"/>
    <w:rsid w:val="009E2BCE"/>
    <w:pPr>
      <w:spacing w:after="120" w:line="240" w:lineRule="auto"/>
    </w:pPr>
    <w:rPr>
      <w:rFonts w:ascii="Times New Roman" w:hAnsi="Times New Roman" w:eastAsiaTheme="minorEastAsia" w:cs="Arial Unicode MS"/>
    </w:rPr>
  </w:style>
  <w:style w:type="character" w:customStyle="1" w:styleId="AppendixTitleChar">
    <w:name w:val="Appendix Title Char"/>
    <w:basedOn w:val="TitleChar"/>
    <w:link w:val="AppendixTitle"/>
    <w:locked/>
    <w:rsid w:val="009E2BCE"/>
    <w:rPr>
      <w:rFonts w:ascii="Times New Roman Bold" w:hAnsi="Times New Roman Bold" w:eastAsiaTheme="majorEastAsia" w:cs="Times New Roman Bold"/>
      <w:b w:val="0"/>
      <w:bCs w:val="0"/>
      <w:caps w:val="0"/>
      <w:kern w:val="28"/>
    </w:rPr>
  </w:style>
  <w:style w:type="paragraph" w:customStyle="1" w:styleId="AppendixTitle">
    <w:name w:val="Appendix Title"/>
    <w:basedOn w:val="Title"/>
    <w:link w:val="AppendixTitleChar"/>
    <w:qFormat/>
    <w:rsid w:val="009E2BCE"/>
    <w:pPr>
      <w:outlineLvl w:val="1"/>
    </w:pPr>
    <w:rPr>
      <w:rFonts w:cs="Times New Roman Bold"/>
      <w:b w:val="0"/>
      <w:bCs w:val="0"/>
      <w:caps w:val="0"/>
    </w:rPr>
  </w:style>
  <w:style w:type="character" w:customStyle="1" w:styleId="AttachmentHeading1Char">
    <w:name w:val="Attachment Heading 1 Char"/>
    <w:basedOn w:val="DefaultParagraphFont"/>
    <w:link w:val="AttachmentHeading1"/>
    <w:locked/>
    <w:rsid w:val="009E2BCE"/>
    <w:rPr>
      <w:rFonts w:eastAsiaTheme="majorEastAsia"/>
      <w:b/>
      <w:bCs/>
      <w:kern w:val="28"/>
    </w:rPr>
  </w:style>
  <w:style w:type="paragraph" w:customStyle="1" w:styleId="AttachmentHeading2">
    <w:name w:val="Attachment Heading 2"/>
    <w:basedOn w:val="AttachmentHeading1"/>
    <w:next w:val="AttachmentHeading3"/>
    <w:link w:val="AttachmentHeading2Char"/>
    <w:uiPriority w:val="99"/>
    <w:qFormat/>
    <w:rsid w:val="009E2BCE"/>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9E2BCE"/>
    <w:pPr>
      <w:numPr>
        <w:numId w:val="52"/>
      </w:numPr>
      <w:snapToGrid w:val="0"/>
      <w:spacing w:after="240" w:line="480" w:lineRule="auto"/>
      <w:jc w:val="center"/>
      <w:outlineLvl w:val="0"/>
    </w:pPr>
    <w:rPr>
      <w:rFonts w:eastAsiaTheme="majorEastAsia"/>
      <w:b/>
      <w:bCs/>
      <w:kern w:val="28"/>
    </w:rPr>
  </w:style>
  <w:style w:type="character" w:styleId="PlaceholderText">
    <w:name w:val="Placeholder Text"/>
    <w:basedOn w:val="DefaultParagraphFont"/>
    <w:uiPriority w:val="99"/>
    <w:semiHidden/>
    <w:rsid w:val="009E2BCE"/>
    <w:rPr>
      <w:color w:val="808080"/>
    </w:rPr>
  </w:style>
  <w:style w:type="character" w:customStyle="1" w:styleId="ALTSFOOTNOTECharChar">
    <w:name w:val="ALTS FOOTNOTE Char Char"/>
    <w:semiHidden/>
    <w:locked/>
    <w:rsid w:val="009E2BCE"/>
  </w:style>
  <w:style w:type="character" w:customStyle="1" w:styleId="CommentSubjectChar1">
    <w:name w:val="Comment Subject Char1"/>
    <w:basedOn w:val="CommentTextChar"/>
    <w:uiPriority w:val="99"/>
    <w:semiHidden/>
    <w:rsid w:val="009E2BCE"/>
    <w:rPr>
      <w:rFonts w:ascii="Calibri" w:eastAsia="Times New Roman" w:hAnsi="Calibri" w:cs="Times New Roman"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9E2BCE"/>
    <w:pPr>
      <w:keepNext/>
      <w:keepLines/>
      <w:numPr>
        <w:ilvl w:val="2"/>
      </w:numPr>
      <w:tabs>
        <w:tab w:val="num" w:pos="360"/>
        <w:tab w:val="left" w:pos="720"/>
      </w:tabs>
      <w:spacing w:before="240" w:line="240" w:lineRule="auto"/>
      <w:jc w:val="left"/>
      <w:outlineLvl w:val="2"/>
    </w:pPr>
    <w:rPr>
      <w:szCs w:val="20"/>
    </w:rPr>
  </w:style>
  <w:style w:type="character" w:customStyle="1" w:styleId="AttachmentHeading3Char">
    <w:name w:val="Attachment Heading 3 Char"/>
    <w:basedOn w:val="Heading1Char"/>
    <w:link w:val="AttachmentHeading3"/>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4">
    <w:name w:val="Attachment Heading 4"/>
    <w:basedOn w:val="AttachmentHeading3"/>
    <w:next w:val="Body"/>
    <w:link w:val="AttachmentHeading4Char"/>
    <w:uiPriority w:val="99"/>
    <w:qFormat/>
    <w:rsid w:val="009E2BCE"/>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9E2BCE"/>
    <w:rPr>
      <w:rFonts w:ascii="Times New Roman Bold" w:hAnsi="Times New Roman Bold" w:eastAsiaTheme="majorEastAsia" w:cs="Times New Roman Bold"/>
      <w:b/>
      <w:bCs/>
      <w:caps w:val="0"/>
      <w:snapToGrid/>
      <w:kern w:val="28"/>
      <w:szCs w:val="20"/>
    </w:rPr>
  </w:style>
  <w:style w:type="paragraph" w:customStyle="1" w:styleId="AttachmentHeading5">
    <w:name w:val="Attachment Heading 5"/>
    <w:basedOn w:val="AttachmentHeading4"/>
    <w:next w:val="Body"/>
    <w:link w:val="AttachmentHeading5Char"/>
    <w:uiPriority w:val="99"/>
    <w:qFormat/>
    <w:rsid w:val="009E2BCE"/>
    <w:pPr>
      <w:numPr>
        <w:ilvl w:val="4"/>
      </w:numPr>
      <w:outlineLvl w:val="4"/>
    </w:pPr>
  </w:style>
  <w:style w:type="character" w:customStyle="1" w:styleId="AttachmentHeading5Char">
    <w:name w:val="Attachment Heading 5 Char"/>
    <w:basedOn w:val="AttachmentHeading4Char"/>
    <w:link w:val="AttachmentHeading5"/>
    <w:uiPriority w:val="99"/>
    <w:locked/>
    <w:rsid w:val="009E2BCE"/>
    <w:rPr>
      <w:rFonts w:ascii="Times New Roman Bold" w:hAnsi="Times New Roman Bold" w:eastAsiaTheme="majorEastAsia" w:cs="Times New Roman Bold"/>
      <w:b/>
      <w:bCs/>
      <w:caps w:val="0"/>
      <w:snapToGrid/>
      <w:kern w:val="28"/>
      <w:szCs w:val="20"/>
    </w:rPr>
  </w:style>
  <w:style w:type="character" w:customStyle="1" w:styleId="AttachmentHeading2Char">
    <w:name w:val="Attachment Heading 2 Char"/>
    <w:basedOn w:val="AppendixTitleChar"/>
    <w:link w:val="AttachmentHeading2"/>
    <w:uiPriority w:val="99"/>
    <w:locked/>
    <w:rsid w:val="009E2BCE"/>
    <w:rPr>
      <w:rFonts w:ascii="Times New Roman Bold" w:hAnsi="Times New Roman Bold" w:eastAsiaTheme="majorEastAsia" w:cs="Times New Roman Bold"/>
      <w:b/>
      <w:bCs/>
      <w:caps w:val="0"/>
      <w:kern w:val="28"/>
    </w:rPr>
  </w:style>
  <w:style w:type="table" w:styleId="TableGrid">
    <w:name w:val="Table Grid"/>
    <w:basedOn w:val="TableNormal"/>
    <w:uiPriority w:val="39"/>
    <w:rsid w:val="009E2BCE"/>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9E2BCE"/>
    <w:pPr>
      <w:spacing w:after="12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beforeLines="0" w:beforeAutospacing="0" w:after="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9E2BCE"/>
    <w:pPr>
      <w:numPr>
        <w:numId w:val="52"/>
      </w:numPr>
    </w:pPr>
  </w:style>
  <w:style w:type="numbering" w:customStyle="1" w:styleId="Style1">
    <w:name w:val="Style1"/>
    <w:uiPriority w:val="99"/>
    <w:rsid w:val="009E2BC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oleObject" Target="embeddings/oleObject3.bin" /><Relationship Id="rId11" Type="http://schemas.openxmlformats.org/officeDocument/2006/relationships/image" Target="media/image4.wmf" /><Relationship Id="rId12" Type="http://schemas.openxmlformats.org/officeDocument/2006/relationships/oleObject" Target="embeddings/oleObject4.bin" /><Relationship Id="rId13" Type="http://schemas.openxmlformats.org/officeDocument/2006/relationships/oleObject" Target="embeddings/oleObject5.bin" /><Relationship Id="rId14" Type="http://schemas.openxmlformats.org/officeDocument/2006/relationships/image" Target="media/image5.wmf" /><Relationship Id="rId15" Type="http://schemas.openxmlformats.org/officeDocument/2006/relationships/oleObject" Target="embeddings/oleObject6.bin" /><Relationship Id="rId16" Type="http://schemas.openxmlformats.org/officeDocument/2006/relationships/image" Target="media/image6.wmf" /><Relationship Id="rId17" Type="http://schemas.openxmlformats.org/officeDocument/2006/relationships/oleObject" Target="embeddings/oleObject7.bin" /><Relationship Id="rId18" Type="http://schemas.openxmlformats.org/officeDocument/2006/relationships/image" Target="media/image7.wmf" /><Relationship Id="rId19" Type="http://schemas.openxmlformats.org/officeDocument/2006/relationships/oleObject" Target="embeddings/oleObject8.bin" /><Relationship Id="rId2" Type="http://schemas.openxmlformats.org/officeDocument/2006/relationships/settings" Target="settings.xml" /><Relationship Id="rId20" Type="http://schemas.openxmlformats.org/officeDocument/2006/relationships/image" Target="media/image8.wmf" /><Relationship Id="rId21" Type="http://schemas.openxmlformats.org/officeDocument/2006/relationships/oleObject" Target="embeddings/oleObject9.bin" /><Relationship Id="rId22" Type="http://schemas.openxmlformats.org/officeDocument/2006/relationships/oleObject" Target="embeddings/oleObject10.bin" /><Relationship Id="rId23" Type="http://schemas.openxmlformats.org/officeDocument/2006/relationships/image" Target="media/image9.wmf" /><Relationship Id="rId24" Type="http://schemas.openxmlformats.org/officeDocument/2006/relationships/oleObject" Target="embeddings/oleObject11.bin" /><Relationship Id="rId25" Type="http://schemas.openxmlformats.org/officeDocument/2006/relationships/image" Target="media/image10.wmf" /><Relationship Id="rId26" Type="http://schemas.openxmlformats.org/officeDocument/2006/relationships/oleObject" Target="embeddings/oleObject12.bin" /><Relationship Id="rId27" Type="http://schemas.openxmlformats.org/officeDocument/2006/relationships/image" Target="media/image11.wmf" /><Relationship Id="rId28" Type="http://schemas.openxmlformats.org/officeDocument/2006/relationships/oleObject" Target="embeddings/oleObject13.bin" /><Relationship Id="rId29" Type="http://schemas.openxmlformats.org/officeDocument/2006/relationships/image" Target="media/image12.wmf" /><Relationship Id="rId3" Type="http://schemas.openxmlformats.org/officeDocument/2006/relationships/webSettings" Target="webSettings.xml" /><Relationship Id="rId30" Type="http://schemas.openxmlformats.org/officeDocument/2006/relationships/oleObject" Target="embeddings/oleObject14.bin" /><Relationship Id="rId31" Type="http://schemas.openxmlformats.org/officeDocument/2006/relationships/image" Target="media/image13.wmf" /><Relationship Id="rId32" Type="http://schemas.openxmlformats.org/officeDocument/2006/relationships/oleObject" Target="embeddings/oleObject15.bin" /><Relationship Id="rId33" Type="http://schemas.openxmlformats.org/officeDocument/2006/relationships/oleObject" Target="embeddings/oleObject16.bin" /><Relationship Id="rId34" Type="http://schemas.openxmlformats.org/officeDocument/2006/relationships/image" Target="media/image14.wmf" /><Relationship Id="rId35" Type="http://schemas.openxmlformats.org/officeDocument/2006/relationships/oleObject" Target="embeddings/oleObject17.bin" /><Relationship Id="rId36" Type="http://schemas.openxmlformats.org/officeDocument/2006/relationships/image" Target="media/image15.wmf" /><Relationship Id="rId37" Type="http://schemas.openxmlformats.org/officeDocument/2006/relationships/oleObject" Target="embeddings/oleObject18.bin" /><Relationship Id="rId38" Type="http://schemas.openxmlformats.org/officeDocument/2006/relationships/image" Target="media/image16.wmf" /><Relationship Id="rId39" Type="http://schemas.openxmlformats.org/officeDocument/2006/relationships/oleObject" Target="embeddings/oleObject19.bin" /><Relationship Id="rId4" Type="http://schemas.openxmlformats.org/officeDocument/2006/relationships/fontTable" Target="fontTable.xml" /><Relationship Id="rId40" Type="http://schemas.openxmlformats.org/officeDocument/2006/relationships/image" Target="media/image17.wmf" /><Relationship Id="rId41" Type="http://schemas.openxmlformats.org/officeDocument/2006/relationships/oleObject" Target="embeddings/oleObject20.bin" /><Relationship Id="rId42" Type="http://schemas.openxmlformats.org/officeDocument/2006/relationships/image" Target="media/image18.wmf" /><Relationship Id="rId43" Type="http://schemas.openxmlformats.org/officeDocument/2006/relationships/oleObject" Target="embeddings/oleObject21.bin" /><Relationship Id="rId44" Type="http://schemas.openxmlformats.org/officeDocument/2006/relationships/image" Target="media/image19.wmf" /><Relationship Id="rId45" Type="http://schemas.openxmlformats.org/officeDocument/2006/relationships/oleObject" Target="embeddings/oleObject22.bin" /><Relationship Id="rId46" Type="http://schemas.openxmlformats.org/officeDocument/2006/relationships/header" Target="header1.xml" /><Relationship Id="rId47" Type="http://schemas.openxmlformats.org/officeDocument/2006/relationships/footer" Target="footer1.xml" /><Relationship Id="rId48" Type="http://schemas.openxmlformats.org/officeDocument/2006/relationships/header" Target="header2.xml" /><Relationship Id="rId49" Type="http://schemas.openxmlformats.org/officeDocument/2006/relationships/footer" Target="footer2.xml" /><Relationship Id="rId5" Type="http://schemas.openxmlformats.org/officeDocument/2006/relationships/image" Target="media/image1.wmf"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oleObject" Target="embeddings/oleObject1.bin" /><Relationship Id="rId7" Type="http://schemas.openxmlformats.org/officeDocument/2006/relationships/image" Target="media/image2.wmf" /><Relationship Id="rId8" Type="http://schemas.openxmlformats.org/officeDocument/2006/relationships/oleObject" Target="embeddings/oleObject2.bin" /><Relationship Id="rId9"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