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5C5FDE" w:rsidP="00013A8B">
      <w:pPr>
        <w:jc w:val="right"/>
        <w:rPr>
          <w:b/>
          <w:szCs w:val="22"/>
        </w:rPr>
      </w:pPr>
      <w:r w:rsidRPr="005C5FDE">
        <w:rPr>
          <w:b/>
          <w:szCs w:val="22"/>
        </w:rPr>
        <w:t>DA 19-</w:t>
      </w:r>
      <w:r w:rsidRPr="005C5FDE" w:rsidR="005C5FDE">
        <w:rPr>
          <w:b/>
          <w:szCs w:val="22"/>
        </w:rPr>
        <w:t>198</w:t>
      </w:r>
    </w:p>
    <w:p w:rsidR="00013A8B" w:rsidRPr="00792020" w:rsidP="00013A8B">
      <w:pPr>
        <w:spacing w:before="60"/>
        <w:jc w:val="right"/>
        <w:rPr>
          <w:b/>
          <w:szCs w:val="22"/>
        </w:rPr>
      </w:pPr>
      <w:r w:rsidRPr="005C5FDE">
        <w:rPr>
          <w:b/>
          <w:szCs w:val="22"/>
        </w:rPr>
        <w:t xml:space="preserve">Released:  </w:t>
      </w:r>
      <w:r w:rsidRPr="005C5FDE" w:rsidR="005C5FDE">
        <w:rPr>
          <w:b/>
          <w:szCs w:val="22"/>
        </w:rPr>
        <w:t>March 20, 2019</w:t>
      </w:r>
    </w:p>
    <w:p w:rsidR="00013A8B" w:rsidRPr="00792020" w:rsidP="00013A8B">
      <w:pPr>
        <w:jc w:val="right"/>
        <w:rPr>
          <w:szCs w:val="22"/>
        </w:rPr>
      </w:pPr>
    </w:p>
    <w:p w:rsidR="00013A8B" w:rsidRPr="00792020" w:rsidP="00013A8B">
      <w:pPr>
        <w:spacing w:after="240"/>
        <w:jc w:val="center"/>
        <w:rPr>
          <w:rFonts w:ascii="Times New Roman Bold" w:hAnsi="Times New Roman Bold"/>
          <w:b/>
          <w:caps/>
          <w:szCs w:val="22"/>
        </w:rPr>
      </w:pPr>
      <w:r w:rsidRPr="00792020">
        <w:rPr>
          <w:rFonts w:ascii="Times New Roman Bold" w:hAnsi="Times New Roman Bold"/>
          <w:b/>
          <w:caps/>
          <w:szCs w:val="22"/>
        </w:rPr>
        <w:t xml:space="preserve">WIRELINE COMPETITION BUREAU TO </w:t>
      </w:r>
      <w:r w:rsidRPr="00792020" w:rsidR="00792020">
        <w:rPr>
          <w:rFonts w:ascii="Times New Roman Bold" w:hAnsi="Times New Roman Bold"/>
          <w:b/>
          <w:caps/>
          <w:szCs w:val="22"/>
        </w:rPr>
        <w:t xml:space="preserve">CLOSE </w:t>
      </w:r>
      <w:r w:rsidR="003F4DDA">
        <w:rPr>
          <w:rFonts w:ascii="Times New Roman Bold" w:hAnsi="Times New Roman Bold"/>
          <w:b/>
          <w:caps/>
          <w:szCs w:val="22"/>
        </w:rPr>
        <w:t xml:space="preserve">and archive </w:t>
      </w:r>
      <w:r w:rsidRPr="00792020">
        <w:rPr>
          <w:rFonts w:ascii="Times New Roman Bold" w:hAnsi="Times New Roman Bold"/>
          <w:b/>
          <w:caps/>
          <w:szCs w:val="22"/>
        </w:rPr>
        <w:t>SECURE DATA ENCLAVE</w:t>
      </w:r>
      <w:r w:rsidRPr="00792020" w:rsidR="00995FDE">
        <w:rPr>
          <w:szCs w:val="22"/>
        </w:rPr>
        <w:t xml:space="preserve"> </w:t>
      </w:r>
      <w:r w:rsidRPr="00792020" w:rsidR="00995FDE">
        <w:rPr>
          <w:rFonts w:ascii="Times New Roman Bold" w:hAnsi="Times New Roman Bold"/>
          <w:b/>
          <w:caps/>
          <w:szCs w:val="22"/>
        </w:rPr>
        <w:t xml:space="preserve">IN </w:t>
      </w:r>
      <w:r w:rsidR="00F74863">
        <w:rPr>
          <w:rFonts w:ascii="Times New Roman Bold" w:hAnsi="Times New Roman Bold"/>
          <w:b/>
          <w:caps/>
          <w:szCs w:val="22"/>
        </w:rPr>
        <w:t>price cap</w:t>
      </w:r>
      <w:r w:rsidRPr="00792020" w:rsidR="00995FDE">
        <w:rPr>
          <w:rFonts w:ascii="Times New Roman Bold" w:hAnsi="Times New Roman Bold"/>
          <w:b/>
          <w:caps/>
          <w:szCs w:val="22"/>
        </w:rPr>
        <w:t xml:space="preserve"> BUSINESS DATA SERVICES PROCEEDIngs</w:t>
      </w:r>
      <w:r w:rsidRPr="00792020" w:rsidR="00792020">
        <w:rPr>
          <w:rFonts w:ascii="Times New Roman Bold" w:hAnsi="Times New Roman Bold"/>
          <w:b/>
          <w:caps/>
          <w:szCs w:val="22"/>
        </w:rPr>
        <w:t xml:space="preserve"> </w:t>
      </w:r>
    </w:p>
    <w:p w:rsidR="00013A8B" w:rsidRPr="00792020" w:rsidP="00F92817">
      <w:pPr>
        <w:spacing w:after="240"/>
        <w:jc w:val="center"/>
        <w:rPr>
          <w:b/>
          <w:szCs w:val="22"/>
        </w:rPr>
      </w:pPr>
      <w:r w:rsidRPr="00792020">
        <w:rPr>
          <w:b/>
          <w:szCs w:val="22"/>
        </w:rPr>
        <w:t>WC Docket Nos. 16-143, 05-25</w:t>
      </w:r>
    </w:p>
    <w:p w:rsidR="00142109" w:rsidRPr="00792020" w:rsidP="00DC7175">
      <w:pPr>
        <w:spacing w:after="240"/>
        <w:rPr>
          <w:szCs w:val="22"/>
        </w:rPr>
      </w:pPr>
      <w:r w:rsidRPr="00792020">
        <w:rPr>
          <w:b/>
          <w:szCs w:val="22"/>
        </w:rPr>
        <w:tab/>
      </w:r>
      <w:r w:rsidRPr="00792020">
        <w:rPr>
          <w:szCs w:val="22"/>
        </w:rPr>
        <w:t xml:space="preserve">By this Public Notice, the Wireline Competition Bureau (Bureau) announces </w:t>
      </w:r>
      <w:r w:rsidR="003F4DDA">
        <w:rPr>
          <w:szCs w:val="22"/>
        </w:rPr>
        <w:t xml:space="preserve">that </w:t>
      </w:r>
      <w:r w:rsidRPr="00DC7175" w:rsidR="00DC7175">
        <w:rPr>
          <w:szCs w:val="22"/>
        </w:rPr>
        <w:t xml:space="preserve">access to the </w:t>
      </w:r>
      <w:r w:rsidRPr="00792020" w:rsidR="001D5909">
        <w:rPr>
          <w:szCs w:val="22"/>
        </w:rPr>
        <w:t>secure data enclave containing highly confidential data filed in the price cap business data services (BDS) proceedings</w:t>
      </w:r>
      <w:r w:rsidRPr="00DC7175" w:rsidR="00DC7175">
        <w:rPr>
          <w:szCs w:val="22"/>
        </w:rPr>
        <w:t xml:space="preserve"> </w:t>
      </w:r>
      <w:r w:rsidR="00DC7175">
        <w:rPr>
          <w:szCs w:val="22"/>
        </w:rPr>
        <w:t>will</w:t>
      </w:r>
      <w:r w:rsidRPr="00DC7175" w:rsidR="00DC7175">
        <w:rPr>
          <w:szCs w:val="22"/>
        </w:rPr>
        <w:t xml:space="preserve"> close </w:t>
      </w:r>
      <w:r w:rsidR="00035823">
        <w:rPr>
          <w:szCs w:val="22"/>
        </w:rPr>
        <w:t>after</w:t>
      </w:r>
      <w:r w:rsidRPr="00DC7175" w:rsidR="00DC7175">
        <w:rPr>
          <w:szCs w:val="22"/>
        </w:rPr>
        <w:t xml:space="preserve"> March </w:t>
      </w:r>
      <w:r w:rsidR="00DC7175">
        <w:rPr>
          <w:szCs w:val="22"/>
        </w:rPr>
        <w:t>22</w:t>
      </w:r>
      <w:r w:rsidRPr="00DC7175" w:rsidR="00DC7175">
        <w:rPr>
          <w:szCs w:val="22"/>
        </w:rPr>
        <w:t>, 2019</w:t>
      </w:r>
      <w:r w:rsidR="00DF4D8C">
        <w:rPr>
          <w:szCs w:val="22"/>
        </w:rPr>
        <w:t>,</w:t>
      </w:r>
      <w:r w:rsidR="003F4DDA">
        <w:rPr>
          <w:szCs w:val="22"/>
        </w:rPr>
        <w:t xml:space="preserve"> </w:t>
      </w:r>
      <w:r w:rsidRPr="005B1419" w:rsidR="005B1419">
        <w:rPr>
          <w:szCs w:val="22"/>
        </w:rPr>
        <w:t xml:space="preserve">unless an interested party demonstrates that continued access to the data is necessary to their meaningful participation in the proceeding, </w:t>
      </w:r>
      <w:r w:rsidR="003F4DDA">
        <w:rPr>
          <w:szCs w:val="22"/>
        </w:rPr>
        <w:t>and</w:t>
      </w:r>
      <w:r w:rsidR="00DC7175">
        <w:rPr>
          <w:szCs w:val="22"/>
        </w:rPr>
        <w:t xml:space="preserve"> </w:t>
      </w:r>
      <w:r w:rsidRPr="00792020">
        <w:rPr>
          <w:szCs w:val="22"/>
        </w:rPr>
        <w:t xml:space="preserve">all </w:t>
      </w:r>
      <w:r w:rsidR="00B90264">
        <w:rPr>
          <w:szCs w:val="22"/>
        </w:rPr>
        <w:t>parties’</w:t>
      </w:r>
      <w:r w:rsidR="00DC7175">
        <w:rPr>
          <w:szCs w:val="22"/>
        </w:rPr>
        <w:t xml:space="preserve"> </w:t>
      </w:r>
      <w:r w:rsidRPr="00792020">
        <w:rPr>
          <w:szCs w:val="22"/>
        </w:rPr>
        <w:t xml:space="preserve">data and work product stored in the secure data enclave will be saved and archived </w:t>
      </w:r>
      <w:r w:rsidR="00DC7175">
        <w:rPr>
          <w:szCs w:val="22"/>
        </w:rPr>
        <w:t>a</w:t>
      </w:r>
      <w:r w:rsidRPr="00792020" w:rsidR="00DC7175">
        <w:rPr>
          <w:szCs w:val="22"/>
        </w:rPr>
        <w:t>s of March 22, 2019</w:t>
      </w:r>
      <w:r w:rsidR="00DF4D8C">
        <w:rPr>
          <w:szCs w:val="22"/>
        </w:rPr>
        <w:t>,</w:t>
      </w:r>
      <w:r w:rsidR="00DC7175">
        <w:rPr>
          <w:szCs w:val="22"/>
        </w:rPr>
        <w:t xml:space="preserve"> </w:t>
      </w:r>
      <w:r w:rsidRPr="00792020">
        <w:rPr>
          <w:szCs w:val="22"/>
        </w:rPr>
        <w:t xml:space="preserve">pending judicial </w:t>
      </w:r>
      <w:r w:rsidRPr="00792020" w:rsidR="00E8067B">
        <w:rPr>
          <w:szCs w:val="22"/>
        </w:rPr>
        <w:t xml:space="preserve">or administrative review. </w:t>
      </w:r>
    </w:p>
    <w:p w:rsidR="00B30660" w:rsidRPr="00792020" w:rsidP="00B30660">
      <w:pPr>
        <w:spacing w:after="240"/>
        <w:rPr>
          <w:szCs w:val="22"/>
        </w:rPr>
      </w:pPr>
      <w:r w:rsidRPr="00792020">
        <w:rPr>
          <w:szCs w:val="22"/>
        </w:rPr>
        <w:tab/>
      </w:r>
      <w:r w:rsidRPr="00792020" w:rsidR="004B783C">
        <w:rPr>
          <w:szCs w:val="22"/>
        </w:rPr>
        <w:t xml:space="preserve">Pursuant to </w:t>
      </w:r>
      <w:r w:rsidR="00F6671F">
        <w:rPr>
          <w:szCs w:val="22"/>
        </w:rPr>
        <w:t>the P</w:t>
      </w:r>
      <w:r w:rsidRPr="00792020" w:rsidR="004B783C">
        <w:rPr>
          <w:szCs w:val="22"/>
        </w:rPr>
        <w:t xml:space="preserve">rotective </w:t>
      </w:r>
      <w:r w:rsidR="00F6671F">
        <w:rPr>
          <w:szCs w:val="22"/>
        </w:rPr>
        <w:t>O</w:t>
      </w:r>
      <w:r w:rsidRPr="00792020" w:rsidR="004B783C">
        <w:rPr>
          <w:szCs w:val="22"/>
        </w:rPr>
        <w:t>rders, t</w:t>
      </w:r>
      <w:r w:rsidRPr="00792020" w:rsidR="00D97526">
        <w:rPr>
          <w:szCs w:val="22"/>
        </w:rPr>
        <w:t xml:space="preserve">he secure data enclave is the exclusive method for authorized parties to access and analyze highly confidential data submitted in </w:t>
      </w:r>
      <w:r w:rsidRPr="00792020" w:rsidR="0085316B">
        <w:rPr>
          <w:szCs w:val="22"/>
        </w:rPr>
        <w:t xml:space="preserve">a data collection that is part of the record in </w:t>
      </w:r>
      <w:r w:rsidRPr="00792020" w:rsidR="00D97526">
        <w:rPr>
          <w:szCs w:val="22"/>
        </w:rPr>
        <w:t xml:space="preserve">the </w:t>
      </w:r>
      <w:r w:rsidR="00992FE3">
        <w:rPr>
          <w:szCs w:val="22"/>
        </w:rPr>
        <w:t xml:space="preserve">price cap </w:t>
      </w:r>
      <w:r w:rsidRPr="00792020" w:rsidR="00D97526">
        <w:rPr>
          <w:szCs w:val="22"/>
        </w:rPr>
        <w:t>BDS proceedings.</w:t>
      </w:r>
      <w:r>
        <w:rPr>
          <w:rStyle w:val="FootnoteReference"/>
          <w:szCs w:val="22"/>
        </w:rPr>
        <w:footnoteReference w:id="3"/>
      </w:r>
      <w:r w:rsidRPr="00792020" w:rsidR="00D97526">
        <w:rPr>
          <w:szCs w:val="22"/>
        </w:rPr>
        <w:t xml:space="preserve">  </w:t>
      </w:r>
      <w:r w:rsidR="00DA70C0">
        <w:rPr>
          <w:szCs w:val="22"/>
        </w:rPr>
        <w:t xml:space="preserve">The Commission has contracted with </w:t>
      </w:r>
      <w:r w:rsidRPr="00792020" w:rsidR="00DA70C0">
        <w:rPr>
          <w:szCs w:val="22"/>
        </w:rPr>
        <w:t>NORC at the University of Chicago</w:t>
      </w:r>
      <w:r w:rsidR="00DA70C0">
        <w:rPr>
          <w:szCs w:val="22"/>
        </w:rPr>
        <w:t xml:space="preserve"> (NORC)</w:t>
      </w:r>
      <w:r w:rsidRPr="00792020" w:rsidR="00DA70C0">
        <w:rPr>
          <w:szCs w:val="22"/>
        </w:rPr>
        <w:t xml:space="preserve"> </w:t>
      </w:r>
      <w:r w:rsidR="00DA70C0">
        <w:rPr>
          <w:szCs w:val="22"/>
        </w:rPr>
        <w:t xml:space="preserve">to </w:t>
      </w:r>
      <w:r w:rsidRPr="00792020" w:rsidR="00DA70C0">
        <w:rPr>
          <w:szCs w:val="22"/>
        </w:rPr>
        <w:t xml:space="preserve">host </w:t>
      </w:r>
      <w:r w:rsidR="00DA70C0">
        <w:rPr>
          <w:szCs w:val="22"/>
        </w:rPr>
        <w:t xml:space="preserve">the secure data enclave. </w:t>
      </w:r>
      <w:r w:rsidRPr="00792020" w:rsidR="00DA70C0">
        <w:rPr>
          <w:szCs w:val="22"/>
        </w:rPr>
        <w:t xml:space="preserve"> </w:t>
      </w:r>
      <w:r w:rsidRPr="00792020" w:rsidR="00340946">
        <w:rPr>
          <w:szCs w:val="22"/>
        </w:rPr>
        <w:t>On December 5, 2018, t</w:t>
      </w:r>
      <w:r w:rsidRPr="00792020" w:rsidR="00187FFB">
        <w:rPr>
          <w:szCs w:val="22"/>
        </w:rPr>
        <w:t>he Bureau reopened the secure data enclave</w:t>
      </w:r>
      <w:r w:rsidRPr="00792020" w:rsidR="0085316B">
        <w:rPr>
          <w:szCs w:val="22"/>
        </w:rPr>
        <w:t xml:space="preserve"> so that parties could </w:t>
      </w:r>
      <w:r w:rsidRPr="00792020" w:rsidR="00503239">
        <w:rPr>
          <w:szCs w:val="22"/>
        </w:rPr>
        <w:t xml:space="preserve">analyze the </w:t>
      </w:r>
      <w:r w:rsidRPr="00792020" w:rsidR="004B783C">
        <w:rPr>
          <w:szCs w:val="22"/>
        </w:rPr>
        <w:t xml:space="preserve">BDS </w:t>
      </w:r>
      <w:r w:rsidRPr="00792020" w:rsidR="00503239">
        <w:rPr>
          <w:szCs w:val="22"/>
        </w:rPr>
        <w:t xml:space="preserve">data for purposes of </w:t>
      </w:r>
      <w:r w:rsidRPr="00792020" w:rsidR="0085316B">
        <w:rPr>
          <w:szCs w:val="22"/>
        </w:rPr>
        <w:t>comment</w:t>
      </w:r>
      <w:r w:rsidRPr="00792020" w:rsidR="00503239">
        <w:rPr>
          <w:szCs w:val="22"/>
        </w:rPr>
        <w:t>ing</w:t>
      </w:r>
      <w:r w:rsidRPr="00792020" w:rsidR="0085316B">
        <w:rPr>
          <w:szCs w:val="22"/>
        </w:rPr>
        <w:t xml:space="preserve"> on the </w:t>
      </w:r>
      <w:r w:rsidRPr="00792020" w:rsidR="0085316B">
        <w:rPr>
          <w:i/>
          <w:szCs w:val="22"/>
        </w:rPr>
        <w:t>Second Further Notice</w:t>
      </w:r>
      <w:r w:rsidRPr="00792020" w:rsidR="0085316B">
        <w:rPr>
          <w:szCs w:val="22"/>
        </w:rPr>
        <w:t xml:space="preserve"> in the price cap BDS proceedings.</w:t>
      </w:r>
      <w:r>
        <w:rPr>
          <w:rStyle w:val="FootnoteReference"/>
          <w:szCs w:val="22"/>
        </w:rPr>
        <w:footnoteReference w:id="4"/>
      </w:r>
      <w:r w:rsidRPr="00792020" w:rsidR="00187FFB">
        <w:rPr>
          <w:szCs w:val="22"/>
        </w:rPr>
        <w:t xml:space="preserve">  I</w:t>
      </w:r>
      <w:r w:rsidRPr="00792020" w:rsidR="00C30A93">
        <w:rPr>
          <w:szCs w:val="22"/>
        </w:rPr>
        <w:t xml:space="preserve">n a </w:t>
      </w:r>
      <w:r w:rsidRPr="00792020">
        <w:rPr>
          <w:szCs w:val="22"/>
        </w:rPr>
        <w:t>public notice</w:t>
      </w:r>
      <w:r w:rsidRPr="00792020" w:rsidR="00C30A93">
        <w:rPr>
          <w:szCs w:val="22"/>
        </w:rPr>
        <w:t xml:space="preserve"> released on </w:t>
      </w:r>
      <w:r w:rsidRPr="00792020" w:rsidR="00A5280C">
        <w:rPr>
          <w:szCs w:val="22"/>
        </w:rPr>
        <w:t>February 21, 2019</w:t>
      </w:r>
      <w:r w:rsidRPr="00792020" w:rsidR="00C30A93">
        <w:rPr>
          <w:szCs w:val="22"/>
        </w:rPr>
        <w:t xml:space="preserve">, </w:t>
      </w:r>
      <w:r w:rsidRPr="00792020" w:rsidR="00187FFB">
        <w:rPr>
          <w:szCs w:val="22"/>
        </w:rPr>
        <w:t xml:space="preserve">the Bureau announced that </w:t>
      </w:r>
      <w:r w:rsidRPr="00792020" w:rsidR="004B783C">
        <w:rPr>
          <w:szCs w:val="22"/>
        </w:rPr>
        <w:t>it</w:t>
      </w:r>
      <w:r w:rsidRPr="00792020" w:rsidR="00930629">
        <w:rPr>
          <w:szCs w:val="22"/>
        </w:rPr>
        <w:t xml:space="preserve"> would </w:t>
      </w:r>
      <w:r w:rsidR="00DF3117">
        <w:rPr>
          <w:szCs w:val="22"/>
        </w:rPr>
        <w:t xml:space="preserve">allow access to </w:t>
      </w:r>
      <w:r w:rsidR="001C4752">
        <w:rPr>
          <w:szCs w:val="22"/>
        </w:rPr>
        <w:t xml:space="preserve">the </w:t>
      </w:r>
      <w:r w:rsidR="00DF3117">
        <w:rPr>
          <w:szCs w:val="22"/>
        </w:rPr>
        <w:t xml:space="preserve">secure data enclave until </w:t>
      </w:r>
      <w:r w:rsidRPr="00792020" w:rsidR="00C30A93">
        <w:rPr>
          <w:szCs w:val="22"/>
        </w:rPr>
        <w:t>March 22, 2019</w:t>
      </w:r>
      <w:r w:rsidRPr="00792020" w:rsidR="005E709A">
        <w:rPr>
          <w:szCs w:val="22"/>
        </w:rPr>
        <w:t>,</w:t>
      </w:r>
      <w:r w:rsidRPr="00792020" w:rsidR="00D97526">
        <w:rPr>
          <w:szCs w:val="22"/>
        </w:rPr>
        <w:t xml:space="preserve"> </w:t>
      </w:r>
      <w:r w:rsidR="00DF3117">
        <w:rPr>
          <w:szCs w:val="22"/>
        </w:rPr>
        <w:t>“</w:t>
      </w:r>
      <w:r w:rsidRPr="00792020" w:rsidR="00D97526">
        <w:rPr>
          <w:szCs w:val="22"/>
        </w:rPr>
        <w:t>unless an interested party demonstrate</w:t>
      </w:r>
      <w:r w:rsidRPr="00792020" w:rsidR="005E709A">
        <w:rPr>
          <w:szCs w:val="22"/>
        </w:rPr>
        <w:t>s</w:t>
      </w:r>
      <w:r w:rsidRPr="00792020" w:rsidR="00D97526">
        <w:rPr>
          <w:szCs w:val="22"/>
        </w:rPr>
        <w:t xml:space="preserve"> that </w:t>
      </w:r>
      <w:r w:rsidRPr="00792020" w:rsidR="007F5C4C">
        <w:rPr>
          <w:szCs w:val="22"/>
        </w:rPr>
        <w:t>‘</w:t>
      </w:r>
      <w:r w:rsidRPr="00792020" w:rsidR="00D97526">
        <w:rPr>
          <w:szCs w:val="22"/>
        </w:rPr>
        <w:t>continued access to the data is necessary to their meaningful participation in the proceeding.</w:t>
      </w:r>
      <w:r w:rsidRPr="00792020" w:rsidR="007F5C4C">
        <w:rPr>
          <w:szCs w:val="22"/>
        </w:rPr>
        <w:t>’</w:t>
      </w:r>
      <w:r w:rsidRPr="00792020" w:rsidR="00D97526">
        <w:rPr>
          <w:szCs w:val="22"/>
        </w:rPr>
        <w:t>”</w:t>
      </w:r>
      <w:r>
        <w:rPr>
          <w:rStyle w:val="FootnoteReference"/>
          <w:szCs w:val="22"/>
        </w:rPr>
        <w:footnoteReference w:id="5"/>
      </w:r>
      <w:r w:rsidRPr="00792020" w:rsidR="00C30A93">
        <w:rPr>
          <w:szCs w:val="22"/>
        </w:rPr>
        <w:t xml:space="preserve">  </w:t>
      </w:r>
    </w:p>
    <w:p w:rsidR="005F39B8" w:rsidRPr="00792020" w:rsidP="00755013">
      <w:pPr>
        <w:widowControl/>
        <w:spacing w:after="240"/>
        <w:ind w:firstLine="720"/>
        <w:rPr>
          <w:szCs w:val="22"/>
        </w:rPr>
      </w:pPr>
      <w:r w:rsidRPr="00792020">
        <w:rPr>
          <w:szCs w:val="22"/>
        </w:rPr>
        <w:t>To date, no party has</w:t>
      </w:r>
      <w:r w:rsidRPr="00792020" w:rsidR="00930629">
        <w:rPr>
          <w:szCs w:val="22"/>
        </w:rPr>
        <w:t xml:space="preserve"> </w:t>
      </w:r>
      <w:r w:rsidR="00F46B8D">
        <w:rPr>
          <w:szCs w:val="22"/>
        </w:rPr>
        <w:t xml:space="preserve">submitted a filing </w:t>
      </w:r>
      <w:r w:rsidRPr="00792020" w:rsidR="00930629">
        <w:rPr>
          <w:szCs w:val="22"/>
        </w:rPr>
        <w:t>demonstrat</w:t>
      </w:r>
      <w:r w:rsidR="00F46B8D">
        <w:rPr>
          <w:szCs w:val="22"/>
        </w:rPr>
        <w:t>ing</w:t>
      </w:r>
      <w:r w:rsidRPr="00792020" w:rsidR="00930629">
        <w:rPr>
          <w:szCs w:val="22"/>
        </w:rPr>
        <w:t xml:space="preserve"> that continued access to the data contained in the secure data enclave is necessary to their meaningful participation in the price cap BDS </w:t>
      </w:r>
      <w:r w:rsidRPr="00792020" w:rsidR="00930629">
        <w:rPr>
          <w:szCs w:val="22"/>
        </w:rPr>
        <w:t>proceedings.</w:t>
      </w:r>
      <w:r>
        <w:rPr>
          <w:rStyle w:val="FootnoteReference"/>
          <w:szCs w:val="22"/>
        </w:rPr>
        <w:footnoteReference w:id="6"/>
      </w:r>
      <w:r w:rsidRPr="00792020" w:rsidR="00930629">
        <w:rPr>
          <w:szCs w:val="22"/>
        </w:rPr>
        <w:t xml:space="preserve"> </w:t>
      </w:r>
      <w:r w:rsidRPr="00792020" w:rsidR="00791080">
        <w:rPr>
          <w:szCs w:val="22"/>
        </w:rPr>
        <w:t xml:space="preserve"> </w:t>
      </w:r>
      <w:r w:rsidR="00755013">
        <w:rPr>
          <w:szCs w:val="22"/>
        </w:rPr>
        <w:t xml:space="preserve">There is no evidence in the record that parties will suffer a harm if the secure data enclave closes </w:t>
      </w:r>
      <w:r w:rsidR="005E221E">
        <w:rPr>
          <w:szCs w:val="22"/>
        </w:rPr>
        <w:t xml:space="preserve">after </w:t>
      </w:r>
      <w:r w:rsidR="00755013">
        <w:rPr>
          <w:szCs w:val="22"/>
        </w:rPr>
        <w:t xml:space="preserve">March 22, 2019.  </w:t>
      </w:r>
      <w:r w:rsidR="00B608B6">
        <w:rPr>
          <w:szCs w:val="22"/>
        </w:rPr>
        <w:t xml:space="preserve">Parties have had </w:t>
      </w:r>
      <w:r w:rsidR="00755013">
        <w:rPr>
          <w:szCs w:val="22"/>
        </w:rPr>
        <w:t>since December 5, 2018</w:t>
      </w:r>
      <w:r w:rsidR="00B608B6">
        <w:rPr>
          <w:szCs w:val="22"/>
        </w:rPr>
        <w:t xml:space="preserve"> to access the data in the secure data enclave </w:t>
      </w:r>
      <w:r w:rsidR="00BE2F15">
        <w:rPr>
          <w:szCs w:val="22"/>
        </w:rPr>
        <w:t xml:space="preserve">for purposes of preparing comments due February </w:t>
      </w:r>
      <w:r w:rsidR="007A0982">
        <w:rPr>
          <w:szCs w:val="22"/>
        </w:rPr>
        <w:t>8</w:t>
      </w:r>
      <w:r w:rsidR="00BE2F15">
        <w:rPr>
          <w:szCs w:val="22"/>
        </w:rPr>
        <w:t>, 2019 and reply comments due March 11, 2019.</w:t>
      </w:r>
      <w:r>
        <w:rPr>
          <w:rStyle w:val="FootnoteReference"/>
          <w:szCs w:val="22"/>
        </w:rPr>
        <w:footnoteReference w:id="7"/>
      </w:r>
      <w:r w:rsidR="00BE2F15">
        <w:rPr>
          <w:szCs w:val="22"/>
        </w:rPr>
        <w:t xml:space="preserve">  </w:t>
      </w:r>
      <w:r w:rsidRPr="00755013" w:rsidR="00755013">
        <w:rPr>
          <w:szCs w:val="22"/>
        </w:rPr>
        <w:t>Maintaining access would</w:t>
      </w:r>
      <w:r w:rsidR="00755013">
        <w:rPr>
          <w:szCs w:val="22"/>
        </w:rPr>
        <w:t xml:space="preserve"> </w:t>
      </w:r>
      <w:r w:rsidRPr="00755013" w:rsidR="00755013">
        <w:rPr>
          <w:szCs w:val="22"/>
        </w:rPr>
        <w:t xml:space="preserve">entail significant public expense and require continued oversight by Commission staff. </w:t>
      </w:r>
      <w:r w:rsidR="00755013">
        <w:rPr>
          <w:szCs w:val="22"/>
        </w:rPr>
        <w:t xml:space="preserve"> </w:t>
      </w:r>
      <w:r w:rsidRPr="00755013" w:rsidR="00755013">
        <w:rPr>
          <w:szCs w:val="22"/>
        </w:rPr>
        <w:t>Even after the</w:t>
      </w:r>
      <w:r w:rsidR="00755013">
        <w:rPr>
          <w:szCs w:val="22"/>
        </w:rPr>
        <w:t xml:space="preserve"> </w:t>
      </w:r>
      <w:r w:rsidRPr="00755013" w:rsidR="00755013">
        <w:rPr>
          <w:szCs w:val="22"/>
        </w:rPr>
        <w:t>secure data enclave is closed, authorized parties will still be able to access unredacted highly confidential</w:t>
      </w:r>
      <w:r w:rsidR="00755013">
        <w:rPr>
          <w:szCs w:val="22"/>
        </w:rPr>
        <w:t xml:space="preserve"> </w:t>
      </w:r>
      <w:r w:rsidRPr="00755013" w:rsidR="00755013">
        <w:rPr>
          <w:szCs w:val="22"/>
        </w:rPr>
        <w:t xml:space="preserve">data in comments and reply comments filed in the record of this proceeding pursuant to the </w:t>
      </w:r>
      <w:r w:rsidR="00755013">
        <w:rPr>
          <w:szCs w:val="22"/>
        </w:rPr>
        <w:t>P</w:t>
      </w:r>
      <w:r w:rsidRPr="00755013" w:rsidR="00755013">
        <w:rPr>
          <w:szCs w:val="22"/>
        </w:rPr>
        <w:t>rotective</w:t>
      </w:r>
      <w:r w:rsidR="00755013">
        <w:rPr>
          <w:szCs w:val="22"/>
        </w:rPr>
        <w:t xml:space="preserve"> O</w:t>
      </w:r>
      <w:r w:rsidRPr="00755013" w:rsidR="00755013">
        <w:rPr>
          <w:szCs w:val="22"/>
        </w:rPr>
        <w:t>rders</w:t>
      </w:r>
      <w:r w:rsidR="00755013">
        <w:rPr>
          <w:szCs w:val="22"/>
        </w:rPr>
        <w:t>.</w:t>
      </w:r>
      <w:r>
        <w:rPr>
          <w:rStyle w:val="FootnoteReference"/>
          <w:szCs w:val="22"/>
        </w:rPr>
        <w:footnoteReference w:id="8"/>
      </w:r>
      <w:r w:rsidR="00755013">
        <w:rPr>
          <w:szCs w:val="22"/>
        </w:rPr>
        <w:t xml:space="preserve"> </w:t>
      </w:r>
      <w:r w:rsidRPr="00755013" w:rsidR="00755013">
        <w:rPr>
          <w:szCs w:val="22"/>
        </w:rPr>
        <w:t xml:space="preserve"> </w:t>
      </w:r>
      <w:r w:rsidR="001C4752">
        <w:rPr>
          <w:szCs w:val="22"/>
        </w:rPr>
        <w:t>In sum,</w:t>
      </w:r>
      <w:bookmarkStart w:id="1" w:name="_GoBack"/>
      <w:bookmarkEnd w:id="1"/>
      <w:r w:rsidR="001C4752">
        <w:rPr>
          <w:szCs w:val="22"/>
        </w:rPr>
        <w:t xml:space="preserve"> w</w:t>
      </w:r>
      <w:r w:rsidRPr="00792020" w:rsidR="00B30660">
        <w:rPr>
          <w:szCs w:val="22"/>
        </w:rPr>
        <w:t>e find that</w:t>
      </w:r>
      <w:r w:rsidR="00920499">
        <w:rPr>
          <w:szCs w:val="22"/>
        </w:rPr>
        <w:t xml:space="preserve"> </w:t>
      </w:r>
      <w:r w:rsidRPr="00792020" w:rsidR="00B30660">
        <w:rPr>
          <w:szCs w:val="22"/>
        </w:rPr>
        <w:t>the financial and administrative burdens to the Commission and the public of maintain</w:t>
      </w:r>
      <w:r w:rsidR="005E221E">
        <w:rPr>
          <w:szCs w:val="22"/>
        </w:rPr>
        <w:t>ing</w:t>
      </w:r>
      <w:r w:rsidRPr="00792020" w:rsidR="00B30660">
        <w:rPr>
          <w:szCs w:val="22"/>
        </w:rPr>
        <w:t xml:space="preserve"> the secure data enclave outweigh </w:t>
      </w:r>
      <w:r w:rsidR="008E7097">
        <w:rPr>
          <w:szCs w:val="22"/>
        </w:rPr>
        <w:t>the</w:t>
      </w:r>
      <w:r w:rsidRPr="00792020" w:rsidR="00B30660">
        <w:rPr>
          <w:szCs w:val="22"/>
        </w:rPr>
        <w:t xml:space="preserve"> benefits of provid</w:t>
      </w:r>
      <w:r w:rsidR="005E221E">
        <w:rPr>
          <w:szCs w:val="22"/>
        </w:rPr>
        <w:t>ing</w:t>
      </w:r>
      <w:r w:rsidRPr="00792020" w:rsidR="00B30660">
        <w:rPr>
          <w:szCs w:val="22"/>
        </w:rPr>
        <w:t xml:space="preserve"> parties with access to the data for analysis.</w:t>
      </w:r>
      <w:r>
        <w:rPr>
          <w:rStyle w:val="FootnoteReference"/>
          <w:szCs w:val="22"/>
        </w:rPr>
        <w:footnoteReference w:id="9"/>
      </w:r>
      <w:r w:rsidRPr="00792020" w:rsidR="00B30660">
        <w:rPr>
          <w:szCs w:val="22"/>
        </w:rPr>
        <w:t xml:space="preserve">  </w:t>
      </w:r>
      <w:r w:rsidRPr="00792020" w:rsidR="00930629">
        <w:rPr>
          <w:szCs w:val="22"/>
        </w:rPr>
        <w:t>A</w:t>
      </w:r>
      <w:r w:rsidRPr="00792020">
        <w:rPr>
          <w:szCs w:val="22"/>
        </w:rPr>
        <w:t xml:space="preserve">ccordingly, </w:t>
      </w:r>
      <w:r w:rsidRPr="00DC7175" w:rsidR="00DC7175">
        <w:rPr>
          <w:szCs w:val="22"/>
        </w:rPr>
        <w:t xml:space="preserve">access to the secure data enclave will close </w:t>
      </w:r>
      <w:r w:rsidR="005E221E">
        <w:rPr>
          <w:szCs w:val="22"/>
        </w:rPr>
        <w:t>after</w:t>
      </w:r>
      <w:r w:rsidRPr="00DC7175" w:rsidR="005E221E">
        <w:rPr>
          <w:szCs w:val="22"/>
        </w:rPr>
        <w:t xml:space="preserve"> </w:t>
      </w:r>
      <w:r w:rsidRPr="00DC7175" w:rsidR="00DC7175">
        <w:rPr>
          <w:szCs w:val="22"/>
        </w:rPr>
        <w:t xml:space="preserve">March 22, </w:t>
      </w:r>
      <w:r w:rsidR="00DC7175">
        <w:rPr>
          <w:szCs w:val="22"/>
        </w:rPr>
        <w:t>2019</w:t>
      </w:r>
      <w:r w:rsidR="00BD672A">
        <w:rPr>
          <w:szCs w:val="22"/>
        </w:rPr>
        <w:t>,</w:t>
      </w:r>
      <w:r w:rsidRPr="00BD672A" w:rsidR="00BD672A">
        <w:rPr>
          <w:color w:val="FF0000"/>
        </w:rPr>
        <w:t xml:space="preserve"> </w:t>
      </w:r>
      <w:r w:rsidRPr="00BD672A" w:rsidR="00BD672A">
        <w:rPr>
          <w:szCs w:val="22"/>
        </w:rPr>
        <w:t>unless an interested party demonstrates that continued access to the data is necessary to their meaningful participation in the proceeding</w:t>
      </w:r>
      <w:r w:rsidRPr="00792020">
        <w:rPr>
          <w:szCs w:val="22"/>
        </w:rPr>
        <w:t>.</w:t>
      </w:r>
      <w:r>
        <w:rPr>
          <w:rStyle w:val="FootnoteReference"/>
          <w:szCs w:val="22"/>
        </w:rPr>
        <w:footnoteReference w:id="10"/>
      </w:r>
      <w:r w:rsidRPr="00792020">
        <w:rPr>
          <w:szCs w:val="22"/>
        </w:rPr>
        <w:t xml:space="preserve"> </w:t>
      </w:r>
    </w:p>
    <w:p w:rsidR="008E7097" w:rsidP="00914FA4">
      <w:pPr>
        <w:widowControl/>
        <w:spacing w:after="240"/>
        <w:rPr>
          <w:szCs w:val="22"/>
        </w:rPr>
      </w:pPr>
      <w:r w:rsidRPr="00792020">
        <w:rPr>
          <w:szCs w:val="22"/>
        </w:rPr>
        <w:tab/>
      </w:r>
      <w:r>
        <w:rPr>
          <w:rFonts w:ascii="TimesNewRoman" w:hAnsi="TimesNewRoman" w:cs="TimesNewRoman"/>
          <w:snapToGrid/>
          <w:kern w:val="0"/>
          <w:szCs w:val="22"/>
        </w:rPr>
        <w:t xml:space="preserve">Up until March 22, 2019, parties may remove their notes, analysis results or other documents from the secure data enclave subject to NORC’s release process consistent with the </w:t>
      </w:r>
      <w:r w:rsidR="001C4D2E">
        <w:rPr>
          <w:rFonts w:ascii="TimesNewRoman" w:hAnsi="TimesNewRoman" w:cs="TimesNewRoman"/>
          <w:snapToGrid/>
          <w:kern w:val="0"/>
          <w:szCs w:val="22"/>
        </w:rPr>
        <w:t>P</w:t>
      </w:r>
      <w:r>
        <w:rPr>
          <w:rFonts w:ascii="TimesNewRoman" w:hAnsi="TimesNewRoman" w:cs="TimesNewRoman"/>
          <w:snapToGrid/>
          <w:kern w:val="0"/>
          <w:szCs w:val="22"/>
        </w:rPr>
        <w:t xml:space="preserve">rotective </w:t>
      </w:r>
      <w:r w:rsidR="001C4D2E">
        <w:rPr>
          <w:rFonts w:ascii="TimesNewRoman" w:hAnsi="TimesNewRoman" w:cs="TimesNewRoman"/>
          <w:snapToGrid/>
          <w:kern w:val="0"/>
          <w:szCs w:val="22"/>
        </w:rPr>
        <w:t>O</w:t>
      </w:r>
      <w:r>
        <w:rPr>
          <w:rFonts w:ascii="TimesNewRoman" w:hAnsi="TimesNewRoman" w:cs="TimesNewRoman"/>
          <w:snapToGrid/>
          <w:kern w:val="0"/>
          <w:szCs w:val="22"/>
        </w:rPr>
        <w:t>rders.</w:t>
      </w:r>
      <w:r>
        <w:rPr>
          <w:rStyle w:val="FootnoteReference"/>
          <w:rFonts w:cs="TimesNewRoman"/>
          <w:snapToGrid/>
          <w:kern w:val="0"/>
          <w:szCs w:val="22"/>
        </w:rPr>
        <w:footnoteReference w:id="11"/>
      </w:r>
      <w:r>
        <w:rPr>
          <w:rFonts w:ascii="TimesNewRoman" w:hAnsi="TimesNewRoman" w:cs="TimesNewRoman"/>
          <w:snapToGrid/>
          <w:kern w:val="0"/>
          <w:szCs w:val="22"/>
        </w:rPr>
        <w:t xml:space="preserve"> </w:t>
      </w:r>
      <w:r>
        <w:rPr>
          <w:rFonts w:ascii="TimesNewRoman" w:hAnsi="TimesNewRoman" w:cs="TimesNewRoman"/>
          <w:snapToGrid/>
          <w:kern w:val="0"/>
          <w:sz w:val="14"/>
          <w:szCs w:val="14"/>
        </w:rPr>
        <w:t xml:space="preserve"> </w:t>
      </w:r>
      <w:r>
        <w:rPr>
          <w:rFonts w:ascii="TimesNewRoman" w:hAnsi="TimesNewRoman" w:cs="TimesNewRoman"/>
          <w:snapToGrid/>
          <w:kern w:val="0"/>
          <w:szCs w:val="22"/>
        </w:rPr>
        <w:t>After March 22, 2019, the Bureau and NORC will no longer process requests to access the secure data enclave.  Closure of the secure data enclave, however, will not affect authorized parties</w:t>
      </w:r>
      <w:r w:rsidR="00F85269">
        <w:rPr>
          <w:rFonts w:ascii="TimesNewRoman" w:hAnsi="TimesNewRoman" w:cs="TimesNewRoman"/>
          <w:snapToGrid/>
          <w:kern w:val="0"/>
          <w:szCs w:val="22"/>
        </w:rPr>
        <w:t>’</w:t>
      </w:r>
      <w:r>
        <w:rPr>
          <w:rFonts w:ascii="TimesNewRoman" w:hAnsi="TimesNewRoman" w:cs="TimesNewRoman"/>
          <w:snapToGrid/>
          <w:kern w:val="0"/>
          <w:szCs w:val="22"/>
        </w:rPr>
        <w:t xml:space="preserve"> access to confidential and highly confidential information that is accessible outside the secure data enclave, and </w:t>
      </w:r>
      <w:r w:rsidRPr="00DC2A1A">
        <w:rPr>
          <w:rFonts w:ascii="TimesNewRoman" w:hAnsi="TimesNewRoman" w:cs="TimesNewRoman"/>
          <w:snapToGrid/>
          <w:kern w:val="0"/>
          <w:szCs w:val="22"/>
        </w:rPr>
        <w:t xml:space="preserve">the Bureau will continue to process requests to access </w:t>
      </w:r>
      <w:r>
        <w:rPr>
          <w:rFonts w:ascii="TimesNewRoman" w:hAnsi="TimesNewRoman" w:cs="TimesNewRoman"/>
          <w:snapToGrid/>
          <w:kern w:val="0"/>
          <w:szCs w:val="22"/>
        </w:rPr>
        <w:t>this</w:t>
      </w:r>
      <w:r w:rsidRPr="00DC2A1A">
        <w:rPr>
          <w:rFonts w:ascii="TimesNewRoman" w:hAnsi="TimesNewRoman" w:cs="TimesNewRoman"/>
          <w:snapToGrid/>
          <w:kern w:val="0"/>
          <w:szCs w:val="22"/>
        </w:rPr>
        <w:t xml:space="preserve"> information subject to the </w:t>
      </w:r>
      <w:r w:rsidR="005E221E">
        <w:rPr>
          <w:rFonts w:ascii="TimesNewRoman" w:hAnsi="TimesNewRoman" w:cs="TimesNewRoman"/>
          <w:snapToGrid/>
          <w:kern w:val="0"/>
          <w:szCs w:val="22"/>
        </w:rPr>
        <w:t>P</w:t>
      </w:r>
      <w:r w:rsidRPr="00DC2A1A">
        <w:rPr>
          <w:rFonts w:ascii="TimesNewRoman" w:hAnsi="TimesNewRoman" w:cs="TimesNewRoman"/>
          <w:snapToGrid/>
          <w:kern w:val="0"/>
          <w:szCs w:val="22"/>
        </w:rPr>
        <w:t xml:space="preserve">rotective </w:t>
      </w:r>
      <w:r w:rsidR="005E221E">
        <w:rPr>
          <w:rFonts w:ascii="TimesNewRoman" w:hAnsi="TimesNewRoman" w:cs="TimesNewRoman"/>
          <w:snapToGrid/>
          <w:kern w:val="0"/>
          <w:szCs w:val="22"/>
        </w:rPr>
        <w:t>O</w:t>
      </w:r>
      <w:r w:rsidRPr="00DC2A1A">
        <w:rPr>
          <w:rFonts w:ascii="TimesNewRoman" w:hAnsi="TimesNewRoman" w:cs="TimesNewRoman"/>
          <w:snapToGrid/>
          <w:kern w:val="0"/>
          <w:szCs w:val="22"/>
        </w:rPr>
        <w:t>rders.</w:t>
      </w:r>
      <w:r>
        <w:rPr>
          <w:rStyle w:val="FootnoteReference"/>
          <w:rFonts w:cs="TimesNewRoman"/>
          <w:snapToGrid/>
          <w:kern w:val="0"/>
          <w:szCs w:val="22"/>
        </w:rPr>
        <w:footnoteReference w:id="12"/>
      </w:r>
      <w:r w:rsidRPr="004123C8">
        <w:rPr>
          <w:rFonts w:ascii="TimesNewRoman" w:hAnsi="TimesNewRoman" w:cs="TimesNewRoman"/>
          <w:snapToGrid/>
          <w:kern w:val="0"/>
          <w:szCs w:val="22"/>
        </w:rPr>
        <w:t xml:space="preserve"> </w:t>
      </w:r>
      <w:r>
        <w:rPr>
          <w:rFonts w:ascii="TimesNewRoman" w:hAnsi="TimesNewRoman" w:cs="TimesNewRoman"/>
          <w:snapToGrid/>
          <w:kern w:val="0"/>
          <w:szCs w:val="22"/>
        </w:rPr>
        <w:t xml:space="preserve"> The Commission will retain the BDS data consistent with applicable statutory requirements.</w:t>
      </w:r>
      <w:r>
        <w:rPr>
          <w:rStyle w:val="FootnoteReference"/>
          <w:rFonts w:cs="TimesNewRoman"/>
          <w:snapToGrid/>
          <w:kern w:val="0"/>
          <w:szCs w:val="22"/>
        </w:rPr>
        <w:footnoteReference w:id="13"/>
      </w:r>
      <w:r w:rsidRPr="00DC2A1A">
        <w:rPr>
          <w:rFonts w:ascii="TimesNewRoman" w:hAnsi="TimesNewRoman" w:cs="TimesNewRoman"/>
          <w:snapToGrid/>
          <w:kern w:val="0"/>
          <w:szCs w:val="22"/>
        </w:rPr>
        <w:t xml:space="preserve"> </w:t>
      </w:r>
      <w:r>
        <w:rPr>
          <w:rFonts w:ascii="TimesNewRoman" w:hAnsi="TimesNewRoman" w:cs="TimesNewRoman"/>
          <w:snapToGrid/>
          <w:kern w:val="0"/>
          <w:szCs w:val="22"/>
        </w:rPr>
        <w:t xml:space="preserve"> </w:t>
      </w:r>
    </w:p>
    <w:p w:rsidR="003F71A1" w:rsidP="008E7097">
      <w:pPr>
        <w:widowControl/>
        <w:spacing w:after="240"/>
        <w:ind w:firstLine="720"/>
        <w:rPr>
          <w:szCs w:val="22"/>
        </w:rPr>
      </w:pPr>
      <w:r w:rsidRPr="00792020">
        <w:rPr>
          <w:szCs w:val="22"/>
        </w:rPr>
        <w:t xml:space="preserve">Consistent with past practice, </w:t>
      </w:r>
      <w:r w:rsidR="005A3DDF">
        <w:rPr>
          <w:szCs w:val="22"/>
        </w:rPr>
        <w:t xml:space="preserve">as of March 22, 2019 </w:t>
      </w:r>
      <w:r>
        <w:rPr>
          <w:szCs w:val="22"/>
        </w:rPr>
        <w:t>the Bureau will archive all part</w:t>
      </w:r>
      <w:r w:rsidR="00DC2A1A">
        <w:rPr>
          <w:szCs w:val="22"/>
        </w:rPr>
        <w:t>ies’</w:t>
      </w:r>
      <w:r>
        <w:rPr>
          <w:szCs w:val="22"/>
        </w:rPr>
        <w:t xml:space="preserve"> data and work product contained in the secure data enclave.</w:t>
      </w:r>
      <w:r>
        <w:rPr>
          <w:rStyle w:val="FootnoteReference"/>
          <w:szCs w:val="22"/>
        </w:rPr>
        <w:footnoteReference w:id="14"/>
      </w:r>
      <w:r>
        <w:rPr>
          <w:szCs w:val="22"/>
        </w:rPr>
        <w:t xml:space="preserve">  </w:t>
      </w:r>
      <w:r w:rsidR="00634996">
        <w:rPr>
          <w:szCs w:val="22"/>
        </w:rPr>
        <w:t>Because pa</w:t>
      </w:r>
      <w:r w:rsidRPr="00914FA4" w:rsidR="00634996">
        <w:rPr>
          <w:szCs w:val="22"/>
        </w:rPr>
        <w:t>rt</w:t>
      </w:r>
      <w:r w:rsidR="00634996">
        <w:rPr>
          <w:szCs w:val="22"/>
        </w:rPr>
        <w:t xml:space="preserve">ies are prohibited from removing raw highly confidential data from the secure data enclave, they </w:t>
      </w:r>
      <w:r w:rsidRPr="00792020" w:rsidR="00187FFB">
        <w:rPr>
          <w:szCs w:val="22"/>
        </w:rPr>
        <w:t xml:space="preserve">have saved information, notes, and analysis </w:t>
      </w:r>
      <w:r w:rsidRPr="00792020" w:rsidR="0092543F">
        <w:rPr>
          <w:szCs w:val="22"/>
        </w:rPr>
        <w:t xml:space="preserve">for purposes of </w:t>
      </w:r>
      <w:r w:rsidRPr="00792020" w:rsidR="00ED4399">
        <w:rPr>
          <w:szCs w:val="22"/>
        </w:rPr>
        <w:t xml:space="preserve">commenting on the </w:t>
      </w:r>
      <w:r w:rsidRPr="00634996" w:rsidR="00634996">
        <w:rPr>
          <w:szCs w:val="22"/>
        </w:rPr>
        <w:t>price cap BDS proceedings</w:t>
      </w:r>
      <w:r w:rsidRPr="00792020" w:rsidR="00187FFB">
        <w:rPr>
          <w:szCs w:val="22"/>
        </w:rPr>
        <w:t xml:space="preserve"> in “virtual lockers” located in the secure data enclave.</w:t>
      </w:r>
      <w:r>
        <w:rPr>
          <w:rStyle w:val="FootnoteReference"/>
          <w:szCs w:val="22"/>
        </w:rPr>
        <w:footnoteReference w:id="15"/>
      </w:r>
      <w:r w:rsidRPr="00792020" w:rsidR="00187FFB">
        <w:rPr>
          <w:szCs w:val="22"/>
        </w:rPr>
        <w:t xml:space="preserve">  </w:t>
      </w:r>
      <w:r w:rsidR="002E2085">
        <w:rPr>
          <w:szCs w:val="22"/>
        </w:rPr>
        <w:t>After</w:t>
      </w:r>
      <w:r w:rsidRPr="00792020" w:rsidR="002E2085">
        <w:rPr>
          <w:szCs w:val="22"/>
        </w:rPr>
        <w:t xml:space="preserve"> </w:t>
      </w:r>
      <w:r w:rsidRPr="00792020" w:rsidR="00187FFB">
        <w:rPr>
          <w:szCs w:val="22"/>
        </w:rPr>
        <w:t>March 22, 2019, parties will no longer have access to the secure data</w:t>
      </w:r>
      <w:r w:rsidRPr="00792020" w:rsidR="0092543F">
        <w:rPr>
          <w:szCs w:val="22"/>
        </w:rPr>
        <w:t xml:space="preserve"> enclave</w:t>
      </w:r>
      <w:r w:rsidRPr="00792020" w:rsidR="00187FFB">
        <w:rPr>
          <w:szCs w:val="22"/>
        </w:rPr>
        <w:t xml:space="preserve"> including the</w:t>
      </w:r>
      <w:r w:rsidRPr="00792020" w:rsidR="0092543F">
        <w:rPr>
          <w:szCs w:val="22"/>
        </w:rPr>
        <w:t>ir</w:t>
      </w:r>
      <w:r w:rsidRPr="00792020" w:rsidR="00187FFB">
        <w:rPr>
          <w:szCs w:val="22"/>
        </w:rPr>
        <w:t xml:space="preserve"> virtual lockers.</w:t>
      </w:r>
      <w:r w:rsidRPr="00792020" w:rsidR="006C621A">
        <w:rPr>
          <w:szCs w:val="22"/>
        </w:rPr>
        <w:t xml:space="preserve"> </w:t>
      </w:r>
      <w:r w:rsidRPr="00792020" w:rsidR="00EA79FB">
        <w:rPr>
          <w:szCs w:val="22"/>
        </w:rPr>
        <w:t xml:space="preserve"> </w:t>
      </w:r>
      <w:r>
        <w:rPr>
          <w:szCs w:val="22"/>
        </w:rPr>
        <w:t>A</w:t>
      </w:r>
      <w:r w:rsidRPr="00792020" w:rsidR="006C621A">
        <w:rPr>
          <w:szCs w:val="22"/>
        </w:rPr>
        <w:t xml:space="preserve">rchiving data and virtual lockers will </w:t>
      </w:r>
      <w:r w:rsidR="004828A8">
        <w:rPr>
          <w:szCs w:val="22"/>
        </w:rPr>
        <w:t xml:space="preserve">protect highly confidential data, and </w:t>
      </w:r>
      <w:r w:rsidRPr="00792020" w:rsidR="006C621A">
        <w:rPr>
          <w:szCs w:val="22"/>
        </w:rPr>
        <w:t xml:space="preserve">allow the Commission to provide parties access to the data and </w:t>
      </w:r>
      <w:r w:rsidR="004828A8">
        <w:rPr>
          <w:szCs w:val="22"/>
        </w:rPr>
        <w:t xml:space="preserve">their </w:t>
      </w:r>
      <w:r w:rsidRPr="00792020" w:rsidR="006C621A">
        <w:rPr>
          <w:szCs w:val="22"/>
        </w:rPr>
        <w:t xml:space="preserve">related work product in the virtual lockers should doing so become necessary as a result of judicial </w:t>
      </w:r>
      <w:r w:rsidR="002E2085">
        <w:rPr>
          <w:szCs w:val="22"/>
        </w:rPr>
        <w:t xml:space="preserve">or administrative </w:t>
      </w:r>
      <w:r w:rsidRPr="00792020" w:rsidR="00F31032">
        <w:rPr>
          <w:szCs w:val="22"/>
        </w:rPr>
        <w:t>review</w:t>
      </w:r>
      <w:r w:rsidRPr="00792020" w:rsidR="006C621A">
        <w:rPr>
          <w:szCs w:val="22"/>
        </w:rPr>
        <w:t>.</w:t>
      </w:r>
      <w:r>
        <w:rPr>
          <w:rStyle w:val="FootnoteReference"/>
          <w:szCs w:val="22"/>
        </w:rPr>
        <w:footnoteReference w:id="16"/>
      </w:r>
      <w:r w:rsidRPr="00792020" w:rsidR="006C621A">
        <w:rPr>
          <w:szCs w:val="22"/>
        </w:rPr>
        <w:t xml:space="preserve">  Accordingly, as of March 22, 2019 all </w:t>
      </w:r>
      <w:r w:rsidR="00B90264">
        <w:rPr>
          <w:szCs w:val="22"/>
        </w:rPr>
        <w:t xml:space="preserve">parties’ </w:t>
      </w:r>
      <w:r w:rsidRPr="00792020" w:rsidR="006C621A">
        <w:rPr>
          <w:szCs w:val="22"/>
        </w:rPr>
        <w:t xml:space="preserve">data contained in the secure data enclave, including all data, notes and analysis stored in the virtual lockers, will be saved and archived pending judicial </w:t>
      </w:r>
      <w:r w:rsidRPr="00792020" w:rsidR="00F31032">
        <w:rPr>
          <w:szCs w:val="22"/>
        </w:rPr>
        <w:t>review or reconsideration</w:t>
      </w:r>
      <w:r w:rsidRPr="00792020" w:rsidR="00910FA4">
        <w:rPr>
          <w:szCs w:val="22"/>
        </w:rPr>
        <w:t xml:space="preserve"> of an order adopted in the price cap BDS proceedings</w:t>
      </w:r>
      <w:r w:rsidRPr="00792020" w:rsidR="00F31032">
        <w:rPr>
          <w:szCs w:val="22"/>
        </w:rPr>
        <w:t>.</w:t>
      </w:r>
      <w:r w:rsidRPr="00792020" w:rsidR="006C621A">
        <w:rPr>
          <w:szCs w:val="22"/>
        </w:rPr>
        <w:t xml:space="preserve">  </w:t>
      </w:r>
    </w:p>
    <w:p w:rsidR="002E4475" w:rsidP="008E7097">
      <w:pPr>
        <w:widowControl/>
        <w:autoSpaceDE w:val="0"/>
        <w:autoSpaceDN w:val="0"/>
        <w:adjustRightInd w:val="0"/>
        <w:rPr>
          <w:snapToGrid/>
          <w:kern w:val="0"/>
          <w:szCs w:val="22"/>
        </w:rPr>
      </w:pPr>
      <w:r>
        <w:rPr>
          <w:szCs w:val="22"/>
        </w:rPr>
        <w:tab/>
      </w:r>
      <w:r w:rsidRPr="00792020">
        <w:rPr>
          <w:snapToGrid/>
          <w:kern w:val="0"/>
          <w:szCs w:val="22"/>
        </w:rPr>
        <w:t xml:space="preserve">For further information, please contact Christopher Koves, Pricing Policy Division, Wireline Competition Bureau, at (202) 418-8209 or via email at </w:t>
      </w:r>
      <w:hyperlink r:id="rId5" w:history="1">
        <w:r w:rsidRPr="00792020">
          <w:rPr>
            <w:snapToGrid/>
            <w:color w:val="0000FF"/>
            <w:kern w:val="0"/>
            <w:szCs w:val="22"/>
            <w:u w:val="single"/>
          </w:rPr>
          <w:t>Christopher.Koves@fcc.gov</w:t>
        </w:r>
      </w:hyperlink>
      <w:r w:rsidRPr="00792020">
        <w:rPr>
          <w:snapToGrid/>
          <w:kern w:val="0"/>
          <w:szCs w:val="22"/>
        </w:rPr>
        <w:t xml:space="preserve">, or </w:t>
      </w:r>
      <w:r w:rsidRPr="00792020" w:rsidR="00EC68EB">
        <w:rPr>
          <w:snapToGrid/>
          <w:kern w:val="0"/>
          <w:szCs w:val="22"/>
        </w:rPr>
        <w:t>Greg</w:t>
      </w:r>
      <w:r w:rsidRPr="00792020" w:rsidR="006D7D9D">
        <w:rPr>
          <w:snapToGrid/>
          <w:kern w:val="0"/>
          <w:szCs w:val="22"/>
        </w:rPr>
        <w:t>ory</w:t>
      </w:r>
      <w:r w:rsidRPr="00792020" w:rsidR="00EC68EB">
        <w:rPr>
          <w:snapToGrid/>
          <w:kern w:val="0"/>
          <w:szCs w:val="22"/>
        </w:rPr>
        <w:t xml:space="preserve"> Capobianco</w:t>
      </w:r>
      <w:r w:rsidRPr="00792020">
        <w:rPr>
          <w:snapToGrid/>
          <w:kern w:val="0"/>
          <w:szCs w:val="22"/>
        </w:rPr>
        <w:t>, Pricing Policy Division, Wireline Competition Bureau, at (202) 418-</w:t>
      </w:r>
      <w:r w:rsidRPr="00792020" w:rsidR="006D7D9D">
        <w:rPr>
          <w:snapToGrid/>
          <w:kern w:val="0"/>
          <w:szCs w:val="22"/>
        </w:rPr>
        <w:t>0808</w:t>
      </w:r>
      <w:r w:rsidRPr="00792020">
        <w:rPr>
          <w:snapToGrid/>
          <w:kern w:val="0"/>
          <w:szCs w:val="22"/>
        </w:rPr>
        <w:t xml:space="preserve"> or via email at</w:t>
      </w:r>
      <w:r w:rsidRPr="00792020" w:rsidR="006D7D9D">
        <w:rPr>
          <w:snapToGrid/>
          <w:kern w:val="0"/>
          <w:szCs w:val="22"/>
        </w:rPr>
        <w:t xml:space="preserve"> </w:t>
      </w:r>
      <w:hyperlink r:id="rId6" w:history="1">
        <w:r w:rsidRPr="00792020" w:rsidR="00B32C86">
          <w:rPr>
            <w:rStyle w:val="Hyperlink"/>
            <w:snapToGrid/>
            <w:kern w:val="0"/>
            <w:szCs w:val="22"/>
          </w:rPr>
          <w:t>Gregory.Capobianco@fcc.gov</w:t>
        </w:r>
      </w:hyperlink>
      <w:r w:rsidRPr="00792020">
        <w:rPr>
          <w:snapToGrid/>
          <w:kern w:val="0"/>
          <w:szCs w:val="22"/>
        </w:rPr>
        <w:t xml:space="preserve">.  </w:t>
      </w:r>
    </w:p>
    <w:p w:rsidR="00850914" w:rsidRPr="00792020" w:rsidP="008E7097">
      <w:pPr>
        <w:widowControl/>
        <w:autoSpaceDE w:val="0"/>
        <w:autoSpaceDN w:val="0"/>
        <w:adjustRightInd w:val="0"/>
        <w:rPr>
          <w:snapToGrid/>
          <w:kern w:val="0"/>
          <w:szCs w:val="22"/>
        </w:rPr>
      </w:pPr>
    </w:p>
    <w:p w:rsidR="00930ECF" w:rsidRPr="00792020" w:rsidP="00207E28">
      <w:pPr>
        <w:jc w:val="center"/>
        <w:rPr>
          <w:szCs w:val="22"/>
        </w:rPr>
      </w:pPr>
      <w:r w:rsidRPr="002E4475">
        <w:rPr>
          <w:rFonts w:eastAsia="Calibri"/>
          <w:b/>
          <w:snapToGrid/>
          <w:kern w:val="0"/>
          <w:szCs w:val="22"/>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6109">
      <w:r>
        <w:separator/>
      </w:r>
    </w:p>
  </w:footnote>
  <w:footnote w:type="continuationSeparator" w:id="1">
    <w:p w:rsidR="00EB6109">
      <w:pPr>
        <w:rPr>
          <w:sz w:val="20"/>
        </w:rPr>
      </w:pPr>
    </w:p>
  </w:footnote>
  <w:footnote w:type="continuationNotice" w:id="2">
    <w:p w:rsidR="00EB6109" w:rsidP="00910F12">
      <w:pPr>
        <w:jc w:val="right"/>
        <w:rPr>
          <w:sz w:val="20"/>
        </w:rPr>
      </w:pPr>
    </w:p>
  </w:footnote>
  <w:footnote w:id="3">
    <w:p w:rsidR="00F6671F" w:rsidP="00F6671F">
      <w:pPr>
        <w:widowControl/>
        <w:autoSpaceDE w:val="0"/>
        <w:autoSpaceDN w:val="0"/>
        <w:adjustRightInd w:val="0"/>
        <w:rPr>
          <w:rFonts w:ascii="TimesNewRomanPSMT" w:hAnsi="TimesNewRomanPSMT" w:cs="TimesNewRomanPSMT"/>
          <w:snapToGrid/>
          <w:kern w:val="0"/>
          <w:sz w:val="20"/>
        </w:rPr>
      </w:pPr>
      <w:r w:rsidRPr="004B783C">
        <w:rPr>
          <w:rStyle w:val="FootnoteReference"/>
          <w:sz w:val="20"/>
        </w:rPr>
        <w:footnoteRef/>
      </w:r>
      <w:r w:rsidRPr="004B783C">
        <w:rPr>
          <w:sz w:val="20"/>
        </w:rPr>
        <w:t xml:space="preserve"> </w:t>
      </w:r>
      <w:r>
        <w:rPr>
          <w:rFonts w:ascii="TimesNewRomanPS-ItalicMT" w:hAnsi="TimesNewRomanPS-ItalicMT" w:cs="TimesNewRomanPS-ItalicMT"/>
          <w:i/>
          <w:iCs/>
          <w:snapToGrid/>
          <w:kern w:val="0"/>
          <w:sz w:val="20"/>
        </w:rPr>
        <w:t>See Special Access for Price Cap Local Exchange Carriers et al.</w:t>
      </w:r>
      <w:r>
        <w:rPr>
          <w:rFonts w:ascii="TimesNewRomanPSMT" w:hAnsi="TimesNewRomanPSMT" w:cs="TimesNewRomanPSMT"/>
          <w:snapToGrid/>
          <w:kern w:val="0"/>
          <w:sz w:val="20"/>
        </w:rPr>
        <w:t>, WC Docket No. 05-25, RM-10593, Order and</w:t>
      </w:r>
    </w:p>
    <w:p w:rsidR="00D97526" w:rsidRPr="004B783C" w:rsidP="00F6671F">
      <w:pPr>
        <w:widowControl/>
        <w:autoSpaceDE w:val="0"/>
        <w:autoSpaceDN w:val="0"/>
        <w:adjustRightInd w:val="0"/>
        <w:spacing w:after="120"/>
        <w:rPr>
          <w:rFonts w:ascii="TimesNewRomanPSMT" w:hAnsi="TimesNewRomanPSMT" w:cs="TimesNewRomanPSMT"/>
          <w:snapToGrid/>
          <w:kern w:val="0"/>
          <w:sz w:val="20"/>
        </w:rPr>
      </w:pPr>
      <w:r>
        <w:rPr>
          <w:rFonts w:ascii="TimesNewRomanPSMT" w:hAnsi="TimesNewRomanPSMT" w:cs="TimesNewRomanPSMT"/>
          <w:snapToGrid/>
          <w:kern w:val="0"/>
          <w:sz w:val="20"/>
        </w:rPr>
        <w:t>Data Collection Protective Order, 29 FCC Rcd 11657 (WCB 2014) (</w:t>
      </w:r>
      <w:r w:rsidRPr="00F6671F">
        <w:rPr>
          <w:rFonts w:ascii="TimesNewRomanPSMT" w:hAnsi="TimesNewRomanPSMT" w:cs="TimesNewRomanPSMT"/>
          <w:i/>
          <w:snapToGrid/>
          <w:kern w:val="0"/>
          <w:sz w:val="20"/>
        </w:rPr>
        <w:t>Data Collection Protective Order</w:t>
      </w:r>
      <w:r>
        <w:rPr>
          <w:rFonts w:ascii="TimesNewRomanPSMT" w:hAnsi="TimesNewRomanPSMT" w:cs="TimesNewRomanPSMT"/>
          <w:snapToGrid/>
          <w:kern w:val="0"/>
          <w:sz w:val="20"/>
        </w:rPr>
        <w:t xml:space="preserve">); Order and Modified Data Collection Protective Order, 30 FCC Rcd 10027 (WCB 2015); </w:t>
      </w:r>
      <w:r>
        <w:rPr>
          <w:rFonts w:ascii="TimesNewRomanPS-ItalicMT" w:hAnsi="TimesNewRomanPS-ItalicMT" w:cs="TimesNewRomanPS-ItalicMT"/>
          <w:i/>
          <w:iCs/>
          <w:snapToGrid/>
          <w:kern w:val="0"/>
          <w:sz w:val="20"/>
        </w:rPr>
        <w:t>Business Data Services in an Internet Protocol Environment et al.</w:t>
      </w:r>
      <w:r>
        <w:rPr>
          <w:rFonts w:ascii="TimesNewRomanPSMT" w:hAnsi="TimesNewRomanPSMT" w:cs="TimesNewRomanPSMT"/>
          <w:snapToGrid/>
          <w:kern w:val="0"/>
          <w:sz w:val="20"/>
        </w:rPr>
        <w:t>, WC Docket No. 16-143 et al., Order, 31 FCC Rcd 7104 (WCB 2016) (collectively “the Protective Orders”).</w:t>
      </w:r>
    </w:p>
  </w:footnote>
  <w:footnote w:id="4">
    <w:p w:rsidR="00B209FE" w:rsidRPr="004B783C" w:rsidP="00BC4E24">
      <w:pPr>
        <w:pStyle w:val="FootnoteText"/>
      </w:pPr>
      <w:r w:rsidRPr="004B783C">
        <w:rPr>
          <w:rStyle w:val="FootnoteReference"/>
          <w:sz w:val="20"/>
        </w:rPr>
        <w:footnoteRef/>
      </w:r>
      <w:r w:rsidRPr="004B783C">
        <w:t xml:space="preserve"> </w:t>
      </w:r>
      <w:r w:rsidRPr="004B783C" w:rsidR="00BC4E24">
        <w:rPr>
          <w:i/>
        </w:rPr>
        <w:t>See Wireline Competition Bureau</w:t>
      </w:r>
      <w:r w:rsidRPr="004B783C" w:rsidR="003955FC">
        <w:rPr>
          <w:i/>
        </w:rPr>
        <w:t xml:space="preserve"> Announces Comment Deadlines on </w:t>
      </w:r>
      <w:r w:rsidRPr="004B783C" w:rsidR="003955FC">
        <w:t>Second Further Notice and Further Notice</w:t>
      </w:r>
      <w:r w:rsidRPr="004B783C" w:rsidR="003955FC">
        <w:rPr>
          <w:i/>
        </w:rPr>
        <w:t xml:space="preserve"> in Business Data Services Proceedings and Reopening of Secure Data Enclave</w:t>
      </w:r>
      <w:r w:rsidRPr="004B783C" w:rsidR="003955FC">
        <w:t xml:space="preserve">, WC Docket No. </w:t>
      </w:r>
      <w:r w:rsidRPr="004B783C" w:rsidR="00153C0F">
        <w:t>17-144</w:t>
      </w:r>
      <w:r w:rsidRPr="004B783C" w:rsidR="00DA6028">
        <w:t xml:space="preserve"> et al.</w:t>
      </w:r>
      <w:r w:rsidRPr="004B783C" w:rsidR="00153C0F">
        <w:t>, DA 18-1212 (WCB Nov. 29, 2018)</w:t>
      </w:r>
      <w:r w:rsidRPr="004B783C" w:rsidR="00AD0C35">
        <w:t xml:space="preserve"> (</w:t>
      </w:r>
      <w:bookmarkStart w:id="0" w:name="_Hlk3828626"/>
      <w:r w:rsidRPr="004B783C" w:rsidR="00AD0C35">
        <w:rPr>
          <w:i/>
        </w:rPr>
        <w:t>November 29 Public Notice</w:t>
      </w:r>
      <w:bookmarkEnd w:id="0"/>
      <w:r w:rsidRPr="004B783C" w:rsidR="00AD0C35">
        <w:t>)</w:t>
      </w:r>
      <w:r w:rsidRPr="004B783C" w:rsidR="00BC4E24">
        <w:t xml:space="preserve">; </w:t>
      </w:r>
      <w:r w:rsidRPr="004B783C" w:rsidR="00BC4E24">
        <w:rPr>
          <w:i/>
        </w:rPr>
        <w:t>see Regulation of Business Data Services for Rate-of-Return Local Exchange Carriers et al.</w:t>
      </w:r>
      <w:r w:rsidRPr="004B783C" w:rsidR="00BC4E24">
        <w:t>, WC Docket No. 17-144 et al., Report and Order, Second Further Notice of Proposed Rulemaking, and Further Notice of Proposed Rulemaking, 33 FCC Rcd 10403, 10454-57, paras. 148-56 (2018) (</w:t>
      </w:r>
      <w:r w:rsidRPr="004B783C" w:rsidR="00BC4E24">
        <w:rPr>
          <w:i/>
        </w:rPr>
        <w:t>Second Further Notice</w:t>
      </w:r>
      <w:r w:rsidRPr="004B783C" w:rsidR="00BC4E24">
        <w:t>).</w:t>
      </w:r>
    </w:p>
  </w:footnote>
  <w:footnote w:id="5">
    <w:p w:rsidR="00C30A93" w:rsidRPr="004B783C" w:rsidP="00AD0C35">
      <w:pPr>
        <w:pStyle w:val="FootnoteText"/>
        <w:rPr>
          <w:i/>
        </w:rPr>
      </w:pPr>
      <w:r w:rsidRPr="004B783C">
        <w:rPr>
          <w:rStyle w:val="FootnoteReference"/>
          <w:sz w:val="20"/>
        </w:rPr>
        <w:footnoteRef/>
      </w:r>
      <w:r w:rsidRPr="004B783C">
        <w:t xml:space="preserve"> </w:t>
      </w:r>
      <w:r w:rsidRPr="004B783C" w:rsidR="00DA6028">
        <w:rPr>
          <w:i/>
        </w:rPr>
        <w:t>Wireline Competition Bureau Extends Access to the Secure Data Enclave for Commenters in the Business Data Services Proceedings</w:t>
      </w:r>
      <w:r w:rsidRPr="004B783C" w:rsidR="00DA6028">
        <w:t>, WC Docket Nos. 17-144 et al., Public Notice, DA 19-106</w:t>
      </w:r>
      <w:r w:rsidRPr="004B783C" w:rsidR="005E709A">
        <w:t>, at 1</w:t>
      </w:r>
      <w:r w:rsidRPr="004B783C" w:rsidR="00DA6028">
        <w:t xml:space="preserve"> (WCB Feb. 21, 2019)</w:t>
      </w:r>
      <w:r w:rsidR="00B30660">
        <w:t xml:space="preserve"> (</w:t>
      </w:r>
      <w:r w:rsidRPr="00B30660" w:rsidR="00B30660">
        <w:rPr>
          <w:i/>
        </w:rPr>
        <w:t>February 21 Public Notice</w:t>
      </w:r>
      <w:r w:rsidR="00B30660">
        <w:t>)</w:t>
      </w:r>
      <w:r w:rsidRPr="004B783C" w:rsidR="00AD0C35">
        <w:t xml:space="preserve"> (quoting </w:t>
      </w:r>
      <w:r w:rsidRPr="004B783C" w:rsidR="00AD0C35">
        <w:rPr>
          <w:i/>
        </w:rPr>
        <w:t>Secure Data Enclave for Accessing Highly Confidential Business Data Services Data to Reopen</w:t>
      </w:r>
      <w:r w:rsidRPr="004B783C" w:rsidR="00AD0C35">
        <w:t>, WC Docket No.</w:t>
      </w:r>
      <w:r w:rsidR="005C085A">
        <w:t xml:space="preserve"> </w:t>
      </w:r>
      <w:r w:rsidRPr="004B783C" w:rsidR="00AD0C35">
        <w:t>16-143 et al., Public Notice, DA 18-1133</w:t>
      </w:r>
      <w:r w:rsidRPr="004B783C" w:rsidR="00AD0C35">
        <w:rPr>
          <w:i/>
        </w:rPr>
        <w:t xml:space="preserve"> </w:t>
      </w:r>
      <w:r w:rsidRPr="004B783C" w:rsidR="00AD0C35">
        <w:t>(WCB Nov. 5, 2018))</w:t>
      </w:r>
      <w:r w:rsidRPr="004B783C" w:rsidR="00797A21">
        <w:t xml:space="preserve">; </w:t>
      </w:r>
      <w:r w:rsidRPr="004B783C" w:rsidR="00797A21">
        <w:rPr>
          <w:i/>
        </w:rPr>
        <w:t>see November 29 Public Notice</w:t>
      </w:r>
      <w:r w:rsidRPr="004B783C" w:rsidR="00797A21">
        <w:t xml:space="preserve">. </w:t>
      </w:r>
    </w:p>
  </w:footnote>
  <w:footnote w:id="6">
    <w:p w:rsidR="00B30660">
      <w:pPr>
        <w:pStyle w:val="FootnoteText"/>
      </w:pPr>
      <w:r>
        <w:rPr>
          <w:rStyle w:val="FootnoteReference"/>
        </w:rPr>
        <w:footnoteRef/>
      </w:r>
      <w:r>
        <w:t xml:space="preserve"> </w:t>
      </w:r>
      <w:r w:rsidRPr="00920499" w:rsidR="00920499">
        <w:rPr>
          <w:i/>
        </w:rPr>
        <w:t>See</w:t>
      </w:r>
      <w:r w:rsidR="00920499">
        <w:t xml:space="preserve"> </w:t>
      </w:r>
      <w:r w:rsidRPr="00920499" w:rsidR="00920499">
        <w:rPr>
          <w:i/>
        </w:rPr>
        <w:t>February 21 Public Notice</w:t>
      </w:r>
      <w:r w:rsidR="00920499">
        <w:t xml:space="preserve"> at 1. </w:t>
      </w:r>
    </w:p>
  </w:footnote>
  <w:footnote w:id="7">
    <w:p w:rsidR="00BE2F15">
      <w:pPr>
        <w:pStyle w:val="FootnoteText"/>
      </w:pPr>
      <w:r>
        <w:rPr>
          <w:rStyle w:val="FootnoteReference"/>
        </w:rPr>
        <w:footnoteRef/>
      </w:r>
      <w:r>
        <w:t xml:space="preserve"> </w:t>
      </w:r>
      <w:r w:rsidRPr="00BE2F15">
        <w:rPr>
          <w:i/>
        </w:rPr>
        <w:t>See February 21 Public Notice</w:t>
      </w:r>
      <w:r>
        <w:t>;</w:t>
      </w:r>
      <w:r w:rsidRPr="00BE2F15">
        <w:rPr>
          <w:i/>
        </w:rPr>
        <w:t xml:space="preserve"> </w:t>
      </w:r>
      <w:r w:rsidRPr="004B783C">
        <w:rPr>
          <w:i/>
        </w:rPr>
        <w:t>November 29 Public Notice</w:t>
      </w:r>
      <w:r>
        <w:rPr>
          <w:i/>
        </w:rPr>
        <w:t>.</w:t>
      </w:r>
    </w:p>
  </w:footnote>
  <w:footnote w:id="8">
    <w:p w:rsidR="00755013">
      <w:pPr>
        <w:pStyle w:val="FootnoteText"/>
      </w:pPr>
      <w:r>
        <w:rPr>
          <w:rStyle w:val="FootnoteReference"/>
        </w:rPr>
        <w:footnoteRef/>
      </w:r>
      <w:r>
        <w:t xml:space="preserve"> </w:t>
      </w:r>
      <w:r w:rsidRPr="00920499" w:rsidR="00157FF6">
        <w:rPr>
          <w:i/>
        </w:rPr>
        <w:t>See Secure Data Enclave for Accessing Highly Confidential Business Data Services (Special Access) Data to Close on December 31, 2017</w:t>
      </w:r>
      <w:r w:rsidR="00157FF6">
        <w:t xml:space="preserve">, WC Docket No. 16-143 et al., Pubic Notice, </w:t>
      </w:r>
      <w:r w:rsidRPr="00920499" w:rsidR="00157FF6">
        <w:t>32 FCC Rcd 7357</w:t>
      </w:r>
      <w:r w:rsidR="00157FF6">
        <w:t xml:space="preserve"> (WCB 2017)</w:t>
      </w:r>
      <w:r w:rsidRPr="00755013">
        <w:t>.</w:t>
      </w:r>
    </w:p>
  </w:footnote>
  <w:footnote w:id="9">
    <w:p w:rsidR="00920499">
      <w:pPr>
        <w:pStyle w:val="FootnoteText"/>
      </w:pPr>
      <w:r>
        <w:rPr>
          <w:rStyle w:val="FootnoteReference"/>
        </w:rPr>
        <w:footnoteRef/>
      </w:r>
      <w:r>
        <w:t xml:space="preserve"> </w:t>
      </w:r>
      <w:r w:rsidRPr="00157FF6" w:rsidR="00157FF6">
        <w:rPr>
          <w:i/>
        </w:rPr>
        <w:t>See id</w:t>
      </w:r>
      <w:r w:rsidR="00157FF6">
        <w:rPr>
          <w:i/>
        </w:rPr>
        <w:t xml:space="preserve">. </w:t>
      </w:r>
      <w:r w:rsidRPr="00157FF6" w:rsidR="00157FF6">
        <w:t>at 7359-60.</w:t>
      </w:r>
    </w:p>
  </w:footnote>
  <w:footnote w:id="10">
    <w:p w:rsidR="000A6DCA">
      <w:pPr>
        <w:pStyle w:val="FootnoteText"/>
      </w:pPr>
      <w:r>
        <w:rPr>
          <w:rStyle w:val="FootnoteReference"/>
        </w:rPr>
        <w:footnoteRef/>
      </w:r>
      <w:r>
        <w:t xml:space="preserve"> </w:t>
      </w:r>
      <w:r w:rsidRPr="000A6DCA">
        <w:rPr>
          <w:i/>
        </w:rPr>
        <w:t>See</w:t>
      </w:r>
      <w:r w:rsidRPr="000A6DCA">
        <w:t xml:space="preserve"> </w:t>
      </w:r>
      <w:r w:rsidRPr="000A6DCA">
        <w:rPr>
          <w:i/>
        </w:rPr>
        <w:t>February 21 Public Notice.</w:t>
      </w:r>
    </w:p>
  </w:footnote>
  <w:footnote w:id="11">
    <w:p w:rsidR="008E7097" w:rsidP="008E7097">
      <w:pPr>
        <w:pStyle w:val="FootnoteText"/>
      </w:pPr>
      <w:r>
        <w:rPr>
          <w:rStyle w:val="FootnoteReference"/>
        </w:rPr>
        <w:footnoteRef/>
      </w:r>
      <w:r>
        <w:t xml:space="preserve"> </w:t>
      </w:r>
      <w:r w:rsidRPr="007505B8">
        <w:rPr>
          <w:i/>
        </w:rPr>
        <w:t xml:space="preserve">See </w:t>
      </w:r>
      <w:r w:rsidR="005A3DDF">
        <w:rPr>
          <w:i/>
        </w:rPr>
        <w:t xml:space="preserve">Data Collection </w:t>
      </w:r>
      <w:r w:rsidRPr="007505B8">
        <w:rPr>
          <w:i/>
        </w:rPr>
        <w:t>Protective Order</w:t>
      </w:r>
      <w:r w:rsidRPr="007505B8">
        <w:t>, 29 FCC Rcd at 11664, para. 21.</w:t>
      </w:r>
    </w:p>
  </w:footnote>
  <w:footnote w:id="12">
    <w:p w:rsidR="008E7097" w:rsidP="008E7097">
      <w:pPr>
        <w:pStyle w:val="FootnoteText"/>
      </w:pPr>
      <w:r>
        <w:rPr>
          <w:rStyle w:val="FootnoteReference"/>
        </w:rPr>
        <w:footnoteRef/>
      </w:r>
      <w:r>
        <w:t xml:space="preserve"> </w:t>
      </w:r>
      <w:r w:rsidRPr="007505B8">
        <w:rPr>
          <w:i/>
        </w:rPr>
        <w:t xml:space="preserve">See </w:t>
      </w:r>
      <w:r>
        <w:rPr>
          <w:i/>
        </w:rPr>
        <w:t>id.</w:t>
      </w:r>
      <w:r w:rsidRPr="007505B8">
        <w:t xml:space="preserve"> at 11664-65, 11673, paras. 23-24 &amp; Appx. A at para. 5</w:t>
      </w:r>
      <w:r>
        <w:t>.</w:t>
      </w:r>
    </w:p>
  </w:footnote>
  <w:footnote w:id="13">
    <w:p w:rsidR="008E7097" w:rsidP="008E7097">
      <w:pPr>
        <w:pStyle w:val="FootnoteText"/>
      </w:pPr>
      <w:r>
        <w:rPr>
          <w:rStyle w:val="FootnoteReference"/>
        </w:rPr>
        <w:footnoteRef/>
      </w:r>
      <w:r>
        <w:t xml:space="preserve"> </w:t>
      </w:r>
      <w:r w:rsidRPr="007505B8">
        <w:rPr>
          <w:i/>
        </w:rPr>
        <w:t xml:space="preserve">See </w:t>
      </w:r>
      <w:r>
        <w:rPr>
          <w:i/>
        </w:rPr>
        <w:t>id.</w:t>
      </w:r>
      <w:r w:rsidRPr="007505B8">
        <w:t xml:space="preserve"> at </w:t>
      </w:r>
      <w:r>
        <w:rPr>
          <w:rFonts w:ascii="TimesNewRoman" w:hAnsi="TimesNewRoman" w:cs="TimesNewRoman"/>
        </w:rPr>
        <w:t xml:space="preserve">11668, para. 28; 44 U.S.C. §§ 3301, </w:t>
      </w:r>
      <w:r>
        <w:rPr>
          <w:rFonts w:ascii="TimesNewRoman,Italic" w:hAnsi="TimesNewRoman,Italic" w:cs="TimesNewRoman,Italic"/>
          <w:i/>
          <w:iCs/>
        </w:rPr>
        <w:t>et seq</w:t>
      </w:r>
      <w:r>
        <w:rPr>
          <w:rFonts w:ascii="TimesNewRoman" w:hAnsi="TimesNewRoman" w:cs="TimesNewRoman"/>
        </w:rPr>
        <w:t>.</w:t>
      </w:r>
    </w:p>
  </w:footnote>
  <w:footnote w:id="14">
    <w:p w:rsidR="00065113">
      <w:pPr>
        <w:pStyle w:val="FootnoteText"/>
      </w:pPr>
      <w:r>
        <w:rPr>
          <w:rStyle w:val="FootnoteReference"/>
        </w:rPr>
        <w:footnoteRef/>
      </w:r>
      <w:r>
        <w:t xml:space="preserve"> </w:t>
      </w:r>
      <w:r w:rsidRPr="004B783C" w:rsidR="009840FC">
        <w:rPr>
          <w:i/>
        </w:rPr>
        <w:t>See Wireline Competition Bureau to Archive Secure Data Enclave for Accessing Highly Confidential Business Data Services (Special Access) Data</w:t>
      </w:r>
      <w:r w:rsidRPr="004B783C" w:rsidR="009840FC">
        <w:t xml:space="preserve">, WC Docket No. 16-143 et al., </w:t>
      </w:r>
      <w:r w:rsidR="009840FC">
        <w:t xml:space="preserve">Public Notice, </w:t>
      </w:r>
      <w:r w:rsidRPr="004B783C" w:rsidR="009840FC">
        <w:t>32 FCC Rcd 10362 (WCB 2017)</w:t>
      </w:r>
      <w:r w:rsidR="009840FC">
        <w:t xml:space="preserve"> (</w:t>
      </w:r>
      <w:r w:rsidRPr="009840FC" w:rsidR="009840FC">
        <w:rPr>
          <w:i/>
        </w:rPr>
        <w:t>December 18, 2017 Public Notice</w:t>
      </w:r>
      <w:r w:rsidR="009840FC">
        <w:t>)</w:t>
      </w:r>
      <w:r w:rsidRPr="004B783C" w:rsidR="009840FC">
        <w:t>.</w:t>
      </w:r>
    </w:p>
  </w:footnote>
  <w:footnote w:id="15">
    <w:p w:rsidR="00187FFB" w:rsidRPr="004B783C">
      <w:pPr>
        <w:pStyle w:val="FootnoteText"/>
      </w:pPr>
      <w:r w:rsidRPr="004B783C">
        <w:rPr>
          <w:rStyle w:val="FootnoteReference"/>
          <w:sz w:val="20"/>
        </w:rPr>
        <w:footnoteRef/>
      </w:r>
      <w:r w:rsidRPr="004B783C">
        <w:t xml:space="preserve"> </w:t>
      </w:r>
      <w:r w:rsidR="00F418D1">
        <w:rPr>
          <w:i/>
        </w:rPr>
        <w:t xml:space="preserve">Data Collection </w:t>
      </w:r>
      <w:r w:rsidRPr="007505B8" w:rsidR="00F418D1">
        <w:rPr>
          <w:i/>
        </w:rPr>
        <w:t>Protective Order</w:t>
      </w:r>
      <w:r w:rsidRPr="007505B8" w:rsidR="00F418D1">
        <w:t xml:space="preserve">, 29 FCC Rcd </w:t>
      </w:r>
      <w:r w:rsidR="005253A4">
        <w:t>at 11673, para. 6.</w:t>
      </w:r>
    </w:p>
  </w:footnote>
  <w:footnote w:id="16">
    <w:p w:rsidR="00EA79FB" w:rsidRPr="004B783C">
      <w:pPr>
        <w:pStyle w:val="FootnoteText"/>
      </w:pPr>
      <w:r w:rsidRPr="004B783C">
        <w:rPr>
          <w:rStyle w:val="FootnoteReference"/>
          <w:sz w:val="20"/>
        </w:rPr>
        <w:footnoteRef/>
      </w:r>
      <w:r w:rsidRPr="004B783C">
        <w:t xml:space="preserve"> </w:t>
      </w:r>
      <w:r w:rsidRPr="004B783C" w:rsidR="00003086">
        <w:rPr>
          <w:i/>
        </w:rPr>
        <w:t xml:space="preserve">See </w:t>
      </w:r>
      <w:r w:rsidRPr="009840FC" w:rsidR="009840FC">
        <w:rPr>
          <w:i/>
        </w:rPr>
        <w:t>December 18, 2017 Public Notice</w:t>
      </w:r>
      <w:r w:rsidR="009840FC">
        <w:t xml:space="preserve">, </w:t>
      </w:r>
      <w:r w:rsidRPr="009840FC" w:rsidR="009840FC">
        <w:t xml:space="preserve">32 FCC Rcd </w:t>
      </w:r>
      <w:r w:rsidR="009840FC">
        <w:t xml:space="preserve">at </w:t>
      </w:r>
      <w:r w:rsidRPr="009840FC" w:rsidR="009840FC">
        <w:t>1036</w:t>
      </w:r>
      <w:r w:rsidR="009840FC">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5C5FDE" w:rsidR="00B647F3">
      <w:rPr>
        <w:b/>
      </w:rPr>
      <w:t>DA 19-</w:t>
    </w:r>
    <w:r w:rsidRPr="005C5FDE" w:rsidR="005C5FDE">
      <w:rPr>
        <w:b/>
      </w:rPr>
      <w:t>198</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44827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17"/>
    <w:rsid w:val="00003086"/>
    <w:rsid w:val="000072CE"/>
    <w:rsid w:val="00013A8B"/>
    <w:rsid w:val="0001433B"/>
    <w:rsid w:val="00021445"/>
    <w:rsid w:val="000272B2"/>
    <w:rsid w:val="00035823"/>
    <w:rsid w:val="00036039"/>
    <w:rsid w:val="000368D5"/>
    <w:rsid w:val="00037F90"/>
    <w:rsid w:val="00065113"/>
    <w:rsid w:val="00071DF1"/>
    <w:rsid w:val="000875BF"/>
    <w:rsid w:val="00096D8C"/>
    <w:rsid w:val="000A6DCA"/>
    <w:rsid w:val="000B69C8"/>
    <w:rsid w:val="000C0B65"/>
    <w:rsid w:val="000D1D24"/>
    <w:rsid w:val="000D5461"/>
    <w:rsid w:val="000E3D42"/>
    <w:rsid w:val="000E4978"/>
    <w:rsid w:val="000E5884"/>
    <w:rsid w:val="00112BBF"/>
    <w:rsid w:val="00122BD5"/>
    <w:rsid w:val="00142109"/>
    <w:rsid w:val="00153C0F"/>
    <w:rsid w:val="00157FF6"/>
    <w:rsid w:val="001713E7"/>
    <w:rsid w:val="00187FFB"/>
    <w:rsid w:val="001979D9"/>
    <w:rsid w:val="001A28B2"/>
    <w:rsid w:val="001C4752"/>
    <w:rsid w:val="001C4D2E"/>
    <w:rsid w:val="001D5909"/>
    <w:rsid w:val="001D6BCF"/>
    <w:rsid w:val="001E01CA"/>
    <w:rsid w:val="002037D6"/>
    <w:rsid w:val="002060D9"/>
    <w:rsid w:val="00207E28"/>
    <w:rsid w:val="00226822"/>
    <w:rsid w:val="00260594"/>
    <w:rsid w:val="00281B00"/>
    <w:rsid w:val="00285017"/>
    <w:rsid w:val="002A2D2E"/>
    <w:rsid w:val="002E2085"/>
    <w:rsid w:val="002E4475"/>
    <w:rsid w:val="00333DE7"/>
    <w:rsid w:val="00340946"/>
    <w:rsid w:val="00343749"/>
    <w:rsid w:val="00357D50"/>
    <w:rsid w:val="003925DC"/>
    <w:rsid w:val="003955FC"/>
    <w:rsid w:val="003B0550"/>
    <w:rsid w:val="003B694F"/>
    <w:rsid w:val="003F171C"/>
    <w:rsid w:val="003F4DDA"/>
    <w:rsid w:val="003F71A1"/>
    <w:rsid w:val="004123C8"/>
    <w:rsid w:val="00412FC5"/>
    <w:rsid w:val="00422276"/>
    <w:rsid w:val="004242F1"/>
    <w:rsid w:val="004264D5"/>
    <w:rsid w:val="00445A00"/>
    <w:rsid w:val="004515B6"/>
    <w:rsid w:val="00451B0F"/>
    <w:rsid w:val="00453DFE"/>
    <w:rsid w:val="0046125F"/>
    <w:rsid w:val="004828A8"/>
    <w:rsid w:val="00487524"/>
    <w:rsid w:val="00496106"/>
    <w:rsid w:val="004B783C"/>
    <w:rsid w:val="004C12D0"/>
    <w:rsid w:val="004C2EE3"/>
    <w:rsid w:val="004E4A22"/>
    <w:rsid w:val="004F4F8A"/>
    <w:rsid w:val="00503239"/>
    <w:rsid w:val="00504A8C"/>
    <w:rsid w:val="00511968"/>
    <w:rsid w:val="00516717"/>
    <w:rsid w:val="005253A4"/>
    <w:rsid w:val="0055614C"/>
    <w:rsid w:val="005A3DDF"/>
    <w:rsid w:val="005B1419"/>
    <w:rsid w:val="005C085A"/>
    <w:rsid w:val="005C5FDE"/>
    <w:rsid w:val="005E221E"/>
    <w:rsid w:val="005E2496"/>
    <w:rsid w:val="005E709A"/>
    <w:rsid w:val="005F39B8"/>
    <w:rsid w:val="005F5A2F"/>
    <w:rsid w:val="00607BA5"/>
    <w:rsid w:val="00626EB6"/>
    <w:rsid w:val="00627750"/>
    <w:rsid w:val="00634996"/>
    <w:rsid w:val="006353A3"/>
    <w:rsid w:val="00655D03"/>
    <w:rsid w:val="006672FD"/>
    <w:rsid w:val="00683F84"/>
    <w:rsid w:val="006A6A81"/>
    <w:rsid w:val="006C621A"/>
    <w:rsid w:val="006D7D9D"/>
    <w:rsid w:val="006E26AF"/>
    <w:rsid w:val="006F7393"/>
    <w:rsid w:val="0070224F"/>
    <w:rsid w:val="007115F7"/>
    <w:rsid w:val="007238DD"/>
    <w:rsid w:val="007505B8"/>
    <w:rsid w:val="00755013"/>
    <w:rsid w:val="00761341"/>
    <w:rsid w:val="00783BB0"/>
    <w:rsid w:val="00785689"/>
    <w:rsid w:val="00791080"/>
    <w:rsid w:val="00792020"/>
    <w:rsid w:val="0079754B"/>
    <w:rsid w:val="00797A21"/>
    <w:rsid w:val="007A0982"/>
    <w:rsid w:val="007A1E6D"/>
    <w:rsid w:val="007D15A9"/>
    <w:rsid w:val="007F5C4C"/>
    <w:rsid w:val="00822CE0"/>
    <w:rsid w:val="00837C62"/>
    <w:rsid w:val="00841AB1"/>
    <w:rsid w:val="00850914"/>
    <w:rsid w:val="0085316B"/>
    <w:rsid w:val="008C22FD"/>
    <w:rsid w:val="008E7097"/>
    <w:rsid w:val="00910F12"/>
    <w:rsid w:val="00910FA4"/>
    <w:rsid w:val="00914FA4"/>
    <w:rsid w:val="00920499"/>
    <w:rsid w:val="0092543F"/>
    <w:rsid w:val="00926503"/>
    <w:rsid w:val="00930629"/>
    <w:rsid w:val="00930ECF"/>
    <w:rsid w:val="009838BC"/>
    <w:rsid w:val="009840FC"/>
    <w:rsid w:val="009867EE"/>
    <w:rsid w:val="00992FE3"/>
    <w:rsid w:val="00995FDE"/>
    <w:rsid w:val="009E25EF"/>
    <w:rsid w:val="00A45F4F"/>
    <w:rsid w:val="00A5280C"/>
    <w:rsid w:val="00A557FE"/>
    <w:rsid w:val="00A600A9"/>
    <w:rsid w:val="00A866AC"/>
    <w:rsid w:val="00A877F6"/>
    <w:rsid w:val="00AA55B7"/>
    <w:rsid w:val="00AA5B9E"/>
    <w:rsid w:val="00AB2407"/>
    <w:rsid w:val="00AB53DF"/>
    <w:rsid w:val="00AD0C35"/>
    <w:rsid w:val="00AF617A"/>
    <w:rsid w:val="00B07E5C"/>
    <w:rsid w:val="00B209FE"/>
    <w:rsid w:val="00B30660"/>
    <w:rsid w:val="00B326E3"/>
    <w:rsid w:val="00B32C86"/>
    <w:rsid w:val="00B3617B"/>
    <w:rsid w:val="00B608B6"/>
    <w:rsid w:val="00B632F5"/>
    <w:rsid w:val="00B647F3"/>
    <w:rsid w:val="00B70AAB"/>
    <w:rsid w:val="00B811F7"/>
    <w:rsid w:val="00B90264"/>
    <w:rsid w:val="00BA5DC6"/>
    <w:rsid w:val="00BA6196"/>
    <w:rsid w:val="00BC4E24"/>
    <w:rsid w:val="00BC6D8C"/>
    <w:rsid w:val="00BD672A"/>
    <w:rsid w:val="00BE2F15"/>
    <w:rsid w:val="00C16AF2"/>
    <w:rsid w:val="00C30A93"/>
    <w:rsid w:val="00C34006"/>
    <w:rsid w:val="00C426B1"/>
    <w:rsid w:val="00C82B6B"/>
    <w:rsid w:val="00C90D6A"/>
    <w:rsid w:val="00CC0B96"/>
    <w:rsid w:val="00CC72B6"/>
    <w:rsid w:val="00D0218D"/>
    <w:rsid w:val="00D216CD"/>
    <w:rsid w:val="00D22E22"/>
    <w:rsid w:val="00D33142"/>
    <w:rsid w:val="00D33F57"/>
    <w:rsid w:val="00D44E08"/>
    <w:rsid w:val="00D97526"/>
    <w:rsid w:val="00DA2529"/>
    <w:rsid w:val="00DA6028"/>
    <w:rsid w:val="00DA70C0"/>
    <w:rsid w:val="00DB130A"/>
    <w:rsid w:val="00DC10A1"/>
    <w:rsid w:val="00DC2A1A"/>
    <w:rsid w:val="00DC655F"/>
    <w:rsid w:val="00DC7175"/>
    <w:rsid w:val="00DD7EBD"/>
    <w:rsid w:val="00DF3117"/>
    <w:rsid w:val="00DF4D8C"/>
    <w:rsid w:val="00DF62B6"/>
    <w:rsid w:val="00E07225"/>
    <w:rsid w:val="00E155B7"/>
    <w:rsid w:val="00E5409F"/>
    <w:rsid w:val="00E8067B"/>
    <w:rsid w:val="00E942AF"/>
    <w:rsid w:val="00EA79FB"/>
    <w:rsid w:val="00EB6109"/>
    <w:rsid w:val="00EC0185"/>
    <w:rsid w:val="00EC68EB"/>
    <w:rsid w:val="00ED4399"/>
    <w:rsid w:val="00F021FA"/>
    <w:rsid w:val="00F31032"/>
    <w:rsid w:val="00F418D1"/>
    <w:rsid w:val="00F46B8D"/>
    <w:rsid w:val="00F57ACA"/>
    <w:rsid w:val="00F62E97"/>
    <w:rsid w:val="00F64209"/>
    <w:rsid w:val="00F6671F"/>
    <w:rsid w:val="00F74863"/>
    <w:rsid w:val="00F85269"/>
    <w:rsid w:val="00F92817"/>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3A1FF95-DD89-4CDC-BF28-50B6327E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basedOn w:val="DefaultParagraphFont"/>
    <w:uiPriority w:val="99"/>
    <w:semiHidden/>
    <w:unhideWhenUsed/>
    <w:rsid w:val="00142109"/>
    <w:rPr>
      <w:sz w:val="16"/>
      <w:szCs w:val="16"/>
    </w:rPr>
  </w:style>
  <w:style w:type="paragraph" w:styleId="CommentText">
    <w:name w:val="annotation text"/>
    <w:basedOn w:val="Normal"/>
    <w:link w:val="CommentTextChar"/>
    <w:uiPriority w:val="99"/>
    <w:semiHidden/>
    <w:unhideWhenUsed/>
    <w:rsid w:val="00142109"/>
    <w:rPr>
      <w:sz w:val="20"/>
    </w:rPr>
  </w:style>
  <w:style w:type="character" w:customStyle="1" w:styleId="CommentTextChar">
    <w:name w:val="Comment Text Char"/>
    <w:basedOn w:val="DefaultParagraphFont"/>
    <w:link w:val="CommentText"/>
    <w:uiPriority w:val="99"/>
    <w:semiHidden/>
    <w:rsid w:val="00142109"/>
    <w:rPr>
      <w:snapToGrid w:val="0"/>
      <w:kern w:val="28"/>
    </w:rPr>
  </w:style>
  <w:style w:type="paragraph" w:styleId="CommentSubject">
    <w:name w:val="annotation subject"/>
    <w:basedOn w:val="CommentText"/>
    <w:next w:val="CommentText"/>
    <w:link w:val="CommentSubjectChar"/>
    <w:uiPriority w:val="99"/>
    <w:semiHidden/>
    <w:unhideWhenUsed/>
    <w:rsid w:val="00142109"/>
    <w:rPr>
      <w:b/>
      <w:bCs/>
    </w:rPr>
  </w:style>
  <w:style w:type="character" w:customStyle="1" w:styleId="CommentSubjectChar">
    <w:name w:val="Comment Subject Char"/>
    <w:basedOn w:val="CommentTextChar"/>
    <w:link w:val="CommentSubject"/>
    <w:uiPriority w:val="99"/>
    <w:semiHidden/>
    <w:rsid w:val="00142109"/>
    <w:rPr>
      <w:b/>
      <w:bCs/>
      <w:snapToGrid w:val="0"/>
      <w:kern w:val="28"/>
    </w:rPr>
  </w:style>
  <w:style w:type="paragraph" w:styleId="BalloonText">
    <w:name w:val="Balloon Text"/>
    <w:basedOn w:val="Normal"/>
    <w:link w:val="BalloonTextChar"/>
    <w:uiPriority w:val="99"/>
    <w:semiHidden/>
    <w:unhideWhenUsed/>
    <w:rsid w:val="00142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109"/>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B32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yperlink" Target="mailto:Gregory.Capobianco@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