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577">
      <w:pPr>
        <w:pStyle w:val="Header"/>
        <w:tabs>
          <w:tab w:val="clear" w:pos="4320"/>
          <w:tab w:val="clear" w:pos="8640"/>
        </w:tabs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947729" w:rsidRPr="00342B07" w:rsidP="00947729">
      <w:pPr>
        <w:jc w:val="right"/>
        <w:rPr>
          <w:b/>
          <w:szCs w:val="22"/>
        </w:rPr>
      </w:pPr>
      <w:r>
        <w:rPr>
          <w:b/>
          <w:szCs w:val="22"/>
        </w:rPr>
        <w:t xml:space="preserve">DA </w:t>
      </w:r>
      <w:r w:rsidR="00013113">
        <w:rPr>
          <w:b/>
          <w:szCs w:val="22"/>
        </w:rPr>
        <w:t>19</w:t>
      </w:r>
      <w:r>
        <w:rPr>
          <w:b/>
          <w:szCs w:val="22"/>
        </w:rPr>
        <w:t>-</w:t>
      </w:r>
      <w:r w:rsidR="009F6A4D">
        <w:rPr>
          <w:b/>
          <w:szCs w:val="22"/>
        </w:rPr>
        <w:t>207</w:t>
      </w:r>
    </w:p>
    <w:p w:rsidR="00947729" w:rsidRPr="00342B07" w:rsidP="00947729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</w:t>
      </w:r>
      <w:r w:rsidR="00613220">
        <w:rPr>
          <w:b/>
          <w:szCs w:val="22"/>
        </w:rPr>
        <w:t xml:space="preserve">March </w:t>
      </w:r>
      <w:r w:rsidR="00013113">
        <w:rPr>
          <w:b/>
          <w:szCs w:val="22"/>
        </w:rPr>
        <w:t>2</w:t>
      </w:r>
      <w:r w:rsidR="009F6A4D">
        <w:rPr>
          <w:b/>
          <w:szCs w:val="22"/>
        </w:rPr>
        <w:t>2</w:t>
      </w:r>
      <w:r>
        <w:rPr>
          <w:b/>
          <w:szCs w:val="22"/>
        </w:rPr>
        <w:t>, 201</w:t>
      </w:r>
      <w:r w:rsidR="00013113">
        <w:rPr>
          <w:b/>
          <w:szCs w:val="22"/>
        </w:rPr>
        <w:t>9</w:t>
      </w:r>
    </w:p>
    <w:p w:rsidR="00947729" w:rsidRPr="00342B07" w:rsidP="00947729">
      <w:pPr>
        <w:spacing w:after="120"/>
        <w:jc w:val="center"/>
        <w:rPr>
          <w:szCs w:val="22"/>
        </w:rPr>
      </w:pPr>
    </w:p>
    <w:p w:rsidR="00947729" w:rsidRPr="00342B07" w:rsidP="00947729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Wireless Telecommunications</w:t>
      </w:r>
      <w:r w:rsidRPr="00342B07">
        <w:rPr>
          <w:b/>
          <w:caps/>
          <w:szCs w:val="22"/>
        </w:rPr>
        <w:t xml:space="preserve"> bureau OPENS </w:t>
      </w:r>
    </w:p>
    <w:p w:rsidR="00947729" w:rsidRPr="00342B07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>W</w:t>
      </w:r>
      <w:r w:rsidR="00E905F4">
        <w:rPr>
          <w:b/>
          <w:caps/>
          <w:szCs w:val="22"/>
        </w:rPr>
        <w:t>t</w:t>
      </w:r>
      <w:r w:rsidR="00613220">
        <w:rPr>
          <w:b/>
          <w:caps/>
          <w:szCs w:val="22"/>
        </w:rPr>
        <w:t xml:space="preserve"> docket no. </w:t>
      </w:r>
      <w:r w:rsidR="00013113">
        <w:rPr>
          <w:b/>
          <w:caps/>
          <w:szCs w:val="22"/>
        </w:rPr>
        <w:t>19-71</w:t>
      </w:r>
    </w:p>
    <w:p w:rsidR="00947729" w:rsidRPr="00342B07" w:rsidP="00947729">
      <w:pPr>
        <w:spacing w:after="120"/>
        <w:jc w:val="center"/>
        <w:rPr>
          <w:b/>
          <w:caps/>
          <w:szCs w:val="22"/>
        </w:rPr>
      </w:pPr>
    </w:p>
    <w:p w:rsidR="00947729" w:rsidRPr="00342B07" w:rsidP="00947729">
      <w:pPr>
        <w:jc w:val="center"/>
        <w:rPr>
          <w:b/>
          <w:szCs w:val="22"/>
        </w:rPr>
      </w:pPr>
      <w:r w:rsidRPr="00342B07">
        <w:rPr>
          <w:b/>
          <w:szCs w:val="22"/>
        </w:rPr>
        <w:t>W</w:t>
      </w:r>
      <w:r w:rsidR="00E905F4">
        <w:rPr>
          <w:b/>
          <w:szCs w:val="22"/>
        </w:rPr>
        <w:t>T</w:t>
      </w:r>
      <w:r w:rsidR="00613220">
        <w:rPr>
          <w:b/>
          <w:szCs w:val="22"/>
        </w:rPr>
        <w:t xml:space="preserve"> Docket No. 1</w:t>
      </w:r>
      <w:r w:rsidR="00013113">
        <w:rPr>
          <w:b/>
          <w:szCs w:val="22"/>
        </w:rPr>
        <w:t>9-71</w:t>
      </w:r>
    </w:p>
    <w:p w:rsidR="00947729" w:rsidRPr="00342B07" w:rsidP="00947729">
      <w:pPr>
        <w:widowControl/>
        <w:rPr>
          <w:b/>
          <w:snapToGrid/>
          <w:kern w:val="0"/>
          <w:szCs w:val="22"/>
        </w:rPr>
      </w:pPr>
    </w:p>
    <w:p w:rsidR="00947729" w:rsidRPr="00342B07" w:rsidP="00947729">
      <w:pPr>
        <w:ind w:firstLine="720"/>
        <w:rPr>
          <w:szCs w:val="22"/>
        </w:rPr>
      </w:pPr>
      <w:r w:rsidRPr="00342B07">
        <w:rPr>
          <w:szCs w:val="22"/>
        </w:rPr>
        <w:t xml:space="preserve">By this Public Notice, the </w:t>
      </w:r>
      <w:r w:rsidR="00E905F4">
        <w:rPr>
          <w:szCs w:val="22"/>
        </w:rPr>
        <w:t>Wireless Telecommunications</w:t>
      </w:r>
      <w:r w:rsidR="00D77007">
        <w:rPr>
          <w:szCs w:val="22"/>
        </w:rPr>
        <w:t xml:space="preserve"> Bureau opens WT</w:t>
      </w:r>
      <w:r w:rsidR="00613220">
        <w:rPr>
          <w:szCs w:val="22"/>
        </w:rPr>
        <w:t xml:space="preserve"> Docket No. </w:t>
      </w:r>
      <w:r w:rsidR="00013113">
        <w:rPr>
          <w:szCs w:val="22"/>
        </w:rPr>
        <w:t>19-71</w:t>
      </w:r>
      <w:r w:rsidRPr="00342B07">
        <w:rPr>
          <w:szCs w:val="22"/>
        </w:rPr>
        <w:t>, which is captioned “</w:t>
      </w:r>
      <w:r w:rsidRPr="00013113" w:rsidR="00013113">
        <w:rPr>
          <w:snapToGrid/>
          <w:kern w:val="0"/>
          <w:szCs w:val="22"/>
        </w:rPr>
        <w:t>Updating the Commission's Rule for Over-the-Air-Reception Devices</w:t>
      </w:r>
      <w:r w:rsidRPr="00342B07">
        <w:rPr>
          <w:szCs w:val="22"/>
        </w:rPr>
        <w:t>.”</w:t>
      </w:r>
    </w:p>
    <w:p w:rsidR="00947729" w:rsidRPr="00342B07" w:rsidP="00947729">
      <w:pPr>
        <w:ind w:firstLine="720"/>
        <w:rPr>
          <w:szCs w:val="22"/>
        </w:rPr>
      </w:pPr>
    </w:p>
    <w:p w:rsidR="00947729" w:rsidRPr="00342B07" w:rsidP="00947729">
      <w:pPr>
        <w:ind w:firstLine="720"/>
        <w:rPr>
          <w:szCs w:val="22"/>
        </w:rPr>
      </w:pPr>
      <w:r w:rsidRPr="00342B07">
        <w:rPr>
          <w:i/>
          <w:szCs w:val="22"/>
        </w:rPr>
        <w:t xml:space="preserve">Ex </w:t>
      </w:r>
      <w:r w:rsidRPr="00342B07">
        <w:rPr>
          <w:i/>
          <w:szCs w:val="22"/>
        </w:rPr>
        <w:t>Parte</w:t>
      </w:r>
      <w:r w:rsidRPr="00342B07">
        <w:rPr>
          <w:i/>
          <w:szCs w:val="22"/>
        </w:rPr>
        <w:t xml:space="preserve">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C.F.R. §§ 1.1206, 1.1200(a).  Persons making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>rules.</w:t>
      </w:r>
    </w:p>
    <w:p w:rsidR="00947729" w:rsidRPr="00342B07" w:rsidP="00947729">
      <w:pPr>
        <w:ind w:firstLine="720"/>
        <w:rPr>
          <w:szCs w:val="22"/>
        </w:rPr>
      </w:pPr>
    </w:p>
    <w:p w:rsidR="00947729" w:rsidRPr="00342B07" w:rsidP="00947729">
      <w:pPr>
        <w:widowControl/>
        <w:spacing w:after="24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10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947729" w:rsidP="00947729">
      <w:pPr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 w:rsidR="00E905F4">
        <w:rPr>
          <w:szCs w:val="22"/>
        </w:rPr>
        <w:t>Wireless Telecommunications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:rsidR="00947729" w:rsidP="00947729">
      <w:pPr>
        <w:ind w:firstLine="720"/>
        <w:rPr>
          <w:szCs w:val="22"/>
        </w:rPr>
      </w:pPr>
    </w:p>
    <w:p w:rsidR="00947729" w:rsidRPr="00342B07" w:rsidP="00947729">
      <w:pPr>
        <w:ind w:firstLine="720"/>
        <w:jc w:val="center"/>
        <w:rPr>
          <w:szCs w:val="22"/>
        </w:rPr>
      </w:pPr>
      <w:r w:rsidRPr="00D96E52">
        <w:rPr>
          <w:b/>
          <w:szCs w:val="22"/>
        </w:rPr>
        <w:t>- FCC –</w:t>
      </w:r>
    </w:p>
    <w:sectPr w:rsidSect="00947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D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660ED" w:rsidP="000E05F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7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51922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sz w:val="96"/>
      </w:rPr>
      <w:t xml:space="preserve">  </w:t>
    </w:r>
    <w:r>
      <w:rPr>
        <w:rFonts w:ascii="News Gothic MT" w:hAnsi="News Gothic MT"/>
        <w:b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6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5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5A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2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9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75818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 w:rsidR="00947729">
      <w:t>PUBLIC NOTICE</w:t>
    </w:r>
  </w:p>
  <w:p w:rsidR="00D47505" w:rsidP="00B338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3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848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https://www.fcc.gov</w:t>
                            </w:r>
                          </w:hyperlink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0528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https://www.fcc.gov</w:t>
                      </w:r>
                    </w:hyperlink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947729"/>
    <w:rsid w:val="00010EA1"/>
    <w:rsid w:val="00013113"/>
    <w:rsid w:val="000265AE"/>
    <w:rsid w:val="000854EB"/>
    <w:rsid w:val="000E05FE"/>
    <w:rsid w:val="002334BE"/>
    <w:rsid w:val="00342B07"/>
    <w:rsid w:val="00353D9E"/>
    <w:rsid w:val="003660ED"/>
    <w:rsid w:val="0055614C"/>
    <w:rsid w:val="00602577"/>
    <w:rsid w:val="006045AD"/>
    <w:rsid w:val="00613220"/>
    <w:rsid w:val="00647D3B"/>
    <w:rsid w:val="00661FA0"/>
    <w:rsid w:val="006C5429"/>
    <w:rsid w:val="007901D0"/>
    <w:rsid w:val="00947729"/>
    <w:rsid w:val="009A7676"/>
    <w:rsid w:val="009F6A4D"/>
    <w:rsid w:val="00AE2148"/>
    <w:rsid w:val="00B20363"/>
    <w:rsid w:val="00B338A9"/>
    <w:rsid w:val="00D17DC0"/>
    <w:rsid w:val="00D216CD"/>
    <w:rsid w:val="00D25FB5"/>
    <w:rsid w:val="00D47505"/>
    <w:rsid w:val="00D60EFF"/>
    <w:rsid w:val="00D77007"/>
    <w:rsid w:val="00D96E52"/>
    <w:rsid w:val="00E20A6B"/>
    <w:rsid w:val="00E447F9"/>
    <w:rsid w:val="00E905F4"/>
    <w:rsid w:val="00E93A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2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77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fcc504@fcc.gov" TargetMode="Externa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footer" Target="footer4.xml" /><Relationship Id="rId14" Type="http://schemas.openxmlformats.org/officeDocument/2006/relationships/footer" Target="footer5.xml" /><Relationship Id="rId15" Type="http://schemas.openxmlformats.org/officeDocument/2006/relationships/header" Target="header6.xml" /><Relationship Id="rId16" Type="http://schemas.openxmlformats.org/officeDocument/2006/relationships/footer" Target="footer6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