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7B26A7" w14:paraId="3EED3546" w14:textId="77777777">
      <w:pPr>
        <w:jc w:val="center"/>
        <w:rPr>
          <w:b/>
          <w:szCs w:val="22"/>
        </w:rPr>
      </w:pPr>
      <w:r w:rsidRPr="007B26A7">
        <w:rPr>
          <w:b/>
          <w:kern w:val="0"/>
          <w:szCs w:val="22"/>
        </w:rPr>
        <w:t>Before</w:t>
      </w:r>
      <w:r w:rsidRPr="007B26A7">
        <w:rPr>
          <w:b/>
          <w:szCs w:val="22"/>
        </w:rPr>
        <w:t xml:space="preserve"> the</w:t>
      </w:r>
    </w:p>
    <w:p w:rsidR="00921803" w:rsidP="00921803" w14:paraId="2D219ECA" w14:textId="77777777">
      <w:pPr>
        <w:pStyle w:val="StyleBoldCentered"/>
        <w:rPr>
          <w:rFonts w:ascii="Times New Roman" w:hAnsi="Times New Roman"/>
          <w:caps w:val="0"/>
        </w:rPr>
      </w:pPr>
      <w:r w:rsidRPr="007B26A7">
        <w:rPr>
          <w:rFonts w:ascii="Times New Roman" w:hAnsi="Times New Roman"/>
        </w:rPr>
        <w:t>F</w:t>
      </w:r>
      <w:r w:rsidRPr="007B26A7">
        <w:rPr>
          <w:rFonts w:ascii="Times New Roman" w:hAnsi="Times New Roman"/>
          <w:caps w:val="0"/>
        </w:rPr>
        <w:t>ederal Communications Commission</w:t>
      </w:r>
    </w:p>
    <w:p w:rsidR="005B6FBC" w:rsidRPr="007B26A7" w:rsidP="00921803" w14:paraId="7DD5757C" w14:textId="77777777">
      <w:pPr>
        <w:pStyle w:val="StyleBoldCentered"/>
        <w:rPr>
          <w:rFonts w:ascii="Times New Roman" w:hAnsi="Times New Roman"/>
        </w:rPr>
      </w:pPr>
      <w:r>
        <w:rPr>
          <w:rFonts w:ascii="Times New Roman" w:hAnsi="Times New Roman"/>
          <w:caps w:val="0"/>
        </w:rPr>
        <w:t>Washington, D.C. 20554</w:t>
      </w:r>
    </w:p>
    <w:p w:rsidR="004C2EE3" w:rsidRPr="007B26A7" w:rsidP="0070224F" w14:paraId="0109088B" w14:textId="77777777">
      <w:pPr>
        <w:rPr>
          <w:szCs w:val="22"/>
        </w:rPr>
      </w:pPr>
    </w:p>
    <w:p w:rsidR="004C2EE3" w:rsidRPr="007B26A7" w:rsidP="0070224F" w14:paraId="52995E96" w14:textId="77777777">
      <w:pPr>
        <w:rPr>
          <w:szCs w:val="22"/>
        </w:rPr>
      </w:pPr>
    </w:p>
    <w:tbl>
      <w:tblPr>
        <w:tblW w:w="9574" w:type="dxa"/>
        <w:tblLayout w:type="fixed"/>
        <w:tblLook w:val="0000"/>
      </w:tblPr>
      <w:tblGrid>
        <w:gridCol w:w="4697"/>
        <w:gridCol w:w="630"/>
        <w:gridCol w:w="4247"/>
      </w:tblGrid>
      <w:tr w14:paraId="5FB20F02" w14:textId="77777777" w:rsidTr="008267B0">
        <w:tblPrEx>
          <w:tblW w:w="9574" w:type="dxa"/>
          <w:tblLayout w:type="fixed"/>
          <w:tblLook w:val="0000"/>
        </w:tblPrEx>
        <w:trPr>
          <w:trHeight w:val="1800"/>
        </w:trPr>
        <w:tc>
          <w:tcPr>
            <w:tcW w:w="4697" w:type="dxa"/>
          </w:tcPr>
          <w:p w:rsidR="004C2EE3" w:rsidRPr="007B26A7" w14:paraId="60CE9322" w14:textId="77777777">
            <w:pPr>
              <w:tabs>
                <w:tab w:val="center" w:pos="4680"/>
              </w:tabs>
              <w:suppressAutoHyphens/>
              <w:rPr>
                <w:spacing w:val="-2"/>
                <w:szCs w:val="22"/>
              </w:rPr>
            </w:pPr>
            <w:r w:rsidRPr="007B26A7">
              <w:rPr>
                <w:spacing w:val="-2"/>
                <w:szCs w:val="22"/>
              </w:rPr>
              <w:t xml:space="preserve">In </w:t>
            </w:r>
            <w:r w:rsidRPr="007B26A7" w:rsidR="00441E04">
              <w:rPr>
                <w:spacing w:val="-2"/>
                <w:szCs w:val="22"/>
              </w:rPr>
              <w:t>re</w:t>
            </w:r>
            <w:r w:rsidR="0099240F">
              <w:rPr>
                <w:spacing w:val="-2"/>
                <w:szCs w:val="22"/>
              </w:rPr>
              <w:t xml:space="preserve"> Application</w:t>
            </w:r>
            <w:r w:rsidR="00A44637">
              <w:rPr>
                <w:spacing w:val="-2"/>
                <w:szCs w:val="22"/>
              </w:rPr>
              <w:t>s</w:t>
            </w:r>
            <w:r w:rsidR="0099240F">
              <w:rPr>
                <w:spacing w:val="-2"/>
                <w:szCs w:val="22"/>
              </w:rPr>
              <w:t xml:space="preserve"> of</w:t>
            </w:r>
          </w:p>
          <w:p w:rsidR="004C2EE3" w:rsidRPr="007B26A7" w14:paraId="6FEF6135" w14:textId="77777777">
            <w:pPr>
              <w:tabs>
                <w:tab w:val="center" w:pos="4680"/>
              </w:tabs>
              <w:suppressAutoHyphens/>
              <w:rPr>
                <w:spacing w:val="-2"/>
                <w:szCs w:val="22"/>
              </w:rPr>
            </w:pPr>
          </w:p>
          <w:p w:rsidR="00441E04" w:rsidRPr="007B26A7" w:rsidP="00441E04" w14:paraId="4D7110A2" w14:textId="77777777">
            <w:pPr>
              <w:tabs>
                <w:tab w:val="left" w:pos="0"/>
              </w:tabs>
              <w:suppressAutoHyphens/>
              <w:ind w:left="5040" w:hanging="5040"/>
              <w:rPr>
                <w:b/>
                <w:szCs w:val="22"/>
              </w:rPr>
            </w:pPr>
            <w:r>
              <w:rPr>
                <w:b/>
                <w:szCs w:val="22"/>
              </w:rPr>
              <w:t>Alabama Media, LLC</w:t>
            </w:r>
            <w:r w:rsidR="008267B0">
              <w:rPr>
                <w:b/>
                <w:szCs w:val="22"/>
              </w:rPr>
              <w:t xml:space="preserve"> </w:t>
            </w:r>
          </w:p>
          <w:p w:rsidR="0099240F" w:rsidRPr="007B26A7" w:rsidP="00441E04" w14:paraId="059803BA" w14:textId="77777777">
            <w:pPr>
              <w:tabs>
                <w:tab w:val="left" w:pos="0"/>
              </w:tabs>
              <w:suppressAutoHyphens/>
              <w:ind w:left="5040" w:hanging="5040"/>
              <w:rPr>
                <w:szCs w:val="22"/>
              </w:rPr>
            </w:pPr>
          </w:p>
          <w:p w:rsidR="009D0382" w:rsidP="008267B0" w14:paraId="33D3A720" w14:textId="77777777">
            <w:pPr>
              <w:tabs>
                <w:tab w:val="center" w:pos="4680"/>
              </w:tabs>
              <w:suppressAutoHyphens/>
              <w:rPr>
                <w:spacing w:val="-2"/>
                <w:szCs w:val="22"/>
              </w:rPr>
            </w:pPr>
          </w:p>
          <w:p w:rsidR="007C2727" w:rsidP="007C2727" w14:paraId="59BF4513" w14:textId="5ED37EEE">
            <w:pPr>
              <w:tabs>
                <w:tab w:val="center" w:pos="4680"/>
              </w:tabs>
              <w:suppressAutoHyphens/>
              <w:rPr>
                <w:spacing w:val="-2"/>
                <w:szCs w:val="22"/>
              </w:rPr>
            </w:pPr>
            <w:r>
              <w:rPr>
                <w:spacing w:val="-2"/>
                <w:szCs w:val="22"/>
              </w:rPr>
              <w:t>Licensee of FM Translator Station W299BX Dothan, Alabama</w:t>
            </w:r>
          </w:p>
          <w:p w:rsidR="007C2727" w:rsidP="007C2727" w14:paraId="19C9CA90" w14:textId="77777777">
            <w:pPr>
              <w:tabs>
                <w:tab w:val="center" w:pos="4680"/>
              </w:tabs>
              <w:suppressAutoHyphens/>
              <w:rPr>
                <w:spacing w:val="-2"/>
                <w:szCs w:val="22"/>
              </w:rPr>
            </w:pPr>
          </w:p>
          <w:p w:rsidR="007C2727" w:rsidRPr="007B26A7" w:rsidP="009D0382" w14:paraId="6D6CB5ED" w14:textId="77777777">
            <w:pPr>
              <w:tabs>
                <w:tab w:val="center" w:pos="4680"/>
              </w:tabs>
              <w:suppressAutoHyphens/>
              <w:rPr>
                <w:spacing w:val="-2"/>
                <w:szCs w:val="22"/>
              </w:rPr>
            </w:pPr>
          </w:p>
        </w:tc>
        <w:tc>
          <w:tcPr>
            <w:tcW w:w="630" w:type="dxa"/>
          </w:tcPr>
          <w:p w:rsidR="004C2EE3" w:rsidRPr="007B26A7" w14:paraId="7E8C271A" w14:textId="77777777">
            <w:pPr>
              <w:tabs>
                <w:tab w:val="center" w:pos="4680"/>
              </w:tabs>
              <w:suppressAutoHyphens/>
              <w:rPr>
                <w:b/>
                <w:spacing w:val="-2"/>
                <w:szCs w:val="22"/>
              </w:rPr>
            </w:pPr>
            <w:r w:rsidRPr="007B26A7">
              <w:rPr>
                <w:b/>
                <w:spacing w:val="-2"/>
                <w:szCs w:val="22"/>
              </w:rPr>
              <w:t>)</w:t>
            </w:r>
          </w:p>
          <w:p w:rsidR="004C2EE3" w:rsidRPr="007B26A7" w14:paraId="61C500C3" w14:textId="77777777">
            <w:pPr>
              <w:tabs>
                <w:tab w:val="center" w:pos="4680"/>
              </w:tabs>
              <w:suppressAutoHyphens/>
              <w:rPr>
                <w:b/>
                <w:spacing w:val="-2"/>
                <w:szCs w:val="22"/>
              </w:rPr>
            </w:pPr>
            <w:r w:rsidRPr="007B26A7">
              <w:rPr>
                <w:b/>
                <w:spacing w:val="-2"/>
                <w:szCs w:val="22"/>
              </w:rPr>
              <w:t>)</w:t>
            </w:r>
          </w:p>
          <w:p w:rsidR="004C2EE3" w:rsidRPr="007B26A7" w14:paraId="5DBB1D78" w14:textId="77777777">
            <w:pPr>
              <w:tabs>
                <w:tab w:val="center" w:pos="4680"/>
              </w:tabs>
              <w:suppressAutoHyphens/>
              <w:rPr>
                <w:b/>
                <w:spacing w:val="-2"/>
                <w:szCs w:val="22"/>
              </w:rPr>
            </w:pPr>
            <w:r w:rsidRPr="007B26A7">
              <w:rPr>
                <w:b/>
                <w:spacing w:val="-2"/>
                <w:szCs w:val="22"/>
              </w:rPr>
              <w:t>)</w:t>
            </w:r>
          </w:p>
          <w:p w:rsidR="004C2EE3" w:rsidRPr="007B26A7" w14:paraId="6E665C42" w14:textId="77777777">
            <w:pPr>
              <w:tabs>
                <w:tab w:val="center" w:pos="4680"/>
              </w:tabs>
              <w:suppressAutoHyphens/>
              <w:rPr>
                <w:b/>
                <w:spacing w:val="-2"/>
                <w:szCs w:val="22"/>
              </w:rPr>
            </w:pPr>
            <w:r w:rsidRPr="007B26A7">
              <w:rPr>
                <w:b/>
                <w:spacing w:val="-2"/>
                <w:szCs w:val="22"/>
              </w:rPr>
              <w:t>)</w:t>
            </w:r>
          </w:p>
          <w:p w:rsidR="004C2EE3" w:rsidRPr="007B26A7" w14:paraId="67EE3DBF" w14:textId="77777777">
            <w:pPr>
              <w:tabs>
                <w:tab w:val="center" w:pos="4680"/>
              </w:tabs>
              <w:suppressAutoHyphens/>
              <w:rPr>
                <w:b/>
                <w:spacing w:val="-2"/>
                <w:szCs w:val="22"/>
              </w:rPr>
            </w:pPr>
            <w:r w:rsidRPr="007B26A7">
              <w:rPr>
                <w:b/>
                <w:spacing w:val="-2"/>
                <w:szCs w:val="22"/>
              </w:rPr>
              <w:t>)</w:t>
            </w:r>
          </w:p>
          <w:p w:rsidR="004C2EE3" w:rsidRPr="007B26A7" w14:paraId="39C3A646" w14:textId="77777777">
            <w:pPr>
              <w:tabs>
                <w:tab w:val="center" w:pos="4680"/>
              </w:tabs>
              <w:suppressAutoHyphens/>
              <w:rPr>
                <w:b/>
                <w:spacing w:val="-2"/>
                <w:szCs w:val="22"/>
              </w:rPr>
            </w:pPr>
            <w:r w:rsidRPr="007B26A7">
              <w:rPr>
                <w:b/>
                <w:spacing w:val="-2"/>
                <w:szCs w:val="22"/>
              </w:rPr>
              <w:t>)</w:t>
            </w:r>
          </w:p>
          <w:p w:rsidR="00156BB6" w:rsidP="00441E04" w14:paraId="21CE95C3" w14:textId="77777777">
            <w:pPr>
              <w:tabs>
                <w:tab w:val="center" w:pos="4680"/>
              </w:tabs>
              <w:suppressAutoHyphens/>
              <w:rPr>
                <w:b/>
                <w:spacing w:val="-2"/>
                <w:szCs w:val="22"/>
              </w:rPr>
            </w:pPr>
            <w:r w:rsidRPr="007B26A7">
              <w:rPr>
                <w:b/>
                <w:spacing w:val="-2"/>
                <w:szCs w:val="22"/>
              </w:rPr>
              <w:t>)</w:t>
            </w:r>
            <w:r w:rsidR="008267B0">
              <w:rPr>
                <w:b/>
                <w:spacing w:val="-2"/>
                <w:szCs w:val="22"/>
              </w:rPr>
              <w:t xml:space="preserve"> </w:t>
            </w:r>
            <w:r>
              <w:rPr>
                <w:b/>
                <w:spacing w:val="-2"/>
                <w:szCs w:val="22"/>
              </w:rPr>
              <w:t xml:space="preserve"> </w:t>
            </w:r>
            <w:r w:rsidR="008267B0">
              <w:rPr>
                <w:b/>
                <w:spacing w:val="-2"/>
                <w:szCs w:val="22"/>
              </w:rPr>
              <w:t xml:space="preserve">  </w:t>
            </w:r>
          </w:p>
          <w:p w:rsidR="00A77E3E" w:rsidP="00441E04" w14:paraId="0D541483" w14:textId="77777777">
            <w:pPr>
              <w:tabs>
                <w:tab w:val="center" w:pos="4680"/>
              </w:tabs>
              <w:suppressAutoHyphens/>
              <w:rPr>
                <w:b/>
                <w:spacing w:val="-2"/>
                <w:szCs w:val="22"/>
              </w:rPr>
            </w:pPr>
            <w:r>
              <w:rPr>
                <w:b/>
                <w:spacing w:val="-2"/>
                <w:szCs w:val="22"/>
              </w:rPr>
              <w:t>)</w:t>
            </w:r>
          </w:p>
          <w:p w:rsidR="00156BB6" w:rsidP="00441E04" w14:paraId="6DA3A1AE" w14:textId="77777777">
            <w:pPr>
              <w:tabs>
                <w:tab w:val="center" w:pos="4680"/>
              </w:tabs>
              <w:suppressAutoHyphens/>
              <w:rPr>
                <w:b/>
                <w:spacing w:val="-2"/>
                <w:szCs w:val="22"/>
              </w:rPr>
            </w:pPr>
            <w:r>
              <w:rPr>
                <w:b/>
                <w:spacing w:val="-2"/>
                <w:szCs w:val="22"/>
              </w:rPr>
              <w:t>)</w:t>
            </w:r>
            <w:r w:rsidR="008267B0">
              <w:rPr>
                <w:b/>
                <w:spacing w:val="-2"/>
                <w:szCs w:val="22"/>
              </w:rPr>
              <w:t xml:space="preserve"> </w:t>
            </w:r>
          </w:p>
          <w:p w:rsidR="00156BB6" w:rsidP="00441E04" w14:paraId="397E83FA" w14:textId="77777777">
            <w:pPr>
              <w:tabs>
                <w:tab w:val="center" w:pos="4680"/>
              </w:tabs>
              <w:suppressAutoHyphens/>
              <w:rPr>
                <w:b/>
                <w:spacing w:val="-2"/>
                <w:szCs w:val="22"/>
              </w:rPr>
            </w:pPr>
            <w:r>
              <w:rPr>
                <w:b/>
                <w:spacing w:val="-2"/>
                <w:szCs w:val="22"/>
              </w:rPr>
              <w:t xml:space="preserve">              </w:t>
            </w:r>
          </w:p>
          <w:p w:rsidR="004C2EE3" w:rsidRPr="007B26A7" w:rsidP="00441E04" w14:paraId="4599D9B9" w14:textId="77777777">
            <w:pPr>
              <w:tabs>
                <w:tab w:val="center" w:pos="4680"/>
              </w:tabs>
              <w:suppressAutoHyphens/>
              <w:rPr>
                <w:spacing w:val="-2"/>
                <w:szCs w:val="22"/>
              </w:rPr>
            </w:pPr>
          </w:p>
        </w:tc>
        <w:tc>
          <w:tcPr>
            <w:tcW w:w="4247" w:type="dxa"/>
          </w:tcPr>
          <w:p w:rsidR="004C2EE3" w:rsidRPr="007B26A7" w14:paraId="3A42681F" w14:textId="77777777">
            <w:pPr>
              <w:tabs>
                <w:tab w:val="center" w:pos="4680"/>
              </w:tabs>
              <w:suppressAutoHyphens/>
              <w:rPr>
                <w:spacing w:val="-2"/>
                <w:szCs w:val="22"/>
              </w:rPr>
            </w:pPr>
          </w:p>
          <w:p w:rsidR="004C2EE3" w:rsidRPr="007B26A7" w14:paraId="20A145E7" w14:textId="77777777">
            <w:pPr>
              <w:pStyle w:val="TOAHeading"/>
              <w:tabs>
                <w:tab w:val="center" w:pos="4680"/>
                <w:tab w:val="clear" w:pos="9360"/>
              </w:tabs>
              <w:rPr>
                <w:spacing w:val="-2"/>
                <w:szCs w:val="22"/>
              </w:rPr>
            </w:pPr>
          </w:p>
          <w:p w:rsidR="00441E04" w:rsidRPr="007B26A7" w:rsidP="00441E04" w14:paraId="6603842F" w14:textId="3D296941">
            <w:pPr>
              <w:rPr>
                <w:b/>
                <w:szCs w:val="22"/>
              </w:rPr>
            </w:pPr>
            <w:r w:rsidRPr="007B26A7">
              <w:rPr>
                <w:szCs w:val="22"/>
              </w:rPr>
              <w:t>N</w:t>
            </w:r>
            <w:r w:rsidRPr="007B26A7" w:rsidR="00926921">
              <w:rPr>
                <w:szCs w:val="22"/>
              </w:rPr>
              <w:t>AL/Acct. No.</w:t>
            </w:r>
            <w:r w:rsidR="004C75F4">
              <w:rPr>
                <w:szCs w:val="22"/>
              </w:rPr>
              <w:t xml:space="preserve"> </w:t>
            </w:r>
            <w:r w:rsidR="00C17E9D">
              <w:rPr>
                <w:szCs w:val="22"/>
              </w:rPr>
              <w:t>MB-</w:t>
            </w:r>
            <w:r w:rsidR="00F60F18">
              <w:t>201</w:t>
            </w:r>
            <w:r w:rsidR="00A44637">
              <w:t>9</w:t>
            </w:r>
            <w:r w:rsidR="00C17E9D">
              <w:t>414100</w:t>
            </w:r>
            <w:r w:rsidR="0028669A">
              <w:t>02</w:t>
            </w:r>
          </w:p>
          <w:p w:rsidR="00441E04" w:rsidRPr="007B26A7" w:rsidP="00441E04" w14:paraId="2FF2F40A" w14:textId="77777777">
            <w:pPr>
              <w:rPr>
                <w:szCs w:val="22"/>
              </w:rPr>
            </w:pPr>
            <w:r w:rsidRPr="007B26A7">
              <w:rPr>
                <w:szCs w:val="22"/>
              </w:rPr>
              <w:t>FRN:</w:t>
            </w:r>
            <w:r w:rsidR="004C75F4">
              <w:rPr>
                <w:szCs w:val="22"/>
              </w:rPr>
              <w:t xml:space="preserve">  </w:t>
            </w:r>
            <w:r w:rsidR="00390CCF">
              <w:rPr>
                <w:szCs w:val="22"/>
              </w:rPr>
              <w:t>00</w:t>
            </w:r>
            <w:r w:rsidR="00A44637">
              <w:rPr>
                <w:szCs w:val="22"/>
              </w:rPr>
              <w:t>21372552</w:t>
            </w:r>
          </w:p>
          <w:p w:rsidR="00441E04" w:rsidRPr="007B26A7" w:rsidP="00441E04" w14:paraId="1688EBDE" w14:textId="77777777">
            <w:pPr>
              <w:rPr>
                <w:szCs w:val="22"/>
              </w:rPr>
            </w:pPr>
          </w:p>
          <w:p w:rsidR="004C2EE3" w:rsidP="00441E04" w14:paraId="1DCD5B06" w14:textId="72B968A5">
            <w:pPr>
              <w:tabs>
                <w:tab w:val="center" w:pos="4680"/>
              </w:tabs>
              <w:suppressAutoHyphens/>
              <w:rPr>
                <w:spacing w:val="-2"/>
                <w:szCs w:val="22"/>
              </w:rPr>
            </w:pPr>
            <w:r>
              <w:rPr>
                <w:spacing w:val="-2"/>
                <w:szCs w:val="22"/>
              </w:rPr>
              <w:t xml:space="preserve">Facility ID No. </w:t>
            </w:r>
            <w:r w:rsidR="00A44637">
              <w:rPr>
                <w:spacing w:val="-2"/>
                <w:szCs w:val="22"/>
              </w:rPr>
              <w:t>141166</w:t>
            </w:r>
            <w:r w:rsidR="0099240F">
              <w:rPr>
                <w:spacing w:val="-2"/>
                <w:szCs w:val="22"/>
              </w:rPr>
              <w:t xml:space="preserve"> </w:t>
            </w:r>
          </w:p>
          <w:p w:rsidR="007C2727" w:rsidP="00441E04" w14:paraId="6A29B192" w14:textId="77777777">
            <w:pPr>
              <w:tabs>
                <w:tab w:val="center" w:pos="4680"/>
              </w:tabs>
              <w:suppressAutoHyphens/>
              <w:rPr>
                <w:spacing w:val="-2"/>
                <w:szCs w:val="22"/>
              </w:rPr>
            </w:pPr>
            <w:r>
              <w:rPr>
                <w:spacing w:val="-2"/>
                <w:szCs w:val="22"/>
              </w:rPr>
              <w:t>F</w:t>
            </w:r>
            <w:r>
              <w:rPr>
                <w:spacing w:val="-2"/>
                <w:szCs w:val="22"/>
              </w:rPr>
              <w:t>ile No</w:t>
            </w:r>
            <w:r w:rsidR="00A44637">
              <w:rPr>
                <w:spacing w:val="-2"/>
                <w:szCs w:val="22"/>
              </w:rPr>
              <w:t>s</w:t>
            </w:r>
            <w:r>
              <w:rPr>
                <w:spacing w:val="-2"/>
                <w:szCs w:val="22"/>
              </w:rPr>
              <w:t xml:space="preserve">. </w:t>
            </w:r>
            <w:r w:rsidR="00A44637">
              <w:rPr>
                <w:spacing w:val="-2"/>
                <w:szCs w:val="22"/>
              </w:rPr>
              <w:t>BPFT-20161026ABO</w:t>
            </w:r>
          </w:p>
          <w:p w:rsidR="007C2727" w:rsidP="00441E04" w14:paraId="5C8E1750" w14:textId="77777777">
            <w:pPr>
              <w:tabs>
                <w:tab w:val="center" w:pos="4680"/>
              </w:tabs>
              <w:suppressAutoHyphens/>
              <w:rPr>
                <w:spacing w:val="-2"/>
                <w:szCs w:val="22"/>
              </w:rPr>
            </w:pPr>
            <w:r>
              <w:rPr>
                <w:spacing w:val="-2"/>
                <w:szCs w:val="22"/>
              </w:rPr>
              <w:t xml:space="preserve">                BSTA-20161027AAY </w:t>
            </w:r>
          </w:p>
          <w:p w:rsidR="007C2727" w:rsidRPr="007B26A7" w:rsidP="005D407B" w14:paraId="522139C5" w14:textId="77777777">
            <w:pPr>
              <w:tabs>
                <w:tab w:val="center" w:pos="4680"/>
              </w:tabs>
              <w:suppressAutoHyphens/>
              <w:rPr>
                <w:spacing w:val="-2"/>
                <w:szCs w:val="22"/>
              </w:rPr>
            </w:pPr>
            <w:r>
              <w:rPr>
                <w:spacing w:val="-2"/>
                <w:szCs w:val="22"/>
              </w:rPr>
              <w:t xml:space="preserve">                BLFT-20161109ABT</w:t>
            </w:r>
          </w:p>
        </w:tc>
      </w:tr>
    </w:tbl>
    <w:p w:rsidR="00822CE0" w14:paraId="4CF6B4C4" w14:textId="77777777">
      <w:pPr>
        <w:rPr>
          <w:spacing w:val="-2"/>
          <w:szCs w:val="22"/>
        </w:rPr>
      </w:pPr>
    </w:p>
    <w:p w:rsidR="002D02FA" w:rsidP="002D02FA" w14:paraId="2F819267" w14:textId="77777777">
      <w:pPr>
        <w:jc w:val="center"/>
        <w:rPr>
          <w:b/>
          <w:szCs w:val="22"/>
        </w:rPr>
      </w:pPr>
      <w:r>
        <w:rPr>
          <w:b/>
          <w:szCs w:val="22"/>
        </w:rPr>
        <w:t>MEMORANDUM OPINION AND ORDER</w:t>
      </w:r>
    </w:p>
    <w:p w:rsidR="002D02FA" w:rsidP="002D02FA" w14:paraId="18DA5309" w14:textId="77777777">
      <w:pPr>
        <w:jc w:val="center"/>
        <w:rPr>
          <w:b/>
          <w:szCs w:val="22"/>
        </w:rPr>
      </w:pPr>
      <w:r>
        <w:rPr>
          <w:b/>
          <w:szCs w:val="22"/>
        </w:rPr>
        <w:t>AND</w:t>
      </w:r>
    </w:p>
    <w:p w:rsidR="002D02FA" w:rsidP="002D02FA" w14:paraId="0AB03D0A" w14:textId="77777777">
      <w:pPr>
        <w:jc w:val="center"/>
        <w:rPr>
          <w:b/>
          <w:szCs w:val="22"/>
        </w:rPr>
      </w:pPr>
      <w:r>
        <w:rPr>
          <w:b/>
          <w:spacing w:val="-2"/>
          <w:szCs w:val="22"/>
        </w:rPr>
        <w:t>NOTICE OF APPARENT LIABILITY FOR FORFEITURE</w:t>
      </w:r>
    </w:p>
    <w:p w:rsidR="002D02FA" w:rsidP="002D02FA" w14:paraId="26226806" w14:textId="77777777">
      <w:pPr>
        <w:tabs>
          <w:tab w:val="left" w:pos="5760"/>
        </w:tabs>
        <w:rPr>
          <w:szCs w:val="22"/>
        </w:rPr>
      </w:pPr>
    </w:p>
    <w:p w:rsidR="002D02FA" w:rsidP="002D02FA" w14:paraId="10FD7B49" w14:textId="714CC460">
      <w:pPr>
        <w:tabs>
          <w:tab w:val="left" w:pos="5760"/>
        </w:tabs>
        <w:rPr>
          <w:b/>
          <w:szCs w:val="22"/>
        </w:rPr>
      </w:pPr>
      <w:r>
        <w:rPr>
          <w:b/>
          <w:szCs w:val="22"/>
        </w:rPr>
        <w:t xml:space="preserve">Adopted:  </w:t>
      </w:r>
      <w:r w:rsidR="003A5913">
        <w:rPr>
          <w:b/>
          <w:szCs w:val="22"/>
        </w:rPr>
        <w:t>March 27, 2019</w:t>
      </w:r>
      <w:r>
        <w:rPr>
          <w:b/>
          <w:szCs w:val="22"/>
        </w:rPr>
        <w:tab/>
        <w:t xml:space="preserve">Released:  </w:t>
      </w:r>
      <w:r w:rsidR="003A5913">
        <w:rPr>
          <w:b/>
          <w:szCs w:val="22"/>
        </w:rPr>
        <w:t>March 27, 2019</w:t>
      </w:r>
    </w:p>
    <w:p w:rsidR="002D02FA" w:rsidP="002D02FA" w14:paraId="676F4F79" w14:textId="77777777">
      <w:pPr>
        <w:tabs>
          <w:tab w:val="left" w:pos="5760"/>
        </w:tabs>
        <w:rPr>
          <w:b/>
          <w:szCs w:val="22"/>
        </w:rPr>
      </w:pPr>
    </w:p>
    <w:p w:rsidR="002D02FA" w:rsidP="002D02FA" w14:paraId="3448B863" w14:textId="77777777">
      <w:pPr>
        <w:tabs>
          <w:tab w:val="left" w:pos="5760"/>
        </w:tabs>
        <w:rPr>
          <w:spacing w:val="-2"/>
          <w:szCs w:val="22"/>
        </w:rPr>
      </w:pPr>
      <w:r>
        <w:rPr>
          <w:szCs w:val="22"/>
        </w:rPr>
        <w:t>By the Chief, Audio Division</w:t>
      </w:r>
      <w:r w:rsidR="00C51C3D">
        <w:rPr>
          <w:szCs w:val="22"/>
        </w:rPr>
        <w:t>, Media Bureau</w:t>
      </w:r>
      <w:r>
        <w:rPr>
          <w:spacing w:val="-2"/>
          <w:szCs w:val="22"/>
        </w:rPr>
        <w:t>:</w:t>
      </w:r>
    </w:p>
    <w:p w:rsidR="002D02FA" w:rsidRPr="007B26A7" w14:paraId="64D6893A" w14:textId="77777777">
      <w:pPr>
        <w:rPr>
          <w:spacing w:val="-2"/>
          <w:szCs w:val="22"/>
        </w:rPr>
      </w:pPr>
    </w:p>
    <w:p w:rsidR="00412FC5" w:rsidRPr="007B26A7" w:rsidP="00412FC5" w14:paraId="155B590E" w14:textId="77777777">
      <w:pPr>
        <w:pStyle w:val="Heading1"/>
        <w:rPr>
          <w:rFonts w:ascii="Times New Roman" w:hAnsi="Times New Roman"/>
          <w:szCs w:val="22"/>
        </w:rPr>
      </w:pPr>
      <w:r w:rsidRPr="007B26A7">
        <w:rPr>
          <w:rFonts w:ascii="Times New Roman" w:hAnsi="Times New Roman"/>
          <w:szCs w:val="22"/>
        </w:rPr>
        <w:t>introduction</w:t>
      </w:r>
    </w:p>
    <w:p w:rsidR="00877F52" w:rsidP="00D4142E" w14:paraId="6C741F89" w14:textId="4209E02B">
      <w:pPr>
        <w:pStyle w:val="ParaNum"/>
        <w:ind w:left="0"/>
      </w:pPr>
      <w:r w:rsidRPr="00877F52">
        <w:t>We have</w:t>
      </w:r>
      <w:r w:rsidRPr="00877F52" w:rsidR="00441E04">
        <w:t xml:space="preserve"> before </w:t>
      </w:r>
      <w:r w:rsidRPr="00877F52">
        <w:t>us</w:t>
      </w:r>
      <w:r w:rsidRPr="00877F52" w:rsidR="00441E04">
        <w:t xml:space="preserve"> </w:t>
      </w:r>
      <w:r w:rsidRPr="00877F52" w:rsidR="00F35B02">
        <w:t xml:space="preserve">the </w:t>
      </w:r>
      <w:r w:rsidR="00A17C29">
        <w:t xml:space="preserve">referenced </w:t>
      </w:r>
      <w:r w:rsidRPr="00877F52" w:rsidR="00F21CD8">
        <w:t>application</w:t>
      </w:r>
      <w:r w:rsidR="0085205A">
        <w:t>s</w:t>
      </w:r>
      <w:r w:rsidRPr="00877F52" w:rsidR="00F21CD8">
        <w:t xml:space="preserve"> of </w:t>
      </w:r>
      <w:r w:rsidR="0085205A">
        <w:t>Alabama Media, LLC</w:t>
      </w:r>
      <w:r w:rsidRPr="00877F52" w:rsidR="00F21CD8">
        <w:t xml:space="preserve"> (</w:t>
      </w:r>
      <w:r w:rsidR="003014AC">
        <w:t>AMLLC)</w:t>
      </w:r>
      <w:r w:rsidRPr="00877F52" w:rsidR="00F21CD8">
        <w:t xml:space="preserve"> for </w:t>
      </w:r>
      <w:r w:rsidR="003014AC">
        <w:t>a construction permit (CP Application)</w:t>
      </w:r>
      <w:r w:rsidR="00795A5A">
        <w:t>,</w:t>
      </w:r>
      <w:r w:rsidR="003014AC">
        <w:t xml:space="preserve"> special temporary authority (STA </w:t>
      </w:r>
      <w:r w:rsidR="00BE788A">
        <w:t>Request</w:t>
      </w:r>
      <w:r w:rsidR="003014AC">
        <w:t>)</w:t>
      </w:r>
      <w:r w:rsidR="00FC756B">
        <w:t xml:space="preserve">, </w:t>
      </w:r>
      <w:r w:rsidR="00A77E3E">
        <w:t xml:space="preserve">and license to cover (License Application), </w:t>
      </w:r>
      <w:r w:rsidR="00FC756B">
        <w:t>respectively,</w:t>
      </w:r>
      <w:r w:rsidR="003014AC">
        <w:t xml:space="preserve"> </w:t>
      </w:r>
      <w:r w:rsidRPr="00877F52" w:rsidR="00F21CD8">
        <w:t>for FM translator station W2</w:t>
      </w:r>
      <w:r w:rsidR="003014AC">
        <w:t>99BX, Dothan, Alabama</w:t>
      </w:r>
      <w:r w:rsidRPr="00877F52" w:rsidR="00F21CD8">
        <w:t xml:space="preserve"> (</w:t>
      </w:r>
      <w:r w:rsidR="000651DA">
        <w:t>Translator</w:t>
      </w:r>
      <w:r w:rsidRPr="00877F52" w:rsidR="00F21CD8">
        <w:t xml:space="preserve">).  We also have before us </w:t>
      </w:r>
      <w:r w:rsidR="00AB11E4">
        <w:t xml:space="preserve">an </w:t>
      </w:r>
      <w:r w:rsidR="003B50A9">
        <w:t xml:space="preserve">Informal Objection </w:t>
      </w:r>
      <w:r w:rsidR="004E3D97">
        <w:t xml:space="preserve">(WOOF Objection) </w:t>
      </w:r>
      <w:r w:rsidR="00AB11E4">
        <w:t xml:space="preserve">to the CP Application and STA Request </w:t>
      </w:r>
      <w:r w:rsidR="00AF686B">
        <w:t xml:space="preserve">filed on October 28, 2016, by WOOF, Inc. (WOOF) and </w:t>
      </w:r>
      <w:r w:rsidR="00AB11E4">
        <w:t xml:space="preserve">an </w:t>
      </w:r>
      <w:r w:rsidR="003B733C">
        <w:t>I</w:t>
      </w:r>
      <w:r w:rsidR="00AB11E4">
        <w:t xml:space="preserve">nformal </w:t>
      </w:r>
      <w:r w:rsidR="003B733C">
        <w:t>O</w:t>
      </w:r>
      <w:r w:rsidR="00AB11E4">
        <w:t xml:space="preserve">bjection </w:t>
      </w:r>
      <w:r w:rsidR="004E3D97">
        <w:t xml:space="preserve">(Fox Objection) </w:t>
      </w:r>
      <w:r w:rsidR="00AB11E4">
        <w:t xml:space="preserve">to all three AMLLC applications </w:t>
      </w:r>
      <w:r w:rsidR="00AA73A1">
        <w:t xml:space="preserve">filed </w:t>
      </w:r>
      <w:r w:rsidR="0018256A">
        <w:t xml:space="preserve">on </w:t>
      </w:r>
      <w:r w:rsidR="00AF686B">
        <w:t>June 8, 2017, by Fox Broadcasting Corporation, LLC (Fox)</w:t>
      </w:r>
      <w:r w:rsidRPr="00877F52" w:rsidR="00952980">
        <w:t>, as well as related pleadings</w:t>
      </w:r>
      <w:r w:rsidRPr="00877F52" w:rsidR="00F21CD8">
        <w:t>.</w:t>
      </w:r>
      <w:r>
        <w:rPr>
          <w:rStyle w:val="FootnoteReference"/>
          <w:szCs w:val="22"/>
        </w:rPr>
        <w:footnoteReference w:id="3"/>
      </w:r>
      <w:r w:rsidRPr="00877F52" w:rsidR="00F21CD8">
        <w:t xml:space="preserve">  </w:t>
      </w:r>
    </w:p>
    <w:p w:rsidR="00441E04" w:rsidRPr="00877F52" w:rsidP="00D4142E" w14:paraId="3DEAC67A" w14:textId="648BE7EC">
      <w:pPr>
        <w:pStyle w:val="ParaNum"/>
        <w:widowControl/>
        <w:ind w:left="0"/>
        <w:rPr>
          <w:szCs w:val="22"/>
        </w:rPr>
      </w:pPr>
      <w:r w:rsidRPr="00877F52">
        <w:rPr>
          <w:szCs w:val="22"/>
        </w:rPr>
        <w:t xml:space="preserve">In this </w:t>
      </w:r>
      <w:r w:rsidRPr="00877F52">
        <w:rPr>
          <w:i/>
          <w:szCs w:val="22"/>
        </w:rPr>
        <w:t xml:space="preserve">Memorandum Opinion and Order and Notice of Apparent Liability for Forfeiture </w:t>
      </w:r>
      <w:r w:rsidRPr="00877F52">
        <w:rPr>
          <w:szCs w:val="22"/>
        </w:rPr>
        <w:t>(</w:t>
      </w:r>
      <w:r w:rsidRPr="00877F52">
        <w:rPr>
          <w:i/>
          <w:szCs w:val="22"/>
        </w:rPr>
        <w:t>NAL</w:t>
      </w:r>
      <w:r w:rsidRPr="00877F52">
        <w:rPr>
          <w:szCs w:val="22"/>
        </w:rPr>
        <w:t>),</w:t>
      </w:r>
      <w:r>
        <w:rPr>
          <w:rStyle w:val="FootnoteReference"/>
          <w:szCs w:val="22"/>
        </w:rPr>
        <w:footnoteReference w:id="4"/>
      </w:r>
      <w:r w:rsidRPr="00877F52">
        <w:rPr>
          <w:szCs w:val="22"/>
        </w:rPr>
        <w:t xml:space="preserve"> w</w:t>
      </w:r>
      <w:r w:rsidR="005919DD">
        <w:rPr>
          <w:szCs w:val="22"/>
        </w:rPr>
        <w:t xml:space="preserve">e find that </w:t>
      </w:r>
      <w:r w:rsidR="00D03D0D">
        <w:rPr>
          <w:szCs w:val="22"/>
        </w:rPr>
        <w:t>AMLLC</w:t>
      </w:r>
      <w:r w:rsidR="005919DD">
        <w:rPr>
          <w:szCs w:val="22"/>
        </w:rPr>
        <w:t xml:space="preserve"> </w:t>
      </w:r>
      <w:r w:rsidR="009503EA">
        <w:rPr>
          <w:szCs w:val="22"/>
        </w:rPr>
        <w:t xml:space="preserve">apparently committed </w:t>
      </w:r>
      <w:r w:rsidR="005919DD">
        <w:rPr>
          <w:szCs w:val="22"/>
        </w:rPr>
        <w:t>willful and repeated violat</w:t>
      </w:r>
      <w:r w:rsidR="009503EA">
        <w:rPr>
          <w:szCs w:val="22"/>
        </w:rPr>
        <w:t>ions of</w:t>
      </w:r>
      <w:r w:rsidR="005919DD">
        <w:rPr>
          <w:szCs w:val="22"/>
        </w:rPr>
        <w:t xml:space="preserve"> Section</w:t>
      </w:r>
      <w:r w:rsidR="009503EA">
        <w:rPr>
          <w:szCs w:val="22"/>
        </w:rPr>
        <w:t xml:space="preserve"> 301 of the </w:t>
      </w:r>
      <w:r w:rsidR="00424837">
        <w:rPr>
          <w:szCs w:val="22"/>
        </w:rPr>
        <w:t xml:space="preserve">Act </w:t>
      </w:r>
      <w:r w:rsidR="009503EA">
        <w:rPr>
          <w:szCs w:val="22"/>
        </w:rPr>
        <w:t>and Section</w:t>
      </w:r>
      <w:r w:rsidR="005919DD">
        <w:rPr>
          <w:szCs w:val="22"/>
        </w:rPr>
        <w:t xml:space="preserve"> 74.1251(</w:t>
      </w:r>
      <w:r w:rsidR="009503EA">
        <w:rPr>
          <w:szCs w:val="22"/>
        </w:rPr>
        <w:t>b</w:t>
      </w:r>
      <w:r w:rsidR="005919DD">
        <w:rPr>
          <w:szCs w:val="22"/>
        </w:rPr>
        <w:t>) of the Rules by operating the Translator at an unauthorized location.</w:t>
      </w:r>
      <w:r>
        <w:rPr>
          <w:rStyle w:val="FootnoteReference"/>
          <w:szCs w:val="22"/>
        </w:rPr>
        <w:footnoteReference w:id="5"/>
      </w:r>
      <w:r w:rsidR="003D248F">
        <w:rPr>
          <w:szCs w:val="22"/>
        </w:rPr>
        <w:t xml:space="preserve">  </w:t>
      </w:r>
      <w:r w:rsidR="005919DD">
        <w:rPr>
          <w:szCs w:val="22"/>
        </w:rPr>
        <w:t>W</w:t>
      </w:r>
      <w:r w:rsidRPr="00877F52">
        <w:rPr>
          <w:szCs w:val="22"/>
        </w:rPr>
        <w:t xml:space="preserve">e </w:t>
      </w:r>
      <w:r w:rsidR="005919DD">
        <w:rPr>
          <w:szCs w:val="22"/>
        </w:rPr>
        <w:t xml:space="preserve">also </w:t>
      </w:r>
      <w:r w:rsidRPr="00877F52" w:rsidR="00736F9D">
        <w:rPr>
          <w:szCs w:val="22"/>
        </w:rPr>
        <w:t>find that</w:t>
      </w:r>
      <w:r w:rsidRPr="00877F52" w:rsidR="00693848">
        <w:rPr>
          <w:szCs w:val="22"/>
        </w:rPr>
        <w:t xml:space="preserve"> </w:t>
      </w:r>
      <w:r w:rsidR="00792CAD">
        <w:rPr>
          <w:szCs w:val="22"/>
        </w:rPr>
        <w:t>AMLLC</w:t>
      </w:r>
      <w:r w:rsidRPr="00877F52">
        <w:rPr>
          <w:szCs w:val="22"/>
        </w:rPr>
        <w:t xml:space="preserve"> </w:t>
      </w:r>
      <w:r w:rsidR="009503EA">
        <w:rPr>
          <w:szCs w:val="22"/>
        </w:rPr>
        <w:t xml:space="preserve">apparently committed </w:t>
      </w:r>
      <w:r w:rsidRPr="00877F52">
        <w:rPr>
          <w:szCs w:val="22"/>
        </w:rPr>
        <w:t xml:space="preserve">willful </w:t>
      </w:r>
      <w:r w:rsidRPr="00877F52" w:rsidR="001B66A1">
        <w:rPr>
          <w:szCs w:val="22"/>
        </w:rPr>
        <w:t xml:space="preserve">and repeated </w:t>
      </w:r>
      <w:r w:rsidRPr="00877F52">
        <w:rPr>
          <w:szCs w:val="22"/>
        </w:rPr>
        <w:t>violat</w:t>
      </w:r>
      <w:r w:rsidR="009503EA">
        <w:rPr>
          <w:szCs w:val="22"/>
        </w:rPr>
        <w:t>ions of</w:t>
      </w:r>
      <w:r w:rsidRPr="00877F52">
        <w:rPr>
          <w:szCs w:val="22"/>
        </w:rPr>
        <w:t xml:space="preserve"> </w:t>
      </w:r>
      <w:r w:rsidRPr="00877F52" w:rsidR="00877F52">
        <w:rPr>
          <w:szCs w:val="22"/>
        </w:rPr>
        <w:t>Section</w:t>
      </w:r>
      <w:r w:rsidR="00745935">
        <w:rPr>
          <w:szCs w:val="22"/>
        </w:rPr>
        <w:t>s</w:t>
      </w:r>
      <w:r w:rsidRPr="00877F52" w:rsidR="00877F52">
        <w:rPr>
          <w:szCs w:val="22"/>
        </w:rPr>
        <w:t xml:space="preserve"> 74.1231(b) </w:t>
      </w:r>
      <w:r w:rsidR="00745935">
        <w:rPr>
          <w:szCs w:val="22"/>
        </w:rPr>
        <w:t xml:space="preserve">and 74.1263(b) </w:t>
      </w:r>
      <w:r w:rsidRPr="00877F52" w:rsidR="00877F52">
        <w:rPr>
          <w:szCs w:val="22"/>
        </w:rPr>
        <w:t>of the Rules</w:t>
      </w:r>
      <w:r>
        <w:rPr>
          <w:rStyle w:val="FootnoteReference"/>
          <w:szCs w:val="22"/>
        </w:rPr>
        <w:footnoteReference w:id="6"/>
      </w:r>
      <w:r w:rsidRPr="00877F52" w:rsidR="00877F52">
        <w:rPr>
          <w:szCs w:val="22"/>
        </w:rPr>
        <w:t xml:space="preserve"> </w:t>
      </w:r>
      <w:r w:rsidRPr="00877F52" w:rsidR="00697333">
        <w:rPr>
          <w:szCs w:val="22"/>
        </w:rPr>
        <w:t xml:space="preserve">by </w:t>
      </w:r>
      <w:r w:rsidR="00877F52">
        <w:rPr>
          <w:szCs w:val="22"/>
        </w:rPr>
        <w:t>originating programming</w:t>
      </w:r>
      <w:r w:rsidR="00745935">
        <w:rPr>
          <w:szCs w:val="22"/>
        </w:rPr>
        <w:t xml:space="preserve"> </w:t>
      </w:r>
      <w:r w:rsidR="004E3D97">
        <w:rPr>
          <w:szCs w:val="22"/>
        </w:rPr>
        <w:t xml:space="preserve">on the Translator </w:t>
      </w:r>
      <w:r w:rsidR="00745935">
        <w:rPr>
          <w:szCs w:val="22"/>
        </w:rPr>
        <w:t>while its primary station was silent</w:t>
      </w:r>
      <w:r w:rsidR="00877F52">
        <w:rPr>
          <w:szCs w:val="22"/>
        </w:rPr>
        <w:t xml:space="preserve">.  </w:t>
      </w:r>
      <w:bookmarkStart w:id="0" w:name="SR;219"/>
      <w:bookmarkStart w:id="1" w:name="SR;220"/>
      <w:bookmarkStart w:id="2" w:name="FN[FN3]"/>
      <w:bookmarkEnd w:id="0"/>
      <w:bookmarkEnd w:id="1"/>
      <w:bookmarkEnd w:id="2"/>
      <w:r w:rsidR="00600DAA">
        <w:rPr>
          <w:szCs w:val="22"/>
        </w:rPr>
        <w:t xml:space="preserve">Further, we </w:t>
      </w:r>
      <w:r w:rsidRPr="00877F52" w:rsidR="00600DAA">
        <w:rPr>
          <w:szCs w:val="22"/>
        </w:rPr>
        <w:t xml:space="preserve">find that </w:t>
      </w:r>
      <w:r w:rsidR="004E3D97">
        <w:rPr>
          <w:szCs w:val="22"/>
        </w:rPr>
        <w:t>AMLLC</w:t>
      </w:r>
      <w:r w:rsidRPr="00877F52" w:rsidR="00600DAA">
        <w:rPr>
          <w:szCs w:val="22"/>
        </w:rPr>
        <w:t xml:space="preserve"> </w:t>
      </w:r>
      <w:r w:rsidR="009503EA">
        <w:rPr>
          <w:szCs w:val="22"/>
        </w:rPr>
        <w:t xml:space="preserve">apparently committed </w:t>
      </w:r>
      <w:r w:rsidRPr="00877F52" w:rsidR="00600DAA">
        <w:rPr>
          <w:szCs w:val="22"/>
        </w:rPr>
        <w:t>willful and repeated violat</w:t>
      </w:r>
      <w:r w:rsidR="009503EA">
        <w:rPr>
          <w:szCs w:val="22"/>
        </w:rPr>
        <w:t>ions of</w:t>
      </w:r>
      <w:r w:rsidRPr="00877F52" w:rsidR="00600DAA">
        <w:rPr>
          <w:szCs w:val="22"/>
        </w:rPr>
        <w:t xml:space="preserve"> Section </w:t>
      </w:r>
      <w:r w:rsidRPr="00877F52" w:rsidR="00600DAA">
        <w:rPr>
          <w:szCs w:val="22"/>
        </w:rPr>
        <w:t>74.12</w:t>
      </w:r>
      <w:r w:rsidR="00600DAA">
        <w:rPr>
          <w:szCs w:val="22"/>
        </w:rPr>
        <w:t>63</w:t>
      </w:r>
      <w:r w:rsidRPr="00877F52" w:rsidR="00600DAA">
        <w:rPr>
          <w:szCs w:val="22"/>
        </w:rPr>
        <w:t>(</w:t>
      </w:r>
      <w:r w:rsidR="00F75E85">
        <w:rPr>
          <w:szCs w:val="22"/>
        </w:rPr>
        <w:t>c</w:t>
      </w:r>
      <w:r w:rsidRPr="00877F52" w:rsidR="00600DAA">
        <w:rPr>
          <w:szCs w:val="22"/>
        </w:rPr>
        <w:t>)</w:t>
      </w:r>
      <w:r w:rsidR="00F75E85">
        <w:rPr>
          <w:szCs w:val="22"/>
        </w:rPr>
        <w:t xml:space="preserve"> and (e)</w:t>
      </w:r>
      <w:r w:rsidRPr="00877F52" w:rsidR="00600DAA">
        <w:rPr>
          <w:szCs w:val="22"/>
        </w:rPr>
        <w:t xml:space="preserve"> of the Rules</w:t>
      </w:r>
      <w:r>
        <w:rPr>
          <w:rStyle w:val="FootnoteReference"/>
          <w:szCs w:val="22"/>
        </w:rPr>
        <w:footnoteReference w:id="7"/>
      </w:r>
      <w:r w:rsidRPr="00877F52" w:rsidR="00600DAA">
        <w:rPr>
          <w:szCs w:val="22"/>
        </w:rPr>
        <w:t xml:space="preserve"> </w:t>
      </w:r>
      <w:r w:rsidR="00986476">
        <w:rPr>
          <w:szCs w:val="22"/>
        </w:rPr>
        <w:t xml:space="preserve">by </w:t>
      </w:r>
      <w:r w:rsidR="009503EA">
        <w:rPr>
          <w:szCs w:val="22"/>
        </w:rPr>
        <w:t xml:space="preserve">failing to seek Commission approval </w:t>
      </w:r>
      <w:r w:rsidR="00986476">
        <w:rPr>
          <w:szCs w:val="22"/>
        </w:rPr>
        <w:t xml:space="preserve">for an </w:t>
      </w:r>
      <w:r w:rsidR="00600DAA">
        <w:rPr>
          <w:szCs w:val="22"/>
        </w:rPr>
        <w:t>11-month period</w:t>
      </w:r>
      <w:r w:rsidR="00D03D0D">
        <w:rPr>
          <w:szCs w:val="22"/>
        </w:rPr>
        <w:t xml:space="preserve"> of silence</w:t>
      </w:r>
      <w:r w:rsidR="00600DAA">
        <w:rPr>
          <w:szCs w:val="22"/>
        </w:rPr>
        <w:t>.</w:t>
      </w:r>
      <w:r w:rsidR="00FB5634">
        <w:rPr>
          <w:szCs w:val="22"/>
        </w:rPr>
        <w:t xml:space="preserve">  </w:t>
      </w:r>
      <w:r w:rsidR="00FA2DDA">
        <w:t>We also</w:t>
      </w:r>
      <w:r w:rsidR="009503EA">
        <w:t xml:space="preserve"> propose to</w:t>
      </w:r>
      <w:r w:rsidR="00FA2DDA">
        <w:t xml:space="preserve"> impose the full $3,000 forfeiture against AMLLC for </w:t>
      </w:r>
      <w:r w:rsidR="009503EA">
        <w:t xml:space="preserve">its apparent </w:t>
      </w:r>
      <w:r w:rsidR="00FA2DDA">
        <w:t>failure to file a required form.</w:t>
      </w:r>
      <w:r>
        <w:rPr>
          <w:rStyle w:val="FootnoteReference"/>
        </w:rPr>
        <w:footnoteReference w:id="8"/>
      </w:r>
      <w:r w:rsidR="00FA2DDA">
        <w:t xml:space="preserve"> </w:t>
      </w:r>
      <w:r w:rsidR="001E6352">
        <w:t xml:space="preserve"> Finally, we admonish AMLLC for </w:t>
      </w:r>
      <w:r w:rsidR="009503EA">
        <w:t>violating</w:t>
      </w:r>
      <w:r w:rsidR="001E6352">
        <w:t xml:space="preserve"> Section 1.17 of the Rules</w:t>
      </w:r>
      <w:r>
        <w:rPr>
          <w:rStyle w:val="FootnoteReference"/>
        </w:rPr>
        <w:footnoteReference w:id="9"/>
      </w:r>
      <w:r w:rsidR="001E6352">
        <w:t xml:space="preserve"> </w:t>
      </w:r>
      <w:r w:rsidR="009503EA">
        <w:t>by failing</w:t>
      </w:r>
      <w:r w:rsidR="001E6352">
        <w:t xml:space="preserve"> to disclose a material fact in the CP Application. </w:t>
      </w:r>
      <w:r w:rsidR="00FA2DDA">
        <w:t xml:space="preserve"> </w:t>
      </w:r>
      <w:r w:rsidRPr="00877F52" w:rsidR="000F2C68">
        <w:rPr>
          <w:szCs w:val="22"/>
        </w:rPr>
        <w:t>B</w:t>
      </w:r>
      <w:r w:rsidRPr="00877F52">
        <w:rPr>
          <w:szCs w:val="22"/>
        </w:rPr>
        <w:t xml:space="preserve">ased upon our review of the record before us, we conclude that </w:t>
      </w:r>
      <w:r w:rsidR="00A73A72">
        <w:rPr>
          <w:szCs w:val="22"/>
        </w:rPr>
        <w:t>AMLLC</w:t>
      </w:r>
      <w:r w:rsidRPr="00877F52" w:rsidR="00E36949">
        <w:rPr>
          <w:szCs w:val="22"/>
        </w:rPr>
        <w:t xml:space="preserve"> </w:t>
      </w:r>
      <w:r w:rsidRPr="00877F52">
        <w:rPr>
          <w:szCs w:val="22"/>
        </w:rPr>
        <w:t xml:space="preserve">is apparently liable for a monetary forfeiture in the amount of </w:t>
      </w:r>
      <w:r w:rsidR="004E3D97">
        <w:rPr>
          <w:szCs w:val="22"/>
        </w:rPr>
        <w:t>eighteen</w:t>
      </w:r>
      <w:r w:rsidR="00B44E66">
        <w:rPr>
          <w:szCs w:val="22"/>
        </w:rPr>
        <w:t xml:space="preserve"> thousand </w:t>
      </w:r>
      <w:r w:rsidRPr="00877F52" w:rsidR="00992830">
        <w:rPr>
          <w:szCs w:val="22"/>
        </w:rPr>
        <w:t>dollars ($</w:t>
      </w:r>
      <w:r w:rsidR="00600DAA">
        <w:rPr>
          <w:szCs w:val="22"/>
        </w:rPr>
        <w:t>1</w:t>
      </w:r>
      <w:r w:rsidR="004E3D97">
        <w:rPr>
          <w:szCs w:val="22"/>
        </w:rPr>
        <w:t>8</w:t>
      </w:r>
      <w:r w:rsidR="006578DA">
        <w:rPr>
          <w:szCs w:val="22"/>
        </w:rPr>
        <w:t>,</w:t>
      </w:r>
      <w:r w:rsidR="00B44E66">
        <w:rPr>
          <w:szCs w:val="22"/>
        </w:rPr>
        <w:t>0</w:t>
      </w:r>
      <w:r w:rsidR="006578DA">
        <w:rPr>
          <w:szCs w:val="22"/>
        </w:rPr>
        <w:t>00</w:t>
      </w:r>
      <w:r w:rsidRPr="00877F52">
        <w:rPr>
          <w:szCs w:val="22"/>
        </w:rPr>
        <w:t>)</w:t>
      </w:r>
      <w:r w:rsidR="004E3D97">
        <w:rPr>
          <w:szCs w:val="22"/>
        </w:rPr>
        <w:t>, which includes an upward adjustment of $2,000 for the extensive and egregious nature of the apparent violations</w:t>
      </w:r>
      <w:r w:rsidRPr="00877F52" w:rsidR="00992830">
        <w:rPr>
          <w:szCs w:val="22"/>
        </w:rPr>
        <w:t>.</w:t>
      </w:r>
      <w:r w:rsidRPr="00877F52">
        <w:rPr>
          <w:szCs w:val="22"/>
        </w:rPr>
        <w:t xml:space="preserve"> </w:t>
      </w:r>
      <w:r w:rsidRPr="00877F52" w:rsidR="00992830">
        <w:rPr>
          <w:szCs w:val="22"/>
        </w:rPr>
        <w:t xml:space="preserve"> </w:t>
      </w:r>
      <w:r w:rsidR="005919DD">
        <w:rPr>
          <w:szCs w:val="22"/>
        </w:rPr>
        <w:t>F</w:t>
      </w:r>
      <w:r w:rsidRPr="00877F52" w:rsidR="009C0666">
        <w:rPr>
          <w:snapToGrid/>
          <w:kern w:val="0"/>
          <w:szCs w:val="22"/>
        </w:rPr>
        <w:t xml:space="preserve">or the reasons set forth below, we </w:t>
      </w:r>
      <w:r w:rsidR="00292711">
        <w:rPr>
          <w:snapToGrid/>
          <w:kern w:val="0"/>
          <w:szCs w:val="22"/>
        </w:rPr>
        <w:t>grant</w:t>
      </w:r>
      <w:r w:rsidRPr="00877F52" w:rsidR="009C0666">
        <w:rPr>
          <w:snapToGrid/>
          <w:kern w:val="0"/>
          <w:szCs w:val="22"/>
        </w:rPr>
        <w:t xml:space="preserve"> the </w:t>
      </w:r>
      <w:r w:rsidR="00292711">
        <w:rPr>
          <w:snapToGrid/>
          <w:kern w:val="0"/>
          <w:szCs w:val="22"/>
        </w:rPr>
        <w:t>WOOF Objection in part and deny it in all other respects</w:t>
      </w:r>
      <w:r w:rsidR="00A17C29">
        <w:rPr>
          <w:snapToGrid/>
          <w:kern w:val="0"/>
          <w:szCs w:val="22"/>
        </w:rPr>
        <w:t xml:space="preserve">, and </w:t>
      </w:r>
      <w:r w:rsidR="00292711">
        <w:rPr>
          <w:snapToGrid/>
          <w:kern w:val="0"/>
          <w:szCs w:val="22"/>
        </w:rPr>
        <w:t>we deny the Fox Objection</w:t>
      </w:r>
      <w:r w:rsidR="00795A5A">
        <w:rPr>
          <w:snapToGrid/>
          <w:kern w:val="0"/>
          <w:szCs w:val="22"/>
        </w:rPr>
        <w:t>.</w:t>
      </w:r>
      <w:r w:rsidRPr="00877F52" w:rsidR="009C0666">
        <w:rPr>
          <w:snapToGrid/>
          <w:kern w:val="0"/>
          <w:szCs w:val="22"/>
        </w:rPr>
        <w:t xml:space="preserve"> </w:t>
      </w:r>
      <w:r w:rsidRPr="00877F52" w:rsidR="00F141BC">
        <w:rPr>
          <w:snapToGrid/>
          <w:kern w:val="0"/>
          <w:szCs w:val="22"/>
        </w:rPr>
        <w:t xml:space="preserve"> </w:t>
      </w:r>
    </w:p>
    <w:p w:rsidR="00E36949" w:rsidRPr="007B26A7" w:rsidP="00E36949" w14:paraId="72CD0BF6" w14:textId="77777777">
      <w:pPr>
        <w:pStyle w:val="Heading1"/>
        <w:rPr>
          <w:rFonts w:ascii="Times New Roman" w:hAnsi="Times New Roman"/>
          <w:szCs w:val="22"/>
        </w:rPr>
      </w:pPr>
      <w:r w:rsidRPr="007B26A7">
        <w:rPr>
          <w:rFonts w:ascii="Times New Roman" w:hAnsi="Times New Roman"/>
          <w:szCs w:val="22"/>
        </w:rPr>
        <w:t>background</w:t>
      </w:r>
    </w:p>
    <w:p w:rsidR="009E5080" w:rsidRPr="00D4142E" w:rsidP="00D4142E" w14:paraId="3F50CDCF" w14:textId="142CAAFB">
      <w:pPr>
        <w:pStyle w:val="ParaNum"/>
        <w:ind w:left="0"/>
        <w:rPr>
          <w:szCs w:val="22"/>
        </w:rPr>
      </w:pPr>
      <w:r>
        <w:rPr>
          <w:szCs w:val="22"/>
        </w:rPr>
        <w:t>The Translator is authorized to rebroadcast Fox Station WFXX(FM), Georgiana, Alabama.</w:t>
      </w:r>
      <w:r>
        <w:rPr>
          <w:rStyle w:val="FootnoteReference"/>
          <w:szCs w:val="22"/>
        </w:rPr>
        <w:footnoteReference w:id="10"/>
      </w:r>
      <w:r>
        <w:rPr>
          <w:szCs w:val="22"/>
        </w:rPr>
        <w:t xml:space="preserve">  AMLLC indicates that it owns four </w:t>
      </w:r>
      <w:r w:rsidR="00FA2DDA">
        <w:rPr>
          <w:szCs w:val="22"/>
        </w:rPr>
        <w:t>c</w:t>
      </w:r>
      <w:r>
        <w:rPr>
          <w:szCs w:val="22"/>
        </w:rPr>
        <w:t>ommercial FM station</w:t>
      </w:r>
      <w:bookmarkStart w:id="3" w:name="_GoBack"/>
      <w:bookmarkEnd w:id="3"/>
      <w:r>
        <w:rPr>
          <w:szCs w:val="22"/>
        </w:rPr>
        <w:t xml:space="preserve">s, as well as the Translator, in the Dothan, Alabama, area.  It states that, in conjunction with an effort to locate all of its stations to a common site, AMLLC relocated the Translator to </w:t>
      </w:r>
      <w:r w:rsidR="00FA2DDA">
        <w:rPr>
          <w:szCs w:val="22"/>
        </w:rPr>
        <w:t>a</w:t>
      </w:r>
      <w:r>
        <w:rPr>
          <w:szCs w:val="22"/>
        </w:rPr>
        <w:t xml:space="preserve"> new tower site, commencing operation from that new site </w:t>
      </w:r>
      <w:r w:rsidR="00750960">
        <w:rPr>
          <w:szCs w:val="22"/>
        </w:rPr>
        <w:t xml:space="preserve">on or about </w:t>
      </w:r>
      <w:r>
        <w:rPr>
          <w:szCs w:val="22"/>
        </w:rPr>
        <w:t xml:space="preserve">September </w:t>
      </w:r>
      <w:r w:rsidR="00750960">
        <w:rPr>
          <w:szCs w:val="22"/>
        </w:rPr>
        <w:t>10,</w:t>
      </w:r>
      <w:r>
        <w:rPr>
          <w:szCs w:val="22"/>
        </w:rPr>
        <w:t xml:space="preserve"> 2016.  AMLLC acknowledges that it failed to file an application for Commission consent to relocate the Translator prior to commencing operation from the new site, becoming aware of this problem only when a Commission inspector</w:t>
      </w:r>
      <w:r w:rsidR="00FA2DDA">
        <w:rPr>
          <w:szCs w:val="22"/>
        </w:rPr>
        <w:t xml:space="preserve"> </w:t>
      </w:r>
      <w:r>
        <w:rPr>
          <w:szCs w:val="22"/>
        </w:rPr>
        <w:t>notified it of the apparent violation</w:t>
      </w:r>
      <w:r w:rsidR="00211097">
        <w:rPr>
          <w:szCs w:val="22"/>
        </w:rPr>
        <w:t xml:space="preserve"> on October 2</w:t>
      </w:r>
      <w:r w:rsidR="002B3F00">
        <w:rPr>
          <w:szCs w:val="22"/>
        </w:rPr>
        <w:t>4</w:t>
      </w:r>
      <w:r w:rsidR="00211097">
        <w:rPr>
          <w:szCs w:val="22"/>
        </w:rPr>
        <w:t>, 2016</w:t>
      </w:r>
      <w:r>
        <w:rPr>
          <w:szCs w:val="22"/>
        </w:rPr>
        <w:t>.</w:t>
      </w:r>
      <w:r>
        <w:rPr>
          <w:rStyle w:val="FootnoteReference"/>
          <w:szCs w:val="22"/>
        </w:rPr>
        <w:footnoteReference w:id="11"/>
      </w:r>
      <w:r>
        <w:rPr>
          <w:szCs w:val="22"/>
        </w:rPr>
        <w:t xml:space="preserve">  AMLLC filed the CP Application </w:t>
      </w:r>
      <w:r w:rsidR="002B3F00">
        <w:rPr>
          <w:szCs w:val="22"/>
        </w:rPr>
        <w:t>two days later,</w:t>
      </w:r>
      <w:r>
        <w:rPr>
          <w:szCs w:val="22"/>
        </w:rPr>
        <w:t xml:space="preserve"> </w:t>
      </w:r>
      <w:r w:rsidR="004921B5">
        <w:rPr>
          <w:szCs w:val="22"/>
        </w:rPr>
        <w:t xml:space="preserve">seeking approval of the facilities and site change and proposing to rebroadcast Station </w:t>
      </w:r>
      <w:r w:rsidR="006218E0">
        <w:rPr>
          <w:szCs w:val="22"/>
        </w:rPr>
        <w:t>WARB</w:t>
      </w:r>
      <w:r w:rsidR="004921B5">
        <w:rPr>
          <w:szCs w:val="22"/>
        </w:rPr>
        <w:t>(AM),</w:t>
      </w:r>
      <w:r>
        <w:rPr>
          <w:rStyle w:val="FootnoteReference"/>
          <w:szCs w:val="22"/>
        </w:rPr>
        <w:footnoteReference w:id="12"/>
      </w:r>
      <w:r w:rsidR="00FA2DDA">
        <w:rPr>
          <w:szCs w:val="22"/>
        </w:rPr>
        <w:t xml:space="preserve"> </w:t>
      </w:r>
      <w:r w:rsidR="004921B5">
        <w:rPr>
          <w:szCs w:val="22"/>
        </w:rPr>
        <w:t>Dothan, Alabama as a “fill-in” translator</w:t>
      </w:r>
      <w:r w:rsidR="004E3D97">
        <w:rPr>
          <w:szCs w:val="22"/>
        </w:rPr>
        <w:t>.</w:t>
      </w:r>
      <w:r>
        <w:rPr>
          <w:rStyle w:val="FootnoteReference"/>
          <w:szCs w:val="22"/>
        </w:rPr>
        <w:footnoteReference w:id="13"/>
      </w:r>
      <w:r w:rsidR="00454461">
        <w:rPr>
          <w:szCs w:val="22"/>
        </w:rPr>
        <w:t xml:space="preserve"> </w:t>
      </w:r>
      <w:r w:rsidR="004E3D97">
        <w:rPr>
          <w:szCs w:val="22"/>
        </w:rPr>
        <w:t xml:space="preserve"> The next day</w:t>
      </w:r>
      <w:r w:rsidR="003B733C">
        <w:rPr>
          <w:szCs w:val="22"/>
        </w:rPr>
        <w:t xml:space="preserve"> </w:t>
      </w:r>
      <w:r w:rsidR="004E3D97">
        <w:rPr>
          <w:szCs w:val="22"/>
        </w:rPr>
        <w:t>(October 27, 2016), AMLLC</w:t>
      </w:r>
      <w:r w:rsidR="00454461">
        <w:rPr>
          <w:szCs w:val="22"/>
        </w:rPr>
        <w:t xml:space="preserve"> filed the </w:t>
      </w:r>
      <w:r w:rsidR="003E09AD">
        <w:rPr>
          <w:szCs w:val="22"/>
        </w:rPr>
        <w:t>STA Request</w:t>
      </w:r>
      <w:r w:rsidR="00FA2DDA">
        <w:rPr>
          <w:szCs w:val="22"/>
        </w:rPr>
        <w:t>,</w:t>
      </w:r>
      <w:r w:rsidR="003E09AD">
        <w:rPr>
          <w:szCs w:val="22"/>
        </w:rPr>
        <w:t xml:space="preserve"> </w:t>
      </w:r>
      <w:r w:rsidR="004E3D97">
        <w:rPr>
          <w:szCs w:val="22"/>
        </w:rPr>
        <w:t xml:space="preserve">seeking special temporary authority (STA) </w:t>
      </w:r>
      <w:r w:rsidR="003E09AD">
        <w:rPr>
          <w:szCs w:val="22"/>
        </w:rPr>
        <w:t xml:space="preserve">to continue operating from the new tower site as a fill-in translator for </w:t>
      </w:r>
      <w:r w:rsidR="006218E0">
        <w:rPr>
          <w:szCs w:val="22"/>
        </w:rPr>
        <w:t>WARB</w:t>
      </w:r>
      <w:r w:rsidR="00B1750B">
        <w:rPr>
          <w:szCs w:val="22"/>
        </w:rPr>
        <w:t>(AM)</w:t>
      </w:r>
      <w:r w:rsidR="003E09AD">
        <w:rPr>
          <w:szCs w:val="22"/>
        </w:rPr>
        <w:t xml:space="preserve"> until the CP Application was granted.</w:t>
      </w:r>
      <w:r>
        <w:rPr>
          <w:rStyle w:val="FootnoteReference"/>
          <w:szCs w:val="22"/>
        </w:rPr>
        <w:footnoteReference w:id="14"/>
      </w:r>
      <w:r w:rsidR="003E09AD">
        <w:rPr>
          <w:szCs w:val="22"/>
        </w:rPr>
        <w:t xml:space="preserve">  In neither the CP Application as originally filed</w:t>
      </w:r>
      <w:r w:rsidR="00FB5634">
        <w:rPr>
          <w:szCs w:val="22"/>
        </w:rPr>
        <w:t>,</w:t>
      </w:r>
      <w:r w:rsidR="003E09AD">
        <w:rPr>
          <w:szCs w:val="22"/>
        </w:rPr>
        <w:t xml:space="preserve"> nor in a December 1, 2016</w:t>
      </w:r>
      <w:r w:rsidR="00FB5634">
        <w:rPr>
          <w:szCs w:val="22"/>
        </w:rPr>
        <w:t>,</w:t>
      </w:r>
      <w:r w:rsidR="003E09AD">
        <w:rPr>
          <w:szCs w:val="22"/>
        </w:rPr>
        <w:t xml:space="preserve"> amendment</w:t>
      </w:r>
      <w:r w:rsidR="00FB5634">
        <w:rPr>
          <w:szCs w:val="22"/>
        </w:rPr>
        <w:t>,</w:t>
      </w:r>
      <w:r w:rsidR="003E09AD">
        <w:rPr>
          <w:szCs w:val="22"/>
        </w:rPr>
        <w:t xml:space="preserve"> did AMLLC disclose that it had already commenced the operation proposed in that application</w:t>
      </w:r>
      <w:r w:rsidR="00075AF2">
        <w:rPr>
          <w:szCs w:val="22"/>
        </w:rPr>
        <w:t>, but it did submit such a disclosure in the STA Request</w:t>
      </w:r>
      <w:r w:rsidR="003E09AD">
        <w:rPr>
          <w:szCs w:val="22"/>
        </w:rPr>
        <w:t>.</w:t>
      </w:r>
      <w:r>
        <w:rPr>
          <w:rStyle w:val="FootnoteReference"/>
          <w:szCs w:val="22"/>
        </w:rPr>
        <w:footnoteReference w:id="15"/>
      </w:r>
    </w:p>
    <w:p w:rsidR="007E1FD3" w:rsidRPr="00072FBD" w:rsidP="00D4142E" w14:paraId="19F45857" w14:textId="2A51E75F">
      <w:pPr>
        <w:pStyle w:val="ParaNum"/>
        <w:ind w:left="0"/>
        <w:rPr>
          <w:szCs w:val="22"/>
        </w:rPr>
      </w:pPr>
      <w:r>
        <w:rPr>
          <w:i/>
          <w:szCs w:val="22"/>
        </w:rPr>
        <w:t>WOOF Objection.</w:t>
      </w:r>
      <w:r w:rsidRPr="00521504">
        <w:rPr>
          <w:szCs w:val="22"/>
        </w:rPr>
        <w:t xml:space="preserve">  </w:t>
      </w:r>
      <w:r w:rsidR="00FF5201">
        <w:rPr>
          <w:szCs w:val="22"/>
        </w:rPr>
        <w:t>WOOF</w:t>
      </w:r>
      <w:r w:rsidRPr="007E1FD3" w:rsidR="00C37A60">
        <w:rPr>
          <w:szCs w:val="22"/>
        </w:rPr>
        <w:t xml:space="preserve"> contends that</w:t>
      </w:r>
      <w:r w:rsidR="003914C2">
        <w:rPr>
          <w:szCs w:val="22"/>
        </w:rPr>
        <w:t>:</w:t>
      </w:r>
      <w:r w:rsidR="00FF5201">
        <w:rPr>
          <w:szCs w:val="22"/>
        </w:rPr>
        <w:t xml:space="preserve">  </w:t>
      </w:r>
      <w:r w:rsidR="005919DD">
        <w:rPr>
          <w:szCs w:val="22"/>
        </w:rPr>
        <w:t>(1</w:t>
      </w:r>
      <w:r w:rsidRPr="007E1FD3" w:rsidR="005919DD">
        <w:rPr>
          <w:szCs w:val="22"/>
        </w:rPr>
        <w:t xml:space="preserve">) </w:t>
      </w:r>
      <w:r w:rsidR="005919DD">
        <w:rPr>
          <w:szCs w:val="22"/>
        </w:rPr>
        <w:t>AMLLC admittedly operated the Translator “at an alternate location 4.2 km from its licensed site, at a height at variance from its listed parameters,” in violation of Section 74.1251(a) of the Rules;</w:t>
      </w:r>
      <w:r>
        <w:rPr>
          <w:rStyle w:val="FootnoteReference"/>
          <w:szCs w:val="22"/>
        </w:rPr>
        <w:footnoteReference w:id="16"/>
      </w:r>
      <w:r w:rsidR="005919DD">
        <w:rPr>
          <w:szCs w:val="22"/>
        </w:rPr>
        <w:t xml:space="preserve"> </w:t>
      </w:r>
      <w:r w:rsidRPr="007E1FD3" w:rsidR="00C37A60">
        <w:rPr>
          <w:szCs w:val="22"/>
        </w:rPr>
        <w:t>(</w:t>
      </w:r>
      <w:r w:rsidR="005919DD">
        <w:rPr>
          <w:szCs w:val="22"/>
        </w:rPr>
        <w:t>2</w:t>
      </w:r>
      <w:r w:rsidRPr="007E1FD3" w:rsidR="00C37A60">
        <w:rPr>
          <w:szCs w:val="22"/>
        </w:rPr>
        <w:t xml:space="preserve">) </w:t>
      </w:r>
      <w:r w:rsidR="00342C55">
        <w:rPr>
          <w:szCs w:val="22"/>
        </w:rPr>
        <w:t xml:space="preserve">while </w:t>
      </w:r>
      <w:r w:rsidR="003914C2">
        <w:rPr>
          <w:szCs w:val="22"/>
        </w:rPr>
        <w:t xml:space="preserve">AMLLC’s primary Station </w:t>
      </w:r>
      <w:r w:rsidR="006218E0">
        <w:rPr>
          <w:szCs w:val="22"/>
        </w:rPr>
        <w:t>WARB</w:t>
      </w:r>
      <w:r w:rsidR="00342C55">
        <w:rPr>
          <w:szCs w:val="22"/>
        </w:rPr>
        <w:t xml:space="preserve">(AM), </w:t>
      </w:r>
      <w:r w:rsidR="00342C55">
        <w:rPr>
          <w:szCs w:val="22"/>
        </w:rPr>
        <w:t>Dothan, Alabama, was off the air</w:t>
      </w:r>
      <w:r w:rsidR="00EE2DE1">
        <w:rPr>
          <w:szCs w:val="22"/>
        </w:rPr>
        <w:t xml:space="preserve"> </w:t>
      </w:r>
      <w:r w:rsidRPr="00F171E9" w:rsidR="004A1D34">
        <w:rPr>
          <w:szCs w:val="22"/>
        </w:rPr>
        <w:t xml:space="preserve">from September 7, 2016, until September 18, 2016, </w:t>
      </w:r>
      <w:r w:rsidR="00342C55">
        <w:rPr>
          <w:szCs w:val="22"/>
        </w:rPr>
        <w:t xml:space="preserve">the </w:t>
      </w:r>
      <w:r w:rsidR="000651DA">
        <w:rPr>
          <w:szCs w:val="22"/>
        </w:rPr>
        <w:t>Translator</w:t>
      </w:r>
      <w:r w:rsidR="00342C55">
        <w:rPr>
          <w:szCs w:val="22"/>
        </w:rPr>
        <w:t xml:space="preserve"> originated its own programming “for at least 11 days” </w:t>
      </w:r>
      <w:r w:rsidR="00EE2DE1">
        <w:rPr>
          <w:szCs w:val="22"/>
        </w:rPr>
        <w:t xml:space="preserve">in </w:t>
      </w:r>
      <w:r w:rsidR="00342C55">
        <w:rPr>
          <w:szCs w:val="22"/>
        </w:rPr>
        <w:t>violation of Section</w:t>
      </w:r>
      <w:r w:rsidR="00745935">
        <w:rPr>
          <w:szCs w:val="22"/>
        </w:rPr>
        <w:t>s</w:t>
      </w:r>
      <w:r w:rsidR="00342C55">
        <w:rPr>
          <w:szCs w:val="22"/>
        </w:rPr>
        <w:t xml:space="preserve"> </w:t>
      </w:r>
      <w:r w:rsidR="00745935">
        <w:rPr>
          <w:szCs w:val="22"/>
        </w:rPr>
        <w:t xml:space="preserve">74.1231(b) and </w:t>
      </w:r>
      <w:r w:rsidR="00342C55">
        <w:rPr>
          <w:szCs w:val="22"/>
        </w:rPr>
        <w:t>74.1263(b)</w:t>
      </w:r>
      <w:r w:rsidRPr="007E1FD3" w:rsidR="00C37A60">
        <w:rPr>
          <w:szCs w:val="22"/>
        </w:rPr>
        <w:t xml:space="preserve"> of the Rules;</w:t>
      </w:r>
      <w:r>
        <w:rPr>
          <w:rStyle w:val="FootnoteReference"/>
          <w:szCs w:val="22"/>
        </w:rPr>
        <w:footnoteReference w:id="17"/>
      </w:r>
      <w:r w:rsidRPr="007E1FD3" w:rsidR="00C37A60">
        <w:rPr>
          <w:szCs w:val="22"/>
        </w:rPr>
        <w:t xml:space="preserve"> (3) </w:t>
      </w:r>
      <w:r w:rsidR="00246464">
        <w:rPr>
          <w:szCs w:val="22"/>
        </w:rPr>
        <w:t xml:space="preserve">AMLLC made false certifications in </w:t>
      </w:r>
      <w:r w:rsidR="00EE2DE1">
        <w:rPr>
          <w:szCs w:val="22"/>
        </w:rPr>
        <w:t>its</w:t>
      </w:r>
      <w:r w:rsidR="00246464">
        <w:rPr>
          <w:szCs w:val="22"/>
        </w:rPr>
        <w:t xml:space="preserve"> CP Application </w:t>
      </w:r>
      <w:r w:rsidR="004C75F4">
        <w:rPr>
          <w:szCs w:val="22"/>
        </w:rPr>
        <w:t xml:space="preserve">in violation of Section 1.17(a)(2) of the Rules </w:t>
      </w:r>
      <w:r w:rsidR="00246464">
        <w:rPr>
          <w:szCs w:val="22"/>
        </w:rPr>
        <w:t xml:space="preserve">because </w:t>
      </w:r>
      <w:r w:rsidR="00EE2DE1">
        <w:rPr>
          <w:szCs w:val="22"/>
        </w:rPr>
        <w:t>it</w:t>
      </w:r>
      <w:r w:rsidR="00246464">
        <w:rPr>
          <w:szCs w:val="22"/>
        </w:rPr>
        <w:t xml:space="preserve"> ma</w:t>
      </w:r>
      <w:r w:rsidR="0018256A">
        <w:rPr>
          <w:szCs w:val="22"/>
        </w:rPr>
        <w:t>de</w:t>
      </w:r>
      <w:r w:rsidR="00246464">
        <w:rPr>
          <w:szCs w:val="22"/>
        </w:rPr>
        <w:t xml:space="preserve"> no reference to the fact that the </w:t>
      </w:r>
      <w:r w:rsidR="000651DA">
        <w:rPr>
          <w:szCs w:val="22"/>
        </w:rPr>
        <w:t>Translator</w:t>
      </w:r>
      <w:r w:rsidR="00246464">
        <w:rPr>
          <w:szCs w:val="22"/>
        </w:rPr>
        <w:t xml:space="preserve"> </w:t>
      </w:r>
      <w:r w:rsidR="00EE2DE1">
        <w:rPr>
          <w:szCs w:val="22"/>
        </w:rPr>
        <w:t>was already</w:t>
      </w:r>
      <w:r w:rsidR="00246464">
        <w:rPr>
          <w:szCs w:val="22"/>
        </w:rPr>
        <w:t xml:space="preserve"> constructed with facilities for which AMLLC now, belatedly, seeks permission;</w:t>
      </w:r>
      <w:r>
        <w:rPr>
          <w:rStyle w:val="FootnoteReference"/>
          <w:szCs w:val="22"/>
        </w:rPr>
        <w:footnoteReference w:id="18"/>
      </w:r>
      <w:r w:rsidR="00246464">
        <w:rPr>
          <w:szCs w:val="22"/>
        </w:rPr>
        <w:t xml:space="preserve"> </w:t>
      </w:r>
      <w:r w:rsidRPr="007E1FD3" w:rsidR="00C37A60">
        <w:rPr>
          <w:szCs w:val="22"/>
        </w:rPr>
        <w:t xml:space="preserve">(4) </w:t>
      </w:r>
      <w:r w:rsidR="000651DA">
        <w:rPr>
          <w:szCs w:val="22"/>
        </w:rPr>
        <w:t>the Translator was silent for more than 30 days</w:t>
      </w:r>
      <w:r w:rsidR="004805C6">
        <w:t>—</w:t>
      </w:r>
      <w:r w:rsidR="00C44341">
        <w:rPr>
          <w:szCs w:val="22"/>
        </w:rPr>
        <w:t>in fact,</w:t>
      </w:r>
      <w:r w:rsidR="0009041A">
        <w:rPr>
          <w:szCs w:val="22"/>
        </w:rPr>
        <w:t xml:space="preserve"> it was silent</w:t>
      </w:r>
      <w:r w:rsidR="00C44341">
        <w:rPr>
          <w:szCs w:val="22"/>
        </w:rPr>
        <w:t xml:space="preserve"> for 11 months </w:t>
      </w:r>
      <w:r w:rsidR="000651DA">
        <w:rPr>
          <w:szCs w:val="22"/>
        </w:rPr>
        <w:t>without Commission approval</w:t>
      </w:r>
      <w:r w:rsidR="002155D2">
        <w:rPr>
          <w:szCs w:val="22"/>
        </w:rPr>
        <w:t>,</w:t>
      </w:r>
      <w:r w:rsidR="000651DA">
        <w:rPr>
          <w:szCs w:val="22"/>
        </w:rPr>
        <w:t xml:space="preserve"> in violation of Section 74.1263(c)</w:t>
      </w:r>
      <w:r w:rsidR="002D2977">
        <w:rPr>
          <w:szCs w:val="22"/>
        </w:rPr>
        <w:t xml:space="preserve"> </w:t>
      </w:r>
      <w:r w:rsidR="002155D2">
        <w:rPr>
          <w:szCs w:val="22"/>
        </w:rPr>
        <w:t>of the Rules, a discontinuation of service enabling the Commission to cancel the Translator station license at its discretion under Section 74.1263(</w:t>
      </w:r>
      <w:r w:rsidR="002D2977">
        <w:rPr>
          <w:szCs w:val="22"/>
        </w:rPr>
        <w:t>e)</w:t>
      </w:r>
      <w:r w:rsidR="002155D2">
        <w:rPr>
          <w:szCs w:val="22"/>
        </w:rPr>
        <w:t xml:space="preserve"> of the Rules</w:t>
      </w:r>
      <w:r w:rsidR="002D2977">
        <w:rPr>
          <w:szCs w:val="22"/>
        </w:rPr>
        <w:t>;</w:t>
      </w:r>
      <w:r>
        <w:rPr>
          <w:rStyle w:val="FootnoteReference"/>
          <w:szCs w:val="22"/>
        </w:rPr>
        <w:footnoteReference w:id="19"/>
      </w:r>
      <w:r w:rsidR="000651DA">
        <w:rPr>
          <w:szCs w:val="22"/>
        </w:rPr>
        <w:t xml:space="preserve"> (5) </w:t>
      </w:r>
      <w:r w:rsidR="003C06E1">
        <w:rPr>
          <w:szCs w:val="22"/>
        </w:rPr>
        <w:t>AMLLC failed to provide proper station identification for the Translator;</w:t>
      </w:r>
      <w:r>
        <w:rPr>
          <w:rStyle w:val="FootnoteReference"/>
          <w:szCs w:val="22"/>
        </w:rPr>
        <w:footnoteReference w:id="20"/>
      </w:r>
      <w:r w:rsidR="003C06E1">
        <w:rPr>
          <w:szCs w:val="22"/>
        </w:rPr>
        <w:t xml:space="preserve"> and (6) </w:t>
      </w:r>
      <w:r w:rsidR="00472563">
        <w:rPr>
          <w:szCs w:val="22"/>
        </w:rPr>
        <w:t xml:space="preserve">the managing member and owner of primary station </w:t>
      </w:r>
      <w:r w:rsidR="006218E0">
        <w:rPr>
          <w:szCs w:val="22"/>
        </w:rPr>
        <w:t>WARB</w:t>
      </w:r>
      <w:r w:rsidR="00472563">
        <w:rPr>
          <w:szCs w:val="22"/>
        </w:rPr>
        <w:t>(AM) is also an employee of AMLLC</w:t>
      </w:r>
      <w:r w:rsidR="003B733C">
        <w:rPr>
          <w:szCs w:val="22"/>
        </w:rPr>
        <w:t>,</w:t>
      </w:r>
      <w:r w:rsidR="009B6CF4">
        <w:rPr>
          <w:szCs w:val="22"/>
        </w:rPr>
        <w:t xml:space="preserve"> and </w:t>
      </w:r>
      <w:r w:rsidR="004805C6">
        <w:rPr>
          <w:szCs w:val="22"/>
        </w:rPr>
        <w:t>due to</w:t>
      </w:r>
      <w:r w:rsidR="00AE5D9F">
        <w:rPr>
          <w:szCs w:val="22"/>
        </w:rPr>
        <w:t xml:space="preserve"> familial relationships, </w:t>
      </w:r>
      <w:r w:rsidR="009B6CF4">
        <w:rPr>
          <w:szCs w:val="22"/>
        </w:rPr>
        <w:t>AMLLC may be in violation of the local radio ownership rules</w:t>
      </w:r>
      <w:r w:rsidR="00472563">
        <w:rPr>
          <w:szCs w:val="22"/>
        </w:rPr>
        <w:t>.</w:t>
      </w:r>
      <w:r>
        <w:rPr>
          <w:rStyle w:val="FootnoteReference"/>
          <w:szCs w:val="22"/>
        </w:rPr>
        <w:footnoteReference w:id="21"/>
      </w:r>
      <w:r w:rsidR="00472563">
        <w:rPr>
          <w:szCs w:val="22"/>
        </w:rPr>
        <w:t xml:space="preserve">  </w:t>
      </w:r>
      <w:r w:rsidR="003C06E1">
        <w:rPr>
          <w:szCs w:val="22"/>
        </w:rPr>
        <w:t xml:space="preserve">Finally, </w:t>
      </w:r>
      <w:r w:rsidR="000651DA">
        <w:rPr>
          <w:szCs w:val="22"/>
        </w:rPr>
        <w:t>WOOF</w:t>
      </w:r>
      <w:r w:rsidRPr="007E1FD3" w:rsidR="00C37A60">
        <w:rPr>
          <w:szCs w:val="22"/>
        </w:rPr>
        <w:t xml:space="preserve"> asserts that </w:t>
      </w:r>
      <w:r w:rsidR="000651DA">
        <w:rPr>
          <w:szCs w:val="22"/>
        </w:rPr>
        <w:t>AMLLC</w:t>
      </w:r>
      <w:r w:rsidRPr="007E1FD3" w:rsidR="00C37A60">
        <w:rPr>
          <w:szCs w:val="22"/>
        </w:rPr>
        <w:t xml:space="preserve"> knowingly and willfully violates the </w:t>
      </w:r>
      <w:r w:rsidR="00563BCE">
        <w:rPr>
          <w:szCs w:val="22"/>
        </w:rPr>
        <w:t xml:space="preserve">Commission’s </w:t>
      </w:r>
      <w:r w:rsidR="003B733C">
        <w:rPr>
          <w:szCs w:val="22"/>
        </w:rPr>
        <w:t>R</w:t>
      </w:r>
      <w:r w:rsidRPr="007E1FD3" w:rsidR="00C37A60">
        <w:rPr>
          <w:szCs w:val="22"/>
        </w:rPr>
        <w:t xml:space="preserve">ules on a regular basis, and therefore, </w:t>
      </w:r>
      <w:r w:rsidR="000651DA">
        <w:rPr>
          <w:szCs w:val="22"/>
        </w:rPr>
        <w:t xml:space="preserve">the Commission must impose the strongest possible sanctions </w:t>
      </w:r>
      <w:r w:rsidR="003C06E1">
        <w:rPr>
          <w:szCs w:val="22"/>
        </w:rPr>
        <w:t>up</w:t>
      </w:r>
      <w:r w:rsidR="000651DA">
        <w:rPr>
          <w:szCs w:val="22"/>
        </w:rPr>
        <w:t xml:space="preserve">on </w:t>
      </w:r>
      <w:r w:rsidR="00563BCE">
        <w:rPr>
          <w:szCs w:val="22"/>
        </w:rPr>
        <w:t>AMLLC</w:t>
      </w:r>
      <w:r w:rsidRPr="007E1FD3" w:rsidR="00C37A60">
        <w:rPr>
          <w:szCs w:val="22"/>
        </w:rPr>
        <w:t>.</w:t>
      </w:r>
      <w:r w:rsidRPr="007E1FD3" w:rsidR="004437EE">
        <w:rPr>
          <w:snapToGrid/>
        </w:rPr>
        <w:t xml:space="preserve"> </w:t>
      </w:r>
    </w:p>
    <w:p w:rsidR="00B33CC9" w:rsidP="00B1750B" w14:paraId="4DEDC8C9" w14:textId="4F480417">
      <w:pPr>
        <w:pStyle w:val="ParaNum"/>
        <w:widowControl/>
        <w:ind w:left="0"/>
        <w:rPr>
          <w:szCs w:val="22"/>
        </w:rPr>
      </w:pPr>
      <w:r>
        <w:rPr>
          <w:szCs w:val="22"/>
        </w:rPr>
        <w:t>In it</w:t>
      </w:r>
      <w:r w:rsidR="005A306E">
        <w:rPr>
          <w:szCs w:val="22"/>
        </w:rPr>
        <w:t>s</w:t>
      </w:r>
      <w:r>
        <w:rPr>
          <w:szCs w:val="22"/>
        </w:rPr>
        <w:t xml:space="preserve"> </w:t>
      </w:r>
      <w:r w:rsidR="002A2892">
        <w:rPr>
          <w:szCs w:val="22"/>
        </w:rPr>
        <w:t xml:space="preserve">WOOF </w:t>
      </w:r>
      <w:r>
        <w:rPr>
          <w:szCs w:val="22"/>
        </w:rPr>
        <w:t xml:space="preserve">Opposition, AMLLC </w:t>
      </w:r>
      <w:r w:rsidR="005A306E">
        <w:rPr>
          <w:szCs w:val="22"/>
        </w:rPr>
        <w:t xml:space="preserve">acknowledges that in the course of moving </w:t>
      </w:r>
      <w:r w:rsidR="00F15FE2">
        <w:rPr>
          <w:szCs w:val="22"/>
        </w:rPr>
        <w:t xml:space="preserve">its </w:t>
      </w:r>
      <w:r w:rsidR="005A306E">
        <w:rPr>
          <w:szCs w:val="22"/>
        </w:rPr>
        <w:t>three full-power stations to a new tower site, it “inadvertently failed to file a modification applicat</w:t>
      </w:r>
      <w:r w:rsidR="009A125F">
        <w:rPr>
          <w:szCs w:val="22"/>
        </w:rPr>
        <w:t>i</w:t>
      </w:r>
      <w:r w:rsidR="005A306E">
        <w:rPr>
          <w:szCs w:val="22"/>
        </w:rPr>
        <w:t xml:space="preserve">on to relocate the Translator </w:t>
      </w:r>
      <w:r w:rsidR="009A125F">
        <w:rPr>
          <w:szCs w:val="22"/>
        </w:rPr>
        <w:t>to the new tower site</w:t>
      </w:r>
      <w:r w:rsidR="00C3709F">
        <w:rPr>
          <w:szCs w:val="22"/>
        </w:rPr>
        <w:t>.</w:t>
      </w:r>
      <w:r w:rsidR="009A125F">
        <w:rPr>
          <w:szCs w:val="22"/>
        </w:rPr>
        <w:t>”</w:t>
      </w:r>
      <w:r>
        <w:rPr>
          <w:rStyle w:val="FootnoteReference"/>
          <w:szCs w:val="22"/>
        </w:rPr>
        <w:footnoteReference w:id="22"/>
      </w:r>
      <w:r w:rsidR="00C3709F">
        <w:rPr>
          <w:szCs w:val="22"/>
        </w:rPr>
        <w:t xml:space="preserve">  In addition, AMLLC asserts that it took prompt remedial steps once it became aware of its noncompliance</w:t>
      </w:r>
      <w:r w:rsidR="00563BCE">
        <w:rPr>
          <w:szCs w:val="22"/>
        </w:rPr>
        <w:t>;</w:t>
      </w:r>
      <w:r w:rsidR="00C3709F">
        <w:rPr>
          <w:szCs w:val="22"/>
        </w:rPr>
        <w:t xml:space="preserve"> </w:t>
      </w:r>
      <w:r w:rsidRPr="00563BCE" w:rsidR="00563BCE">
        <w:rPr>
          <w:i/>
          <w:szCs w:val="22"/>
        </w:rPr>
        <w:t>i.e</w:t>
      </w:r>
      <w:r w:rsidR="00563BCE">
        <w:rPr>
          <w:szCs w:val="22"/>
        </w:rPr>
        <w:t xml:space="preserve">., </w:t>
      </w:r>
      <w:r w:rsidR="00C3709F">
        <w:rPr>
          <w:szCs w:val="22"/>
        </w:rPr>
        <w:t xml:space="preserve">it </w:t>
      </w:r>
      <w:r w:rsidR="00075966">
        <w:rPr>
          <w:szCs w:val="22"/>
        </w:rPr>
        <w:t>swiftly</w:t>
      </w:r>
      <w:r w:rsidR="00C3709F">
        <w:rPr>
          <w:szCs w:val="22"/>
        </w:rPr>
        <w:t xml:space="preserve"> fil</w:t>
      </w:r>
      <w:r w:rsidR="00075966">
        <w:rPr>
          <w:szCs w:val="22"/>
        </w:rPr>
        <w:t>ed</w:t>
      </w:r>
      <w:r w:rsidR="00C3709F">
        <w:rPr>
          <w:szCs w:val="22"/>
        </w:rPr>
        <w:t xml:space="preserve"> the CP Application</w:t>
      </w:r>
      <w:r w:rsidR="00BE788A">
        <w:rPr>
          <w:szCs w:val="22"/>
        </w:rPr>
        <w:t xml:space="preserve"> and STA Request</w:t>
      </w:r>
      <w:r w:rsidR="00C3709F">
        <w:rPr>
          <w:szCs w:val="22"/>
        </w:rPr>
        <w:t xml:space="preserve"> and the period of unauthorized operation “amounted to less than seven weeks</w:t>
      </w:r>
      <w:r w:rsidR="00381988">
        <w:rPr>
          <w:szCs w:val="22"/>
        </w:rPr>
        <w:t>.</w:t>
      </w:r>
      <w:r w:rsidR="00C3709F">
        <w:rPr>
          <w:szCs w:val="22"/>
        </w:rPr>
        <w:t>”</w:t>
      </w:r>
      <w:r>
        <w:rPr>
          <w:rStyle w:val="FootnoteReference"/>
          <w:szCs w:val="22"/>
        </w:rPr>
        <w:footnoteReference w:id="23"/>
      </w:r>
      <w:r w:rsidR="00381988">
        <w:rPr>
          <w:szCs w:val="22"/>
        </w:rPr>
        <w:t xml:space="preserve">  (Notably, though, AMLLC does not dispute that it was an FCC inspection that spurred those remedial measures.)</w:t>
      </w:r>
      <w:r w:rsidR="00075966">
        <w:rPr>
          <w:szCs w:val="22"/>
        </w:rPr>
        <w:t xml:space="preserve">  Next, AMLLC argues that the brief period of “several days” during which the Translator was originating programming</w:t>
      </w:r>
      <w:r w:rsidR="009D2D60">
        <w:rPr>
          <w:szCs w:val="22"/>
        </w:rPr>
        <w:t xml:space="preserve"> </w:t>
      </w:r>
      <w:r w:rsidR="00075966">
        <w:rPr>
          <w:szCs w:val="22"/>
        </w:rPr>
        <w:t>did not constitute a material violation of the Rules.</w:t>
      </w:r>
      <w:r>
        <w:rPr>
          <w:rStyle w:val="FootnoteReference"/>
          <w:szCs w:val="22"/>
        </w:rPr>
        <w:footnoteReference w:id="24"/>
      </w:r>
      <w:r w:rsidR="009D2D60">
        <w:rPr>
          <w:szCs w:val="22"/>
        </w:rPr>
        <w:t xml:space="preserve">  Further, AMLLC contends that WOOF is incorrect and that AMLLC has complied with the Rules regarding station identification since the Translator commenced </w:t>
      </w:r>
      <w:r w:rsidR="009D2D60">
        <w:rPr>
          <w:szCs w:val="22"/>
        </w:rPr>
        <w:t>operations.</w:t>
      </w:r>
      <w:r>
        <w:rPr>
          <w:rStyle w:val="FootnoteReference"/>
          <w:szCs w:val="22"/>
        </w:rPr>
        <w:footnoteReference w:id="25"/>
      </w:r>
      <w:r w:rsidR="009D2D60">
        <w:rPr>
          <w:szCs w:val="22"/>
        </w:rPr>
        <w:t xml:space="preserve">  </w:t>
      </w:r>
      <w:r w:rsidR="00C21966">
        <w:rPr>
          <w:szCs w:val="22"/>
        </w:rPr>
        <w:t>A</w:t>
      </w:r>
      <w:r w:rsidR="009D2D60">
        <w:rPr>
          <w:szCs w:val="22"/>
        </w:rPr>
        <w:t xml:space="preserve">MLLC </w:t>
      </w:r>
      <w:r w:rsidR="00C21966">
        <w:rPr>
          <w:szCs w:val="22"/>
        </w:rPr>
        <w:t xml:space="preserve">also </w:t>
      </w:r>
      <w:r w:rsidR="009D2D60">
        <w:rPr>
          <w:szCs w:val="22"/>
        </w:rPr>
        <w:t xml:space="preserve">argues that </w:t>
      </w:r>
      <w:r w:rsidR="00C6616D">
        <w:rPr>
          <w:szCs w:val="22"/>
        </w:rPr>
        <w:t>WOOF fails to raise any substantial and material issue of fact regarding its candor before the Commission.  Specifically, AMLLC</w:t>
      </w:r>
      <w:r w:rsidR="00C84414">
        <w:rPr>
          <w:szCs w:val="22"/>
        </w:rPr>
        <w:t xml:space="preserve"> </w:t>
      </w:r>
      <w:r w:rsidR="00BE788A">
        <w:rPr>
          <w:szCs w:val="22"/>
        </w:rPr>
        <w:t xml:space="preserve">argues that the filing of the STA Request one day after the </w:t>
      </w:r>
      <w:r w:rsidR="002453B3">
        <w:rPr>
          <w:szCs w:val="22"/>
        </w:rPr>
        <w:t xml:space="preserve">filing of the </w:t>
      </w:r>
      <w:r w:rsidR="00BE788A">
        <w:rPr>
          <w:szCs w:val="22"/>
        </w:rPr>
        <w:t xml:space="preserve">CP Application demonstrates that AMLLC was entirely candid about construction of the Translator.  </w:t>
      </w:r>
      <w:r w:rsidR="002A2892">
        <w:rPr>
          <w:szCs w:val="22"/>
        </w:rPr>
        <w:t>It</w:t>
      </w:r>
      <w:r w:rsidR="00BE788A">
        <w:rPr>
          <w:szCs w:val="22"/>
        </w:rPr>
        <w:t xml:space="preserve"> asserts that</w:t>
      </w:r>
      <w:r w:rsidR="002A2892">
        <w:rPr>
          <w:szCs w:val="22"/>
        </w:rPr>
        <w:t>,</w:t>
      </w:r>
      <w:r w:rsidR="00BE788A">
        <w:rPr>
          <w:szCs w:val="22"/>
        </w:rPr>
        <w:t xml:space="preserve"> because FCC Enforcement Bureau staff alerted AMLLC to the </w:t>
      </w:r>
      <w:r w:rsidR="00563BCE">
        <w:rPr>
          <w:szCs w:val="22"/>
        </w:rPr>
        <w:t xml:space="preserve">matter </w:t>
      </w:r>
      <w:r w:rsidR="00BE788A">
        <w:rPr>
          <w:szCs w:val="22"/>
        </w:rPr>
        <w:t xml:space="preserve">just two days before the CP Application was filed, </w:t>
      </w:r>
      <w:r w:rsidR="00563BCE">
        <w:rPr>
          <w:szCs w:val="22"/>
        </w:rPr>
        <w:t>AMLLC</w:t>
      </w:r>
      <w:r w:rsidR="00BE788A">
        <w:rPr>
          <w:szCs w:val="22"/>
        </w:rPr>
        <w:t xml:space="preserve"> assumed that the Commission was already aware of the non-compliance issue.</w:t>
      </w:r>
      <w:r>
        <w:rPr>
          <w:rStyle w:val="FootnoteReference"/>
          <w:szCs w:val="22"/>
        </w:rPr>
        <w:footnoteReference w:id="26"/>
      </w:r>
      <w:r w:rsidR="002453B3">
        <w:rPr>
          <w:szCs w:val="22"/>
        </w:rPr>
        <w:t xml:space="preserve">  Finally, </w:t>
      </w:r>
      <w:r w:rsidR="00563BCE">
        <w:rPr>
          <w:szCs w:val="22"/>
        </w:rPr>
        <w:t xml:space="preserve">AMLLC argues that </w:t>
      </w:r>
      <w:r w:rsidR="000408C1">
        <w:rPr>
          <w:szCs w:val="22"/>
        </w:rPr>
        <w:t xml:space="preserve">WOOF’s claim that AMLLC has somehow violated the Commission’s </w:t>
      </w:r>
      <w:r w:rsidR="00A72FDE">
        <w:rPr>
          <w:szCs w:val="22"/>
        </w:rPr>
        <w:t xml:space="preserve">local </w:t>
      </w:r>
      <w:r w:rsidR="000408C1">
        <w:rPr>
          <w:szCs w:val="22"/>
        </w:rPr>
        <w:t>radio multiple ownership rules “has no basis in law or in fact.”</w:t>
      </w:r>
      <w:r>
        <w:rPr>
          <w:rStyle w:val="FootnoteReference"/>
          <w:szCs w:val="22"/>
        </w:rPr>
        <w:footnoteReference w:id="27"/>
      </w:r>
      <w:r w:rsidR="002453B3">
        <w:rPr>
          <w:szCs w:val="22"/>
        </w:rPr>
        <w:t xml:space="preserve"> </w:t>
      </w:r>
      <w:r w:rsidR="00BE788A">
        <w:rPr>
          <w:szCs w:val="22"/>
        </w:rPr>
        <w:t xml:space="preserve">  </w:t>
      </w:r>
      <w:r w:rsidR="00C6616D">
        <w:rPr>
          <w:szCs w:val="22"/>
        </w:rPr>
        <w:t xml:space="preserve"> </w:t>
      </w:r>
      <w:r w:rsidR="009D2D60">
        <w:rPr>
          <w:szCs w:val="22"/>
        </w:rPr>
        <w:t xml:space="preserve">  </w:t>
      </w:r>
    </w:p>
    <w:p w:rsidR="0044760E" w:rsidP="00112466" w14:paraId="363CB64A" w14:textId="77777777">
      <w:pPr>
        <w:pStyle w:val="ParaNum"/>
        <w:ind w:left="0"/>
      </w:pPr>
      <w:r>
        <w:t xml:space="preserve">In its Reply, WOOF </w:t>
      </w:r>
      <w:r w:rsidR="00316598">
        <w:t xml:space="preserve">reiterates the arguments that it made in its Objection </w:t>
      </w:r>
      <w:r w:rsidR="00330E34">
        <w:t>and</w:t>
      </w:r>
      <w:r w:rsidR="00316598">
        <w:t xml:space="preserve"> </w:t>
      </w:r>
      <w:r>
        <w:t xml:space="preserve">argues that </w:t>
      </w:r>
      <w:r w:rsidR="00F62EDE">
        <w:t xml:space="preserve">although AMLLC </w:t>
      </w:r>
      <w:r w:rsidR="00316598">
        <w:t>alleges that i</w:t>
      </w:r>
      <w:r w:rsidR="00F62EDE">
        <w:t xml:space="preserve">ts violations were inadvertent, brief, and immaterial, </w:t>
      </w:r>
      <w:r>
        <w:t>AMLLC has a previous history of non-compliance and that the Commission should cancel the Translator’s license.</w:t>
      </w:r>
      <w:r>
        <w:rPr>
          <w:rStyle w:val="FootnoteReference"/>
          <w:szCs w:val="22"/>
        </w:rPr>
        <w:footnoteReference w:id="28"/>
      </w:r>
      <w:r>
        <w:t xml:space="preserve">  </w:t>
      </w:r>
      <w:r w:rsidR="00F62EDE">
        <w:t xml:space="preserve">  </w:t>
      </w:r>
      <w:r w:rsidR="00075966">
        <w:t xml:space="preserve">  </w:t>
      </w:r>
    </w:p>
    <w:p w:rsidR="003D5660" w:rsidP="00112466" w14:paraId="522A049B" w14:textId="1848F239">
      <w:pPr>
        <w:pStyle w:val="ParaNum"/>
        <w:ind w:left="0"/>
      </w:pPr>
      <w:r w:rsidRPr="00AA73A1">
        <w:rPr>
          <w:i/>
        </w:rPr>
        <w:t>Fox Objection</w:t>
      </w:r>
      <w:r>
        <w:rPr>
          <w:i/>
        </w:rPr>
        <w:t>.</w:t>
      </w:r>
      <w:r w:rsidR="00D940AD">
        <w:rPr>
          <w:i/>
        </w:rPr>
        <w:t xml:space="preserve">  </w:t>
      </w:r>
      <w:r w:rsidR="000A79FC">
        <w:t>Fox argues that the Translator interferes with the reception of Fox’s Station WFXX(FM), Georgi</w:t>
      </w:r>
      <w:r w:rsidR="00981321">
        <w:t>a</w:t>
      </w:r>
      <w:r w:rsidR="000A79FC">
        <w:t>na, Alabama, in violation of Section 74.1203(b) of the Rules and that AMLLC should take the Translator of</w:t>
      </w:r>
      <w:r w:rsidR="00A72FDE">
        <w:t>f</w:t>
      </w:r>
      <w:r w:rsidR="000A79FC">
        <w:t xml:space="preserve"> the air immediately.</w:t>
      </w:r>
      <w:r>
        <w:rPr>
          <w:rStyle w:val="FootnoteReference"/>
        </w:rPr>
        <w:footnoteReference w:id="29"/>
      </w:r>
      <w:r w:rsidR="000A79FC">
        <w:t xml:space="preserve">  </w:t>
      </w:r>
      <w:r>
        <w:t>Fox</w:t>
      </w:r>
      <w:r>
        <w:rPr>
          <w:szCs w:val="22"/>
        </w:rPr>
        <w:t xml:space="preserve"> supplies nine complaints of purportedly unaffiliated WFXX(FM) listeners to demonstrate that the </w:t>
      </w:r>
      <w:r w:rsidR="00B22269">
        <w:rPr>
          <w:szCs w:val="22"/>
        </w:rPr>
        <w:t xml:space="preserve">current </w:t>
      </w:r>
      <w:r>
        <w:rPr>
          <w:szCs w:val="22"/>
        </w:rPr>
        <w:t>operation of AMLLC’s Translator causes interference with the reception of WFXX(FM) in areas inside W299BX’s 60 dBµ contour.</w:t>
      </w:r>
      <w:r>
        <w:rPr>
          <w:rStyle w:val="FootnoteReference"/>
          <w:szCs w:val="22"/>
        </w:rPr>
        <w:footnoteReference w:id="30"/>
      </w:r>
      <w:r w:rsidR="000A79FC">
        <w:t xml:space="preserve">     </w:t>
      </w:r>
    </w:p>
    <w:p w:rsidR="00072FBD" w:rsidRPr="0052472A" w:rsidP="00112466" w14:paraId="30FF9257" w14:textId="10D513D7">
      <w:pPr>
        <w:pStyle w:val="ParaNum"/>
        <w:widowControl/>
        <w:ind w:left="0"/>
        <w:rPr>
          <w:szCs w:val="22"/>
        </w:rPr>
      </w:pPr>
      <w:r>
        <w:t xml:space="preserve">In its </w:t>
      </w:r>
      <w:r w:rsidR="00B22269">
        <w:t xml:space="preserve">Fox </w:t>
      </w:r>
      <w:r>
        <w:t xml:space="preserve">Opposition, AMLLC argues that </w:t>
      </w:r>
      <w:r w:rsidR="006B6B46">
        <w:t>between July 26</w:t>
      </w:r>
      <w:r w:rsidR="004720D1">
        <w:t xml:space="preserve"> and August 9, 2017, its Chief Engineer and General Manager attempted to contact the alleged nine listener complainants to address their interference concerns.</w:t>
      </w:r>
      <w:r>
        <w:rPr>
          <w:rStyle w:val="FootnoteReference"/>
        </w:rPr>
        <w:footnoteReference w:id="31"/>
      </w:r>
      <w:r w:rsidR="004720D1">
        <w:t xml:space="preserve">  </w:t>
      </w:r>
      <w:r w:rsidR="007C07D2">
        <w:t xml:space="preserve">AMLLC </w:t>
      </w:r>
      <w:r w:rsidR="00797B53">
        <w:t xml:space="preserve">officials declare under penalty of perjury </w:t>
      </w:r>
      <w:r w:rsidR="005173E5">
        <w:t>th</w:t>
      </w:r>
      <w:r w:rsidR="007C07D2">
        <w:t xml:space="preserve">at </w:t>
      </w:r>
      <w:r w:rsidR="00F9586C">
        <w:t>of the nine, Wesley George and Will Searcy denied ever having signed a complaint form; Justin Lawson</w:t>
      </w:r>
      <w:r w:rsidR="003D7709">
        <w:t>, or anyone with a similar name,</w:t>
      </w:r>
      <w:r>
        <w:rPr>
          <w:rStyle w:val="FootnoteReference"/>
        </w:rPr>
        <w:footnoteReference w:id="32"/>
      </w:r>
      <w:r w:rsidR="00F9586C">
        <w:t xml:space="preserve"> could not be found at the address provided; and Carey and Jeffrey Douglas (same address), Brent Howell, Mark Go</w:t>
      </w:r>
      <w:r w:rsidR="0052472A">
        <w:t>odson</w:t>
      </w:r>
      <w:r w:rsidR="00F9586C">
        <w:t xml:space="preserve">, Eric Waters, and Jimmy Anderson </w:t>
      </w:r>
      <w:r w:rsidR="0052472A">
        <w:t>never responded to AMLLC</w:t>
      </w:r>
      <w:r w:rsidR="006056A9">
        <w:t xml:space="preserve">’s </w:t>
      </w:r>
      <w:r w:rsidR="0052472A">
        <w:t>entreaties to discuss their purported interference concerns.</w:t>
      </w:r>
      <w:r>
        <w:rPr>
          <w:rStyle w:val="FootnoteReference"/>
        </w:rPr>
        <w:footnoteReference w:id="33"/>
      </w:r>
      <w:r w:rsidR="0052472A">
        <w:t xml:space="preserve">  AMLLC therefore argues that Fox has not </w:t>
      </w:r>
      <w:r w:rsidR="0052472A">
        <w:t>provided evidence of “</w:t>
      </w:r>
      <w:r w:rsidR="006056A9">
        <w:t>a</w:t>
      </w:r>
      <w:r w:rsidR="0052472A">
        <w:t xml:space="preserve">ctual interference” in the form of </w:t>
      </w:r>
      <w:r w:rsidR="006056A9">
        <w:t xml:space="preserve">valid </w:t>
      </w:r>
      <w:r w:rsidR="0052472A">
        <w:t>listener complaints pursuant to Section 74.1203(a)(3) of the Rules</w:t>
      </w:r>
      <w:r>
        <w:rPr>
          <w:rStyle w:val="FootnoteReference"/>
        </w:rPr>
        <w:footnoteReference w:id="34"/>
      </w:r>
      <w:r w:rsidR="0052472A">
        <w:t xml:space="preserve"> and that the Fox Objection should be denied.</w:t>
      </w:r>
      <w:r>
        <w:rPr>
          <w:rStyle w:val="FootnoteReference"/>
        </w:rPr>
        <w:footnoteReference w:id="35"/>
      </w:r>
    </w:p>
    <w:p w:rsidR="00CD5B51" w:rsidP="00F36498" w14:paraId="579DD9E3" w14:textId="77777777">
      <w:pPr>
        <w:pStyle w:val="Heading1"/>
      </w:pPr>
      <w:r w:rsidRPr="00FB5D14">
        <w:t>discussion</w:t>
      </w:r>
      <w:bookmarkStart w:id="4" w:name="SearchTerm"/>
    </w:p>
    <w:bookmarkEnd w:id="4"/>
    <w:p w:rsidR="00FC2BF5" w:rsidRPr="00104F0C" w:rsidP="00112466" w14:paraId="2D652FEC" w14:textId="4D23779C">
      <w:pPr>
        <w:pStyle w:val="ParaNum"/>
        <w:ind w:left="0"/>
        <w:rPr>
          <w:snapToGrid/>
        </w:rPr>
      </w:pPr>
      <w:r w:rsidRPr="00104F0C">
        <w:t xml:space="preserve">Under Section 309(d) of the </w:t>
      </w:r>
      <w:r w:rsidR="00E000B6">
        <w:t>Act</w:t>
      </w:r>
      <w:r w:rsidRPr="00104F0C">
        <w:t>,</w:t>
      </w:r>
      <w:r>
        <w:rPr>
          <w:rStyle w:val="FootnoteReference"/>
        </w:rPr>
        <w:footnoteReference w:id="36"/>
      </w:r>
      <w:r w:rsidRPr="00104F0C">
        <w:t xml:space="preserve"> informal objections, like petitions to deny, must provide properly supported allegations of fact that, if true, would establish a substantial and material question of fact that grant of the application would be </w:t>
      </w:r>
      <w:r w:rsidRPr="00104F0C">
        <w:rPr>
          <w:i/>
          <w:iCs/>
        </w:rPr>
        <w:t>prima facie</w:t>
      </w:r>
      <w:r w:rsidRPr="00104F0C">
        <w:t xml:space="preserve"> inconsistent with the public interest, convenience, and necessity.</w:t>
      </w:r>
      <w:r>
        <w:rPr>
          <w:rStyle w:val="FootnoteReference"/>
        </w:rPr>
        <w:footnoteReference w:id="37"/>
      </w:r>
      <w:r w:rsidR="00381988">
        <w:t xml:space="preserve">  For the reasons explained below, we find that AMLLC did commit apparent violations of the Act and the Rules, for which we propose a forfeiture, but </w:t>
      </w:r>
      <w:r w:rsidR="00F35999">
        <w:t>there is no substantial and material question of fact here.</w:t>
      </w:r>
      <w:r w:rsidRPr="00104F0C">
        <w:rPr>
          <w:szCs w:val="22"/>
        </w:rPr>
        <w:t xml:space="preserve"> </w:t>
      </w:r>
    </w:p>
    <w:p w:rsidR="008E170C" w:rsidRPr="008E170C" w:rsidP="00112466" w14:paraId="1DEC29E8" w14:textId="0D7136AE">
      <w:pPr>
        <w:pStyle w:val="ParaNum"/>
        <w:widowControl/>
        <w:ind w:left="0"/>
        <w:rPr>
          <w:snapToGrid/>
        </w:rPr>
      </w:pPr>
      <w:r w:rsidRPr="00AA73A1">
        <w:rPr>
          <w:i/>
          <w:szCs w:val="22"/>
        </w:rPr>
        <w:t>WOOF Objection</w:t>
      </w:r>
      <w:r>
        <w:rPr>
          <w:szCs w:val="22"/>
        </w:rPr>
        <w:t xml:space="preserve">.  </w:t>
      </w:r>
      <w:r w:rsidRPr="00D4142E" w:rsidR="00547A49">
        <w:rPr>
          <w:snapToGrid/>
          <w:u w:val="single"/>
        </w:rPr>
        <w:t>Operation</w:t>
      </w:r>
      <w:r w:rsidRPr="00D4142E" w:rsidR="00FB5D14">
        <w:rPr>
          <w:snapToGrid/>
          <w:u w:val="single"/>
        </w:rPr>
        <w:t xml:space="preserve"> at an Unauthorized Location</w:t>
      </w:r>
      <w:r w:rsidRPr="008E170C" w:rsidR="00547A49">
        <w:rPr>
          <w:i/>
          <w:snapToGrid/>
        </w:rPr>
        <w:t>.</w:t>
      </w:r>
      <w:r w:rsidRPr="008E170C" w:rsidR="00B918E3">
        <w:rPr>
          <w:i/>
          <w:snapToGrid/>
        </w:rPr>
        <w:t xml:space="preserve">  </w:t>
      </w:r>
      <w:r w:rsidRPr="008E170C">
        <w:rPr>
          <w:spacing w:val="-2"/>
          <w:szCs w:val="22"/>
        </w:rPr>
        <w:t xml:space="preserve">The evidence in this case establishes that AMLLC </w:t>
      </w:r>
      <w:r w:rsidR="00F35999">
        <w:rPr>
          <w:spacing w:val="-2"/>
          <w:szCs w:val="22"/>
        </w:rPr>
        <w:t xml:space="preserve">apparently </w:t>
      </w:r>
      <w:r w:rsidRPr="008E170C">
        <w:rPr>
          <w:spacing w:val="-2"/>
          <w:szCs w:val="22"/>
        </w:rPr>
        <w:t>violated Section 301 of the Act and Section 74.1251(</w:t>
      </w:r>
      <w:r w:rsidR="00F35999">
        <w:rPr>
          <w:spacing w:val="-2"/>
          <w:szCs w:val="22"/>
        </w:rPr>
        <w:t>b</w:t>
      </w:r>
      <w:r w:rsidRPr="008E170C">
        <w:rPr>
          <w:spacing w:val="-2"/>
          <w:szCs w:val="22"/>
        </w:rPr>
        <w:t>) of the Rules.  Section 301 of the Act states that no person shall use or operate any apparatus for the transmission of energy or communications or signals by radio within the United States, except under and in accordance with the Act and with a license granted under the provisions of the Act.</w:t>
      </w:r>
      <w:r>
        <w:rPr>
          <w:rStyle w:val="FootnoteReference"/>
          <w:spacing w:val="-2"/>
          <w:szCs w:val="22"/>
        </w:rPr>
        <w:footnoteReference w:id="38"/>
      </w:r>
      <w:r w:rsidRPr="008E170C">
        <w:rPr>
          <w:spacing w:val="-2"/>
          <w:szCs w:val="22"/>
        </w:rPr>
        <w:t xml:space="preserve">  In addition, Section 74.1251(</w:t>
      </w:r>
      <w:r w:rsidR="00F35999">
        <w:rPr>
          <w:spacing w:val="-2"/>
          <w:szCs w:val="22"/>
        </w:rPr>
        <w:t>b</w:t>
      </w:r>
      <w:r w:rsidRPr="008E170C">
        <w:rPr>
          <w:spacing w:val="-2"/>
          <w:szCs w:val="22"/>
        </w:rPr>
        <w:t xml:space="preserve">) of the Rules </w:t>
      </w:r>
      <w:r w:rsidR="00F35999">
        <w:rPr>
          <w:spacing w:val="-2"/>
          <w:szCs w:val="22"/>
        </w:rPr>
        <w:t>requires that a change in a translator’s location be approved by the FCC pursuant to an application providing the relevant information.</w:t>
      </w:r>
      <w:r>
        <w:rPr>
          <w:rStyle w:val="FootnoteReference"/>
          <w:spacing w:val="-2"/>
          <w:szCs w:val="22"/>
        </w:rPr>
        <w:footnoteReference w:id="39"/>
      </w:r>
      <w:r w:rsidRPr="008E170C">
        <w:rPr>
          <w:spacing w:val="-2"/>
          <w:szCs w:val="22"/>
        </w:rPr>
        <w:t xml:space="preserve">  </w:t>
      </w:r>
    </w:p>
    <w:p w:rsidR="000F469D" w:rsidRPr="000F469D" w:rsidP="00A269D2" w14:paraId="08107377" w14:textId="7DDCD911">
      <w:pPr>
        <w:widowControl/>
        <w:numPr>
          <w:ilvl w:val="0"/>
          <w:numId w:val="27"/>
        </w:numPr>
        <w:tabs>
          <w:tab w:val="left" w:pos="1926"/>
          <w:tab w:val="left" w:pos="3978"/>
          <w:tab w:val="left" w:pos="4680"/>
          <w:tab w:val="left" w:pos="5760"/>
        </w:tabs>
        <w:autoSpaceDE w:val="0"/>
        <w:autoSpaceDN w:val="0"/>
        <w:adjustRightInd w:val="0"/>
        <w:spacing w:after="120" w:line="226" w:lineRule="auto"/>
        <w:ind w:left="0"/>
        <w:rPr>
          <w:snapToGrid/>
        </w:rPr>
      </w:pPr>
      <w:r w:rsidRPr="00E7624A">
        <w:rPr>
          <w:spacing w:val="-2"/>
          <w:szCs w:val="22"/>
        </w:rPr>
        <w:t xml:space="preserve">Pursuant to AMLLC’s license as of 2015, the Translator was authorized to </w:t>
      </w:r>
      <w:r w:rsidR="002E0F15">
        <w:rPr>
          <w:spacing w:val="-2"/>
          <w:szCs w:val="22"/>
        </w:rPr>
        <w:t>serve Dothan, Alabama</w:t>
      </w:r>
      <w:r w:rsidR="00424837">
        <w:rPr>
          <w:spacing w:val="-2"/>
          <w:szCs w:val="22"/>
        </w:rPr>
        <w:t>,</w:t>
      </w:r>
      <w:r w:rsidR="002E0F15">
        <w:rPr>
          <w:spacing w:val="-2"/>
          <w:szCs w:val="22"/>
        </w:rPr>
        <w:t xml:space="preserve"> from the </w:t>
      </w:r>
      <w:r w:rsidRPr="00E7624A">
        <w:rPr>
          <w:spacing w:val="-2"/>
          <w:szCs w:val="22"/>
        </w:rPr>
        <w:t xml:space="preserve">coordinates </w:t>
      </w:r>
      <w:r>
        <w:t>31-13-35 N</w:t>
      </w:r>
      <w:r w:rsidR="002E0F15">
        <w:t>,</w:t>
      </w:r>
      <w:r>
        <w:t xml:space="preserve"> </w:t>
      </w:r>
      <w:r w:rsidR="00083265">
        <w:t>0</w:t>
      </w:r>
      <w:r>
        <w:t>85-23-33 W</w:t>
      </w:r>
      <w:r w:rsidRPr="00E7624A">
        <w:rPr>
          <w:spacing w:val="-2"/>
          <w:szCs w:val="22"/>
        </w:rPr>
        <w:t>.  T</w:t>
      </w:r>
      <w:r w:rsidRPr="00E7624A">
        <w:rPr>
          <w:szCs w:val="22"/>
        </w:rPr>
        <w:t xml:space="preserve">he record evidence, however, shows that </w:t>
      </w:r>
      <w:r w:rsidRPr="00E7624A" w:rsidR="00083265">
        <w:rPr>
          <w:szCs w:val="22"/>
        </w:rPr>
        <w:t>AMLLC</w:t>
      </w:r>
      <w:r w:rsidRPr="00E7624A">
        <w:rPr>
          <w:szCs w:val="22"/>
        </w:rPr>
        <w:t xml:space="preserve"> engaged in unauthorized operation by operating </w:t>
      </w:r>
      <w:r w:rsidRPr="00E7624A" w:rsidR="00083265">
        <w:rPr>
          <w:szCs w:val="22"/>
        </w:rPr>
        <w:t xml:space="preserve">the Translator </w:t>
      </w:r>
      <w:r w:rsidRPr="00E7624A">
        <w:rPr>
          <w:szCs w:val="22"/>
        </w:rPr>
        <w:t>at a different location (</w:t>
      </w:r>
      <w:r w:rsidRPr="00E7624A">
        <w:rPr>
          <w:i/>
          <w:szCs w:val="22"/>
        </w:rPr>
        <w:t>i.e</w:t>
      </w:r>
      <w:r w:rsidRPr="00E7624A">
        <w:rPr>
          <w:szCs w:val="22"/>
        </w:rPr>
        <w:t xml:space="preserve">., at coordinates </w:t>
      </w:r>
      <w:r w:rsidRPr="00E7624A" w:rsidR="00083265">
        <w:rPr>
          <w:szCs w:val="22"/>
        </w:rPr>
        <w:t>31</w:t>
      </w:r>
      <w:r w:rsidRPr="00E7624A">
        <w:rPr>
          <w:spacing w:val="-2"/>
          <w:szCs w:val="22"/>
        </w:rPr>
        <w:t>-</w:t>
      </w:r>
      <w:r w:rsidRPr="00E7624A" w:rsidR="00083265">
        <w:rPr>
          <w:spacing w:val="-2"/>
          <w:szCs w:val="22"/>
        </w:rPr>
        <w:t>11</w:t>
      </w:r>
      <w:r w:rsidRPr="00E7624A">
        <w:rPr>
          <w:spacing w:val="-2"/>
          <w:szCs w:val="22"/>
        </w:rPr>
        <w:t>-</w:t>
      </w:r>
      <w:r w:rsidRPr="00E7624A" w:rsidR="00083265">
        <w:rPr>
          <w:spacing w:val="-2"/>
          <w:szCs w:val="22"/>
        </w:rPr>
        <w:t>33.1</w:t>
      </w:r>
      <w:r w:rsidRPr="00E7624A">
        <w:rPr>
          <w:spacing w:val="-2"/>
          <w:szCs w:val="22"/>
        </w:rPr>
        <w:t xml:space="preserve"> N</w:t>
      </w:r>
      <w:r w:rsidR="002E0F15">
        <w:rPr>
          <w:spacing w:val="-2"/>
          <w:szCs w:val="22"/>
        </w:rPr>
        <w:t>,</w:t>
      </w:r>
      <w:r w:rsidRPr="00E7624A">
        <w:rPr>
          <w:spacing w:val="-2"/>
          <w:szCs w:val="22"/>
        </w:rPr>
        <w:t xml:space="preserve"> 0</w:t>
      </w:r>
      <w:r w:rsidRPr="00E7624A" w:rsidR="00083265">
        <w:rPr>
          <w:spacing w:val="-2"/>
          <w:szCs w:val="22"/>
        </w:rPr>
        <w:t>85</w:t>
      </w:r>
      <w:r w:rsidRPr="00E7624A">
        <w:rPr>
          <w:spacing w:val="-2"/>
          <w:szCs w:val="22"/>
        </w:rPr>
        <w:t>-2</w:t>
      </w:r>
      <w:r w:rsidRPr="00E7624A" w:rsidR="00083265">
        <w:rPr>
          <w:spacing w:val="-2"/>
          <w:szCs w:val="22"/>
        </w:rPr>
        <w:t>4</w:t>
      </w:r>
      <w:r w:rsidRPr="00E7624A">
        <w:rPr>
          <w:spacing w:val="-2"/>
          <w:szCs w:val="22"/>
        </w:rPr>
        <w:t>-</w:t>
      </w:r>
      <w:r w:rsidRPr="00E7624A" w:rsidR="00083265">
        <w:rPr>
          <w:spacing w:val="-2"/>
          <w:szCs w:val="22"/>
        </w:rPr>
        <w:t>42.7</w:t>
      </w:r>
      <w:r w:rsidRPr="00E7624A">
        <w:rPr>
          <w:spacing w:val="-2"/>
          <w:szCs w:val="22"/>
        </w:rPr>
        <w:t xml:space="preserve"> W)</w:t>
      </w:r>
      <w:r w:rsidR="00700703">
        <w:rPr>
          <w:spacing w:val="-2"/>
          <w:szCs w:val="22"/>
        </w:rPr>
        <w:t xml:space="preserve">, with different technical facilities, and rebroadcasting </w:t>
      </w:r>
      <w:r w:rsidR="00D01624">
        <w:rPr>
          <w:spacing w:val="-2"/>
          <w:szCs w:val="22"/>
        </w:rPr>
        <w:t>WARB(AM),</w:t>
      </w:r>
      <w:r w:rsidR="00700703">
        <w:rPr>
          <w:spacing w:val="-2"/>
          <w:szCs w:val="22"/>
        </w:rPr>
        <w:t xml:space="preserve"> </w:t>
      </w:r>
      <w:r w:rsidR="00BE656C">
        <w:rPr>
          <w:spacing w:val="-2"/>
          <w:szCs w:val="22"/>
        </w:rPr>
        <w:t>which had not been designated as the Translator’s primary stati</w:t>
      </w:r>
      <w:r w:rsidR="00721E55">
        <w:rPr>
          <w:spacing w:val="-2"/>
          <w:szCs w:val="22"/>
        </w:rPr>
        <w:t>on.  FC</w:t>
      </w:r>
      <w:r w:rsidRPr="00E7624A" w:rsidR="00083265">
        <w:rPr>
          <w:spacing w:val="-2"/>
          <w:szCs w:val="22"/>
        </w:rPr>
        <w:t>C Enforcement Bureau staff</w:t>
      </w:r>
      <w:r w:rsidRPr="00E7624A">
        <w:rPr>
          <w:spacing w:val="-2"/>
          <w:szCs w:val="22"/>
        </w:rPr>
        <w:t xml:space="preserve"> </w:t>
      </w:r>
      <w:r w:rsidRPr="00E7624A" w:rsidR="00083265">
        <w:rPr>
          <w:spacing w:val="-2"/>
          <w:szCs w:val="22"/>
        </w:rPr>
        <w:t xml:space="preserve">visited the </w:t>
      </w:r>
      <w:r w:rsidR="00521504">
        <w:rPr>
          <w:spacing w:val="-2"/>
          <w:szCs w:val="22"/>
        </w:rPr>
        <w:t>new</w:t>
      </w:r>
      <w:r w:rsidRPr="00E7624A" w:rsidR="00083265">
        <w:rPr>
          <w:spacing w:val="-2"/>
          <w:szCs w:val="22"/>
        </w:rPr>
        <w:t xml:space="preserve"> site </w:t>
      </w:r>
      <w:r w:rsidR="00D77EFD">
        <w:rPr>
          <w:spacing w:val="-2"/>
          <w:szCs w:val="22"/>
        </w:rPr>
        <w:t xml:space="preserve">on October 24, 2016, </w:t>
      </w:r>
      <w:r w:rsidRPr="00E7624A" w:rsidR="00083265">
        <w:rPr>
          <w:spacing w:val="-2"/>
          <w:szCs w:val="22"/>
        </w:rPr>
        <w:t xml:space="preserve">and </w:t>
      </w:r>
      <w:r w:rsidR="00521504">
        <w:rPr>
          <w:spacing w:val="-2"/>
          <w:szCs w:val="22"/>
        </w:rPr>
        <w:t xml:space="preserve">advised AMLLC that it had failed to obtain FCC approval for operation at that site. </w:t>
      </w:r>
      <w:r w:rsidRPr="00E7624A" w:rsidR="00083265">
        <w:rPr>
          <w:spacing w:val="-2"/>
          <w:szCs w:val="22"/>
        </w:rPr>
        <w:t xml:space="preserve"> AMLLC </w:t>
      </w:r>
      <w:r w:rsidR="00981AB9">
        <w:rPr>
          <w:spacing w:val="-2"/>
          <w:szCs w:val="22"/>
        </w:rPr>
        <w:t xml:space="preserve">filed </w:t>
      </w:r>
      <w:r w:rsidRPr="00E7624A" w:rsidR="00083265">
        <w:rPr>
          <w:spacing w:val="-2"/>
          <w:szCs w:val="22"/>
        </w:rPr>
        <w:t xml:space="preserve">the CP Application </w:t>
      </w:r>
      <w:r w:rsidR="00981AB9">
        <w:rPr>
          <w:spacing w:val="-2"/>
          <w:szCs w:val="22"/>
        </w:rPr>
        <w:t xml:space="preserve">two days later </w:t>
      </w:r>
      <w:r w:rsidRPr="00E7624A" w:rsidR="00083265">
        <w:rPr>
          <w:spacing w:val="-2"/>
          <w:szCs w:val="22"/>
        </w:rPr>
        <w:t xml:space="preserve">and </w:t>
      </w:r>
      <w:r w:rsidR="00D77EFD">
        <w:rPr>
          <w:spacing w:val="-2"/>
          <w:szCs w:val="22"/>
        </w:rPr>
        <w:t xml:space="preserve">filed </w:t>
      </w:r>
      <w:r w:rsidRPr="00E7624A" w:rsidR="00083265">
        <w:rPr>
          <w:spacing w:val="-2"/>
          <w:szCs w:val="22"/>
        </w:rPr>
        <w:t xml:space="preserve">the STA Request the following day.  </w:t>
      </w:r>
      <w:r w:rsidR="00D77EFD">
        <w:rPr>
          <w:spacing w:val="-2"/>
          <w:szCs w:val="22"/>
        </w:rPr>
        <w:t>Nevertheless, u</w:t>
      </w:r>
      <w:r w:rsidRPr="00E7624A">
        <w:rPr>
          <w:szCs w:val="22"/>
        </w:rPr>
        <w:t>ntil such m</w:t>
      </w:r>
      <w:r w:rsidR="007B28DA">
        <w:rPr>
          <w:szCs w:val="22"/>
        </w:rPr>
        <w:t>inor change</w:t>
      </w:r>
      <w:r w:rsidRPr="00E7624A">
        <w:rPr>
          <w:szCs w:val="22"/>
        </w:rPr>
        <w:t xml:space="preserve"> application has been </w:t>
      </w:r>
      <w:r w:rsidRPr="00D4142E">
        <w:rPr>
          <w:i/>
          <w:szCs w:val="22"/>
        </w:rPr>
        <w:t>granted</w:t>
      </w:r>
      <w:r w:rsidRPr="00E7624A">
        <w:rPr>
          <w:szCs w:val="22"/>
        </w:rPr>
        <w:t xml:space="preserve">, a licensee is expected to operate in strict conformity with its current license, unless it has been granted </w:t>
      </w:r>
      <w:r w:rsidR="007B28DA">
        <w:rPr>
          <w:szCs w:val="22"/>
        </w:rPr>
        <w:t>STA</w:t>
      </w:r>
      <w:r w:rsidRPr="00E7624A">
        <w:rPr>
          <w:szCs w:val="22"/>
        </w:rPr>
        <w:t xml:space="preserve"> in the interim.</w:t>
      </w:r>
      <w:r>
        <w:rPr>
          <w:rStyle w:val="FootnoteReference"/>
          <w:szCs w:val="22"/>
        </w:rPr>
        <w:footnoteReference w:id="40"/>
      </w:r>
      <w:r w:rsidRPr="00E7624A">
        <w:rPr>
          <w:szCs w:val="22"/>
        </w:rPr>
        <w:t xml:space="preserve">  Here, although </w:t>
      </w:r>
      <w:r w:rsidR="00D77EFD">
        <w:rPr>
          <w:szCs w:val="22"/>
        </w:rPr>
        <w:t>AMLLC</w:t>
      </w:r>
      <w:r w:rsidRPr="00E7624A">
        <w:rPr>
          <w:spacing w:val="-2"/>
          <w:szCs w:val="22"/>
        </w:rPr>
        <w:t xml:space="preserve"> applied for an STA on </w:t>
      </w:r>
      <w:r w:rsidR="00D77EFD">
        <w:rPr>
          <w:spacing w:val="-2"/>
          <w:szCs w:val="22"/>
        </w:rPr>
        <w:t>October 27</w:t>
      </w:r>
      <w:r w:rsidR="001B421C">
        <w:rPr>
          <w:spacing w:val="-2"/>
          <w:szCs w:val="22"/>
        </w:rPr>
        <w:t>,</w:t>
      </w:r>
      <w:r w:rsidR="00D77EFD">
        <w:rPr>
          <w:spacing w:val="-2"/>
          <w:szCs w:val="22"/>
        </w:rPr>
        <w:t xml:space="preserve"> 2016</w:t>
      </w:r>
      <w:r w:rsidRPr="00E7624A">
        <w:rPr>
          <w:spacing w:val="-2"/>
          <w:szCs w:val="22"/>
        </w:rPr>
        <w:t xml:space="preserve">, to permit operations at </w:t>
      </w:r>
      <w:r w:rsidR="007D57BE">
        <w:rPr>
          <w:spacing w:val="-2"/>
          <w:szCs w:val="22"/>
        </w:rPr>
        <w:t>the</w:t>
      </w:r>
      <w:r w:rsidRPr="00E7624A">
        <w:rPr>
          <w:spacing w:val="-2"/>
          <w:szCs w:val="22"/>
        </w:rPr>
        <w:t xml:space="preserve"> new location while its </w:t>
      </w:r>
      <w:r w:rsidR="00D77EFD">
        <w:rPr>
          <w:spacing w:val="-2"/>
          <w:szCs w:val="22"/>
        </w:rPr>
        <w:t xml:space="preserve">CP </w:t>
      </w:r>
      <w:r w:rsidRPr="00E7624A">
        <w:rPr>
          <w:spacing w:val="-2"/>
          <w:szCs w:val="22"/>
        </w:rPr>
        <w:t>Application remain</w:t>
      </w:r>
      <w:r w:rsidR="00936073">
        <w:rPr>
          <w:spacing w:val="-2"/>
          <w:szCs w:val="22"/>
        </w:rPr>
        <w:t>s</w:t>
      </w:r>
      <w:r w:rsidRPr="00E7624A">
        <w:rPr>
          <w:spacing w:val="-2"/>
          <w:szCs w:val="22"/>
        </w:rPr>
        <w:t xml:space="preserve"> pending, </w:t>
      </w:r>
      <w:r w:rsidR="00C33D39">
        <w:t>AMLLC operat</w:t>
      </w:r>
      <w:r w:rsidR="00D03D0D">
        <w:t>ed</w:t>
      </w:r>
      <w:r w:rsidR="00C33D39">
        <w:t xml:space="preserve"> the Translator for nearly seven </w:t>
      </w:r>
      <w:r w:rsidR="00C33D39">
        <w:t xml:space="preserve">weeks </w:t>
      </w:r>
      <w:r w:rsidR="00D03D0D">
        <w:t xml:space="preserve">at </w:t>
      </w:r>
      <w:r w:rsidR="00E91900">
        <w:t>the</w:t>
      </w:r>
      <w:r w:rsidR="00D03D0D">
        <w:t xml:space="preserve"> unauthorized </w:t>
      </w:r>
      <w:r w:rsidR="007D57BE">
        <w:t>site</w:t>
      </w:r>
      <w:r w:rsidR="00D03D0D">
        <w:t xml:space="preserve"> </w:t>
      </w:r>
      <w:r w:rsidR="00C33D39">
        <w:t>before filing the CP Application and STA Request to so operate.</w:t>
      </w:r>
      <w:r>
        <w:rPr>
          <w:rStyle w:val="FootnoteReference"/>
          <w:spacing w:val="-2"/>
          <w:szCs w:val="22"/>
        </w:rPr>
        <w:footnoteReference w:id="41"/>
      </w:r>
      <w:r w:rsidRPr="00E7624A">
        <w:rPr>
          <w:spacing w:val="-2"/>
          <w:szCs w:val="22"/>
        </w:rPr>
        <w:t xml:space="preserve">  Based on the evidence before us, we </w:t>
      </w:r>
      <w:r w:rsidR="00D40EBB">
        <w:rPr>
          <w:spacing w:val="-2"/>
          <w:szCs w:val="22"/>
        </w:rPr>
        <w:t xml:space="preserve">therefore </w:t>
      </w:r>
      <w:r w:rsidRPr="00E7624A">
        <w:rPr>
          <w:spacing w:val="-2"/>
          <w:szCs w:val="22"/>
        </w:rPr>
        <w:t xml:space="preserve">find that </w:t>
      </w:r>
      <w:r w:rsidR="00D40EBB">
        <w:rPr>
          <w:spacing w:val="-2"/>
          <w:szCs w:val="22"/>
        </w:rPr>
        <w:t>AMLLC</w:t>
      </w:r>
      <w:r w:rsidRPr="00E7624A">
        <w:rPr>
          <w:spacing w:val="-2"/>
          <w:szCs w:val="22"/>
        </w:rPr>
        <w:t xml:space="preserve"> apparently willfully and repeatedly violated Section 301 of the Act and Section 74.1251(</w:t>
      </w:r>
      <w:r w:rsidR="00F35999">
        <w:rPr>
          <w:spacing w:val="-2"/>
          <w:szCs w:val="22"/>
        </w:rPr>
        <w:t>b</w:t>
      </w:r>
      <w:r w:rsidRPr="00E7624A">
        <w:rPr>
          <w:spacing w:val="-2"/>
          <w:szCs w:val="22"/>
        </w:rPr>
        <w:t xml:space="preserve">) of the Rules </w:t>
      </w:r>
      <w:r w:rsidR="00CE51F8">
        <w:rPr>
          <w:spacing w:val="-2"/>
          <w:szCs w:val="22"/>
        </w:rPr>
        <w:t xml:space="preserve">from September </w:t>
      </w:r>
      <w:r w:rsidR="00750960">
        <w:rPr>
          <w:spacing w:val="-2"/>
          <w:szCs w:val="22"/>
        </w:rPr>
        <w:t>10</w:t>
      </w:r>
      <w:r w:rsidR="00CE51F8">
        <w:rPr>
          <w:spacing w:val="-2"/>
          <w:szCs w:val="22"/>
        </w:rPr>
        <w:t>, 2016</w:t>
      </w:r>
      <w:r w:rsidR="003F7073">
        <w:rPr>
          <w:spacing w:val="-2"/>
          <w:szCs w:val="22"/>
        </w:rPr>
        <w:t>,</w:t>
      </w:r>
      <w:r w:rsidR="00CE51F8">
        <w:rPr>
          <w:spacing w:val="-2"/>
          <w:szCs w:val="22"/>
        </w:rPr>
        <w:t xml:space="preserve"> until the Bureau staff granted the CP Application on November 9, 2016</w:t>
      </w:r>
      <w:r w:rsidR="00521504">
        <w:rPr>
          <w:spacing w:val="-2"/>
          <w:szCs w:val="22"/>
        </w:rPr>
        <w:t>.  A</w:t>
      </w:r>
      <w:r w:rsidR="00FE31E2">
        <w:rPr>
          <w:szCs w:val="22"/>
        </w:rPr>
        <w:t xml:space="preserve"> </w:t>
      </w:r>
      <w:r w:rsidR="00AF3ABF">
        <w:rPr>
          <w:szCs w:val="22"/>
        </w:rPr>
        <w:t>forfeiture</w:t>
      </w:r>
      <w:r w:rsidR="00FE31E2">
        <w:rPr>
          <w:szCs w:val="22"/>
        </w:rPr>
        <w:t xml:space="preserve"> is </w:t>
      </w:r>
      <w:r w:rsidR="00D4142E">
        <w:rPr>
          <w:szCs w:val="22"/>
        </w:rPr>
        <w:t xml:space="preserve">appropriate </w:t>
      </w:r>
      <w:r w:rsidRPr="008E170C" w:rsidR="00D4142E">
        <w:rPr>
          <w:szCs w:val="22"/>
        </w:rPr>
        <w:t>for</w:t>
      </w:r>
      <w:r w:rsidRPr="008E170C" w:rsidR="00530476">
        <w:rPr>
          <w:szCs w:val="22"/>
        </w:rPr>
        <w:t xml:space="preserve"> this violation.</w:t>
      </w:r>
      <w:r>
        <w:rPr>
          <w:rStyle w:val="FootnoteReference"/>
          <w:spacing w:val="-2"/>
          <w:szCs w:val="22"/>
        </w:rPr>
        <w:footnoteReference w:id="42"/>
      </w:r>
      <w:r w:rsidRPr="00E7624A">
        <w:rPr>
          <w:spacing w:val="-2"/>
          <w:szCs w:val="22"/>
        </w:rPr>
        <w:t xml:space="preserve"> </w:t>
      </w:r>
      <w:r w:rsidRPr="00E7624A" w:rsidR="00FB5D14">
        <w:rPr>
          <w:i/>
          <w:snapToGrid/>
        </w:rPr>
        <w:t xml:space="preserve"> </w:t>
      </w:r>
      <w:r w:rsidRPr="00E7624A" w:rsidR="00547A49">
        <w:rPr>
          <w:i/>
          <w:snapToGrid/>
        </w:rPr>
        <w:t xml:space="preserve"> </w:t>
      </w:r>
    </w:p>
    <w:p w:rsidR="000F469D" w:rsidRPr="00791014" w:rsidP="003225C0" w14:paraId="7A2A48F6" w14:textId="49B05C72">
      <w:pPr>
        <w:pStyle w:val="ParaNum"/>
        <w:widowControl/>
        <w:numPr>
          <w:ilvl w:val="0"/>
          <w:numId w:val="30"/>
        </w:numPr>
        <w:ind w:left="0"/>
        <w:rPr>
          <w:snapToGrid/>
          <w:kern w:val="0"/>
          <w:szCs w:val="22"/>
        </w:rPr>
      </w:pPr>
      <w:r w:rsidRPr="00D4142E">
        <w:rPr>
          <w:szCs w:val="22"/>
          <w:u w:val="single"/>
        </w:rPr>
        <w:t>Program Origination</w:t>
      </w:r>
      <w:r w:rsidRPr="00791014">
        <w:rPr>
          <w:szCs w:val="22"/>
        </w:rPr>
        <w:t xml:space="preserve">.  Sections 74.1231(b) and 74.1263(b) of the Rules prohibit </w:t>
      </w:r>
      <w:r w:rsidR="003404DA">
        <w:rPr>
          <w:szCs w:val="22"/>
        </w:rPr>
        <w:t xml:space="preserve">an </w:t>
      </w:r>
      <w:r w:rsidRPr="00791014">
        <w:rPr>
          <w:szCs w:val="22"/>
        </w:rPr>
        <w:t>FM translator station from originating programming while its primary station is off the air, except under limited circumstances.</w:t>
      </w:r>
      <w:r>
        <w:rPr>
          <w:rStyle w:val="FootnoteReference"/>
          <w:szCs w:val="22"/>
        </w:rPr>
        <w:footnoteReference w:id="43"/>
      </w:r>
      <w:r w:rsidRPr="00791014">
        <w:rPr>
          <w:szCs w:val="22"/>
        </w:rPr>
        <w:t xml:space="preserve">  WOOF alleges that AMLLC originated programming </w:t>
      </w:r>
      <w:r w:rsidR="003404DA">
        <w:rPr>
          <w:szCs w:val="22"/>
        </w:rPr>
        <w:t xml:space="preserve">on the Translator </w:t>
      </w:r>
      <w:r w:rsidRPr="00791014">
        <w:rPr>
          <w:szCs w:val="22"/>
        </w:rPr>
        <w:t>in violation of Section</w:t>
      </w:r>
      <w:r w:rsidR="0091642D">
        <w:rPr>
          <w:szCs w:val="22"/>
        </w:rPr>
        <w:t>s</w:t>
      </w:r>
      <w:r w:rsidRPr="00791014">
        <w:rPr>
          <w:szCs w:val="22"/>
        </w:rPr>
        <w:t xml:space="preserve"> 74.1231</w:t>
      </w:r>
      <w:r w:rsidR="0091642D">
        <w:rPr>
          <w:szCs w:val="22"/>
        </w:rPr>
        <w:t>(b)</w:t>
      </w:r>
      <w:r w:rsidRPr="00791014">
        <w:rPr>
          <w:szCs w:val="22"/>
        </w:rPr>
        <w:t xml:space="preserve"> </w:t>
      </w:r>
      <w:r w:rsidR="0091642D">
        <w:rPr>
          <w:szCs w:val="22"/>
        </w:rPr>
        <w:t xml:space="preserve">and 74.1263(b) </w:t>
      </w:r>
      <w:r w:rsidRPr="00791014">
        <w:rPr>
          <w:szCs w:val="22"/>
        </w:rPr>
        <w:t xml:space="preserve">for at least 11 days from September 7, 2016, until September 18, 2016, when the Translator’s primary station was off the air.  AMLLC does not deny that the Translator broadcast sports-oriented programming when the primary station was off the air.  </w:t>
      </w:r>
      <w:r w:rsidR="00F35999">
        <w:rPr>
          <w:szCs w:val="22"/>
        </w:rPr>
        <w:t>AMLLC</w:t>
      </w:r>
      <w:r w:rsidRPr="00791014">
        <w:rPr>
          <w:szCs w:val="22"/>
        </w:rPr>
        <w:t xml:space="preserve"> asserts, however, that this </w:t>
      </w:r>
      <w:r w:rsidR="003404DA">
        <w:rPr>
          <w:szCs w:val="22"/>
        </w:rPr>
        <w:t>violation</w:t>
      </w:r>
      <w:r w:rsidRPr="00791014">
        <w:rPr>
          <w:szCs w:val="22"/>
        </w:rPr>
        <w:t xml:space="preserve"> occurred inadvertently due to technical problems in returning the primary station to service and that this isolated transgression did not have an adverse impact on the</w:t>
      </w:r>
      <w:r w:rsidR="003404DA">
        <w:rPr>
          <w:szCs w:val="22"/>
        </w:rPr>
        <w:t xml:space="preserve"> public</w:t>
      </w:r>
      <w:r w:rsidRPr="00791014">
        <w:rPr>
          <w:szCs w:val="22"/>
        </w:rPr>
        <w:t xml:space="preserve">.  </w:t>
      </w:r>
    </w:p>
    <w:p w:rsidR="00547A49" w:rsidRPr="000F469D" w:rsidP="00C44349" w14:paraId="433DF011" w14:textId="483F4E3C">
      <w:pPr>
        <w:pStyle w:val="ParaNum"/>
        <w:widowControl/>
        <w:numPr>
          <w:ilvl w:val="0"/>
          <w:numId w:val="31"/>
        </w:numPr>
        <w:tabs>
          <w:tab w:val="left" w:pos="1926"/>
          <w:tab w:val="left" w:pos="3978"/>
          <w:tab w:val="left" w:pos="4680"/>
          <w:tab w:val="left" w:pos="5760"/>
        </w:tabs>
        <w:autoSpaceDE w:val="0"/>
        <w:autoSpaceDN w:val="0"/>
        <w:adjustRightInd w:val="0"/>
        <w:spacing w:line="226" w:lineRule="auto"/>
        <w:ind w:left="0"/>
        <w:rPr>
          <w:snapToGrid/>
        </w:rPr>
      </w:pPr>
      <w:r>
        <w:rPr>
          <w:szCs w:val="22"/>
        </w:rPr>
        <w:t xml:space="preserve">We find that </w:t>
      </w:r>
      <w:r w:rsidR="003474C2">
        <w:rPr>
          <w:szCs w:val="22"/>
        </w:rPr>
        <w:t xml:space="preserve">AMLLC </w:t>
      </w:r>
      <w:r>
        <w:rPr>
          <w:szCs w:val="22"/>
        </w:rPr>
        <w:t xml:space="preserve">apparently </w:t>
      </w:r>
      <w:r w:rsidR="003474C2">
        <w:rPr>
          <w:szCs w:val="22"/>
        </w:rPr>
        <w:t>originated programming on t</w:t>
      </w:r>
      <w:r w:rsidRPr="000F469D" w:rsidR="000F469D">
        <w:rPr>
          <w:szCs w:val="22"/>
        </w:rPr>
        <w:t xml:space="preserve">he Translator in </w:t>
      </w:r>
      <w:r w:rsidR="003404DA">
        <w:rPr>
          <w:szCs w:val="22"/>
        </w:rPr>
        <w:t>violation</w:t>
      </w:r>
      <w:r w:rsidRPr="000F469D" w:rsidR="000F469D">
        <w:rPr>
          <w:szCs w:val="22"/>
        </w:rPr>
        <w:t xml:space="preserve"> of the Rules.</w:t>
      </w:r>
      <w:r>
        <w:rPr>
          <w:rStyle w:val="FootnoteReference"/>
          <w:szCs w:val="22"/>
        </w:rPr>
        <w:footnoteReference w:id="44"/>
      </w:r>
      <w:r w:rsidRPr="000F469D" w:rsidR="000F469D">
        <w:rPr>
          <w:szCs w:val="22"/>
        </w:rPr>
        <w:t xml:space="preserve">  AMLLC’s attempt to minimize this mistake by emphasizing that the incident </w:t>
      </w:r>
      <w:r w:rsidR="003404DA">
        <w:rPr>
          <w:szCs w:val="22"/>
        </w:rPr>
        <w:t>extended for days instead of weeks is in no way reassuring.</w:t>
      </w:r>
      <w:r w:rsidRPr="000F469D" w:rsidR="000F469D">
        <w:rPr>
          <w:szCs w:val="22"/>
        </w:rPr>
        <w:t xml:space="preserve">  A licensee is fully responsible for all programming broadcast over a station</w:t>
      </w:r>
      <w:r w:rsidR="003404DA">
        <w:rPr>
          <w:szCs w:val="22"/>
        </w:rPr>
        <w:t>, and the restriction on program origination by a translator is fundamental to the role served by translator stations</w:t>
      </w:r>
      <w:r w:rsidRPr="000F469D" w:rsidR="000F469D">
        <w:rPr>
          <w:szCs w:val="22"/>
        </w:rPr>
        <w:t xml:space="preserve">.  We conclude that AMLLC </w:t>
      </w:r>
      <w:r w:rsidR="00F35999">
        <w:rPr>
          <w:szCs w:val="22"/>
        </w:rPr>
        <w:t xml:space="preserve">apparently </w:t>
      </w:r>
      <w:r w:rsidRPr="000F469D" w:rsidR="000F469D">
        <w:rPr>
          <w:szCs w:val="22"/>
        </w:rPr>
        <w:t xml:space="preserve">violated Sections 73.1231(b) and 74.1263(b) of the Rules and </w:t>
      </w:r>
      <w:r w:rsidR="001F6436">
        <w:rPr>
          <w:szCs w:val="22"/>
        </w:rPr>
        <w:t xml:space="preserve">that </w:t>
      </w:r>
      <w:r w:rsidR="00FC2B80">
        <w:rPr>
          <w:szCs w:val="22"/>
        </w:rPr>
        <w:t xml:space="preserve">a forfeiture for these </w:t>
      </w:r>
      <w:r w:rsidR="00F35999">
        <w:rPr>
          <w:szCs w:val="22"/>
        </w:rPr>
        <w:t xml:space="preserve">apparent </w:t>
      </w:r>
      <w:r w:rsidR="00FC2B80">
        <w:rPr>
          <w:szCs w:val="22"/>
        </w:rPr>
        <w:t xml:space="preserve">violations is </w:t>
      </w:r>
      <w:r w:rsidR="00D4142E">
        <w:rPr>
          <w:szCs w:val="22"/>
        </w:rPr>
        <w:t>appropriate.</w:t>
      </w:r>
      <w:r w:rsidRPr="000F469D" w:rsidR="000F469D">
        <w:rPr>
          <w:snapToGrid/>
          <w:kern w:val="0"/>
          <w:szCs w:val="22"/>
        </w:rPr>
        <w:t xml:space="preserve"> </w:t>
      </w:r>
      <w:r w:rsidRPr="000F469D">
        <w:rPr>
          <w:i/>
          <w:snapToGrid/>
        </w:rPr>
        <w:t xml:space="preserve"> </w:t>
      </w:r>
    </w:p>
    <w:p w:rsidR="005102E6" w:rsidRPr="00F6543F" w:rsidP="00F6543F" w14:paraId="3A2F88D4" w14:textId="4E9995CF">
      <w:pPr>
        <w:pStyle w:val="ParaNum"/>
        <w:widowControl/>
        <w:numPr>
          <w:ilvl w:val="0"/>
          <w:numId w:val="37"/>
        </w:numPr>
        <w:ind w:left="0"/>
        <w:rPr>
          <w:snapToGrid/>
        </w:rPr>
      </w:pPr>
      <w:r w:rsidRPr="00F6543F">
        <w:rPr>
          <w:szCs w:val="22"/>
          <w:u w:val="single"/>
        </w:rPr>
        <w:t xml:space="preserve">Off the Air </w:t>
      </w:r>
      <w:r w:rsidRPr="00F6543F" w:rsidR="00C51C3D">
        <w:rPr>
          <w:szCs w:val="22"/>
          <w:u w:val="single"/>
        </w:rPr>
        <w:t>W</w:t>
      </w:r>
      <w:r w:rsidRPr="00F6543F">
        <w:rPr>
          <w:szCs w:val="22"/>
          <w:u w:val="single"/>
        </w:rPr>
        <w:t>ithout Notice</w:t>
      </w:r>
      <w:r w:rsidRPr="00F6543F">
        <w:rPr>
          <w:i/>
          <w:szCs w:val="22"/>
        </w:rPr>
        <w:t xml:space="preserve">.  </w:t>
      </w:r>
      <w:r w:rsidRPr="00F6543F" w:rsidR="00ED27EB">
        <w:rPr>
          <w:szCs w:val="22"/>
        </w:rPr>
        <w:t>Se</w:t>
      </w:r>
      <w:r w:rsidRPr="00F6543F">
        <w:rPr>
          <w:szCs w:val="22"/>
        </w:rPr>
        <w:t xml:space="preserve">ction 74.1263(c) of the Rules requires an FM translator licensee to notify the Commission of its intent to discontinue operations for </w:t>
      </w:r>
      <w:r w:rsidRPr="00F6543F" w:rsidR="00237CCE">
        <w:rPr>
          <w:szCs w:val="22"/>
        </w:rPr>
        <w:t>1</w:t>
      </w:r>
      <w:r w:rsidRPr="00F6543F">
        <w:rPr>
          <w:szCs w:val="22"/>
        </w:rPr>
        <w:t>0 or more consecutive days</w:t>
      </w:r>
      <w:r w:rsidRPr="00F6543F" w:rsidR="00317880">
        <w:rPr>
          <w:szCs w:val="22"/>
        </w:rPr>
        <w:t>,</w:t>
      </w:r>
      <w:r w:rsidRPr="00F6543F" w:rsidR="00237CCE">
        <w:rPr>
          <w:szCs w:val="22"/>
        </w:rPr>
        <w:t xml:space="preserve"> and Commission approval is required for such discontinued operation beyond 30 days</w:t>
      </w:r>
      <w:r w:rsidRPr="00F6543F">
        <w:rPr>
          <w:szCs w:val="22"/>
        </w:rPr>
        <w:t>.</w:t>
      </w:r>
      <w:r>
        <w:rPr>
          <w:rStyle w:val="FootnoteReference"/>
          <w:szCs w:val="22"/>
        </w:rPr>
        <w:footnoteReference w:id="45"/>
      </w:r>
      <w:r w:rsidRPr="00F6543F" w:rsidR="00F75E85">
        <w:rPr>
          <w:szCs w:val="22"/>
        </w:rPr>
        <w:t xml:space="preserve">  Section 74.1263(e) of the Rules states that failure to operate for 30 or more consecutive days, except </w:t>
      </w:r>
      <w:r w:rsidRPr="00F6543F" w:rsidR="0091642D">
        <w:rPr>
          <w:szCs w:val="22"/>
        </w:rPr>
        <w:t>under</w:t>
      </w:r>
      <w:r w:rsidRPr="00F6543F" w:rsidR="00F75E85">
        <w:rPr>
          <w:szCs w:val="22"/>
        </w:rPr>
        <w:t xml:space="preserve"> limited circumstances, shall be deemed evidence of discontinuation of operation and subject to</w:t>
      </w:r>
      <w:r w:rsidRPr="00F6543F" w:rsidR="0091642D">
        <w:rPr>
          <w:szCs w:val="22"/>
        </w:rPr>
        <w:t xml:space="preserve"> license </w:t>
      </w:r>
      <w:r w:rsidRPr="00F6543F" w:rsidR="00F75E85">
        <w:rPr>
          <w:szCs w:val="22"/>
        </w:rPr>
        <w:t xml:space="preserve"> cancellation at the discretion of the Commission.</w:t>
      </w:r>
      <w:r>
        <w:rPr>
          <w:rStyle w:val="FootnoteReference"/>
          <w:szCs w:val="22"/>
        </w:rPr>
        <w:footnoteReference w:id="46"/>
      </w:r>
      <w:r w:rsidRPr="00F6543F" w:rsidR="00F75E85">
        <w:rPr>
          <w:szCs w:val="22"/>
        </w:rPr>
        <w:t xml:space="preserve">  </w:t>
      </w:r>
      <w:r w:rsidRPr="00F6543F" w:rsidR="003279A1">
        <w:rPr>
          <w:szCs w:val="22"/>
        </w:rPr>
        <w:t>WOOF</w:t>
      </w:r>
      <w:r w:rsidRPr="00F6543F" w:rsidR="007E4BDC">
        <w:rPr>
          <w:szCs w:val="22"/>
        </w:rPr>
        <w:t>’s Holderfield declares</w:t>
      </w:r>
      <w:r w:rsidRPr="00F6543F" w:rsidR="002F3990">
        <w:rPr>
          <w:szCs w:val="22"/>
        </w:rPr>
        <w:t xml:space="preserve"> </w:t>
      </w:r>
      <w:r w:rsidRPr="00F6543F">
        <w:rPr>
          <w:szCs w:val="22"/>
        </w:rPr>
        <w:t xml:space="preserve">that the </w:t>
      </w:r>
      <w:r w:rsidRPr="00F6543F" w:rsidR="003279A1">
        <w:rPr>
          <w:szCs w:val="22"/>
        </w:rPr>
        <w:t>Translator</w:t>
      </w:r>
      <w:r w:rsidRPr="00F6543F">
        <w:rPr>
          <w:szCs w:val="22"/>
        </w:rPr>
        <w:t xml:space="preserve"> </w:t>
      </w:r>
      <w:r w:rsidRPr="00F6543F" w:rsidR="002F3990">
        <w:rPr>
          <w:szCs w:val="22"/>
        </w:rPr>
        <w:t xml:space="preserve">may have been </w:t>
      </w:r>
      <w:r w:rsidRPr="00F6543F">
        <w:rPr>
          <w:szCs w:val="22"/>
        </w:rPr>
        <w:t xml:space="preserve">off the air </w:t>
      </w:r>
      <w:r w:rsidRPr="00F6543F" w:rsidR="003279A1">
        <w:rPr>
          <w:szCs w:val="22"/>
        </w:rPr>
        <w:t>“well in excess” of</w:t>
      </w:r>
      <w:r w:rsidRPr="00F6543F">
        <w:rPr>
          <w:szCs w:val="22"/>
        </w:rPr>
        <w:t xml:space="preserve"> 30 days </w:t>
      </w:r>
      <w:r w:rsidRPr="00F6543F" w:rsidR="003279A1">
        <w:rPr>
          <w:szCs w:val="22"/>
        </w:rPr>
        <w:t>from November 201</w:t>
      </w:r>
      <w:r w:rsidRPr="00F6543F" w:rsidR="004130B2">
        <w:rPr>
          <w:szCs w:val="22"/>
        </w:rPr>
        <w:t>5</w:t>
      </w:r>
      <w:r w:rsidRPr="00F6543F" w:rsidR="003279A1">
        <w:rPr>
          <w:szCs w:val="22"/>
        </w:rPr>
        <w:t xml:space="preserve"> until September 2016</w:t>
      </w:r>
      <w:r w:rsidRPr="00F6543F">
        <w:rPr>
          <w:szCs w:val="22"/>
        </w:rPr>
        <w:t xml:space="preserve">, but failed to </w:t>
      </w:r>
      <w:r w:rsidRPr="00F6543F">
        <w:rPr>
          <w:szCs w:val="22"/>
        </w:rPr>
        <w:t>notify the Commission and obtain the necessary authorization, as required by the Rules.</w:t>
      </w:r>
      <w:r>
        <w:rPr>
          <w:rStyle w:val="FootnoteReference"/>
          <w:szCs w:val="22"/>
        </w:rPr>
        <w:footnoteReference w:id="47"/>
      </w:r>
      <w:r w:rsidRPr="00F6543F" w:rsidR="007E4BDC">
        <w:rPr>
          <w:szCs w:val="22"/>
        </w:rPr>
        <w:t xml:space="preserve">  AMLLC provides no </w:t>
      </w:r>
      <w:r w:rsidRPr="00F6543F" w:rsidR="00DD0C0B">
        <w:rPr>
          <w:szCs w:val="22"/>
        </w:rPr>
        <w:t>response</w:t>
      </w:r>
      <w:r w:rsidRPr="00F6543F" w:rsidR="00792CAD">
        <w:rPr>
          <w:szCs w:val="22"/>
        </w:rPr>
        <w:t xml:space="preserve"> in the </w:t>
      </w:r>
      <w:r w:rsidRPr="00F6543F" w:rsidR="00420DD1">
        <w:rPr>
          <w:szCs w:val="22"/>
        </w:rPr>
        <w:t xml:space="preserve">WOOF </w:t>
      </w:r>
      <w:r w:rsidRPr="00F6543F" w:rsidR="00792CAD">
        <w:rPr>
          <w:szCs w:val="22"/>
        </w:rPr>
        <w:t xml:space="preserve">Opposition </w:t>
      </w:r>
      <w:r w:rsidRPr="00F6543F" w:rsidR="00986476">
        <w:rPr>
          <w:szCs w:val="22"/>
        </w:rPr>
        <w:t xml:space="preserve">or declarations from its officials under penalty of perjury </w:t>
      </w:r>
      <w:r w:rsidRPr="00F6543F" w:rsidR="007E4BDC">
        <w:rPr>
          <w:szCs w:val="22"/>
        </w:rPr>
        <w:t>to rebut</w:t>
      </w:r>
      <w:r w:rsidRPr="00F6543F" w:rsidR="00BC18E6">
        <w:rPr>
          <w:szCs w:val="22"/>
        </w:rPr>
        <w:t xml:space="preserve"> </w:t>
      </w:r>
      <w:r w:rsidRPr="00F6543F" w:rsidR="007E4BDC">
        <w:rPr>
          <w:szCs w:val="22"/>
        </w:rPr>
        <w:t>Holderfield’s claim.</w:t>
      </w:r>
    </w:p>
    <w:p w:rsidR="00905491" w:rsidRPr="00330E34" w:rsidP="00420DD1" w14:paraId="4CA0FFE3" w14:textId="0D6B79FF">
      <w:pPr>
        <w:pStyle w:val="ParaNum"/>
        <w:ind w:left="0"/>
        <w:rPr>
          <w:snapToGrid/>
        </w:rPr>
      </w:pPr>
      <w:r>
        <w:t xml:space="preserve">Here, the </w:t>
      </w:r>
      <w:r w:rsidR="007D57BE">
        <w:t xml:space="preserve">record </w:t>
      </w:r>
      <w:r>
        <w:t>e</w:t>
      </w:r>
      <w:r w:rsidRPr="00330E34">
        <w:t xml:space="preserve">vidence </w:t>
      </w:r>
      <w:r>
        <w:t xml:space="preserve">indicates </w:t>
      </w:r>
      <w:r w:rsidRPr="00330E34">
        <w:t>that the Translator was silent for nearly 11 months</w:t>
      </w:r>
      <w:r>
        <w:t>, from November 2015 to September 2016,</w:t>
      </w:r>
      <w:r w:rsidRPr="00330E34">
        <w:t xml:space="preserve"> without Commission approval</w:t>
      </w:r>
      <w:r w:rsidR="0084222D">
        <w:t>.</w:t>
      </w:r>
      <w:r>
        <w:t xml:space="preserve">  </w:t>
      </w:r>
      <w:r w:rsidR="0084222D">
        <w:t xml:space="preserve">AMLLC should have filed an STA request </w:t>
      </w:r>
      <w:r w:rsidR="007462C8">
        <w:t xml:space="preserve">seeking approval for the Translator to be silent </w:t>
      </w:r>
      <w:r w:rsidR="0084222D">
        <w:t xml:space="preserve">by </w:t>
      </w:r>
      <w:r w:rsidR="00552886">
        <w:t>December 2</w:t>
      </w:r>
      <w:r w:rsidR="0084222D">
        <w:t>01</w:t>
      </w:r>
      <w:r w:rsidR="00552886">
        <w:t>5,</w:t>
      </w:r>
      <w:r w:rsidR="0084222D">
        <w:t xml:space="preserve"> and again, six </w:t>
      </w:r>
      <w:r w:rsidR="0084222D">
        <w:rPr>
          <w:rStyle w:val="cosearchterm"/>
        </w:rPr>
        <w:t>months</w:t>
      </w:r>
      <w:r w:rsidR="0084222D">
        <w:t xml:space="preserve"> later.  It failed to file </w:t>
      </w:r>
      <w:r w:rsidR="001A78AF">
        <w:t xml:space="preserve">any </w:t>
      </w:r>
      <w:r w:rsidR="0084222D">
        <w:t xml:space="preserve">STA request for that period.  We therefore find that AMLLC apparently </w:t>
      </w:r>
      <w:r w:rsidR="00986476">
        <w:t xml:space="preserve">willfully and repeatedly </w:t>
      </w:r>
      <w:r w:rsidR="0084222D">
        <w:t>violated Section 74.1263(e) of the Rules by remaining silent without authority</w:t>
      </w:r>
      <w:r w:rsidR="00552886">
        <w:t>.</w:t>
      </w:r>
      <w:r w:rsidR="00600DAA">
        <w:t xml:space="preserve">  </w:t>
      </w:r>
      <w:r w:rsidRPr="00D45482" w:rsidR="00D45482">
        <w:rPr>
          <w:szCs w:val="22"/>
        </w:rPr>
        <w:t xml:space="preserve">WOOF is correct that </w:t>
      </w:r>
      <w:r w:rsidR="00045E66">
        <w:rPr>
          <w:szCs w:val="22"/>
        </w:rPr>
        <w:t xml:space="preserve">an </w:t>
      </w:r>
      <w:r w:rsidRPr="00AA73A1" w:rsidR="00D45482">
        <w:rPr>
          <w:color w:val="212121"/>
          <w:szCs w:val="22"/>
        </w:rPr>
        <w:t xml:space="preserve">FM translator station that </w:t>
      </w:r>
      <w:r w:rsidR="00045E66">
        <w:rPr>
          <w:color w:val="212121"/>
          <w:szCs w:val="22"/>
        </w:rPr>
        <w:t>is</w:t>
      </w:r>
      <w:r w:rsidRPr="00AA73A1" w:rsidR="00D45482">
        <w:rPr>
          <w:color w:val="212121"/>
          <w:szCs w:val="22"/>
        </w:rPr>
        <w:t xml:space="preserve"> silent for 30 or more consecutive days without STA </w:t>
      </w:r>
      <w:r w:rsidR="00045E66">
        <w:rPr>
          <w:color w:val="212121"/>
          <w:szCs w:val="22"/>
        </w:rPr>
        <w:t>is</w:t>
      </w:r>
      <w:r w:rsidRPr="00AA73A1" w:rsidR="00D45482">
        <w:rPr>
          <w:color w:val="212121"/>
          <w:szCs w:val="22"/>
        </w:rPr>
        <w:t xml:space="preserve"> considered to have permanently discontinued operations and </w:t>
      </w:r>
      <w:r w:rsidR="00F6543F">
        <w:rPr>
          <w:color w:val="212121"/>
          <w:szCs w:val="22"/>
        </w:rPr>
        <w:t>its</w:t>
      </w:r>
      <w:r w:rsidRPr="00AA73A1" w:rsidR="00D45482">
        <w:rPr>
          <w:color w:val="212121"/>
          <w:szCs w:val="22"/>
        </w:rPr>
        <w:t xml:space="preserve"> authorization can be cancelled at the Commission's discretion</w:t>
      </w:r>
      <w:r w:rsidR="00D45482">
        <w:rPr>
          <w:color w:val="212121"/>
          <w:szCs w:val="22"/>
        </w:rPr>
        <w:t xml:space="preserve"> under Section 74.1263(e) of the Rules</w:t>
      </w:r>
      <w:r w:rsidR="00045E66">
        <w:rPr>
          <w:color w:val="212121"/>
          <w:szCs w:val="22"/>
        </w:rPr>
        <w:t>.</w:t>
      </w:r>
      <w:r>
        <w:rPr>
          <w:rStyle w:val="FootnoteReference"/>
          <w:szCs w:val="22"/>
        </w:rPr>
        <w:footnoteReference w:id="48"/>
      </w:r>
      <w:r w:rsidR="00D45482">
        <w:rPr>
          <w:color w:val="212121"/>
          <w:szCs w:val="22"/>
        </w:rPr>
        <w:t xml:space="preserve"> </w:t>
      </w:r>
      <w:r w:rsidR="00045E66">
        <w:rPr>
          <w:color w:val="212121"/>
          <w:szCs w:val="22"/>
        </w:rPr>
        <w:t xml:space="preserve"> However, </w:t>
      </w:r>
      <w:r w:rsidR="00D45482">
        <w:rPr>
          <w:color w:val="212121"/>
          <w:szCs w:val="22"/>
        </w:rPr>
        <w:t xml:space="preserve">examining the totality of circumstances here, </w:t>
      </w:r>
      <w:r w:rsidRPr="00D45482" w:rsidR="00600DAA">
        <w:rPr>
          <w:szCs w:val="22"/>
        </w:rPr>
        <w:t xml:space="preserve">we </w:t>
      </w:r>
      <w:r w:rsidR="00045E66">
        <w:rPr>
          <w:szCs w:val="22"/>
        </w:rPr>
        <w:t xml:space="preserve">conclude that license cancellation is not the appropriate remedy.  Instead, we </w:t>
      </w:r>
      <w:r w:rsidRPr="00D45482" w:rsidR="00D44720">
        <w:rPr>
          <w:szCs w:val="22"/>
        </w:rPr>
        <w:t xml:space="preserve">will </w:t>
      </w:r>
      <w:r w:rsidRPr="00D45482" w:rsidR="00600DAA">
        <w:rPr>
          <w:szCs w:val="22"/>
        </w:rPr>
        <w:t xml:space="preserve">issue </w:t>
      </w:r>
      <w:r w:rsidRPr="00D45482" w:rsidR="0067621B">
        <w:rPr>
          <w:szCs w:val="22"/>
        </w:rPr>
        <w:t>a forfeiture</w:t>
      </w:r>
      <w:r w:rsidRPr="00D45482" w:rsidR="00600DAA">
        <w:rPr>
          <w:szCs w:val="22"/>
        </w:rPr>
        <w:t xml:space="preserve"> to AMLLC for </w:t>
      </w:r>
      <w:r w:rsidRPr="00D45482" w:rsidR="00E91900">
        <w:rPr>
          <w:szCs w:val="22"/>
        </w:rPr>
        <w:t>its</w:t>
      </w:r>
      <w:r w:rsidRPr="00D45482" w:rsidR="00600DAA">
        <w:rPr>
          <w:szCs w:val="22"/>
        </w:rPr>
        <w:t xml:space="preserve"> </w:t>
      </w:r>
      <w:r w:rsidR="00045E66">
        <w:rPr>
          <w:szCs w:val="22"/>
        </w:rPr>
        <w:t xml:space="preserve">apparent </w:t>
      </w:r>
      <w:r w:rsidRPr="00D45482" w:rsidR="00600DAA">
        <w:rPr>
          <w:szCs w:val="22"/>
        </w:rPr>
        <w:t>violation</w:t>
      </w:r>
      <w:r w:rsidRPr="00D45482" w:rsidR="00331A05">
        <w:rPr>
          <w:szCs w:val="22"/>
        </w:rPr>
        <w:t xml:space="preserve"> of Section</w:t>
      </w:r>
      <w:r w:rsidRPr="00D45482" w:rsidR="00F75E85">
        <w:rPr>
          <w:szCs w:val="22"/>
        </w:rPr>
        <w:t>s</w:t>
      </w:r>
      <w:r w:rsidRPr="00330E34" w:rsidR="00331A05">
        <w:t xml:space="preserve"> 74.1263</w:t>
      </w:r>
      <w:r w:rsidR="00F75E85">
        <w:t xml:space="preserve">(c) and </w:t>
      </w:r>
      <w:r w:rsidRPr="00330E34" w:rsidR="00331A05">
        <w:t>(e)</w:t>
      </w:r>
      <w:r w:rsidR="00D45482">
        <w:t xml:space="preserve"> rather than initiating a revocation proceeding</w:t>
      </w:r>
      <w:r w:rsidRPr="00330E34" w:rsidR="00600DAA">
        <w:t>.</w:t>
      </w:r>
    </w:p>
    <w:p w:rsidR="004B02CB" w:rsidRPr="00600DAA" w:rsidP="00420DD1" w14:paraId="57857D42" w14:textId="7514F745">
      <w:pPr>
        <w:pStyle w:val="ParaNum"/>
        <w:ind w:left="0"/>
        <w:rPr>
          <w:snapToGrid/>
        </w:rPr>
      </w:pPr>
      <w:r w:rsidRPr="00D4142E">
        <w:rPr>
          <w:snapToGrid/>
          <w:u w:val="single"/>
        </w:rPr>
        <w:t>Improper Station Identification</w:t>
      </w:r>
      <w:r w:rsidRPr="00600DAA">
        <w:rPr>
          <w:i/>
          <w:snapToGrid/>
        </w:rPr>
        <w:t xml:space="preserve">. </w:t>
      </w:r>
      <w:r w:rsidR="00D4142E">
        <w:rPr>
          <w:i/>
          <w:snapToGrid/>
        </w:rPr>
        <w:t xml:space="preserve"> </w:t>
      </w:r>
      <w:r w:rsidR="003514BF">
        <w:rPr>
          <w:snapToGrid/>
        </w:rPr>
        <w:t xml:space="preserve">Section 74.1283(c) </w:t>
      </w:r>
      <w:r w:rsidR="00972964">
        <w:rPr>
          <w:snapToGrid/>
        </w:rPr>
        <w:t xml:space="preserve">of the Rules </w:t>
      </w:r>
      <w:r w:rsidRPr="003514BF" w:rsidR="003514BF">
        <w:t>states, in pertinent part</w:t>
      </w:r>
      <w:r w:rsidR="006915DB">
        <w:t xml:space="preserve">, that:  “A </w:t>
      </w:r>
      <w:r w:rsidRPr="003514BF" w:rsidR="006915DB">
        <w:t>translator</w:t>
      </w:r>
      <w:r w:rsidRPr="003514BF" w:rsidR="003514BF">
        <w:t xml:space="preserve"> station authorized under this subpart shall be identified by one of the following methods</w:t>
      </w:r>
      <w:r w:rsidR="003D7047">
        <w:t xml:space="preserve">:  </w:t>
      </w:r>
      <w:r w:rsidRPr="003514BF" w:rsidR="003514BF">
        <w:t>(1) By arranging for the primary station whose station is being rebroadcast to identify the translator station by call sign and location.</w:t>
      </w:r>
      <w:r w:rsidR="006726BC">
        <w:t xml:space="preserve">  </w:t>
      </w:r>
      <w:r w:rsidRPr="003514BF" w:rsidR="003514BF">
        <w:t>Three such identifications shall be made during each day: once between 7 a.m. and 9 a.m., once between 12:55 p.m. and 1:05 p.m. and once between 4 p.m. and 6 p.m.</w:t>
      </w:r>
      <w:r w:rsidR="006915DB">
        <w:t>”</w:t>
      </w:r>
      <w:r>
        <w:rPr>
          <w:rStyle w:val="FootnoteReference"/>
        </w:rPr>
        <w:footnoteReference w:id="49"/>
      </w:r>
      <w:r w:rsidR="003514BF">
        <w:t xml:space="preserve">  </w:t>
      </w:r>
      <w:r w:rsidR="003D78B7">
        <w:t>We</w:t>
      </w:r>
      <w:r w:rsidR="00A051E0">
        <w:t xml:space="preserve"> have reviewed the</w:t>
      </w:r>
      <w:r w:rsidR="0086608E">
        <w:t xml:space="preserve"> compact disc</w:t>
      </w:r>
      <w:r w:rsidR="00A051E0">
        <w:t xml:space="preserve"> submitted by AMLLC</w:t>
      </w:r>
      <w:r w:rsidR="0086608E">
        <w:t xml:space="preserve"> containing </w:t>
      </w:r>
      <w:r w:rsidR="00045E66">
        <w:t>the Translator’s</w:t>
      </w:r>
      <w:r w:rsidR="0086608E">
        <w:t xml:space="preserve"> station identification announcement broadcast three times daily</w:t>
      </w:r>
      <w:r w:rsidR="00223860">
        <w:t>,</w:t>
      </w:r>
      <w:r>
        <w:rPr>
          <w:rStyle w:val="FootnoteReference"/>
        </w:rPr>
        <w:footnoteReference w:id="50"/>
      </w:r>
      <w:r w:rsidR="00223860">
        <w:t xml:space="preserve"> </w:t>
      </w:r>
      <w:r w:rsidR="00654D4C">
        <w:t>and we</w:t>
      </w:r>
      <w:r w:rsidR="00213B82">
        <w:t xml:space="preserve"> find that further discussion of th</w:t>
      </w:r>
      <w:r w:rsidR="003A27AA">
        <w:t xml:space="preserve">is </w:t>
      </w:r>
      <w:r w:rsidR="00213B82">
        <w:t>issue is unwarranted.</w:t>
      </w:r>
    </w:p>
    <w:p w:rsidR="0082259F" w:rsidRPr="0082259F" w:rsidP="003225C0" w14:paraId="4285E860" w14:textId="17A09198">
      <w:pPr>
        <w:pStyle w:val="ParaNum"/>
        <w:widowControl/>
        <w:ind w:left="0"/>
        <w:rPr>
          <w:snapToGrid/>
        </w:rPr>
      </w:pPr>
      <w:r>
        <w:rPr>
          <w:snapToGrid/>
          <w:u w:val="single"/>
        </w:rPr>
        <w:t>Failure to Disclose a Material Fact</w:t>
      </w:r>
      <w:r w:rsidRPr="0057706C" w:rsidR="003A27AA">
        <w:rPr>
          <w:i/>
          <w:snapToGrid/>
        </w:rPr>
        <w:t>.</w:t>
      </w:r>
      <w:r w:rsidRPr="0057706C" w:rsidR="003A27AA">
        <w:rPr>
          <w:b/>
          <w:snapToGrid/>
        </w:rPr>
        <w:t xml:space="preserve">  </w:t>
      </w:r>
      <w:r w:rsidRPr="000A175F" w:rsidR="000A175F">
        <w:t xml:space="preserve">Section 1.17(a)(2) of the </w:t>
      </w:r>
      <w:r w:rsidR="00F36498">
        <w:t>Rules</w:t>
      </w:r>
      <w:r w:rsidRPr="000A175F" w:rsidR="000A175F">
        <w:t xml:space="preserve"> provides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rPr>
        <w:footnoteReference w:id="51"/>
      </w:r>
      <w:r w:rsidR="00F36498">
        <w:t xml:space="preserve">  </w:t>
      </w:r>
      <w:r w:rsidRPr="000A175F" w:rsidR="000A175F">
        <w:t>Even absent an intent to deceive, a false statement may constitute an actionable violation of Section 1.17(a)(2) if it is submitted without a reasonable basis for believing that the statement is correct and not misleading.</w:t>
      </w:r>
      <w:r>
        <w:rPr>
          <w:rStyle w:val="FootnoteReference"/>
        </w:rPr>
        <w:footnoteReference w:id="52"/>
      </w:r>
    </w:p>
    <w:p w:rsidR="00BB2C89" w:rsidRPr="00D4142E" w:rsidP="003225C0" w14:paraId="372325FE" w14:textId="55AFED01">
      <w:pPr>
        <w:pStyle w:val="ParaNum"/>
        <w:widowControl/>
        <w:ind w:left="0"/>
        <w:rPr>
          <w:snapToGrid/>
        </w:rPr>
      </w:pPr>
      <w:r>
        <w:t>AMLLC</w:t>
      </w:r>
      <w:r w:rsidRPr="000A175F" w:rsidR="000A175F">
        <w:t xml:space="preserve"> </w:t>
      </w:r>
      <w:r>
        <w:t xml:space="preserve">acknowledges </w:t>
      </w:r>
      <w:r w:rsidR="00E9523D">
        <w:t xml:space="preserve">in its </w:t>
      </w:r>
      <w:r w:rsidR="00420DD1">
        <w:t xml:space="preserve">WOOF </w:t>
      </w:r>
      <w:r w:rsidR="00E9523D">
        <w:t xml:space="preserve">Opposition </w:t>
      </w:r>
      <w:r>
        <w:t xml:space="preserve">that it made no reference in the CP Application that it had already constructed the Translator with the facilities for which it </w:t>
      </w:r>
      <w:r w:rsidR="00367601">
        <w:t>sought</w:t>
      </w:r>
      <w:r>
        <w:t xml:space="preserve"> </w:t>
      </w:r>
      <w:r w:rsidR="00E9523D">
        <w:t xml:space="preserve">permission </w:t>
      </w:r>
      <w:r>
        <w:t>to construct.</w:t>
      </w:r>
      <w:r w:rsidR="00E9523D">
        <w:t xml:space="preserve">  However, AMLLC argues that it filed the STA Request the following day</w:t>
      </w:r>
      <w:r w:rsidR="00367601">
        <w:t>,</w:t>
      </w:r>
      <w:r w:rsidR="00E9523D">
        <w:t xml:space="preserve"> demonstrating that it was entirely candid about the construction of the Translator at a new site</w:t>
      </w:r>
      <w:r w:rsidR="00367601">
        <w:t>,</w:t>
      </w:r>
      <w:r w:rsidR="00E9523D">
        <w:t xml:space="preserve"> and</w:t>
      </w:r>
      <w:r w:rsidR="00367601">
        <w:t xml:space="preserve"> further noting</w:t>
      </w:r>
      <w:r w:rsidR="00E9523D">
        <w:t xml:space="preserve"> that the FCC’s Enforcement Bureau was already aware of this non-compliance issue.  AMLLC</w:t>
      </w:r>
      <w:r w:rsidRPr="000A175F" w:rsidR="000A175F">
        <w:t xml:space="preserve"> </w:t>
      </w:r>
      <w:r w:rsidR="00377576">
        <w:t xml:space="preserve">also </w:t>
      </w:r>
      <w:r w:rsidRPr="000A175F" w:rsidR="000A175F">
        <w:t xml:space="preserve">claims that </w:t>
      </w:r>
      <w:r w:rsidRPr="000A175F" w:rsidR="000A175F">
        <w:t>th</w:t>
      </w:r>
      <w:r w:rsidR="00E9523D">
        <w:t>is</w:t>
      </w:r>
      <w:r w:rsidRPr="000A175F" w:rsidR="000A175F">
        <w:t xml:space="preserve"> inadvertent error was caused by </w:t>
      </w:r>
      <w:r w:rsidR="00E25CE1">
        <w:t>the considerable financial and administrative burden for a small broadcaster with limited resources in moving three full-power stations to a new site</w:t>
      </w:r>
      <w:r w:rsidR="0057706C">
        <w:t xml:space="preserve">.  </w:t>
      </w:r>
    </w:p>
    <w:p w:rsidR="00BB2C89" w:rsidRPr="001A51C4" w:rsidP="00537798" w14:paraId="61FEC72C" w14:textId="73F17271">
      <w:pPr>
        <w:pStyle w:val="ParaNum"/>
        <w:widowControl/>
        <w:ind w:left="0"/>
        <w:rPr>
          <w:snapToGrid/>
        </w:rPr>
      </w:pPr>
      <w:r w:rsidRPr="001A51C4">
        <w:t>We find that AMLLC failed to disclose a material fact in the CP Application</w:t>
      </w:r>
      <w:r w:rsidR="007462C8">
        <w:t>.</w:t>
      </w:r>
      <w:r>
        <w:rPr>
          <w:rStyle w:val="FootnoteReference"/>
          <w:szCs w:val="22"/>
        </w:rPr>
        <w:footnoteReference w:id="53"/>
      </w:r>
      <w:r w:rsidRPr="001A51C4" w:rsidR="0025324C">
        <w:t xml:space="preserve"> </w:t>
      </w:r>
      <w:r w:rsidR="007462C8">
        <w:t xml:space="preserve"> Neither </w:t>
      </w:r>
      <w:r w:rsidRPr="001A51C4" w:rsidR="0084045F">
        <w:t xml:space="preserve">the subsequent STA Request </w:t>
      </w:r>
      <w:r w:rsidR="007462C8">
        <w:t xml:space="preserve">nor </w:t>
      </w:r>
      <w:r w:rsidRPr="001A51C4" w:rsidR="0084045F">
        <w:t>the Enforcement Bureau</w:t>
      </w:r>
      <w:r w:rsidR="007462C8">
        <w:t>’s</w:t>
      </w:r>
      <w:r w:rsidRPr="001A51C4" w:rsidR="0084045F">
        <w:t xml:space="preserve"> aware</w:t>
      </w:r>
      <w:r w:rsidR="007462C8">
        <w:t>ness</w:t>
      </w:r>
      <w:r w:rsidRPr="001A51C4" w:rsidR="0084045F">
        <w:t xml:space="preserve"> of the</w:t>
      </w:r>
      <w:r w:rsidRPr="001A51C4">
        <w:t xml:space="preserve"> </w:t>
      </w:r>
      <w:r w:rsidR="00420DD1">
        <w:t>Translator</w:t>
      </w:r>
      <w:r w:rsidRPr="001A51C4" w:rsidR="0084045F">
        <w:t>’s unauthorized operation excused</w:t>
      </w:r>
      <w:r w:rsidR="007462C8">
        <w:t xml:space="preserve"> AMLLC</w:t>
      </w:r>
      <w:r w:rsidRPr="001A51C4" w:rsidR="0084045F">
        <w:t xml:space="preserve"> from being completely forthright in the CP Application.</w:t>
      </w:r>
      <w:r w:rsidR="00420DD1">
        <w:t xml:space="preserve">  </w:t>
      </w:r>
      <w:r w:rsidRPr="001A51C4">
        <w:t>As stated in Note 1</w:t>
      </w:r>
      <w:r w:rsidR="009A2BAE">
        <w:t>3</w:t>
      </w:r>
      <w:r w:rsidRPr="001A51C4">
        <w:t xml:space="preserve"> above, AMLLC indicated that it “</w:t>
      </w:r>
      <w:r w:rsidRPr="001A51C4">
        <w:rPr>
          <w:i/>
          <w:snapToGrid/>
          <w:kern w:val="0"/>
        </w:rPr>
        <w:t>proposes to modify</w:t>
      </w:r>
      <w:r w:rsidRPr="001A51C4">
        <w:rPr>
          <w:snapToGrid/>
          <w:kern w:val="0"/>
        </w:rPr>
        <w:t xml:space="preserve"> W299BX by relocating to a different transmit location at Dothan, AL” and that </w:t>
      </w:r>
      <w:r w:rsidR="003F7073">
        <w:rPr>
          <w:snapToGrid/>
          <w:kern w:val="0"/>
        </w:rPr>
        <w:t>“</w:t>
      </w:r>
      <w:r w:rsidRPr="001A51C4" w:rsidR="00D4142E">
        <w:rPr>
          <w:snapToGrid/>
          <w:kern w:val="0"/>
        </w:rPr>
        <w:t>t</w:t>
      </w:r>
      <w:r w:rsidRPr="001A51C4">
        <w:rPr>
          <w:snapToGrid/>
          <w:kern w:val="0"/>
        </w:rPr>
        <w:t xml:space="preserve">he modified W299BX </w:t>
      </w:r>
      <w:r w:rsidRPr="001A51C4">
        <w:rPr>
          <w:i/>
          <w:snapToGrid/>
          <w:kern w:val="0"/>
        </w:rPr>
        <w:t>will be used as a fill-in translator</w:t>
      </w:r>
      <w:r w:rsidRPr="001A51C4">
        <w:rPr>
          <w:snapToGrid/>
          <w:kern w:val="0"/>
        </w:rPr>
        <w:t xml:space="preserve"> for Class D AM station </w:t>
      </w:r>
      <w:r w:rsidRPr="001A51C4" w:rsidR="006218E0">
        <w:rPr>
          <w:snapToGrid/>
          <w:kern w:val="0"/>
        </w:rPr>
        <w:t>WARB</w:t>
      </w:r>
      <w:r w:rsidRPr="001A51C4">
        <w:rPr>
          <w:snapToGrid/>
          <w:kern w:val="0"/>
        </w:rPr>
        <w:t>, 700 kHz, Facility ID Number 23616, licensed to Dothan, AL.</w:t>
      </w:r>
      <w:r w:rsidRPr="001A51C4">
        <w:t xml:space="preserve">”  </w:t>
      </w:r>
      <w:r w:rsidR="007462C8">
        <w:t>The CP Application</w:t>
      </w:r>
      <w:r w:rsidRPr="001A51C4">
        <w:t xml:space="preserve"> failed to state that, in fact, the </w:t>
      </w:r>
      <w:r w:rsidR="00420DD1">
        <w:t>Translator</w:t>
      </w:r>
      <w:r w:rsidRPr="001A51C4">
        <w:t xml:space="preserve"> had been operating with the facilities proposed in the CP Application for more than seven weeks before the CP Application was filed.  This </w:t>
      </w:r>
      <w:r w:rsidR="000E6DB0">
        <w:t xml:space="preserve">omission of material information </w:t>
      </w:r>
      <w:r w:rsidRPr="001A51C4">
        <w:t>would typically warrant an additional forfeiture for violation of Section 1.17 of the Rules.</w:t>
      </w:r>
      <w:r>
        <w:rPr>
          <w:rStyle w:val="FootnoteReference"/>
          <w:szCs w:val="22"/>
        </w:rPr>
        <w:footnoteReference w:id="54"/>
      </w:r>
      <w:r w:rsidRPr="001A51C4">
        <w:t xml:space="preserve">  </w:t>
      </w:r>
      <w:r w:rsidR="0025324C">
        <w:t>However, b</w:t>
      </w:r>
      <w:r w:rsidR="0057706C">
        <w:t xml:space="preserve">ecause AMLLC </w:t>
      </w:r>
      <w:r w:rsidR="0025324C">
        <w:t xml:space="preserve">corrected  </w:t>
      </w:r>
      <w:r w:rsidR="0057706C">
        <w:t xml:space="preserve">the </w:t>
      </w:r>
      <w:r w:rsidR="000E6DB0">
        <w:t>omission</w:t>
      </w:r>
      <w:r w:rsidR="0057706C">
        <w:t xml:space="preserve"> </w:t>
      </w:r>
      <w:r w:rsidR="0025324C">
        <w:t>the next day in the</w:t>
      </w:r>
      <w:r w:rsidR="0057706C">
        <w:t xml:space="preserve"> STA Request, </w:t>
      </w:r>
      <w:r w:rsidRPr="0057706C" w:rsidR="0057706C">
        <w:t xml:space="preserve">we </w:t>
      </w:r>
      <w:r w:rsidR="0025324C">
        <w:t xml:space="preserve">will only </w:t>
      </w:r>
      <w:r w:rsidRPr="0057706C" w:rsidR="0057706C">
        <w:t xml:space="preserve">admonish </w:t>
      </w:r>
      <w:r w:rsidR="0057706C">
        <w:t>AMLLC</w:t>
      </w:r>
      <w:r w:rsidRPr="0057706C" w:rsidR="0057706C">
        <w:t xml:space="preserve"> for </w:t>
      </w:r>
      <w:r w:rsidR="0025324C">
        <w:t>this violation</w:t>
      </w:r>
      <w:r w:rsidRPr="0057706C" w:rsidR="0057706C">
        <w:t>.</w:t>
      </w:r>
      <w:r>
        <w:rPr>
          <w:rStyle w:val="FootnoteReference"/>
        </w:rPr>
        <w:footnoteReference w:id="55"/>
      </w:r>
      <w:r w:rsidR="00420DD1">
        <w:t xml:space="preserve">  </w:t>
      </w:r>
      <w:r w:rsidRPr="0057706C" w:rsidR="0057706C">
        <w:t xml:space="preserve">We caution </w:t>
      </w:r>
      <w:r w:rsidR="0057706C">
        <w:t xml:space="preserve">AMLLC </w:t>
      </w:r>
      <w:r w:rsidRPr="0057706C" w:rsidR="0057706C">
        <w:t>to exercise diligence in ascertaining the accuracy of its certifications because “a false statement, even absent an intent to deceive, may constitute an actionable violation of Section 1.17 of the Rules.”</w:t>
      </w:r>
      <w:r>
        <w:rPr>
          <w:rStyle w:val="FootnoteReference"/>
        </w:rPr>
        <w:footnoteReference w:id="56"/>
      </w:r>
      <w:r w:rsidR="0057706C">
        <w:t xml:space="preserve">   </w:t>
      </w:r>
      <w:r w:rsidR="00E25CE1">
        <w:t xml:space="preserve"> </w:t>
      </w:r>
    </w:p>
    <w:p w:rsidR="00F34647" w:rsidRPr="009A2BAE" w:rsidP="009A2BAE" w14:paraId="40CE698B" w14:textId="5F1A1ED2">
      <w:pPr>
        <w:pStyle w:val="ParaNum"/>
        <w:ind w:left="0"/>
        <w:rPr>
          <w:snapToGrid/>
        </w:rPr>
      </w:pPr>
      <w:r w:rsidRPr="009A2BAE">
        <w:rPr>
          <w:snapToGrid/>
          <w:u w:val="single"/>
        </w:rPr>
        <w:t>Prohibited Business Relationship</w:t>
      </w:r>
      <w:r w:rsidRPr="009A2BAE">
        <w:rPr>
          <w:snapToGrid/>
        </w:rPr>
        <w:t xml:space="preserve">.  </w:t>
      </w:r>
      <w:r w:rsidRPr="009A2BAE" w:rsidR="00451F2D">
        <w:rPr>
          <w:snapToGrid/>
        </w:rPr>
        <w:t xml:space="preserve">Regarding WOOF’s claim </w:t>
      </w:r>
      <w:r w:rsidRPr="009A2BAE" w:rsidR="00D8774A">
        <w:rPr>
          <w:snapToGrid/>
        </w:rPr>
        <w:t xml:space="preserve">that </w:t>
      </w:r>
      <w:r w:rsidRPr="009A2BAE" w:rsidR="00691BDA">
        <w:rPr>
          <w:snapToGrid/>
        </w:rPr>
        <w:t>Carter</w:t>
      </w:r>
      <w:r w:rsidRPr="009A2BAE" w:rsidR="00E22578">
        <w:rPr>
          <w:snapToGrid/>
        </w:rPr>
        <w:t xml:space="preserve">, </w:t>
      </w:r>
      <w:r w:rsidRPr="009A2BAE" w:rsidR="00D8774A">
        <w:rPr>
          <w:snapToGrid/>
        </w:rPr>
        <w:t>the primary station’s licensee</w:t>
      </w:r>
      <w:r w:rsidRPr="009A2BAE" w:rsidR="00E22578">
        <w:rPr>
          <w:snapToGrid/>
        </w:rPr>
        <w:t xml:space="preserve"> </w:t>
      </w:r>
      <w:r w:rsidRPr="009A2BAE" w:rsidR="00881A4E">
        <w:rPr>
          <w:snapToGrid/>
        </w:rPr>
        <w:t xml:space="preserve">and </w:t>
      </w:r>
      <w:r w:rsidRPr="009A2BAE" w:rsidR="00D8774A">
        <w:rPr>
          <w:snapToGrid/>
        </w:rPr>
        <w:t>an employee of AMLLC</w:t>
      </w:r>
      <w:r w:rsidRPr="009A2BAE" w:rsidR="00881A4E">
        <w:rPr>
          <w:snapToGrid/>
        </w:rPr>
        <w:t>,</w:t>
      </w:r>
      <w:r w:rsidRPr="009A2BAE" w:rsidR="00D8774A">
        <w:rPr>
          <w:snapToGrid/>
        </w:rPr>
        <w:t xml:space="preserve"> is evidence of an improper business relationship </w:t>
      </w:r>
      <w:r w:rsidRPr="009A2BAE" w:rsidR="00377576">
        <w:rPr>
          <w:snapToGrid/>
        </w:rPr>
        <w:t xml:space="preserve">in </w:t>
      </w:r>
      <w:r w:rsidRPr="009A2BAE" w:rsidR="00D8774A">
        <w:rPr>
          <w:snapToGrid/>
        </w:rPr>
        <w:t>violation of S</w:t>
      </w:r>
      <w:r w:rsidRPr="009A2BAE" w:rsidR="00085164">
        <w:t>ection 74.1232 of the Rules</w:t>
      </w:r>
      <w:r w:rsidRPr="009A2BAE" w:rsidR="00D8774A">
        <w:t xml:space="preserve">, we disagree.  Section 74.1232(d) of the Rules </w:t>
      </w:r>
      <w:r w:rsidRPr="00D8774A" w:rsidR="00D8774A">
        <w:t>prohibits “any person or entity having an interest whatsoever, or any connection with a primary FM station” from holding a license for an FM translator station whose coverage contour extends beyond the protected contour of the commercial primary station.</w:t>
      </w:r>
      <w:r>
        <w:rPr>
          <w:rStyle w:val="FootnoteReference"/>
        </w:rPr>
        <w:footnoteReference w:id="57"/>
      </w:r>
      <w:r w:rsidR="00D8774A">
        <w:t xml:space="preserve">  </w:t>
      </w:r>
      <w:r w:rsidR="00881A4E">
        <w:t xml:space="preserve">Here, </w:t>
      </w:r>
      <w:r w:rsidR="00D8774A">
        <w:t>the Translator</w:t>
      </w:r>
      <w:r w:rsidRPr="00D8774A" w:rsidR="00D8774A">
        <w:t xml:space="preserve">'s coverage contour does not extend beyond the protected contour of primary </w:t>
      </w:r>
      <w:r w:rsidR="00377576">
        <w:t xml:space="preserve">AM </w:t>
      </w:r>
      <w:r w:rsidRPr="00D8774A" w:rsidR="00D8774A">
        <w:t xml:space="preserve">station </w:t>
      </w:r>
      <w:r w:rsidR="006218E0">
        <w:t>WARB</w:t>
      </w:r>
      <w:r w:rsidRPr="00D8774A" w:rsidR="00D8774A">
        <w:t>.</w:t>
      </w:r>
      <w:r w:rsidR="00377576">
        <w:t xml:space="preserve">  </w:t>
      </w:r>
      <w:r w:rsidRPr="00D8774A" w:rsidR="00D8774A">
        <w:t xml:space="preserve">Therefore, </w:t>
      </w:r>
      <w:r w:rsidR="00D8774A">
        <w:t xml:space="preserve">the Translator </w:t>
      </w:r>
      <w:r w:rsidRPr="00D8774A" w:rsidR="00D8774A">
        <w:t xml:space="preserve">is properly classified as a fill-in translator station with regard to </w:t>
      </w:r>
      <w:r w:rsidR="006218E0">
        <w:t>WARB</w:t>
      </w:r>
      <w:r w:rsidR="00D8774A">
        <w:t>(AM)</w:t>
      </w:r>
      <w:r w:rsidRPr="00D8774A" w:rsidR="00D8774A">
        <w:t xml:space="preserve"> and is not subject to the ownership restrictions set forth in Section 74.1232(d). </w:t>
      </w:r>
      <w:r w:rsidR="00D8774A">
        <w:t xml:space="preserve"> </w:t>
      </w:r>
      <w:r w:rsidRPr="00D8774A" w:rsidR="00D8774A">
        <w:t xml:space="preserve">As a result, </w:t>
      </w:r>
      <w:r w:rsidR="00D8774A">
        <w:t>Carter</w:t>
      </w:r>
      <w:r w:rsidRPr="00D8774A" w:rsidR="00D8774A">
        <w:t xml:space="preserve">'s employment at </w:t>
      </w:r>
      <w:r w:rsidR="00D8774A">
        <w:t>AMLLC</w:t>
      </w:r>
      <w:r w:rsidRPr="00D8774A" w:rsidR="00D8774A">
        <w:t xml:space="preserve"> </w:t>
      </w:r>
      <w:r w:rsidR="00D8774A">
        <w:t>is not a prohibited business relationship pursuant to the Rules.</w:t>
      </w:r>
      <w:r>
        <w:rPr>
          <w:rStyle w:val="FootnoteReference"/>
        </w:rPr>
        <w:footnoteReference w:id="58"/>
      </w:r>
      <w:r w:rsidR="00F34B9A">
        <w:t xml:space="preserve">  </w:t>
      </w:r>
    </w:p>
    <w:p w:rsidR="0036422A" w:rsidRPr="00B01933" w:rsidP="00CA7214" w14:paraId="5A5BD544" w14:textId="7C1D8258">
      <w:pPr>
        <w:pStyle w:val="ParaNum"/>
        <w:ind w:left="0"/>
        <w:rPr>
          <w:snapToGrid/>
        </w:rPr>
      </w:pPr>
      <w:r>
        <w:t xml:space="preserve">Regarding WOOF’s unsubstantiated </w:t>
      </w:r>
      <w:r w:rsidR="00881A4E">
        <w:t>inference</w:t>
      </w:r>
      <w:r>
        <w:t xml:space="preserve"> that the business relationships of Robert Holladay’s AMLLC, brother Clay Holladay’s Gulf</w:t>
      </w:r>
      <w:r w:rsidR="002C27CD">
        <w:t xml:space="preserve"> South</w:t>
      </w:r>
      <w:r w:rsidR="00C95A8B">
        <w:t xml:space="preserve"> (which WOOF claims also owns four stations in the market)</w:t>
      </w:r>
      <w:r>
        <w:t>,</w:t>
      </w:r>
      <w:r>
        <w:rPr>
          <w:rStyle w:val="FootnoteReference"/>
        </w:rPr>
        <w:footnoteReference w:id="59"/>
      </w:r>
      <w:r>
        <w:t xml:space="preserve"> and Carter’s Alarado, should be investigated by the Commission for possible violation</w:t>
      </w:r>
      <w:r w:rsidR="00B01933">
        <w:t>s</w:t>
      </w:r>
      <w:r>
        <w:t xml:space="preserve"> of the local radio multiple ownership rules, we disagree.</w:t>
      </w:r>
      <w:r>
        <w:rPr>
          <w:rStyle w:val="FootnoteReference"/>
        </w:rPr>
        <w:footnoteReference w:id="60"/>
      </w:r>
      <w:r w:rsidR="0084477F">
        <w:t xml:space="preserve">  </w:t>
      </w:r>
      <w:r w:rsidR="000559DC">
        <w:t>WOOF’s allegations would be relevant to our evaluation of the referenced applications if it presented facts indicating that Clay Holladay has interests in or involvement with AM</w:t>
      </w:r>
      <w:r w:rsidR="006E55A5">
        <w:t>L</w:t>
      </w:r>
      <w:r w:rsidR="000559DC">
        <w:t xml:space="preserve">LC.  </w:t>
      </w:r>
      <w:r w:rsidR="006E55A5">
        <w:t xml:space="preserve">Here, </w:t>
      </w:r>
      <w:r w:rsidR="00261670">
        <w:t xml:space="preserve">the Bureau has already investigated and rejected similar claims, and </w:t>
      </w:r>
      <w:r w:rsidR="006E55A5">
        <w:t>WOOF</w:t>
      </w:r>
      <w:r w:rsidR="000559DC">
        <w:t xml:space="preserve"> presents no facts, other than the familial relationship, showing that Clay Holladay has any interest or </w:t>
      </w:r>
      <w:r w:rsidR="006E55A5">
        <w:t>involvement</w:t>
      </w:r>
      <w:r w:rsidR="000559DC">
        <w:t xml:space="preserve"> in the operation of </w:t>
      </w:r>
      <w:r w:rsidR="006E55A5">
        <w:t>AMLLC’s</w:t>
      </w:r>
      <w:r w:rsidR="000559DC">
        <w:t xml:space="preserve"> </w:t>
      </w:r>
      <w:r w:rsidR="006E55A5">
        <w:t>s</w:t>
      </w:r>
      <w:r w:rsidR="000559DC">
        <w:t>tations</w:t>
      </w:r>
      <w:r w:rsidR="00AA5535">
        <w:t xml:space="preserve">, or that Robert Halladay has any interest or involvement in </w:t>
      </w:r>
      <w:r w:rsidR="00DC1809">
        <w:t>Gulf South</w:t>
      </w:r>
      <w:r w:rsidR="00AA5535">
        <w:t>’s stations</w:t>
      </w:r>
      <w:r w:rsidR="000559DC">
        <w:t>.</w:t>
      </w:r>
      <w:r>
        <w:rPr>
          <w:rStyle w:val="FootnoteReference"/>
        </w:rPr>
        <w:footnoteReference w:id="61"/>
      </w:r>
      <w:r w:rsidR="006E55A5">
        <w:t xml:space="preserve">  </w:t>
      </w:r>
      <w:r w:rsidR="00282156">
        <w:t xml:space="preserve">Accordingly, further discussion of this issue is unwarranted. </w:t>
      </w:r>
      <w:r w:rsidR="00B01933">
        <w:t xml:space="preserve">  </w:t>
      </w:r>
      <w:r>
        <w:t xml:space="preserve">   </w:t>
      </w:r>
    </w:p>
    <w:p w:rsidR="00B01933" w:rsidRPr="0057706C" w:rsidP="00CA7214" w14:paraId="10118086" w14:textId="06815895">
      <w:pPr>
        <w:pStyle w:val="ParaNum"/>
        <w:ind w:left="0"/>
        <w:rPr>
          <w:snapToGrid/>
        </w:rPr>
      </w:pPr>
      <w:r w:rsidRPr="00AA73A1">
        <w:rPr>
          <w:i/>
          <w:snapToGrid/>
        </w:rPr>
        <w:t>Fox Objection</w:t>
      </w:r>
      <w:r w:rsidRPr="00D4142E" w:rsidR="007064E5">
        <w:rPr>
          <w:i/>
          <w:snapToGrid/>
        </w:rPr>
        <w:t>.</w:t>
      </w:r>
      <w:r w:rsidRPr="00C44349" w:rsidR="007064E5">
        <w:rPr>
          <w:snapToGrid/>
        </w:rPr>
        <w:t xml:space="preserve">  </w:t>
      </w:r>
      <w:r>
        <w:rPr>
          <w:snapToGrid/>
        </w:rPr>
        <w:t xml:space="preserve">Regarding Fox’s claim that the Translator </w:t>
      </w:r>
      <w:r w:rsidR="00947A82">
        <w:rPr>
          <w:snapToGrid/>
        </w:rPr>
        <w:t xml:space="preserve">is causing “actual interference” to Fox’s WFXX(FM) in violation of Section 74.1203 of the Rules, we </w:t>
      </w:r>
      <w:r w:rsidR="000E6DB0">
        <w:rPr>
          <w:snapToGrid/>
        </w:rPr>
        <w:t>find that Fox has failed to make such a showing</w:t>
      </w:r>
      <w:r w:rsidR="00947A82">
        <w:rPr>
          <w:snapToGrid/>
        </w:rPr>
        <w:t xml:space="preserve">.  </w:t>
      </w:r>
      <w:r w:rsidR="00947A82">
        <w:t xml:space="preserve">Under Section 74.1203(a), objectionable interference occurs when a translator station interferes with the “direct reception by the public.”  Thus, only a complaint from a </w:t>
      </w:r>
      <w:r w:rsidR="00947A82">
        <w:rPr>
          <w:rStyle w:val="Emphasis"/>
        </w:rPr>
        <w:t>bona fide</w:t>
      </w:r>
      <w:r w:rsidR="00947A82">
        <w:t xml:space="preserve"> listener of the desired station can force a translator station off the air.</w:t>
      </w:r>
      <w:r>
        <w:rPr>
          <w:rStyle w:val="FootnoteReference"/>
        </w:rPr>
        <w:footnoteReference w:id="62"/>
      </w:r>
      <w:r w:rsidR="00947A82">
        <w:t xml:space="preserve">  </w:t>
      </w:r>
      <w:r w:rsidR="009E30F2">
        <w:t>In addition</w:t>
      </w:r>
      <w:r w:rsidRPr="00947A82" w:rsidR="00947A82">
        <w:t>, the staff has considered only those complaints of translator interference where the complaining listener cooperates in efforts to identify the source of interference and accepts reasonable corrective measures.</w:t>
      </w:r>
      <w:r>
        <w:rPr>
          <w:rStyle w:val="FootnoteReference"/>
        </w:rPr>
        <w:footnoteReference w:id="63"/>
      </w:r>
      <w:r w:rsidR="004D0ADB">
        <w:t xml:space="preserve">  </w:t>
      </w:r>
      <w:r w:rsidR="004450CB">
        <w:t xml:space="preserve">For instance, “on-off” </w:t>
      </w:r>
      <w:r w:rsidRPr="00947A82" w:rsidR="00947A82">
        <w:t>tests may be required on a case-by-case basis to determine whether the translator is the source of the alleged interference.</w:t>
      </w:r>
      <w:r>
        <w:rPr>
          <w:rStyle w:val="FootnoteReference"/>
        </w:rPr>
        <w:footnoteReference w:id="64"/>
      </w:r>
      <w:r w:rsidR="004D0ADB">
        <w:t xml:space="preserve">  </w:t>
      </w:r>
      <w:r w:rsidR="004A14CD">
        <w:t xml:space="preserve">We note that </w:t>
      </w:r>
      <w:r w:rsidRPr="004A14CD" w:rsidR="004A14CD">
        <w:t xml:space="preserve">Section 74.1203(a) complaints are often marked by prolonged, contentious proceedings centered around allegations that complainants were not “bona fide,” that interference </w:t>
      </w:r>
      <w:r w:rsidRPr="004A14CD" w:rsidR="004A14CD">
        <w:t>locations were not properly identified, that complainants did not cooperate with remediation attempts, etc.</w:t>
      </w:r>
      <w:r>
        <w:rPr>
          <w:rStyle w:val="FootnoteReference"/>
        </w:rPr>
        <w:footnoteReference w:id="65"/>
      </w:r>
      <w:r w:rsidR="004A14CD">
        <w:t xml:space="preserve">  </w:t>
      </w:r>
      <w:r w:rsidR="007C4506">
        <w:t xml:space="preserve">Here, </w:t>
      </w:r>
      <w:r w:rsidR="000B5920">
        <w:t>the record indicates</w:t>
      </w:r>
      <w:r w:rsidR="007C4506">
        <w:t xml:space="preserve"> that AMLLC made a good faith attempt</w:t>
      </w:r>
      <w:r w:rsidR="000B5920">
        <w:t>,</w:t>
      </w:r>
      <w:r w:rsidR="007C4506">
        <w:t xml:space="preserve"> without success</w:t>
      </w:r>
      <w:r w:rsidR="000B5920">
        <w:t>,</w:t>
      </w:r>
      <w:r w:rsidR="007C4506">
        <w:t xml:space="preserve"> to contact</w:t>
      </w:r>
      <w:r w:rsidR="000B5920">
        <w:t xml:space="preserve"> each of</w:t>
      </w:r>
      <w:r w:rsidR="007C4506">
        <w:t xml:space="preserve"> the listener complainants in the Fox Objection to alleviate their alleged interference concerns.  </w:t>
      </w:r>
      <w:r w:rsidR="004A14CD">
        <w:t xml:space="preserve">Accordingly, we find that Fox has not provided evidence of “actual interference” in the form of </w:t>
      </w:r>
      <w:r w:rsidRPr="004A14CD" w:rsidR="004A14CD">
        <w:rPr>
          <w:i/>
        </w:rPr>
        <w:t>bona fide</w:t>
      </w:r>
      <w:r w:rsidR="004A14CD">
        <w:t xml:space="preserve"> listener complaints and that further discussion of this issue i</w:t>
      </w:r>
      <w:r w:rsidR="000E6DB0">
        <w:t>s</w:t>
      </w:r>
      <w:r w:rsidR="004A14CD">
        <w:t xml:space="preserve"> unwarranted.</w:t>
      </w:r>
      <w:r w:rsidRPr="00947A82" w:rsidR="00947A82">
        <w:t xml:space="preserve"> </w:t>
      </w:r>
      <w:r w:rsidR="008158CD">
        <w:t xml:space="preserve"> </w:t>
      </w:r>
      <w:r w:rsidRPr="00F64D34" w:rsidR="00F64D34">
        <w:t xml:space="preserve">We note, however, that should the </w:t>
      </w:r>
      <w:r w:rsidR="008158CD">
        <w:t>T</w:t>
      </w:r>
      <w:r w:rsidRPr="00F64D34" w:rsidR="00F64D34">
        <w:t>ranslator cause actual interference to W</w:t>
      </w:r>
      <w:r w:rsidR="008158CD">
        <w:t>FXX(</w:t>
      </w:r>
      <w:r w:rsidRPr="00F64D34" w:rsidR="00F64D34">
        <w:t>FM) or any other full-service station</w:t>
      </w:r>
      <w:r w:rsidR="000E6DB0">
        <w:t xml:space="preserve"> under the standard set forth in our Rules</w:t>
      </w:r>
      <w:r w:rsidRPr="00F64D34" w:rsidR="00F64D34">
        <w:t xml:space="preserve">, </w:t>
      </w:r>
      <w:r w:rsidR="009E30F2">
        <w:t>AMLLC</w:t>
      </w:r>
      <w:r w:rsidR="008158CD">
        <w:t xml:space="preserve"> </w:t>
      </w:r>
      <w:r w:rsidR="009E30F2">
        <w:t>w</w:t>
      </w:r>
      <w:r w:rsidRPr="00F64D34" w:rsidR="00F64D34">
        <w:t>ill be required to eliminate the interference or cease operation.</w:t>
      </w:r>
      <w:r w:rsidR="00947A82">
        <w:t xml:space="preserve"> </w:t>
      </w:r>
      <w:r w:rsidR="00947A82">
        <w:rPr>
          <w:snapToGrid/>
        </w:rPr>
        <w:t xml:space="preserve">   </w:t>
      </w:r>
    </w:p>
    <w:p w:rsidR="00E57A15" w:rsidRPr="00D4142E" w:rsidP="00CA7214" w14:paraId="2432219C" w14:textId="03FCA41C">
      <w:pPr>
        <w:pStyle w:val="ParaNum"/>
        <w:widowControl/>
        <w:ind w:left="0"/>
        <w:rPr>
          <w:snapToGrid/>
          <w:kern w:val="0"/>
          <w:sz w:val="24"/>
          <w:szCs w:val="24"/>
        </w:rPr>
      </w:pPr>
      <w:r w:rsidRPr="00775E89">
        <w:rPr>
          <w:i/>
          <w:szCs w:val="22"/>
        </w:rPr>
        <w:t xml:space="preserve">Proposed Forfeiture.  </w:t>
      </w:r>
      <w:r w:rsidRPr="00775E89" w:rsidR="00D87A5C">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66"/>
      </w:r>
      <w:r w:rsidRPr="00775E89" w:rsidR="00D87A5C">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67"/>
      </w:r>
      <w:r w:rsidRPr="00775E89" w:rsidR="00D87A5C">
        <w:rPr>
          <w:szCs w:val="22"/>
        </w:rPr>
        <w:t xml:space="preserve">  The legislative history to Section 312(f)(1) of the Act clarifies that this definition of willful applies to both Sections 312 and 503(b) of the Act,</w:t>
      </w:r>
      <w:r>
        <w:rPr>
          <w:rStyle w:val="FootnoteReference"/>
          <w:szCs w:val="22"/>
        </w:rPr>
        <w:footnoteReference w:id="68"/>
      </w:r>
      <w:r w:rsidRPr="00775E89" w:rsidR="00D87A5C">
        <w:rPr>
          <w:szCs w:val="22"/>
        </w:rPr>
        <w:t xml:space="preserve"> and the Commission has so interpreted the term in the Section 503(b) context.</w:t>
      </w:r>
      <w:r>
        <w:rPr>
          <w:rStyle w:val="FootnoteReference"/>
          <w:szCs w:val="22"/>
        </w:rPr>
        <w:footnoteReference w:id="69"/>
      </w:r>
      <w:r w:rsidRPr="00775E89" w:rsidR="00D87A5C">
        <w:rPr>
          <w:szCs w:val="22"/>
        </w:rPr>
        <w:t xml:space="preserve">  Section 312(f)(2) of the Act provides that </w:t>
      </w:r>
      <w:r w:rsidRPr="00775E89" w:rsidR="00441E04">
        <w:rPr>
          <w:szCs w:val="22"/>
        </w:rPr>
        <w:t>“[t]he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70"/>
      </w:r>
      <w:r w:rsidR="007C4506">
        <w:rPr>
          <w:szCs w:val="22"/>
        </w:rPr>
        <w:t xml:space="preserve">  </w:t>
      </w:r>
      <w:r w:rsidRPr="00E57A15" w:rsidR="00044DAE">
        <w:rPr>
          <w:szCs w:val="22"/>
        </w:rPr>
        <w:t>The</w:t>
      </w:r>
      <w:r w:rsidRPr="00E57A15" w:rsidR="00044DAE">
        <w:rPr>
          <w:i/>
          <w:szCs w:val="22"/>
        </w:rPr>
        <w:t xml:space="preserve"> </w:t>
      </w:r>
      <w:r w:rsidRPr="00E57A15" w:rsidR="00044DAE">
        <w:rPr>
          <w:szCs w:val="22"/>
        </w:rPr>
        <w:t>Commission’s</w:t>
      </w:r>
      <w:r w:rsidRPr="00E57A15" w:rsidR="00044DAE">
        <w:rPr>
          <w:i/>
          <w:szCs w:val="22"/>
        </w:rPr>
        <w:t xml:space="preserve"> Forfeiture Policy Statement</w:t>
      </w:r>
      <w:r w:rsidRPr="00E57A15" w:rsidR="00044DAE">
        <w:rPr>
          <w:szCs w:val="22"/>
        </w:rPr>
        <w:t xml:space="preserve">, Section 1.80 of the Rules, and Section 503(b)(2)(A) of the Act establish Commission guidelines for assessing </w:t>
      </w:r>
      <w:r w:rsidRPr="002D0FA3" w:rsidR="00044DAE">
        <w:rPr>
          <w:szCs w:val="22"/>
        </w:rPr>
        <w:t>forfeitures.</w:t>
      </w:r>
      <w:r>
        <w:rPr>
          <w:rStyle w:val="FootnoteTextChar2"/>
          <w:szCs w:val="22"/>
          <w:vertAlign w:val="superscript"/>
        </w:rPr>
        <w:footnoteReference w:id="71"/>
      </w:r>
      <w:r w:rsidRPr="00514754" w:rsidR="00044DAE">
        <w:rPr>
          <w:szCs w:val="22"/>
          <w:vertAlign w:val="superscript"/>
        </w:rPr>
        <w:t xml:space="preserve"> </w:t>
      </w:r>
      <w:r w:rsidRPr="00E57A15" w:rsidR="00044DAE">
        <w:rPr>
          <w:szCs w:val="22"/>
        </w:rPr>
        <w:t xml:space="preserve"> These guidelines, however, do not enumerate a base forfeiture amount for </w:t>
      </w:r>
      <w:r w:rsidRPr="002D0FA3" w:rsidR="00044DAE">
        <w:rPr>
          <w:snapToGrid/>
          <w:kern w:val="0"/>
          <w:szCs w:val="22"/>
        </w:rPr>
        <w:t>an FM translator's originating programming in excess of the limits prescribed in Section</w:t>
      </w:r>
      <w:r w:rsidRPr="00B2110D" w:rsidR="00881A4E">
        <w:rPr>
          <w:snapToGrid/>
          <w:kern w:val="0"/>
          <w:szCs w:val="22"/>
        </w:rPr>
        <w:t>s</w:t>
      </w:r>
      <w:r w:rsidRPr="00B2110D" w:rsidR="00044DAE">
        <w:rPr>
          <w:snapToGrid/>
          <w:kern w:val="0"/>
          <w:szCs w:val="22"/>
        </w:rPr>
        <w:t xml:space="preserve"> 74.1231 </w:t>
      </w:r>
      <w:r w:rsidRPr="00B2110D" w:rsidR="00881A4E">
        <w:rPr>
          <w:snapToGrid/>
          <w:kern w:val="0"/>
          <w:szCs w:val="22"/>
        </w:rPr>
        <w:t xml:space="preserve">and 74.1263(b) </w:t>
      </w:r>
      <w:r w:rsidRPr="00B2110D" w:rsidR="00044DAE">
        <w:rPr>
          <w:snapToGrid/>
          <w:kern w:val="0"/>
          <w:szCs w:val="22"/>
        </w:rPr>
        <w:t>of the Rules.</w:t>
      </w:r>
      <w:r w:rsidRPr="00B2110D" w:rsidR="00775E89">
        <w:rPr>
          <w:snapToGrid/>
          <w:kern w:val="0"/>
          <w:szCs w:val="22"/>
        </w:rPr>
        <w:t xml:space="preserve">  They do, however, set a base forfeiture amount of $4,000 for “unauthorized emissions</w:t>
      </w:r>
      <w:r w:rsidR="003D248F">
        <w:rPr>
          <w:snapToGrid/>
          <w:kern w:val="0"/>
          <w:szCs w:val="22"/>
        </w:rPr>
        <w:t>.</w:t>
      </w:r>
      <w:r w:rsidRPr="00B2110D" w:rsidR="00775E89">
        <w:rPr>
          <w:snapToGrid/>
          <w:kern w:val="0"/>
          <w:szCs w:val="22"/>
        </w:rPr>
        <w:t>”</w:t>
      </w:r>
      <w:r>
        <w:rPr>
          <w:rStyle w:val="FootnoteTextChar2"/>
          <w:snapToGrid/>
          <w:kern w:val="0"/>
          <w:szCs w:val="22"/>
          <w:vertAlign w:val="superscript"/>
        </w:rPr>
        <w:footnoteReference w:id="72"/>
      </w:r>
      <w:r w:rsidRPr="00E57A15">
        <w:rPr>
          <w:snapToGrid/>
          <w:kern w:val="0"/>
          <w:szCs w:val="22"/>
        </w:rPr>
        <w:t xml:space="preserve">  </w:t>
      </w:r>
      <w:r w:rsidRPr="00E57A15">
        <w:rPr>
          <w:szCs w:val="22"/>
        </w:rPr>
        <w:t>In determining the appropriate forfeiture amount, we may adjust the base amount upward or downward by considering the factors enumerated in Section 503(b)(2)(D) of the Act, including “the nature, circumstances, extent and gravity of the violation, and, wit</w:t>
      </w:r>
      <w:r w:rsidRPr="002D0FA3">
        <w:rPr>
          <w:szCs w:val="22"/>
        </w:rPr>
        <w:t>h respect to the violator, the degree of culpability, any history of prior offenses, ability to pay, and such other matters as justice may require.”</w:t>
      </w:r>
      <w:r>
        <w:rPr>
          <w:rStyle w:val="FootnoteReference"/>
          <w:szCs w:val="22"/>
        </w:rPr>
        <w:footnoteReference w:id="73"/>
      </w:r>
      <w:r w:rsidRPr="00E57A15" w:rsidR="00700929">
        <w:rPr>
          <w:snapToGrid/>
          <w:kern w:val="0"/>
          <w:szCs w:val="22"/>
        </w:rPr>
        <w:t xml:space="preserve"> </w:t>
      </w:r>
    </w:p>
    <w:p w:rsidR="00AD4331" w:rsidRPr="00AA73A1" w:rsidP="00CA7214" w14:paraId="5D3C8552" w14:textId="5EDA53F1">
      <w:pPr>
        <w:pStyle w:val="ParaNum"/>
        <w:widowControl/>
        <w:ind w:left="0"/>
        <w:rPr>
          <w:snapToGrid/>
          <w:kern w:val="0"/>
          <w:sz w:val="24"/>
          <w:szCs w:val="24"/>
        </w:rPr>
      </w:pPr>
      <w:r w:rsidRPr="00E57A15">
        <w:rPr>
          <w:snapToGrid/>
          <w:kern w:val="0"/>
          <w:szCs w:val="22"/>
        </w:rPr>
        <w:t xml:space="preserve">As noted above, it is uncontested that unauthorized programming originated on the </w:t>
      </w:r>
      <w:r w:rsidRPr="00E57A15" w:rsidR="004D0ADB">
        <w:rPr>
          <w:snapToGrid/>
          <w:kern w:val="0"/>
          <w:szCs w:val="22"/>
        </w:rPr>
        <w:t xml:space="preserve">Translator </w:t>
      </w:r>
      <w:r w:rsidRPr="00E57A15" w:rsidR="000F382F">
        <w:rPr>
          <w:snapToGrid/>
          <w:kern w:val="0"/>
          <w:szCs w:val="22"/>
        </w:rPr>
        <w:t>over several days</w:t>
      </w:r>
      <w:r w:rsidRPr="00E57A15">
        <w:rPr>
          <w:snapToGrid/>
          <w:kern w:val="0"/>
          <w:szCs w:val="22"/>
        </w:rPr>
        <w:t>, apparently with</w:t>
      </w:r>
      <w:r w:rsidRPr="00E57A15" w:rsidR="004D0ADB">
        <w:rPr>
          <w:snapToGrid/>
          <w:kern w:val="0"/>
          <w:szCs w:val="22"/>
        </w:rPr>
        <w:t xml:space="preserve"> AMLLC</w:t>
      </w:r>
      <w:r w:rsidRPr="00E57A15">
        <w:rPr>
          <w:snapToGrid/>
          <w:kern w:val="0"/>
          <w:szCs w:val="22"/>
        </w:rPr>
        <w:t xml:space="preserve">'s knowledge. </w:t>
      </w:r>
      <w:r w:rsidRPr="00E57A15" w:rsidR="000F382F">
        <w:rPr>
          <w:snapToGrid/>
          <w:kern w:val="0"/>
          <w:szCs w:val="22"/>
        </w:rPr>
        <w:t xml:space="preserve"> </w:t>
      </w:r>
      <w:r w:rsidRPr="00E57A15">
        <w:rPr>
          <w:snapToGrid/>
          <w:kern w:val="0"/>
          <w:szCs w:val="22"/>
        </w:rPr>
        <w:t xml:space="preserve">Taking into consideration these facts </w:t>
      </w:r>
      <w:r w:rsidRPr="00E57A15">
        <w:rPr>
          <w:snapToGrid/>
          <w:kern w:val="0"/>
          <w:szCs w:val="22"/>
        </w:rPr>
        <w:t>and the factors requ</w:t>
      </w:r>
      <w:r w:rsidRPr="002D0FA3">
        <w:rPr>
          <w:snapToGrid/>
          <w:kern w:val="0"/>
          <w:szCs w:val="22"/>
        </w:rPr>
        <w:t xml:space="preserve">ired by Section 503(b)(2)(D) of the Act and the </w:t>
      </w:r>
      <w:r w:rsidRPr="002D0FA3">
        <w:rPr>
          <w:i/>
          <w:iCs/>
          <w:snapToGrid/>
          <w:kern w:val="0"/>
          <w:szCs w:val="22"/>
        </w:rPr>
        <w:t>Forfeiture Policy Statement</w:t>
      </w:r>
      <w:r w:rsidRPr="00B2110D">
        <w:rPr>
          <w:snapToGrid/>
          <w:kern w:val="0"/>
          <w:szCs w:val="22"/>
        </w:rPr>
        <w:t>, we propose a forfeiture in the amount of $4,</w:t>
      </w:r>
      <w:r w:rsidRPr="00B2110D" w:rsidR="000F382F">
        <w:rPr>
          <w:snapToGrid/>
          <w:kern w:val="0"/>
          <w:szCs w:val="22"/>
        </w:rPr>
        <w:t>000</w:t>
      </w:r>
      <w:r w:rsidR="00566FBA">
        <w:rPr>
          <w:snapToGrid/>
          <w:kern w:val="0"/>
          <w:szCs w:val="22"/>
        </w:rPr>
        <w:t xml:space="preserve"> for unauthorized programming</w:t>
      </w:r>
      <w:r w:rsidRPr="00B2110D" w:rsidR="000F382F">
        <w:rPr>
          <w:snapToGrid/>
          <w:kern w:val="0"/>
          <w:szCs w:val="22"/>
        </w:rPr>
        <w:t>.</w:t>
      </w:r>
      <w:r>
        <w:rPr>
          <w:rStyle w:val="FootnoteReference"/>
          <w:snapToGrid/>
          <w:kern w:val="0"/>
          <w:szCs w:val="22"/>
        </w:rPr>
        <w:footnoteReference w:id="74"/>
      </w:r>
      <w:r w:rsidRPr="00E57A15" w:rsidR="00643BFF">
        <w:rPr>
          <w:snapToGrid/>
          <w:kern w:val="0"/>
          <w:szCs w:val="22"/>
        </w:rPr>
        <w:t xml:space="preserve">  </w:t>
      </w:r>
    </w:p>
    <w:p w:rsidR="00AD4331" w:rsidRPr="00AA73A1" w:rsidP="00CA7214" w14:paraId="507544E3" w14:textId="0FCC40EC">
      <w:pPr>
        <w:pStyle w:val="ParaNum"/>
        <w:widowControl/>
        <w:ind w:left="0"/>
        <w:rPr>
          <w:snapToGrid/>
          <w:kern w:val="0"/>
          <w:sz w:val="24"/>
          <w:szCs w:val="24"/>
        </w:rPr>
      </w:pPr>
      <w:r w:rsidRPr="002D3897">
        <w:t>The guidelines also specify a base forfeiture amount of $10,000 for station construction and/or operation without an instrument of authorization for the service</w:t>
      </w:r>
      <w:r w:rsidR="00700929">
        <w:t>, and $3,000 for failure to file a required form.</w:t>
      </w:r>
      <w:r>
        <w:rPr>
          <w:rStyle w:val="FootnoteReference"/>
        </w:rPr>
        <w:footnoteReference w:id="75"/>
      </w:r>
      <w:r w:rsidR="00AA3A01">
        <w:t xml:space="preserve">  </w:t>
      </w:r>
      <w:r>
        <w:t>In this case, AMLLC continued operating the Translator for nearly seven weeks before filing the CP Application and STA Request to so operate.</w:t>
      </w:r>
      <w:r w:rsidR="0007566D">
        <w:t xml:space="preserve">  </w:t>
      </w:r>
      <w:r w:rsidR="00000274">
        <w:rPr>
          <w:szCs w:val="22"/>
        </w:rPr>
        <w:t xml:space="preserve">Taking into consideration the fact that AMLLC holds a license to operate the Translator, that AMLLC properly filed applications to relocate its four full-service Dothan-area stations, and all of the factors required by Section 503(b)(2)(D) of the Act and the </w:t>
      </w:r>
      <w:r w:rsidR="00000274">
        <w:rPr>
          <w:i/>
          <w:szCs w:val="22"/>
        </w:rPr>
        <w:t>Forfeiture Policy Statement</w:t>
      </w:r>
      <w:r w:rsidR="00000274">
        <w:rPr>
          <w:szCs w:val="22"/>
        </w:rPr>
        <w:t xml:space="preserve">, </w:t>
      </w:r>
      <w:r w:rsidR="006F46F0">
        <w:t>w</w:t>
      </w:r>
      <w:r w:rsidRPr="0007566D" w:rsidR="0007566D">
        <w:t>e propose a reduce</w:t>
      </w:r>
      <w:r w:rsidR="0007566D">
        <w:t>d</w:t>
      </w:r>
      <w:r w:rsidRPr="0007566D" w:rsidR="0007566D">
        <w:t xml:space="preserve"> forfeiture for the unauthorized operation from the $10,000 base amount to $4,000</w:t>
      </w:r>
      <w:r w:rsidR="00700929">
        <w:t>, but we will impose the full $3,000 for AMLL</w:t>
      </w:r>
      <w:r w:rsidR="003D2A61">
        <w:t>C</w:t>
      </w:r>
      <w:r w:rsidR="00700929">
        <w:t>’s failure to file a required form.</w:t>
      </w:r>
      <w:r>
        <w:rPr>
          <w:rStyle w:val="FootnoteReference"/>
        </w:rPr>
        <w:footnoteReference w:id="76"/>
      </w:r>
      <w:r w:rsidR="00600DAA">
        <w:t xml:space="preserve">  </w:t>
      </w:r>
    </w:p>
    <w:p w:rsidR="00775E89" w:rsidRPr="00D4142E" w:rsidP="00CA7214" w14:paraId="60A06D65" w14:textId="243577C6">
      <w:pPr>
        <w:pStyle w:val="ParaNum"/>
        <w:widowControl/>
        <w:ind w:left="0"/>
        <w:rPr>
          <w:snapToGrid/>
          <w:kern w:val="0"/>
          <w:sz w:val="24"/>
          <w:szCs w:val="24"/>
        </w:rPr>
      </w:pPr>
      <w:r>
        <w:t xml:space="preserve">Finally, </w:t>
      </w:r>
      <w:r w:rsidR="00A20A5C">
        <w:t>it is uncontested that the Translator was silent for 11 months without Commission authorization.  T</w:t>
      </w:r>
      <w:r w:rsidR="00331A05">
        <w:t>he guidelines specify a base forfeiture of $5</w:t>
      </w:r>
      <w:r w:rsidR="00E57A15">
        <w:t>,</w:t>
      </w:r>
      <w:r w:rsidR="00331A05">
        <w:t>000 for unauthorized discontinuance of service.</w:t>
      </w:r>
      <w:r>
        <w:rPr>
          <w:rStyle w:val="FootnoteReference"/>
        </w:rPr>
        <w:footnoteReference w:id="77"/>
      </w:r>
      <w:r w:rsidR="00E57A15">
        <w:t xml:space="preserve">  </w:t>
      </w:r>
      <w:r w:rsidR="003169DB">
        <w:t>Notwithstanding WOOF’s unsupported claim regarding AMLLC’s “previous history of noncompliance,” c</w:t>
      </w:r>
      <w:r w:rsidR="00A51176">
        <w:t xml:space="preserve">onsidering the extensive </w:t>
      </w:r>
      <w:r w:rsidR="005349D8">
        <w:t xml:space="preserve">and egregious </w:t>
      </w:r>
      <w:r w:rsidR="00A51176">
        <w:t>nature of the apparent violations here, we believe that no downward adjustment is warranted</w:t>
      </w:r>
      <w:r w:rsidR="000E6DB0">
        <w:t>, and in fact</w:t>
      </w:r>
      <w:r w:rsidR="005349D8">
        <w:t xml:space="preserve"> an upward adjustment of $2,000 is appropriate</w:t>
      </w:r>
      <w:r w:rsidR="00A51176">
        <w:t>.</w:t>
      </w:r>
      <w:r>
        <w:rPr>
          <w:rStyle w:val="FootnoteReference"/>
        </w:rPr>
        <w:footnoteReference w:id="78"/>
      </w:r>
      <w:r w:rsidR="00A51176">
        <w:t xml:space="preserve">  Thus</w:t>
      </w:r>
      <w:r w:rsidR="00E57A15">
        <w:t>, we propose a forfeiture for AMLLC’s apparent rule violations here in the total amount of $1</w:t>
      </w:r>
      <w:r w:rsidR="005349D8">
        <w:t>8</w:t>
      </w:r>
      <w:r w:rsidR="00E57A15">
        <w:t>,000.</w:t>
      </w:r>
      <w:r w:rsidR="00887B20">
        <w:t xml:space="preserve">  </w:t>
      </w:r>
      <w:r w:rsidR="002F201A">
        <w:t xml:space="preserve">  </w:t>
      </w:r>
      <w:r w:rsidRPr="00E57A15" w:rsidR="0007566D">
        <w:rPr>
          <w:snapToGrid/>
          <w:kern w:val="0"/>
          <w:szCs w:val="22"/>
        </w:rPr>
        <w:t xml:space="preserve"> </w:t>
      </w:r>
    </w:p>
    <w:p w:rsidR="00441E04" w:rsidRPr="00317880" w:rsidP="00CA7214" w14:paraId="0591A618" w14:textId="4859F183">
      <w:pPr>
        <w:pStyle w:val="ParaNum"/>
        <w:ind w:left="0"/>
        <w:rPr>
          <w:szCs w:val="22"/>
        </w:rPr>
      </w:pPr>
      <w:r>
        <w:rPr>
          <w:i/>
          <w:snapToGrid/>
          <w:kern w:val="0"/>
          <w:szCs w:val="22"/>
        </w:rPr>
        <w:t>Referenced</w:t>
      </w:r>
      <w:r w:rsidR="00FE41E0">
        <w:rPr>
          <w:i/>
          <w:snapToGrid/>
          <w:kern w:val="0"/>
          <w:szCs w:val="22"/>
        </w:rPr>
        <w:t xml:space="preserve"> Application</w:t>
      </w:r>
      <w:r>
        <w:rPr>
          <w:i/>
          <w:snapToGrid/>
          <w:kern w:val="0"/>
          <w:szCs w:val="22"/>
        </w:rPr>
        <w:t>s</w:t>
      </w:r>
      <w:r w:rsidRPr="00AE2C4B" w:rsidR="009435D7">
        <w:rPr>
          <w:i/>
          <w:snapToGrid/>
          <w:kern w:val="0"/>
          <w:szCs w:val="22"/>
        </w:rPr>
        <w:t>.</w:t>
      </w:r>
      <w:r w:rsidRPr="00AE2C4B" w:rsidR="009435D7">
        <w:rPr>
          <w:snapToGrid/>
          <w:kern w:val="0"/>
          <w:szCs w:val="22"/>
        </w:rPr>
        <w:t xml:space="preserve">  </w:t>
      </w:r>
      <w:r>
        <w:rPr>
          <w:snapToGrid/>
          <w:kern w:val="0"/>
          <w:szCs w:val="22"/>
        </w:rPr>
        <w:t>W</w:t>
      </w:r>
      <w:r w:rsidRPr="00B31ABF" w:rsidR="001650FD">
        <w:rPr>
          <w:szCs w:val="22"/>
        </w:rPr>
        <w:t xml:space="preserve">e find that </w:t>
      </w:r>
      <w:r w:rsidR="001650FD">
        <w:rPr>
          <w:szCs w:val="22"/>
        </w:rPr>
        <w:t xml:space="preserve">the </w:t>
      </w:r>
      <w:r>
        <w:rPr>
          <w:szCs w:val="22"/>
        </w:rPr>
        <w:t>AMLLC</w:t>
      </w:r>
      <w:r w:rsidR="0057427F">
        <w:rPr>
          <w:szCs w:val="22"/>
        </w:rPr>
        <w:t xml:space="preserve">’s apparent violation of </w:t>
      </w:r>
      <w:r w:rsidR="008B67C3">
        <w:rPr>
          <w:szCs w:val="22"/>
        </w:rPr>
        <w:t xml:space="preserve">Section 301 of the Act and </w:t>
      </w:r>
      <w:r w:rsidRPr="00317880" w:rsidR="001650FD">
        <w:rPr>
          <w:szCs w:val="22"/>
        </w:rPr>
        <w:t>Section</w:t>
      </w:r>
      <w:r>
        <w:rPr>
          <w:szCs w:val="22"/>
        </w:rPr>
        <w:t>s</w:t>
      </w:r>
      <w:r w:rsidRPr="00317880" w:rsidR="001650FD">
        <w:rPr>
          <w:szCs w:val="22"/>
        </w:rPr>
        <w:t xml:space="preserve"> </w:t>
      </w:r>
      <w:r w:rsidR="003D2A61">
        <w:rPr>
          <w:szCs w:val="22"/>
        </w:rPr>
        <w:t xml:space="preserve">1.80, </w:t>
      </w:r>
      <w:r w:rsidRPr="00317880" w:rsidR="001650FD">
        <w:rPr>
          <w:szCs w:val="22"/>
        </w:rPr>
        <w:t>74.1231(b)</w:t>
      </w:r>
      <w:r w:rsidR="00881A4E">
        <w:rPr>
          <w:szCs w:val="22"/>
        </w:rPr>
        <w:t>, 74.1263(b)</w:t>
      </w:r>
      <w:r w:rsidR="00FE2D39">
        <w:rPr>
          <w:szCs w:val="22"/>
        </w:rPr>
        <w:t>, (c)</w:t>
      </w:r>
      <w:r w:rsidR="00F75E85">
        <w:rPr>
          <w:szCs w:val="22"/>
        </w:rPr>
        <w:t xml:space="preserve"> and (e)</w:t>
      </w:r>
      <w:r w:rsidR="00881A4E">
        <w:rPr>
          <w:szCs w:val="22"/>
        </w:rPr>
        <w:t>,</w:t>
      </w:r>
      <w:r w:rsidRPr="00317880" w:rsidR="001650FD">
        <w:rPr>
          <w:szCs w:val="22"/>
        </w:rPr>
        <w:t xml:space="preserve"> </w:t>
      </w:r>
      <w:r>
        <w:rPr>
          <w:szCs w:val="22"/>
        </w:rPr>
        <w:t xml:space="preserve">and 74.1251(a) </w:t>
      </w:r>
      <w:r w:rsidRPr="00317880" w:rsidR="001650FD">
        <w:rPr>
          <w:szCs w:val="22"/>
        </w:rPr>
        <w:t>of the Rules</w:t>
      </w:r>
      <w:r w:rsidRPr="00317880" w:rsidR="0057427F">
        <w:rPr>
          <w:szCs w:val="22"/>
        </w:rPr>
        <w:t xml:space="preserve"> does not constitute</w:t>
      </w:r>
      <w:r w:rsidR="00BA0065">
        <w:rPr>
          <w:szCs w:val="22"/>
        </w:rPr>
        <w:t xml:space="preserve"> a substantial and material question of fact calling for further inquiry regard the CP and License Applications and that the proposed forfeitures constitute an appropriate sanction for the apparent violations. </w:t>
      </w:r>
      <w:r w:rsidR="00923BD7">
        <w:rPr>
          <w:szCs w:val="22"/>
        </w:rPr>
        <w:t xml:space="preserve"> Further, </w:t>
      </w:r>
      <w:r w:rsidR="00BA0065">
        <w:rPr>
          <w:szCs w:val="22"/>
        </w:rPr>
        <w:t>we have reviewed those applications and find</w:t>
      </w:r>
      <w:r w:rsidR="00923BD7">
        <w:rPr>
          <w:szCs w:val="22"/>
        </w:rPr>
        <w:t xml:space="preserve"> </w:t>
      </w:r>
      <w:r w:rsidR="00BA0065">
        <w:rPr>
          <w:szCs w:val="22"/>
        </w:rPr>
        <w:t xml:space="preserve">that they comply with all pertinent statutory and legal requirements and that their grant would </w:t>
      </w:r>
      <w:r w:rsidR="00923BD7">
        <w:rPr>
          <w:szCs w:val="22"/>
        </w:rPr>
        <w:t>serve the public interest, convenience, and necessity</w:t>
      </w:r>
      <w:r>
        <w:rPr>
          <w:szCs w:val="22"/>
        </w:rPr>
        <w:t xml:space="preserve">.  </w:t>
      </w:r>
      <w:r w:rsidR="00923BD7">
        <w:rPr>
          <w:szCs w:val="22"/>
        </w:rPr>
        <w:t xml:space="preserve">We will therefore grant the </w:t>
      </w:r>
      <w:r w:rsidR="005349D8">
        <w:rPr>
          <w:szCs w:val="22"/>
        </w:rPr>
        <w:t>CP Application and the STA Request, and we will also grant the License Application</w:t>
      </w:r>
      <w:r w:rsidR="00923BD7">
        <w:rPr>
          <w:szCs w:val="22"/>
        </w:rPr>
        <w:t xml:space="preserve"> by separate action upon the conclusion of this forfeiture proceeding if there are no issues other than the apparent violation</w:t>
      </w:r>
      <w:r>
        <w:rPr>
          <w:szCs w:val="22"/>
        </w:rPr>
        <w:t>s</w:t>
      </w:r>
      <w:r w:rsidR="00923BD7">
        <w:rPr>
          <w:szCs w:val="22"/>
        </w:rPr>
        <w:t xml:space="preserve"> that would preclude grant of th</w:t>
      </w:r>
      <w:r w:rsidR="005349D8">
        <w:rPr>
          <w:szCs w:val="22"/>
        </w:rPr>
        <w:t>at</w:t>
      </w:r>
      <w:r w:rsidR="00923BD7">
        <w:rPr>
          <w:szCs w:val="22"/>
        </w:rPr>
        <w:t xml:space="preserve"> application.</w:t>
      </w:r>
      <w:r w:rsidRPr="00317880" w:rsidR="0057427F">
        <w:rPr>
          <w:szCs w:val="22"/>
        </w:rPr>
        <w:t xml:space="preserve"> </w:t>
      </w:r>
      <w:r w:rsidRPr="00317880" w:rsidR="001650FD">
        <w:rPr>
          <w:szCs w:val="22"/>
        </w:rPr>
        <w:t xml:space="preserve"> </w:t>
      </w:r>
      <w:r w:rsidRPr="00317880" w:rsidR="006B5F69">
        <w:rPr>
          <w:szCs w:val="22"/>
        </w:rPr>
        <w:t xml:space="preserve">  </w:t>
      </w:r>
    </w:p>
    <w:p w:rsidR="00441E04" w:rsidRPr="007B26A7" w:rsidP="00441E04" w14:paraId="3F9D977F" w14:textId="77777777">
      <w:pPr>
        <w:pStyle w:val="Heading1"/>
        <w:rPr>
          <w:rFonts w:ascii="Times New Roman" w:hAnsi="Times New Roman"/>
          <w:szCs w:val="22"/>
        </w:rPr>
      </w:pPr>
      <w:r w:rsidRPr="007B26A7">
        <w:rPr>
          <w:rFonts w:ascii="Times New Roman" w:hAnsi="Times New Roman"/>
          <w:szCs w:val="22"/>
        </w:rPr>
        <w:t>ordering clauses</w:t>
      </w:r>
    </w:p>
    <w:p w:rsidR="001478AB" w:rsidRPr="00F376E3" w:rsidP="00CA7214" w14:paraId="1BC9C67F" w14:textId="7BF95C9A">
      <w:pPr>
        <w:pStyle w:val="ParaNum"/>
        <w:widowControl/>
        <w:ind w:left="0"/>
        <w:rPr>
          <w:szCs w:val="22"/>
        </w:rPr>
      </w:pPr>
      <w:r w:rsidRPr="00F376E3">
        <w:rPr>
          <w:szCs w:val="22"/>
        </w:rPr>
        <w:t xml:space="preserve">Accordingly, IT IS ORDERED, that </w:t>
      </w:r>
      <w:r w:rsidRPr="00F376E3" w:rsidR="00441E04">
        <w:rPr>
          <w:szCs w:val="22"/>
        </w:rPr>
        <w:t xml:space="preserve">pursuant to Section 503(b) of the Communications Act of 1934, as amended, and Section 1.80 of the Commission’s Rules, that </w:t>
      </w:r>
      <w:r w:rsidR="00DB3461">
        <w:rPr>
          <w:szCs w:val="22"/>
        </w:rPr>
        <w:t>Alabama Media, LLC,</w:t>
      </w:r>
      <w:r w:rsidRPr="00F376E3" w:rsidR="004A6E30">
        <w:rPr>
          <w:szCs w:val="22"/>
        </w:rPr>
        <w:t xml:space="preserve"> </w:t>
      </w:r>
      <w:r w:rsidR="00F376E3">
        <w:rPr>
          <w:szCs w:val="22"/>
        </w:rPr>
        <w:t>is</w:t>
      </w:r>
      <w:r w:rsidRPr="00F376E3" w:rsidR="00441E04">
        <w:rPr>
          <w:szCs w:val="22"/>
        </w:rPr>
        <w:t xml:space="preserve"> hereby NOTIFIED of </w:t>
      </w:r>
      <w:r w:rsidR="00F376E3">
        <w:rPr>
          <w:szCs w:val="22"/>
        </w:rPr>
        <w:t>its</w:t>
      </w:r>
      <w:r w:rsidRPr="00F376E3" w:rsidR="00441E04">
        <w:rPr>
          <w:szCs w:val="22"/>
        </w:rPr>
        <w:t xml:space="preserve"> APPARENT LIABILITY FOR FORFEITURE in the amo</w:t>
      </w:r>
      <w:r w:rsidRPr="00F376E3" w:rsidR="0002190F">
        <w:rPr>
          <w:szCs w:val="22"/>
        </w:rPr>
        <w:t xml:space="preserve">unt of </w:t>
      </w:r>
      <w:r w:rsidR="005349D8">
        <w:rPr>
          <w:szCs w:val="22"/>
        </w:rPr>
        <w:t>eighteen</w:t>
      </w:r>
      <w:r w:rsidRPr="00F376E3" w:rsidR="0002190F">
        <w:rPr>
          <w:szCs w:val="22"/>
        </w:rPr>
        <w:t xml:space="preserve"> thousand dollars ($</w:t>
      </w:r>
      <w:r w:rsidR="00600DAA">
        <w:rPr>
          <w:szCs w:val="22"/>
        </w:rPr>
        <w:t>1</w:t>
      </w:r>
      <w:r w:rsidR="005349D8">
        <w:rPr>
          <w:szCs w:val="22"/>
        </w:rPr>
        <w:t>8</w:t>
      </w:r>
      <w:r w:rsidRPr="00F376E3" w:rsidR="00441E04">
        <w:rPr>
          <w:szCs w:val="22"/>
        </w:rPr>
        <w:t xml:space="preserve">,000) for </w:t>
      </w:r>
      <w:r w:rsidR="00F376E3">
        <w:rPr>
          <w:szCs w:val="22"/>
        </w:rPr>
        <w:t>its</w:t>
      </w:r>
      <w:r w:rsidRPr="00F376E3" w:rsidR="00441E04">
        <w:rPr>
          <w:szCs w:val="22"/>
        </w:rPr>
        <w:t xml:space="preserve"> apparent willful and repeated violation of </w:t>
      </w:r>
      <w:r w:rsidR="004016CD">
        <w:rPr>
          <w:szCs w:val="22"/>
        </w:rPr>
        <w:t xml:space="preserve">Section 301 of the Communications Act of 1934, as amended, and </w:t>
      </w:r>
      <w:r w:rsidRPr="00F376E3" w:rsidR="00441E04">
        <w:rPr>
          <w:szCs w:val="22"/>
        </w:rPr>
        <w:t>Section</w:t>
      </w:r>
      <w:r w:rsidR="00DB3461">
        <w:rPr>
          <w:szCs w:val="22"/>
        </w:rPr>
        <w:t>s</w:t>
      </w:r>
      <w:r w:rsidRPr="00F376E3" w:rsidR="0002190F">
        <w:rPr>
          <w:szCs w:val="22"/>
        </w:rPr>
        <w:t xml:space="preserve"> </w:t>
      </w:r>
      <w:r w:rsidR="00514754">
        <w:rPr>
          <w:szCs w:val="22"/>
        </w:rPr>
        <w:t xml:space="preserve">1.80, </w:t>
      </w:r>
      <w:r w:rsidRPr="00F376E3" w:rsidR="00717BB7">
        <w:rPr>
          <w:szCs w:val="22"/>
        </w:rPr>
        <w:t>7</w:t>
      </w:r>
      <w:r w:rsidR="00F376E3">
        <w:rPr>
          <w:szCs w:val="22"/>
        </w:rPr>
        <w:t>4.1231(b)</w:t>
      </w:r>
      <w:r w:rsidR="00881A4E">
        <w:rPr>
          <w:szCs w:val="22"/>
        </w:rPr>
        <w:t>, 74.1263(b)</w:t>
      </w:r>
      <w:r w:rsidR="00F75E85">
        <w:rPr>
          <w:szCs w:val="22"/>
        </w:rPr>
        <w:t>, (c) and (e)</w:t>
      </w:r>
      <w:r w:rsidR="00881A4E">
        <w:rPr>
          <w:szCs w:val="22"/>
        </w:rPr>
        <w:t>,</w:t>
      </w:r>
      <w:r w:rsidR="00DB3461">
        <w:rPr>
          <w:szCs w:val="22"/>
        </w:rPr>
        <w:t xml:space="preserve"> </w:t>
      </w:r>
      <w:r w:rsidR="005F6137">
        <w:rPr>
          <w:szCs w:val="22"/>
        </w:rPr>
        <w:t xml:space="preserve">and </w:t>
      </w:r>
      <w:r w:rsidR="00DB3461">
        <w:rPr>
          <w:szCs w:val="22"/>
        </w:rPr>
        <w:t xml:space="preserve">74.1251(a) </w:t>
      </w:r>
      <w:r w:rsidRPr="00F376E3" w:rsidR="00441E04">
        <w:rPr>
          <w:szCs w:val="22"/>
        </w:rPr>
        <w:t xml:space="preserve">of the Commission’s Rules. </w:t>
      </w:r>
    </w:p>
    <w:p w:rsidR="001478AB" w:rsidP="00CA7214" w14:paraId="26D0A412" w14:textId="413706AA">
      <w:pPr>
        <w:pStyle w:val="ParaNum"/>
        <w:widowControl/>
        <w:ind w:left="0"/>
        <w:rPr>
          <w:szCs w:val="22"/>
        </w:rPr>
      </w:pPr>
      <w:r w:rsidRPr="007B26A7">
        <w:rPr>
          <w:szCs w:val="22"/>
        </w:rPr>
        <w:t xml:space="preserve">IT IS FURTHER ORDERED, pursuant to Section 1.80 of the FCC’s </w:t>
      </w:r>
      <w:r w:rsidR="00AE4B4C">
        <w:rPr>
          <w:szCs w:val="22"/>
        </w:rPr>
        <w:t>R</w:t>
      </w:r>
      <w:r w:rsidRPr="007B26A7">
        <w:rPr>
          <w:szCs w:val="22"/>
        </w:rPr>
        <w:t xml:space="preserve">ules, that, within thirty (30) days of the release date of this </w:t>
      </w:r>
      <w:r w:rsidRPr="007B26A7">
        <w:rPr>
          <w:i/>
          <w:szCs w:val="22"/>
        </w:rPr>
        <w:t>NAL,</w:t>
      </w:r>
      <w:r w:rsidRPr="007B26A7">
        <w:rPr>
          <w:szCs w:val="22"/>
        </w:rPr>
        <w:t xml:space="preserve"> </w:t>
      </w:r>
      <w:r w:rsidR="00DB3461">
        <w:rPr>
          <w:szCs w:val="22"/>
        </w:rPr>
        <w:t>Alabama Media, LLC</w:t>
      </w:r>
      <w:r w:rsidR="00F376E3">
        <w:rPr>
          <w:szCs w:val="22"/>
        </w:rPr>
        <w:t>,</w:t>
      </w:r>
      <w:r w:rsidR="004A6E30">
        <w:rPr>
          <w:szCs w:val="22"/>
        </w:rPr>
        <w:t xml:space="preserve"> </w:t>
      </w:r>
      <w:r w:rsidR="00156ECB">
        <w:rPr>
          <w:szCs w:val="22"/>
        </w:rPr>
        <w:t>S</w:t>
      </w:r>
      <w:r w:rsidRPr="007B26A7">
        <w:rPr>
          <w:szCs w:val="22"/>
        </w:rPr>
        <w:t>HALL PAY the full amount of the proposed forfeiture or SHALL FILE a written statement seeking reduction or cancellation of the proposed forfeiture.</w:t>
      </w:r>
    </w:p>
    <w:p w:rsidR="000C1C23" w:rsidRPr="007B26A7" w:rsidP="00CA7214" w14:paraId="2D330747" w14:textId="77777777">
      <w:pPr>
        <w:pStyle w:val="ParaNum"/>
        <w:ind w:left="0"/>
        <w:rPr>
          <w:szCs w:val="22"/>
        </w:rPr>
      </w:pPr>
      <w:r w:rsidRPr="000C1C23">
        <w:t xml:space="preserve">IT IS FURTHER ORDERED, that </w:t>
      </w:r>
      <w:r w:rsidR="00F65887">
        <w:t xml:space="preserve">Alabama Media, LLC, </w:t>
      </w:r>
      <w:r w:rsidRPr="000C1C23">
        <w:t xml:space="preserve">is hereby ADMONISHED for its apparent willful and/or repeated violation of Section </w:t>
      </w:r>
      <w:r w:rsidR="00F65887">
        <w:t>1.17(a)(2)</w:t>
      </w:r>
      <w:r w:rsidRPr="000C1C23">
        <w:t xml:space="preserve"> of the Commission's Rules.</w:t>
      </w:r>
    </w:p>
    <w:p w:rsidR="00B537C2" w:rsidRPr="00A15152" w:rsidP="00CA7214" w14:paraId="19AB063D" w14:textId="7859FB96">
      <w:pPr>
        <w:pStyle w:val="ParaNum"/>
        <w:ind w:left="0"/>
        <w:rPr>
          <w:szCs w:val="22"/>
        </w:rPr>
      </w:pPr>
      <w:r w:rsidRPr="00B537C2">
        <w:rPr>
          <w:szCs w:val="22"/>
        </w:rPr>
        <w:t xml:space="preserve">Payment of the proposed forfeiture must be made by check or similar instrument, wire transfer or credit card, and must include the NAL/Acct. No. and FRN No. referenced herein.  Regardless of the form of payment, a completed FCC Form 159 must be submitted.  When completing the FCC Form 159, enter the NAL/Account number in block number 23A (call sign/other ID), and enter the letters “FORF” in block number 24A (payment type code).  Licensee will also send electronic notification on the </w:t>
      </w:r>
      <w:r w:rsidRPr="00604094">
        <w:rPr>
          <w:szCs w:val="22"/>
        </w:rPr>
        <w:t>date said payment is made to</w:t>
      </w:r>
      <w:r w:rsidRPr="00604094" w:rsidR="00C00823">
        <w:rPr>
          <w:szCs w:val="22"/>
        </w:rPr>
        <w:t xml:space="preserve"> </w:t>
      </w:r>
      <w:hyperlink r:id="rId5" w:history="1">
        <w:r w:rsidRPr="00A15152">
          <w:rPr>
            <w:rStyle w:val="Hyperlink"/>
            <w:color w:val="auto"/>
            <w:szCs w:val="22"/>
            <w:u w:val="none"/>
          </w:rPr>
          <w:t>Stephen.Svab@fcc.gov</w:t>
        </w:r>
      </w:hyperlink>
      <w:r w:rsidR="00F32F69">
        <w:rPr>
          <w:rStyle w:val="Hyperlink"/>
          <w:color w:val="auto"/>
          <w:szCs w:val="22"/>
          <w:u w:val="none"/>
        </w:rPr>
        <w:t xml:space="preserve"> and Michael.Wagner@fcc.gov</w:t>
      </w:r>
      <w:r w:rsidRPr="00A15152" w:rsidR="004B08E6">
        <w:rPr>
          <w:szCs w:val="22"/>
        </w:rPr>
        <w:t>.</w:t>
      </w:r>
    </w:p>
    <w:p w:rsidR="001478AB" w:rsidRPr="007B26A7" w:rsidP="00CA7214" w14:paraId="511B04A9" w14:textId="77777777">
      <w:pPr>
        <w:pStyle w:val="ParaNum"/>
        <w:ind w:left="0"/>
        <w:rPr>
          <w:szCs w:val="22"/>
        </w:rPr>
      </w:pPr>
      <w:r w:rsidRPr="007B26A7">
        <w:rPr>
          <w:szCs w:val="22"/>
        </w:rPr>
        <w:t xml:space="preserve">Below are additional instructions that should be followed based on the form of payment selected: </w:t>
      </w:r>
    </w:p>
    <w:p w:rsidR="001478AB" w:rsidRPr="007B26A7" w:rsidP="00F4429E" w14:paraId="148EB192" w14:textId="227EBBB8">
      <w:pPr>
        <w:pStyle w:val="ParaNum"/>
        <w:numPr>
          <w:ilvl w:val="2"/>
          <w:numId w:val="21"/>
        </w:numPr>
        <w:ind w:left="1440" w:hanging="720"/>
        <w:rPr>
          <w:szCs w:val="22"/>
        </w:rPr>
      </w:pPr>
      <w:r w:rsidRPr="007B26A7">
        <w:rPr>
          <w:szCs w:val="22"/>
        </w:rPr>
        <w:t>Pay</w:t>
      </w:r>
      <w:r w:rsidRPr="007B26A7">
        <w:rPr>
          <w:spacing w:val="-4"/>
          <w:szCs w:val="22"/>
        </w:rPr>
        <w:t>m</w:t>
      </w:r>
      <w:r w:rsidRPr="007B26A7">
        <w:rPr>
          <w:szCs w:val="22"/>
        </w:rPr>
        <w:t xml:space="preserve">ent </w:t>
      </w:r>
      <w:r w:rsidRPr="007B26A7">
        <w:rPr>
          <w:spacing w:val="6"/>
          <w:szCs w:val="22"/>
        </w:rPr>
        <w:t>by</w:t>
      </w:r>
      <w:r w:rsidRPr="007B26A7">
        <w:rPr>
          <w:szCs w:val="22"/>
        </w:rPr>
        <w:t xml:space="preserve"> </w:t>
      </w:r>
      <w:r w:rsidRPr="007B26A7">
        <w:rPr>
          <w:spacing w:val="3"/>
          <w:szCs w:val="22"/>
        </w:rPr>
        <w:t>check</w:t>
      </w:r>
      <w:r w:rsidRPr="007B26A7">
        <w:rPr>
          <w:szCs w:val="22"/>
        </w:rPr>
        <w:t xml:space="preserve"> </w:t>
      </w:r>
      <w:r w:rsidRPr="007B26A7">
        <w:rPr>
          <w:spacing w:val="3"/>
          <w:szCs w:val="22"/>
        </w:rPr>
        <w:t>or</w:t>
      </w:r>
      <w:r w:rsidRPr="007B26A7">
        <w:rPr>
          <w:szCs w:val="22"/>
        </w:rPr>
        <w:t xml:space="preserve"> </w:t>
      </w:r>
      <w:r w:rsidRPr="007B26A7">
        <w:rPr>
          <w:spacing w:val="6"/>
          <w:szCs w:val="22"/>
        </w:rPr>
        <w:t>money</w:t>
      </w:r>
      <w:r w:rsidRPr="007B26A7">
        <w:rPr>
          <w:szCs w:val="22"/>
        </w:rPr>
        <w:t xml:space="preserve"> </w:t>
      </w:r>
      <w:r w:rsidRPr="007B26A7">
        <w:rPr>
          <w:spacing w:val="3"/>
          <w:szCs w:val="22"/>
        </w:rPr>
        <w:t>order</w:t>
      </w:r>
      <w:r w:rsidRPr="007B26A7">
        <w:rPr>
          <w:szCs w:val="22"/>
        </w:rPr>
        <w:t xml:space="preserve"> </w:t>
      </w:r>
      <w:r w:rsidRPr="007B26A7">
        <w:rPr>
          <w:spacing w:val="4"/>
          <w:szCs w:val="22"/>
        </w:rPr>
        <w:t>must</w:t>
      </w:r>
      <w:r w:rsidRPr="007B26A7">
        <w:rPr>
          <w:szCs w:val="22"/>
        </w:rPr>
        <w:t xml:space="preserve"> </w:t>
      </w:r>
      <w:r w:rsidRPr="007B26A7">
        <w:rPr>
          <w:spacing w:val="6"/>
          <w:szCs w:val="22"/>
        </w:rPr>
        <w:t>be</w:t>
      </w:r>
      <w:r w:rsidRPr="007B26A7">
        <w:rPr>
          <w:szCs w:val="22"/>
        </w:rPr>
        <w:t xml:space="preserve"> </w:t>
      </w:r>
      <w:r w:rsidRPr="007B26A7">
        <w:rPr>
          <w:spacing w:val="5"/>
          <w:szCs w:val="22"/>
        </w:rPr>
        <w:t>made</w:t>
      </w:r>
      <w:r w:rsidRPr="007B26A7">
        <w:rPr>
          <w:szCs w:val="22"/>
        </w:rPr>
        <w:t xml:space="preserve"> </w:t>
      </w:r>
      <w:r w:rsidRPr="007B26A7">
        <w:rPr>
          <w:spacing w:val="3"/>
          <w:szCs w:val="22"/>
        </w:rPr>
        <w:t>payable</w:t>
      </w:r>
      <w:r w:rsidRPr="007B26A7">
        <w:rPr>
          <w:szCs w:val="22"/>
        </w:rPr>
        <w:t xml:space="preserve"> </w:t>
      </w:r>
      <w:r w:rsidRPr="007B26A7">
        <w:rPr>
          <w:spacing w:val="3"/>
          <w:szCs w:val="22"/>
        </w:rPr>
        <w:t>to</w:t>
      </w:r>
      <w:r w:rsidRPr="007B26A7">
        <w:rPr>
          <w:szCs w:val="22"/>
        </w:rPr>
        <w:t xml:space="preserve"> </w:t>
      </w:r>
      <w:r w:rsidRPr="007B26A7">
        <w:rPr>
          <w:spacing w:val="3"/>
          <w:szCs w:val="22"/>
        </w:rPr>
        <w:t>the</w:t>
      </w:r>
      <w:r w:rsidRPr="007B26A7">
        <w:rPr>
          <w:szCs w:val="22"/>
        </w:rPr>
        <w:t xml:space="preserve"> </w:t>
      </w:r>
      <w:r w:rsidRPr="007B26A7">
        <w:rPr>
          <w:spacing w:val="3"/>
          <w:szCs w:val="22"/>
        </w:rPr>
        <w:t>order</w:t>
      </w:r>
      <w:r w:rsidRPr="007B26A7">
        <w:rPr>
          <w:szCs w:val="22"/>
        </w:rPr>
        <w:t xml:space="preserve"> </w:t>
      </w:r>
      <w:r w:rsidRPr="007B26A7">
        <w:rPr>
          <w:spacing w:val="4"/>
          <w:szCs w:val="22"/>
        </w:rPr>
        <w:t>of</w:t>
      </w:r>
      <w:r w:rsidRPr="007B26A7">
        <w:rPr>
          <w:szCs w:val="22"/>
        </w:rPr>
        <w:t xml:space="preserve"> </w:t>
      </w:r>
      <w:r w:rsidRPr="007B26A7">
        <w:rPr>
          <w:spacing w:val="3"/>
          <w:szCs w:val="22"/>
        </w:rPr>
        <w:t>the</w:t>
      </w:r>
      <w:r w:rsidRPr="007B26A7">
        <w:rPr>
          <w:szCs w:val="22"/>
        </w:rPr>
        <w:t xml:space="preserve"> </w:t>
      </w:r>
      <w:r w:rsidRPr="007B26A7">
        <w:rPr>
          <w:spacing w:val="3"/>
          <w:szCs w:val="22"/>
        </w:rPr>
        <w:t>Federal</w:t>
      </w:r>
      <w:r w:rsidRPr="007B26A7">
        <w:rPr>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zCs w:val="22"/>
        </w:rPr>
        <w:t>un</w:t>
      </w:r>
      <w:r w:rsidRPr="007B26A7">
        <w:rPr>
          <w:spacing w:val="1"/>
          <w:szCs w:val="22"/>
        </w:rPr>
        <w:t>i</w:t>
      </w:r>
      <w:r w:rsidRPr="007B26A7">
        <w:rPr>
          <w:szCs w:val="22"/>
        </w:rPr>
        <w:t>ca</w:t>
      </w:r>
      <w:r w:rsidRPr="007B26A7">
        <w:rPr>
          <w:spacing w:val="1"/>
          <w:szCs w:val="22"/>
        </w:rPr>
        <w:t>ti</w:t>
      </w:r>
      <w:r w:rsidRPr="007B26A7">
        <w:rPr>
          <w:szCs w:val="22"/>
        </w:rPr>
        <w:t>o</w:t>
      </w:r>
      <w:r w:rsidRPr="007B26A7">
        <w:rPr>
          <w:spacing w:val="-2"/>
          <w:szCs w:val="22"/>
        </w:rPr>
        <w:t>n</w:t>
      </w:r>
      <w:r w:rsidRPr="007B26A7">
        <w:rPr>
          <w:szCs w:val="22"/>
        </w:rPr>
        <w:t>s Co</w:t>
      </w:r>
      <w:r w:rsidRPr="007B26A7">
        <w:rPr>
          <w:spacing w:val="-2"/>
          <w:szCs w:val="22"/>
        </w:rPr>
        <w:t>m</w:t>
      </w:r>
      <w:r w:rsidRPr="007B26A7">
        <w:rPr>
          <w:spacing w:val="-4"/>
          <w:szCs w:val="22"/>
        </w:rPr>
        <w:t>m</w:t>
      </w:r>
      <w:r w:rsidRPr="007B26A7">
        <w:rPr>
          <w:spacing w:val="1"/>
          <w:szCs w:val="22"/>
        </w:rPr>
        <w:t>i</w:t>
      </w:r>
      <w:r w:rsidRPr="007B26A7">
        <w:rPr>
          <w:szCs w:val="22"/>
        </w:rPr>
        <w:t>s</w:t>
      </w:r>
      <w:r w:rsidRPr="007B26A7">
        <w:rPr>
          <w:spacing w:val="1"/>
          <w:szCs w:val="22"/>
        </w:rPr>
        <w:t>si</w:t>
      </w:r>
      <w:r w:rsidRPr="007B26A7">
        <w:rPr>
          <w:szCs w:val="22"/>
        </w:rPr>
        <w:t xml:space="preserve">on. </w:t>
      </w:r>
      <w:r w:rsidRPr="007B26A7">
        <w:rPr>
          <w:spacing w:val="2"/>
          <w:szCs w:val="22"/>
        </w:rPr>
        <w:t xml:space="preserve"> </w:t>
      </w:r>
      <w:r w:rsidRPr="007B26A7">
        <w:rPr>
          <w:szCs w:val="22"/>
        </w:rPr>
        <w:t>Such pay</w:t>
      </w:r>
      <w:r w:rsidRPr="007B26A7">
        <w:rPr>
          <w:spacing w:val="-3"/>
          <w:szCs w:val="22"/>
        </w:rPr>
        <w:t>m</w:t>
      </w:r>
      <w:r w:rsidRPr="007B26A7">
        <w:rPr>
          <w:szCs w:val="22"/>
        </w:rPr>
        <w:t>en</w:t>
      </w:r>
      <w:r w:rsidRPr="007B26A7">
        <w:rPr>
          <w:spacing w:val="1"/>
          <w:szCs w:val="22"/>
        </w:rPr>
        <w:t>t</w:t>
      </w:r>
      <w:r w:rsidRPr="007B26A7">
        <w:rPr>
          <w:szCs w:val="22"/>
        </w:rPr>
        <w:t>s</w:t>
      </w:r>
      <w:r w:rsidRPr="007B26A7">
        <w:rPr>
          <w:spacing w:val="1"/>
          <w:szCs w:val="22"/>
        </w:rPr>
        <w:t xml:space="preserve"> </w:t>
      </w:r>
      <w:r w:rsidRPr="007B26A7">
        <w:rPr>
          <w:spacing w:val="-2"/>
          <w:szCs w:val="22"/>
        </w:rPr>
        <w:t>(</w:t>
      </w:r>
      <w:r w:rsidRPr="007B26A7">
        <w:rPr>
          <w:szCs w:val="22"/>
        </w:rPr>
        <w:t>a</w:t>
      </w:r>
      <w:r w:rsidRPr="007B26A7">
        <w:rPr>
          <w:spacing w:val="1"/>
          <w:szCs w:val="22"/>
        </w:rPr>
        <w:t>l</w:t>
      </w:r>
      <w:r w:rsidRPr="007B26A7">
        <w:rPr>
          <w:spacing w:val="-2"/>
          <w:szCs w:val="22"/>
        </w:rPr>
        <w:t>o</w:t>
      </w:r>
      <w:r w:rsidRPr="007B26A7">
        <w:rPr>
          <w:szCs w:val="22"/>
        </w:rPr>
        <w:t xml:space="preserve">ng </w:t>
      </w:r>
      <w:r w:rsidRPr="007B26A7">
        <w:rPr>
          <w:spacing w:val="-1"/>
          <w:szCs w:val="22"/>
        </w:rPr>
        <w:t>w</w:t>
      </w:r>
      <w:r w:rsidRPr="007B26A7">
        <w:rPr>
          <w:spacing w:val="1"/>
          <w:szCs w:val="22"/>
        </w:rPr>
        <w:t>it</w:t>
      </w:r>
      <w:r w:rsidRPr="007B26A7">
        <w:rPr>
          <w:szCs w:val="22"/>
        </w:rPr>
        <w:t xml:space="preserve">h </w:t>
      </w:r>
      <w:r w:rsidRPr="007B26A7">
        <w:rPr>
          <w:spacing w:val="1"/>
          <w:szCs w:val="22"/>
        </w:rPr>
        <w:t>t</w:t>
      </w:r>
      <w:r w:rsidRPr="007B26A7">
        <w:rPr>
          <w:spacing w:val="-2"/>
          <w:szCs w:val="22"/>
        </w:rPr>
        <w:t>h</w:t>
      </w:r>
      <w:r w:rsidRPr="007B26A7">
        <w:rPr>
          <w:szCs w:val="22"/>
        </w:rPr>
        <w:t>e co</w:t>
      </w:r>
      <w:r w:rsidRPr="007B26A7">
        <w:rPr>
          <w:spacing w:val="-4"/>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ed Fo</w:t>
      </w:r>
      <w:r w:rsidRPr="007B26A7">
        <w:rPr>
          <w:spacing w:val="1"/>
          <w:szCs w:val="22"/>
        </w:rPr>
        <w:t>r</w:t>
      </w:r>
      <w:r w:rsidRPr="007B26A7">
        <w:rPr>
          <w:szCs w:val="22"/>
        </w:rPr>
        <w:t>m</w:t>
      </w:r>
      <w:r w:rsidRPr="007B26A7">
        <w:rPr>
          <w:spacing w:val="-4"/>
          <w:szCs w:val="22"/>
        </w:rPr>
        <w:t xml:space="preserve"> </w:t>
      </w:r>
      <w:r w:rsidRPr="007B26A7">
        <w:rPr>
          <w:szCs w:val="22"/>
        </w:rPr>
        <w:t>159)</w:t>
      </w:r>
      <w:r w:rsidRPr="007B26A7">
        <w:rPr>
          <w:spacing w:val="4"/>
          <w:szCs w:val="22"/>
        </w:rPr>
        <w:t xml:space="preserve"> </w:t>
      </w:r>
      <w:r w:rsidRPr="007B26A7">
        <w:rPr>
          <w:spacing w:val="-4"/>
          <w:szCs w:val="22"/>
        </w:rPr>
        <w:t>m</w:t>
      </w:r>
      <w:r w:rsidRPr="007B26A7">
        <w:rPr>
          <w:szCs w:val="22"/>
        </w:rPr>
        <w:t>ust</w:t>
      </w:r>
      <w:r w:rsidRPr="007B26A7">
        <w:rPr>
          <w:spacing w:val="2"/>
          <w:szCs w:val="22"/>
        </w:rPr>
        <w:t xml:space="preserve"> </w:t>
      </w:r>
      <w:r w:rsidRPr="007B26A7">
        <w:rPr>
          <w:szCs w:val="22"/>
        </w:rPr>
        <w:t xml:space="preserve">be </w:t>
      </w:r>
      <w:r w:rsidRPr="007B26A7">
        <w:rPr>
          <w:spacing w:val="-4"/>
          <w:szCs w:val="22"/>
        </w:rPr>
        <w:t>m</w:t>
      </w:r>
      <w:r w:rsidRPr="007B26A7">
        <w:rPr>
          <w:szCs w:val="22"/>
        </w:rPr>
        <w:t>a</w:t>
      </w:r>
      <w:r w:rsidRPr="007B26A7">
        <w:rPr>
          <w:spacing w:val="1"/>
          <w:szCs w:val="22"/>
        </w:rPr>
        <w:t>il</w:t>
      </w:r>
      <w:r w:rsidRPr="007B26A7">
        <w:rPr>
          <w:szCs w:val="22"/>
        </w:rPr>
        <w:t>ed</w:t>
      </w:r>
      <w:r w:rsidRPr="007B26A7">
        <w:rPr>
          <w:spacing w:val="29"/>
          <w:szCs w:val="22"/>
        </w:rPr>
        <w:t xml:space="preserve"> </w:t>
      </w:r>
      <w:r w:rsidRPr="007B26A7">
        <w:rPr>
          <w:spacing w:val="1"/>
          <w:szCs w:val="22"/>
        </w:rPr>
        <w:t>t</w:t>
      </w:r>
      <w:r w:rsidRPr="007B26A7">
        <w:rPr>
          <w:szCs w:val="22"/>
        </w:rPr>
        <w:t>o</w:t>
      </w:r>
      <w:r w:rsidRPr="007B26A7">
        <w:rPr>
          <w:spacing w:val="29"/>
          <w:szCs w:val="22"/>
        </w:rPr>
        <w:t xml:space="preserve"> </w:t>
      </w:r>
      <w:r w:rsidRPr="007B26A7">
        <w:rPr>
          <w:szCs w:val="22"/>
        </w:rPr>
        <w:t>Fed</w:t>
      </w:r>
      <w:r w:rsidRPr="007B26A7">
        <w:rPr>
          <w:spacing w:val="-2"/>
          <w:szCs w:val="22"/>
        </w:rPr>
        <w:t>e</w:t>
      </w:r>
      <w:r w:rsidRPr="007B26A7">
        <w:rPr>
          <w:spacing w:val="1"/>
          <w:szCs w:val="22"/>
        </w:rPr>
        <w:t>r</w:t>
      </w:r>
      <w:r w:rsidRPr="007B26A7">
        <w:rPr>
          <w:spacing w:val="-2"/>
          <w:szCs w:val="22"/>
        </w:rPr>
        <w:t>a</w:t>
      </w:r>
      <w:r w:rsidRPr="007B26A7">
        <w:rPr>
          <w:szCs w:val="22"/>
        </w:rPr>
        <w:t>l</w:t>
      </w:r>
      <w:r w:rsidRPr="007B26A7">
        <w:rPr>
          <w:spacing w:val="30"/>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pacing w:val="2"/>
          <w:szCs w:val="22"/>
        </w:rPr>
        <w:t>u</w:t>
      </w:r>
      <w:r w:rsidRPr="007B26A7">
        <w:rPr>
          <w:szCs w:val="22"/>
        </w:rPr>
        <w:t>n</w:t>
      </w:r>
      <w:r w:rsidRPr="007B26A7">
        <w:rPr>
          <w:spacing w:val="1"/>
          <w:szCs w:val="22"/>
        </w:rPr>
        <w:t>i</w:t>
      </w:r>
      <w:r w:rsidRPr="007B26A7">
        <w:rPr>
          <w:szCs w:val="22"/>
        </w:rPr>
        <w:t>c</w:t>
      </w:r>
      <w:r w:rsidRPr="007B26A7">
        <w:rPr>
          <w:spacing w:val="-2"/>
          <w:szCs w:val="22"/>
        </w:rPr>
        <w:t>a</w:t>
      </w:r>
      <w:r w:rsidRPr="007B26A7">
        <w:rPr>
          <w:spacing w:val="1"/>
          <w:szCs w:val="22"/>
        </w:rPr>
        <w:t>t</w:t>
      </w:r>
      <w:r w:rsidRPr="007B26A7">
        <w:rPr>
          <w:spacing w:val="-1"/>
          <w:szCs w:val="22"/>
        </w:rPr>
        <w:t>i</w:t>
      </w:r>
      <w:r w:rsidRPr="007B26A7">
        <w:rPr>
          <w:szCs w:val="22"/>
        </w:rPr>
        <w:t>ons</w:t>
      </w:r>
      <w:r w:rsidRPr="007B26A7">
        <w:rPr>
          <w:spacing w:val="29"/>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pacing w:val="1"/>
          <w:szCs w:val="22"/>
        </w:rPr>
        <w:t>i</w:t>
      </w:r>
      <w:r w:rsidRPr="007B26A7">
        <w:rPr>
          <w:szCs w:val="22"/>
        </w:rPr>
        <w:t>s</w:t>
      </w:r>
      <w:r w:rsidRPr="007B26A7">
        <w:rPr>
          <w:spacing w:val="1"/>
          <w:szCs w:val="22"/>
        </w:rPr>
        <w:t>si</w:t>
      </w:r>
      <w:r w:rsidRPr="007B26A7">
        <w:rPr>
          <w:szCs w:val="22"/>
        </w:rPr>
        <w:t>on,</w:t>
      </w:r>
      <w:r w:rsidRPr="007B26A7">
        <w:rPr>
          <w:spacing w:val="29"/>
          <w:szCs w:val="22"/>
        </w:rPr>
        <w:t xml:space="preserve"> </w:t>
      </w:r>
      <w:r w:rsidRPr="007B26A7">
        <w:rPr>
          <w:szCs w:val="22"/>
        </w:rPr>
        <w:t>P</w:t>
      </w:r>
      <w:r w:rsidRPr="007B26A7">
        <w:rPr>
          <w:spacing w:val="-3"/>
          <w:szCs w:val="22"/>
        </w:rPr>
        <w:t>.</w:t>
      </w:r>
      <w:r w:rsidRPr="007B26A7">
        <w:rPr>
          <w:spacing w:val="-1"/>
          <w:szCs w:val="22"/>
        </w:rPr>
        <w:t>O</w:t>
      </w:r>
      <w:r w:rsidRPr="007B26A7">
        <w:rPr>
          <w:szCs w:val="22"/>
        </w:rPr>
        <w:t>.</w:t>
      </w:r>
      <w:r w:rsidRPr="007B26A7">
        <w:rPr>
          <w:spacing w:val="29"/>
          <w:szCs w:val="22"/>
        </w:rPr>
        <w:t xml:space="preserve"> </w:t>
      </w:r>
      <w:r w:rsidRPr="007B26A7">
        <w:rPr>
          <w:spacing w:val="-1"/>
          <w:szCs w:val="22"/>
        </w:rPr>
        <w:t>B</w:t>
      </w:r>
      <w:r w:rsidRPr="007B26A7">
        <w:rPr>
          <w:szCs w:val="22"/>
        </w:rPr>
        <w:t>ox</w:t>
      </w:r>
      <w:r w:rsidRPr="007B26A7">
        <w:rPr>
          <w:spacing w:val="29"/>
          <w:szCs w:val="22"/>
        </w:rPr>
        <w:t xml:space="preserve"> </w:t>
      </w:r>
      <w:r w:rsidRPr="007B26A7">
        <w:rPr>
          <w:szCs w:val="22"/>
        </w:rPr>
        <w:t>979088,</w:t>
      </w:r>
      <w:r w:rsidRPr="007B26A7">
        <w:rPr>
          <w:spacing w:val="29"/>
          <w:szCs w:val="22"/>
        </w:rPr>
        <w:t xml:space="preserve"> </w:t>
      </w:r>
      <w:r w:rsidRPr="007B26A7">
        <w:rPr>
          <w:szCs w:val="22"/>
        </w:rPr>
        <w:t>St.</w:t>
      </w:r>
      <w:r w:rsidRPr="007B26A7">
        <w:rPr>
          <w:spacing w:val="29"/>
          <w:szCs w:val="22"/>
        </w:rPr>
        <w:t xml:space="preserve"> </w:t>
      </w:r>
      <w:r w:rsidRPr="007B26A7">
        <w:rPr>
          <w:szCs w:val="22"/>
        </w:rPr>
        <w:t>Loui</w:t>
      </w:r>
      <w:r w:rsidRPr="007B26A7">
        <w:rPr>
          <w:spacing w:val="1"/>
          <w:szCs w:val="22"/>
        </w:rPr>
        <w:t>s</w:t>
      </w:r>
      <w:r w:rsidRPr="007B26A7">
        <w:rPr>
          <w:szCs w:val="22"/>
        </w:rPr>
        <w:t>,</w:t>
      </w:r>
      <w:r w:rsidRPr="007B26A7">
        <w:rPr>
          <w:spacing w:val="26"/>
          <w:szCs w:val="22"/>
        </w:rPr>
        <w:t xml:space="preserve"> </w:t>
      </w:r>
      <w:r w:rsidRPr="007B26A7">
        <w:rPr>
          <w:szCs w:val="22"/>
        </w:rPr>
        <w:t>MO</w:t>
      </w:r>
      <w:r w:rsidRPr="007B26A7">
        <w:rPr>
          <w:spacing w:val="28"/>
          <w:szCs w:val="22"/>
        </w:rPr>
        <w:t xml:space="preserve"> </w:t>
      </w:r>
      <w:r w:rsidRPr="007B26A7">
        <w:rPr>
          <w:szCs w:val="22"/>
        </w:rPr>
        <w:t>6319</w:t>
      </w:r>
      <w:r w:rsidRPr="007B26A7">
        <w:rPr>
          <w:spacing w:val="7"/>
          <w:szCs w:val="22"/>
        </w:rPr>
        <w:t>7</w:t>
      </w:r>
      <w:r w:rsidRPr="007B26A7">
        <w:rPr>
          <w:szCs w:val="22"/>
        </w:rPr>
        <w:t>-9000,</w:t>
      </w:r>
      <w:r w:rsidRPr="007B26A7">
        <w:rPr>
          <w:spacing w:val="9"/>
          <w:szCs w:val="22"/>
        </w:rPr>
        <w:t xml:space="preserve"> </w:t>
      </w:r>
      <w:r w:rsidRPr="007B26A7">
        <w:rPr>
          <w:spacing w:val="-2"/>
          <w:szCs w:val="22"/>
        </w:rPr>
        <w:t>o</w:t>
      </w:r>
      <w:r w:rsidRPr="007B26A7">
        <w:rPr>
          <w:szCs w:val="22"/>
        </w:rPr>
        <w:t>r</w:t>
      </w:r>
      <w:r w:rsidRPr="007B26A7">
        <w:rPr>
          <w:spacing w:val="10"/>
          <w:szCs w:val="22"/>
        </w:rPr>
        <w:t xml:space="preserve"> </w:t>
      </w:r>
      <w:r w:rsidRPr="007B26A7">
        <w:rPr>
          <w:spacing w:val="-2"/>
          <w:szCs w:val="22"/>
        </w:rPr>
        <w:t>s</w:t>
      </w:r>
      <w:r w:rsidRPr="007B26A7">
        <w:rPr>
          <w:szCs w:val="22"/>
        </w:rPr>
        <w:t>ent</w:t>
      </w:r>
      <w:r w:rsidRPr="007B26A7">
        <w:rPr>
          <w:spacing w:val="8"/>
          <w:szCs w:val="22"/>
        </w:rPr>
        <w:t xml:space="preserve"> </w:t>
      </w:r>
      <w:r w:rsidRPr="007B26A7">
        <w:rPr>
          <w:spacing w:val="-2"/>
          <w:szCs w:val="22"/>
        </w:rPr>
        <w:t>v</w:t>
      </w:r>
      <w:r w:rsidRPr="007B26A7">
        <w:rPr>
          <w:spacing w:val="1"/>
          <w:szCs w:val="22"/>
        </w:rPr>
        <w:t>i</w:t>
      </w:r>
      <w:r w:rsidRPr="007B26A7">
        <w:rPr>
          <w:szCs w:val="22"/>
        </w:rPr>
        <w:t>a</w:t>
      </w:r>
      <w:r w:rsidRPr="007B26A7">
        <w:rPr>
          <w:spacing w:val="3"/>
          <w:szCs w:val="22"/>
        </w:rPr>
        <w:t xml:space="preserve"> </w:t>
      </w:r>
      <w:r w:rsidRPr="007B26A7">
        <w:rPr>
          <w:szCs w:val="22"/>
        </w:rPr>
        <w:t>o</w:t>
      </w:r>
      <w:r w:rsidRPr="007B26A7">
        <w:rPr>
          <w:spacing w:val="-2"/>
          <w:szCs w:val="22"/>
        </w:rPr>
        <w:t>v</w:t>
      </w:r>
      <w:r w:rsidRPr="007B26A7">
        <w:rPr>
          <w:szCs w:val="22"/>
        </w:rPr>
        <w:t>e</w:t>
      </w:r>
      <w:r w:rsidRPr="007B26A7">
        <w:rPr>
          <w:spacing w:val="1"/>
          <w:szCs w:val="22"/>
        </w:rPr>
        <w:t>r</w:t>
      </w:r>
      <w:r w:rsidRPr="007B26A7">
        <w:rPr>
          <w:spacing w:val="-2"/>
          <w:szCs w:val="22"/>
        </w:rPr>
        <w:t>n</w:t>
      </w:r>
      <w:r w:rsidRPr="007B26A7">
        <w:rPr>
          <w:spacing w:val="1"/>
          <w:szCs w:val="22"/>
        </w:rPr>
        <w:t>i</w:t>
      </w:r>
      <w:r w:rsidRPr="007B26A7">
        <w:rPr>
          <w:spacing w:val="-2"/>
          <w:szCs w:val="22"/>
        </w:rPr>
        <w:t>g</w:t>
      </w:r>
      <w:r w:rsidRPr="007B26A7">
        <w:rPr>
          <w:szCs w:val="22"/>
        </w:rPr>
        <w:t>ht</w:t>
      </w:r>
      <w:r w:rsidRPr="007B26A7">
        <w:rPr>
          <w:spacing w:val="8"/>
          <w:szCs w:val="22"/>
        </w:rPr>
        <w:t xml:space="preserve"> </w:t>
      </w:r>
      <w:r w:rsidRPr="007B26A7">
        <w:rPr>
          <w:spacing w:val="-4"/>
          <w:szCs w:val="22"/>
        </w:rPr>
        <w:t>m</w:t>
      </w:r>
      <w:r w:rsidRPr="007B26A7">
        <w:rPr>
          <w:szCs w:val="22"/>
        </w:rPr>
        <w:t>a</w:t>
      </w:r>
      <w:r w:rsidRPr="007B26A7">
        <w:rPr>
          <w:spacing w:val="1"/>
          <w:szCs w:val="22"/>
        </w:rPr>
        <w:t>i</w:t>
      </w:r>
      <w:r w:rsidRPr="007B26A7">
        <w:rPr>
          <w:szCs w:val="22"/>
        </w:rPr>
        <w:t>l</w:t>
      </w:r>
      <w:r w:rsidRPr="007B26A7">
        <w:rPr>
          <w:spacing w:val="2"/>
          <w:szCs w:val="22"/>
        </w:rPr>
        <w:t xml:space="preserve"> </w:t>
      </w:r>
      <w:r w:rsidRPr="007B26A7">
        <w:rPr>
          <w:spacing w:val="1"/>
          <w:szCs w:val="22"/>
        </w:rPr>
        <w:t>t</w:t>
      </w:r>
      <w:r w:rsidRPr="007B26A7">
        <w:rPr>
          <w:szCs w:val="22"/>
        </w:rPr>
        <w:t>o</w:t>
      </w:r>
      <w:r w:rsidRPr="007B26A7">
        <w:rPr>
          <w:spacing w:val="9"/>
          <w:szCs w:val="22"/>
        </w:rPr>
        <w:t xml:space="preserve"> </w:t>
      </w:r>
      <w:r w:rsidRPr="007B26A7">
        <w:rPr>
          <w:spacing w:val="-1"/>
          <w:szCs w:val="22"/>
        </w:rPr>
        <w:t>U</w:t>
      </w:r>
      <w:r w:rsidRPr="007B26A7">
        <w:rPr>
          <w:szCs w:val="22"/>
        </w:rPr>
        <w:t>.S.</w:t>
      </w:r>
      <w:r w:rsidRPr="007B26A7">
        <w:rPr>
          <w:spacing w:val="7"/>
          <w:szCs w:val="22"/>
        </w:rPr>
        <w:t xml:space="preserve"> </w:t>
      </w:r>
      <w:r w:rsidRPr="007B26A7">
        <w:rPr>
          <w:spacing w:val="-1"/>
          <w:szCs w:val="22"/>
        </w:rPr>
        <w:t>B</w:t>
      </w:r>
      <w:r w:rsidRPr="007B26A7">
        <w:rPr>
          <w:szCs w:val="22"/>
        </w:rPr>
        <w:t>ank</w:t>
      </w:r>
      <w:r w:rsidRPr="007B26A7">
        <w:rPr>
          <w:spacing w:val="9"/>
          <w:szCs w:val="22"/>
        </w:rPr>
        <w:t xml:space="preserve"> </w:t>
      </w:r>
      <w:r w:rsidRPr="007B26A7">
        <w:rPr>
          <w:szCs w:val="22"/>
        </w:rPr>
        <w:t>–</w:t>
      </w:r>
      <w:r w:rsidRPr="007B26A7">
        <w:rPr>
          <w:spacing w:val="10"/>
          <w:szCs w:val="22"/>
        </w:rPr>
        <w:t xml:space="preserve"> </w:t>
      </w:r>
      <w:r w:rsidRPr="007B26A7">
        <w:rPr>
          <w:spacing w:val="-1"/>
          <w:szCs w:val="22"/>
        </w:rPr>
        <w:t>G</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4"/>
          <w:szCs w:val="22"/>
        </w:rPr>
        <w:t>m</w:t>
      </w:r>
      <w:r w:rsidRPr="007B26A7">
        <w:rPr>
          <w:szCs w:val="22"/>
        </w:rPr>
        <w:t>ent</w:t>
      </w:r>
      <w:r w:rsidRPr="007B26A7">
        <w:rPr>
          <w:spacing w:val="11"/>
          <w:szCs w:val="22"/>
        </w:rPr>
        <w:t xml:space="preserve"> </w:t>
      </w:r>
      <w:r w:rsidRPr="007B26A7">
        <w:rPr>
          <w:szCs w:val="22"/>
        </w:rPr>
        <w:t>Loc</w:t>
      </w:r>
      <w:r w:rsidRPr="007B26A7">
        <w:rPr>
          <w:spacing w:val="-3"/>
          <w:szCs w:val="22"/>
        </w:rPr>
        <w:t>k</w:t>
      </w:r>
      <w:r w:rsidRPr="007B26A7">
        <w:rPr>
          <w:szCs w:val="22"/>
        </w:rPr>
        <w:t>box</w:t>
      </w:r>
      <w:r w:rsidRPr="007B26A7">
        <w:rPr>
          <w:spacing w:val="9"/>
          <w:szCs w:val="22"/>
        </w:rPr>
        <w:t xml:space="preserve"> </w:t>
      </w:r>
      <w:r w:rsidRPr="007B26A7">
        <w:rPr>
          <w:szCs w:val="22"/>
        </w:rPr>
        <w:t>#97</w:t>
      </w:r>
      <w:r w:rsidRPr="007B26A7">
        <w:rPr>
          <w:spacing w:val="-2"/>
          <w:szCs w:val="22"/>
        </w:rPr>
        <w:t>9</w:t>
      </w:r>
      <w:r w:rsidRPr="007B26A7">
        <w:rPr>
          <w:szCs w:val="22"/>
        </w:rPr>
        <w:t>088,</w:t>
      </w:r>
      <w:r w:rsidRPr="007B26A7">
        <w:rPr>
          <w:spacing w:val="7"/>
          <w:szCs w:val="22"/>
        </w:rPr>
        <w:t xml:space="preserve"> </w:t>
      </w:r>
      <w:r w:rsidRPr="007B26A7">
        <w:rPr>
          <w:szCs w:val="22"/>
        </w:rPr>
        <w:t>S</w:t>
      </w:r>
      <w:r w:rsidRPr="007B26A7">
        <w:rPr>
          <w:spacing w:val="3"/>
          <w:szCs w:val="22"/>
        </w:rPr>
        <w:t>L</w:t>
      </w:r>
      <w:r w:rsidRPr="007B26A7">
        <w:rPr>
          <w:spacing w:val="-4"/>
          <w:szCs w:val="22"/>
        </w:rPr>
        <w:t>-</w:t>
      </w:r>
      <w:r w:rsidRPr="007B26A7">
        <w:rPr>
          <w:spacing w:val="1"/>
          <w:szCs w:val="22"/>
        </w:rPr>
        <w:t>M</w:t>
      </w:r>
      <w:r w:rsidRPr="007B26A7">
        <w:rPr>
          <w:spacing w:val="2"/>
          <w:szCs w:val="22"/>
        </w:rPr>
        <w:t>O</w:t>
      </w:r>
      <w:r w:rsidRPr="007B26A7">
        <w:rPr>
          <w:spacing w:val="-4"/>
          <w:szCs w:val="22"/>
        </w:rPr>
        <w:t>-</w:t>
      </w:r>
      <w:r w:rsidRPr="007B26A7">
        <w:rPr>
          <w:spacing w:val="-1"/>
          <w:szCs w:val="22"/>
        </w:rPr>
        <w:t>C</w:t>
      </w:r>
      <w:r w:rsidRPr="007B26A7">
        <w:rPr>
          <w:spacing w:val="2"/>
          <w:szCs w:val="22"/>
        </w:rPr>
        <w:t>2</w:t>
      </w:r>
      <w:r w:rsidRPr="007B26A7">
        <w:rPr>
          <w:szCs w:val="22"/>
        </w:rPr>
        <w:t xml:space="preserve">- </w:t>
      </w:r>
      <w:r w:rsidRPr="007B26A7">
        <w:rPr>
          <w:spacing w:val="-1"/>
          <w:szCs w:val="22"/>
        </w:rPr>
        <w:t>G</w:t>
      </w:r>
      <w:r w:rsidRPr="007B26A7">
        <w:rPr>
          <w:szCs w:val="22"/>
        </w:rPr>
        <w:t xml:space="preserve">L, 1005 </w:t>
      </w:r>
      <w:r w:rsidRPr="007B26A7">
        <w:rPr>
          <w:spacing w:val="-1"/>
          <w:szCs w:val="22"/>
        </w:rPr>
        <w:t>C</w:t>
      </w:r>
      <w:r w:rsidRPr="007B26A7">
        <w:rPr>
          <w:szCs w:val="22"/>
        </w:rPr>
        <w:t>on</w:t>
      </w:r>
      <w:r w:rsidRPr="007B26A7">
        <w:rPr>
          <w:spacing w:val="-2"/>
          <w:szCs w:val="22"/>
        </w:rPr>
        <w:t>v</w:t>
      </w:r>
      <w:r w:rsidRPr="007B26A7">
        <w:rPr>
          <w:szCs w:val="22"/>
        </w:rPr>
        <w:t>en</w:t>
      </w:r>
      <w:r w:rsidRPr="007B26A7">
        <w:rPr>
          <w:spacing w:val="-1"/>
          <w:szCs w:val="22"/>
        </w:rPr>
        <w:t>t</w:t>
      </w:r>
      <w:r w:rsidRPr="007B26A7">
        <w:rPr>
          <w:spacing w:val="1"/>
          <w:szCs w:val="22"/>
        </w:rPr>
        <w:t>i</w:t>
      </w:r>
      <w:r w:rsidRPr="007B26A7">
        <w:rPr>
          <w:szCs w:val="22"/>
        </w:rPr>
        <w:t xml:space="preserve">on </w:t>
      </w:r>
      <w:r w:rsidRPr="007B26A7">
        <w:rPr>
          <w:spacing w:val="-3"/>
          <w:szCs w:val="22"/>
        </w:rPr>
        <w:t>P</w:t>
      </w:r>
      <w:r w:rsidRPr="007B26A7">
        <w:rPr>
          <w:spacing w:val="1"/>
          <w:szCs w:val="22"/>
        </w:rPr>
        <w:t>l</w:t>
      </w:r>
      <w:r w:rsidRPr="007B26A7">
        <w:rPr>
          <w:szCs w:val="22"/>
        </w:rPr>
        <w:t>a</w:t>
      </w:r>
      <w:r w:rsidRPr="007B26A7">
        <w:rPr>
          <w:spacing w:val="-2"/>
          <w:szCs w:val="22"/>
        </w:rPr>
        <w:t>z</w:t>
      </w:r>
      <w:r w:rsidRPr="007B26A7">
        <w:rPr>
          <w:szCs w:val="22"/>
        </w:rPr>
        <w:t>a, S</w:t>
      </w:r>
      <w:r w:rsidRPr="007B26A7">
        <w:rPr>
          <w:spacing w:val="1"/>
          <w:szCs w:val="22"/>
        </w:rPr>
        <w:t>t</w:t>
      </w:r>
      <w:r w:rsidRPr="007B26A7">
        <w:rPr>
          <w:szCs w:val="22"/>
        </w:rPr>
        <w:t>. L</w:t>
      </w:r>
      <w:r w:rsidRPr="007B26A7">
        <w:rPr>
          <w:spacing w:val="-3"/>
          <w:szCs w:val="22"/>
        </w:rPr>
        <w:t>o</w:t>
      </w:r>
      <w:r w:rsidRPr="007B26A7">
        <w:rPr>
          <w:szCs w:val="22"/>
        </w:rPr>
        <w:t>u</w:t>
      </w:r>
      <w:r w:rsidRPr="007B26A7">
        <w:rPr>
          <w:spacing w:val="1"/>
          <w:szCs w:val="22"/>
        </w:rPr>
        <w:t>i</w:t>
      </w:r>
      <w:r w:rsidRPr="007B26A7">
        <w:rPr>
          <w:szCs w:val="22"/>
        </w:rPr>
        <w:t>s,</w:t>
      </w:r>
      <w:r w:rsidRPr="007B26A7">
        <w:rPr>
          <w:spacing w:val="-2"/>
          <w:szCs w:val="22"/>
        </w:rPr>
        <w:t xml:space="preserve"> </w:t>
      </w:r>
      <w:r w:rsidRPr="007B26A7">
        <w:rPr>
          <w:szCs w:val="22"/>
        </w:rPr>
        <w:t>MO 63</w:t>
      </w:r>
      <w:r w:rsidRPr="007B26A7">
        <w:rPr>
          <w:spacing w:val="-3"/>
          <w:szCs w:val="22"/>
        </w:rPr>
        <w:t>1</w:t>
      </w:r>
      <w:r w:rsidRPr="007B26A7">
        <w:rPr>
          <w:szCs w:val="22"/>
        </w:rPr>
        <w:t>01.</w:t>
      </w:r>
    </w:p>
    <w:p w:rsidR="001478AB" w:rsidRPr="007B26A7" w:rsidP="00F4429E" w14:paraId="413EF047" w14:textId="10302B7B">
      <w:pPr>
        <w:pStyle w:val="ParaNum"/>
        <w:numPr>
          <w:ilvl w:val="0"/>
          <w:numId w:val="18"/>
        </w:numPr>
        <w:ind w:left="1440" w:hanging="720"/>
        <w:rPr>
          <w:szCs w:val="22"/>
        </w:rPr>
      </w:pPr>
      <w:r w:rsidRPr="007B26A7">
        <w:rPr>
          <w:szCs w:val="22"/>
        </w:rPr>
        <w:t>Pay</w:t>
      </w:r>
      <w:r w:rsidRPr="007B26A7">
        <w:rPr>
          <w:spacing w:val="-4"/>
          <w:szCs w:val="22"/>
        </w:rPr>
        <w:t>m</w:t>
      </w:r>
      <w:r w:rsidRPr="007B26A7">
        <w:rPr>
          <w:szCs w:val="22"/>
        </w:rPr>
        <w:t xml:space="preserve">ent </w:t>
      </w:r>
      <w:r w:rsidRPr="007B26A7">
        <w:rPr>
          <w:spacing w:val="28"/>
          <w:szCs w:val="22"/>
        </w:rPr>
        <w:t>by</w:t>
      </w:r>
      <w:r w:rsidRPr="007B26A7">
        <w:rPr>
          <w:spacing w:val="-1"/>
          <w:szCs w:val="22"/>
        </w:rPr>
        <w:t xml:space="preserve"> </w:t>
      </w:r>
      <w:r w:rsidRPr="007B26A7">
        <w:rPr>
          <w:spacing w:val="-1"/>
          <w:szCs w:val="22"/>
        </w:rPr>
        <w:t>w</w:t>
      </w:r>
      <w:r w:rsidRPr="007B26A7">
        <w:rPr>
          <w:spacing w:val="1"/>
          <w:szCs w:val="22"/>
        </w:rPr>
        <w:t>ir</w:t>
      </w:r>
      <w:r w:rsidRPr="007B26A7">
        <w:rPr>
          <w:szCs w:val="22"/>
        </w:rPr>
        <w:t xml:space="preserve">e </w:t>
      </w:r>
      <w:r w:rsidRPr="007B26A7">
        <w:rPr>
          <w:spacing w:val="25"/>
          <w:szCs w:val="22"/>
        </w:rPr>
        <w:t>transfer</w:t>
      </w:r>
      <w:r w:rsidRPr="007B26A7">
        <w:rPr>
          <w:szCs w:val="22"/>
        </w:rPr>
        <w:t xml:space="preserve"> </w:t>
      </w:r>
      <w:r w:rsidRPr="007B26A7">
        <w:rPr>
          <w:spacing w:val="-4"/>
          <w:szCs w:val="22"/>
        </w:rPr>
        <w:t>m</w:t>
      </w:r>
      <w:r w:rsidRPr="007B26A7">
        <w:rPr>
          <w:szCs w:val="22"/>
        </w:rPr>
        <w:t xml:space="preserve">ust </w:t>
      </w:r>
      <w:r w:rsidRPr="007B26A7">
        <w:rPr>
          <w:spacing w:val="28"/>
          <w:szCs w:val="22"/>
        </w:rPr>
        <w:t>be</w:t>
      </w:r>
      <w:r w:rsidRPr="007B26A7">
        <w:rPr>
          <w:szCs w:val="22"/>
        </w:rPr>
        <w:t xml:space="preserve"> </w:t>
      </w:r>
      <w:r w:rsidRPr="007B26A7">
        <w:rPr>
          <w:spacing w:val="27"/>
          <w:szCs w:val="22"/>
        </w:rPr>
        <w:t>made</w:t>
      </w:r>
      <w:r w:rsidRPr="007B26A7">
        <w:rPr>
          <w:szCs w:val="22"/>
        </w:rPr>
        <w:t xml:space="preserve"> </w:t>
      </w:r>
      <w:r w:rsidRPr="007B26A7">
        <w:rPr>
          <w:spacing w:val="27"/>
          <w:szCs w:val="22"/>
        </w:rPr>
        <w:t>to</w:t>
      </w:r>
      <w:r w:rsidRPr="007B26A7">
        <w:rPr>
          <w:szCs w:val="22"/>
        </w:rPr>
        <w:t xml:space="preserve"> </w:t>
      </w:r>
      <w:r w:rsidRPr="007B26A7">
        <w:rPr>
          <w:spacing w:val="27"/>
          <w:szCs w:val="22"/>
        </w:rPr>
        <w:t>ABA</w:t>
      </w:r>
      <w:r w:rsidRPr="007B26A7">
        <w:rPr>
          <w:szCs w:val="22"/>
        </w:rPr>
        <w:t xml:space="preserve"> </w:t>
      </w:r>
      <w:r w:rsidRPr="007B26A7">
        <w:rPr>
          <w:spacing w:val="23"/>
          <w:szCs w:val="22"/>
        </w:rPr>
        <w:t>Number</w:t>
      </w:r>
      <w:r w:rsidRPr="007B26A7">
        <w:rPr>
          <w:szCs w:val="22"/>
        </w:rPr>
        <w:t xml:space="preserve"> </w:t>
      </w:r>
      <w:r w:rsidRPr="007B26A7">
        <w:rPr>
          <w:spacing w:val="28"/>
          <w:szCs w:val="22"/>
        </w:rPr>
        <w:t>021030004</w:t>
      </w:r>
      <w:r w:rsidRPr="007B26A7">
        <w:rPr>
          <w:szCs w:val="22"/>
        </w:rPr>
        <w:t xml:space="preserve">, </w:t>
      </w:r>
      <w:r w:rsidRPr="007B26A7">
        <w:rPr>
          <w:spacing w:val="27"/>
          <w:szCs w:val="22"/>
        </w:rPr>
        <w:t>receiving</w:t>
      </w:r>
      <w:r w:rsidRPr="007B26A7">
        <w:rPr>
          <w:szCs w:val="22"/>
        </w:rPr>
        <w:t xml:space="preserve"> </w:t>
      </w:r>
      <w:r w:rsidRPr="007B26A7">
        <w:rPr>
          <w:spacing w:val="24"/>
          <w:szCs w:val="22"/>
        </w:rPr>
        <w:t>bank</w:t>
      </w:r>
      <w:r w:rsidRPr="007B26A7">
        <w:rPr>
          <w:szCs w:val="22"/>
        </w:rPr>
        <w:t xml:space="preserve"> </w:t>
      </w:r>
      <w:r w:rsidRPr="007B26A7">
        <w:rPr>
          <w:spacing w:val="2"/>
          <w:szCs w:val="22"/>
        </w:rPr>
        <w:t>T</w:t>
      </w:r>
      <w:r w:rsidRPr="007B26A7">
        <w:rPr>
          <w:spacing w:val="-1"/>
          <w:szCs w:val="22"/>
        </w:rPr>
        <w:t>R</w:t>
      </w:r>
      <w:r w:rsidRPr="007B26A7">
        <w:rPr>
          <w:szCs w:val="22"/>
        </w:rPr>
        <w:t>E</w:t>
      </w:r>
      <w:r w:rsidRPr="007B26A7">
        <w:rPr>
          <w:spacing w:val="-2"/>
          <w:szCs w:val="22"/>
        </w:rPr>
        <w:t>A</w:t>
      </w:r>
      <w:r w:rsidRPr="007B26A7">
        <w:rPr>
          <w:szCs w:val="22"/>
        </w:rPr>
        <w:t>S/N</w:t>
      </w:r>
      <w:r w:rsidRPr="007B26A7">
        <w:rPr>
          <w:spacing w:val="-1"/>
          <w:szCs w:val="22"/>
        </w:rPr>
        <w:t>YC</w:t>
      </w:r>
      <w:r w:rsidRPr="007B26A7">
        <w:rPr>
          <w:szCs w:val="22"/>
        </w:rPr>
        <w:t>,</w:t>
      </w:r>
      <w:r w:rsidRPr="007B26A7">
        <w:rPr>
          <w:spacing w:val="2"/>
          <w:szCs w:val="22"/>
        </w:rPr>
        <w:t xml:space="preserve"> </w:t>
      </w:r>
      <w:r w:rsidRPr="007B26A7">
        <w:rPr>
          <w:szCs w:val="22"/>
        </w:rPr>
        <w:t>and</w:t>
      </w:r>
      <w:r w:rsidRPr="007B26A7">
        <w:rPr>
          <w:spacing w:val="3"/>
          <w:szCs w:val="22"/>
        </w:rPr>
        <w:t xml:space="preserve"> </w:t>
      </w:r>
      <w:r w:rsidRPr="007B26A7">
        <w:rPr>
          <w:spacing w:val="-1"/>
          <w:szCs w:val="22"/>
        </w:rPr>
        <w:t>A</w:t>
      </w:r>
      <w:r w:rsidRPr="007B26A7">
        <w:rPr>
          <w:szCs w:val="22"/>
        </w:rPr>
        <w:t>c</w:t>
      </w:r>
      <w:r w:rsidRPr="007B26A7">
        <w:rPr>
          <w:spacing w:val="-2"/>
          <w:szCs w:val="22"/>
        </w:rPr>
        <w:t>c</w:t>
      </w:r>
      <w:r w:rsidRPr="007B26A7">
        <w:rPr>
          <w:szCs w:val="22"/>
        </w:rPr>
        <w:t>ou</w:t>
      </w:r>
      <w:r w:rsidRPr="007B26A7">
        <w:rPr>
          <w:spacing w:val="-2"/>
          <w:szCs w:val="22"/>
        </w:rPr>
        <w:t>n</w:t>
      </w:r>
      <w:r w:rsidRPr="007B26A7">
        <w:rPr>
          <w:szCs w:val="22"/>
        </w:rPr>
        <w:t>t</w:t>
      </w:r>
      <w:r w:rsidRPr="007B26A7">
        <w:rPr>
          <w:spacing w:val="3"/>
          <w:szCs w:val="22"/>
        </w:rPr>
        <w:t xml:space="preserve"> </w:t>
      </w:r>
      <w:r w:rsidRPr="007B26A7">
        <w:rPr>
          <w:spacing w:val="-1"/>
          <w:szCs w:val="22"/>
        </w:rPr>
        <w:t>N</w:t>
      </w:r>
      <w:r w:rsidRPr="007B26A7">
        <w:rPr>
          <w:szCs w:val="22"/>
        </w:rPr>
        <w:t>u</w:t>
      </w:r>
      <w:r w:rsidRPr="007B26A7">
        <w:rPr>
          <w:spacing w:val="-4"/>
          <w:szCs w:val="22"/>
        </w:rPr>
        <w:t>m</w:t>
      </w:r>
      <w:r w:rsidRPr="007B26A7">
        <w:rPr>
          <w:szCs w:val="22"/>
        </w:rPr>
        <w:t>ber</w:t>
      </w:r>
      <w:r w:rsidRPr="007B26A7">
        <w:rPr>
          <w:spacing w:val="3"/>
          <w:szCs w:val="22"/>
        </w:rPr>
        <w:t xml:space="preserve"> </w:t>
      </w:r>
      <w:r w:rsidRPr="007B26A7">
        <w:rPr>
          <w:szCs w:val="22"/>
        </w:rPr>
        <w:t xml:space="preserve">27000001. </w:t>
      </w:r>
      <w:r w:rsidRPr="007B26A7">
        <w:rPr>
          <w:spacing w:val="3"/>
          <w:szCs w:val="22"/>
        </w:rPr>
        <w:t xml:space="preserve"> </w:t>
      </w:r>
      <w:r w:rsidRPr="007B26A7">
        <w:rPr>
          <w:spacing w:val="2"/>
          <w:szCs w:val="22"/>
        </w:rPr>
        <w:t>T</w:t>
      </w:r>
      <w:r w:rsidRPr="007B26A7">
        <w:rPr>
          <w:szCs w:val="22"/>
        </w:rPr>
        <w:t>o co</w:t>
      </w:r>
      <w:r w:rsidRPr="007B26A7">
        <w:rPr>
          <w:spacing w:val="-3"/>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w:t>
      </w:r>
      <w:r w:rsidRPr="007B26A7">
        <w:rPr>
          <w:spacing w:val="3"/>
          <w:szCs w:val="22"/>
        </w:rPr>
        <w:t xml:space="preserve"> </w:t>
      </w:r>
      <w:r w:rsidRPr="007B26A7">
        <w:rPr>
          <w:spacing w:val="-1"/>
          <w:szCs w:val="22"/>
        </w:rPr>
        <w:t>t</w:t>
      </w:r>
      <w:r w:rsidRPr="007B26A7">
        <w:rPr>
          <w:szCs w:val="22"/>
        </w:rPr>
        <w:t>he</w:t>
      </w:r>
      <w:r w:rsidRPr="007B26A7">
        <w:rPr>
          <w:spacing w:val="3"/>
          <w:szCs w:val="22"/>
        </w:rPr>
        <w:t xml:space="preserve"> </w:t>
      </w:r>
      <w:r w:rsidRPr="007B26A7">
        <w:rPr>
          <w:spacing w:val="-1"/>
          <w:szCs w:val="22"/>
        </w:rPr>
        <w:t>w</w:t>
      </w:r>
      <w:r w:rsidRPr="007B26A7">
        <w:rPr>
          <w:spacing w:val="1"/>
          <w:szCs w:val="22"/>
        </w:rPr>
        <w:t>i</w:t>
      </w:r>
      <w:r w:rsidRPr="007B26A7">
        <w:rPr>
          <w:spacing w:val="-2"/>
          <w:szCs w:val="22"/>
        </w:rPr>
        <w:t>r</w:t>
      </w:r>
      <w:r w:rsidRPr="007B26A7">
        <w:rPr>
          <w:szCs w:val="22"/>
        </w:rPr>
        <w:t>e</w:t>
      </w:r>
      <w:r w:rsidRPr="007B26A7">
        <w:rPr>
          <w:spacing w:val="3"/>
          <w:szCs w:val="22"/>
        </w:rPr>
        <w:t xml:space="preserve"> </w:t>
      </w:r>
      <w:r w:rsidRPr="007B26A7">
        <w:rPr>
          <w:spacing w:val="-1"/>
          <w:szCs w:val="22"/>
        </w:rPr>
        <w:t>t</w:t>
      </w:r>
      <w:r w:rsidRPr="007B26A7">
        <w:rPr>
          <w:spacing w:val="1"/>
          <w:szCs w:val="22"/>
        </w:rPr>
        <w:t>r</w:t>
      </w:r>
      <w:r w:rsidRPr="007B26A7">
        <w:rPr>
          <w:szCs w:val="22"/>
        </w:rPr>
        <w:t>an</w:t>
      </w:r>
      <w:r w:rsidRPr="007B26A7">
        <w:rPr>
          <w:spacing w:val="-2"/>
          <w:szCs w:val="22"/>
        </w:rPr>
        <w:t>s</w:t>
      </w:r>
      <w:r w:rsidRPr="007B26A7">
        <w:rPr>
          <w:spacing w:val="1"/>
          <w:szCs w:val="22"/>
        </w:rPr>
        <w:t>f</w:t>
      </w:r>
      <w:r w:rsidRPr="007B26A7">
        <w:rPr>
          <w:spacing w:val="-2"/>
          <w:szCs w:val="22"/>
        </w:rPr>
        <w:t>e</w:t>
      </w:r>
      <w:r w:rsidRPr="007B26A7">
        <w:rPr>
          <w:szCs w:val="22"/>
        </w:rPr>
        <w:t>r</w:t>
      </w:r>
      <w:r w:rsidRPr="007B26A7">
        <w:rPr>
          <w:spacing w:val="1"/>
          <w:szCs w:val="22"/>
        </w:rPr>
        <w:t xml:space="preserve"> </w:t>
      </w:r>
      <w:r w:rsidRPr="007B26A7">
        <w:rPr>
          <w:szCs w:val="22"/>
        </w:rPr>
        <w:t>and</w:t>
      </w:r>
      <w:r w:rsidRPr="007B26A7">
        <w:rPr>
          <w:spacing w:val="3"/>
          <w:szCs w:val="22"/>
        </w:rPr>
        <w:t xml:space="preserve"> </w:t>
      </w:r>
      <w:r w:rsidRPr="007B26A7">
        <w:rPr>
          <w:szCs w:val="22"/>
        </w:rPr>
        <w:t>en</w:t>
      </w:r>
      <w:r w:rsidRPr="007B26A7">
        <w:rPr>
          <w:spacing w:val="1"/>
          <w:szCs w:val="22"/>
        </w:rPr>
        <w:t>s</w:t>
      </w:r>
      <w:r w:rsidRPr="007B26A7">
        <w:rPr>
          <w:spacing w:val="-2"/>
          <w:szCs w:val="22"/>
        </w:rPr>
        <w:t>u</w:t>
      </w:r>
      <w:r w:rsidRPr="007B26A7">
        <w:rPr>
          <w:spacing w:val="1"/>
          <w:szCs w:val="22"/>
        </w:rPr>
        <w:t>r</w:t>
      </w:r>
      <w:r w:rsidRPr="007B26A7">
        <w:rPr>
          <w:szCs w:val="22"/>
        </w:rPr>
        <w:t>e app</w:t>
      </w:r>
      <w:r w:rsidRPr="007B26A7">
        <w:rPr>
          <w:spacing w:val="1"/>
          <w:szCs w:val="22"/>
        </w:rPr>
        <w:t>r</w:t>
      </w:r>
      <w:r w:rsidRPr="007B26A7">
        <w:rPr>
          <w:szCs w:val="22"/>
        </w:rPr>
        <w:t>o</w:t>
      </w:r>
      <w:r w:rsidRPr="007B26A7">
        <w:rPr>
          <w:spacing w:val="-2"/>
          <w:szCs w:val="22"/>
        </w:rPr>
        <w:t>p</w:t>
      </w:r>
      <w:r w:rsidRPr="007B26A7">
        <w:rPr>
          <w:spacing w:val="1"/>
          <w:szCs w:val="22"/>
        </w:rPr>
        <w:t>r</w:t>
      </w:r>
      <w:r w:rsidRPr="007B26A7">
        <w:rPr>
          <w:spacing w:val="-1"/>
          <w:szCs w:val="22"/>
        </w:rPr>
        <w:t>i</w:t>
      </w:r>
      <w:r w:rsidRPr="007B26A7">
        <w:rPr>
          <w:szCs w:val="22"/>
        </w:rPr>
        <w:t>a</w:t>
      </w:r>
      <w:r w:rsidRPr="007B26A7">
        <w:rPr>
          <w:spacing w:val="-1"/>
          <w:szCs w:val="22"/>
        </w:rPr>
        <w:t>t</w:t>
      </w:r>
      <w:r w:rsidRPr="007B26A7">
        <w:rPr>
          <w:szCs w:val="22"/>
        </w:rPr>
        <w:t>e</w:t>
      </w:r>
      <w:r w:rsidRPr="007B26A7">
        <w:rPr>
          <w:spacing w:val="15"/>
          <w:szCs w:val="22"/>
        </w:rPr>
        <w:t xml:space="preserve"> </w:t>
      </w:r>
      <w:r w:rsidRPr="007B26A7">
        <w:rPr>
          <w:spacing w:val="-2"/>
          <w:szCs w:val="22"/>
        </w:rPr>
        <w:t>c</w:t>
      </w:r>
      <w:r w:rsidRPr="007B26A7">
        <w:rPr>
          <w:spacing w:val="1"/>
          <w:szCs w:val="22"/>
        </w:rPr>
        <w:t>r</w:t>
      </w:r>
      <w:r w:rsidRPr="007B26A7">
        <w:rPr>
          <w:spacing w:val="2"/>
          <w:szCs w:val="22"/>
        </w:rPr>
        <w:t>e</w:t>
      </w:r>
      <w:r w:rsidRPr="007B26A7">
        <w:rPr>
          <w:spacing w:val="-2"/>
          <w:szCs w:val="22"/>
        </w:rPr>
        <w:t>d</w:t>
      </w:r>
      <w:r w:rsidRPr="007B26A7">
        <w:rPr>
          <w:spacing w:val="1"/>
          <w:szCs w:val="22"/>
        </w:rPr>
        <w:t>i</w:t>
      </w:r>
      <w:r w:rsidRPr="007B26A7">
        <w:rPr>
          <w:spacing w:val="-1"/>
          <w:szCs w:val="22"/>
        </w:rPr>
        <w:t>t</w:t>
      </w:r>
      <w:r w:rsidRPr="007B26A7">
        <w:rPr>
          <w:spacing w:val="1"/>
          <w:szCs w:val="22"/>
        </w:rPr>
        <w:t>i</w:t>
      </w:r>
      <w:r w:rsidRPr="007B26A7">
        <w:rPr>
          <w:szCs w:val="22"/>
        </w:rPr>
        <w:t>ng</w:t>
      </w:r>
      <w:r w:rsidRPr="007B26A7">
        <w:rPr>
          <w:spacing w:val="12"/>
          <w:szCs w:val="22"/>
        </w:rPr>
        <w:t xml:space="preserve"> </w:t>
      </w:r>
      <w:r w:rsidRPr="007B26A7">
        <w:rPr>
          <w:szCs w:val="22"/>
        </w:rPr>
        <w:t>of</w:t>
      </w:r>
      <w:r w:rsidRPr="007B26A7">
        <w:rPr>
          <w:spacing w:val="13"/>
          <w:szCs w:val="22"/>
        </w:rPr>
        <w:t xml:space="preserve"> </w:t>
      </w:r>
      <w:r w:rsidRPr="007B26A7">
        <w:rPr>
          <w:spacing w:val="1"/>
          <w:szCs w:val="22"/>
        </w:rPr>
        <w:t>t</w:t>
      </w:r>
      <w:r w:rsidRPr="007B26A7">
        <w:rPr>
          <w:spacing w:val="-2"/>
          <w:szCs w:val="22"/>
        </w:rPr>
        <w:t>h</w:t>
      </w:r>
      <w:r w:rsidRPr="007B26A7">
        <w:rPr>
          <w:szCs w:val="22"/>
        </w:rPr>
        <w:t>e</w:t>
      </w:r>
      <w:r w:rsidRPr="007B26A7">
        <w:rPr>
          <w:spacing w:val="12"/>
          <w:szCs w:val="22"/>
        </w:rPr>
        <w:t xml:space="preserve"> </w:t>
      </w:r>
      <w:r w:rsidRPr="007B26A7">
        <w:rPr>
          <w:spacing w:val="-1"/>
          <w:szCs w:val="22"/>
        </w:rPr>
        <w:t>w</w:t>
      </w:r>
      <w:r w:rsidRPr="007B26A7">
        <w:rPr>
          <w:spacing w:val="1"/>
          <w:szCs w:val="22"/>
        </w:rPr>
        <w:t>i</w:t>
      </w:r>
      <w:r w:rsidRPr="007B26A7">
        <w:rPr>
          <w:spacing w:val="-2"/>
          <w:szCs w:val="22"/>
        </w:rPr>
        <w:t>r</w:t>
      </w:r>
      <w:r w:rsidRPr="007B26A7">
        <w:rPr>
          <w:szCs w:val="22"/>
        </w:rPr>
        <w:t>ed</w:t>
      </w:r>
      <w:r w:rsidRPr="007B26A7">
        <w:rPr>
          <w:spacing w:val="12"/>
          <w:szCs w:val="22"/>
        </w:rPr>
        <w:t xml:space="preserve"> </w:t>
      </w:r>
      <w:r w:rsidRPr="007B26A7">
        <w:rPr>
          <w:spacing w:val="1"/>
          <w:szCs w:val="22"/>
        </w:rPr>
        <w:t>f</w:t>
      </w:r>
      <w:r w:rsidRPr="007B26A7">
        <w:rPr>
          <w:szCs w:val="22"/>
        </w:rPr>
        <w:t>und</w:t>
      </w:r>
      <w:r w:rsidRPr="007B26A7">
        <w:rPr>
          <w:spacing w:val="-2"/>
          <w:szCs w:val="22"/>
        </w:rPr>
        <w:t>s</w:t>
      </w:r>
      <w:r w:rsidRPr="007B26A7">
        <w:rPr>
          <w:szCs w:val="22"/>
        </w:rPr>
        <w:t>,</w:t>
      </w:r>
      <w:r w:rsidRPr="007B26A7">
        <w:rPr>
          <w:spacing w:val="14"/>
          <w:szCs w:val="22"/>
        </w:rPr>
        <w:t xml:space="preserve"> </w:t>
      </w:r>
      <w:r w:rsidRPr="007B26A7">
        <w:rPr>
          <w:szCs w:val="22"/>
        </w:rPr>
        <w:t>a</w:t>
      </w:r>
      <w:r w:rsidRPr="007B26A7">
        <w:rPr>
          <w:spacing w:val="12"/>
          <w:szCs w:val="22"/>
        </w:rPr>
        <w:t xml:space="preserve"> </w:t>
      </w:r>
      <w:r w:rsidRPr="007B26A7">
        <w:rPr>
          <w:szCs w:val="22"/>
        </w:rPr>
        <w:t>co</w:t>
      </w:r>
      <w:r w:rsidRPr="007B26A7">
        <w:rPr>
          <w:spacing w:val="-3"/>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ed</w:t>
      </w:r>
      <w:r w:rsidRPr="007B26A7">
        <w:rPr>
          <w:spacing w:val="12"/>
          <w:szCs w:val="22"/>
        </w:rPr>
        <w:t xml:space="preserve"> </w:t>
      </w:r>
      <w:r w:rsidRPr="007B26A7">
        <w:rPr>
          <w:szCs w:val="22"/>
        </w:rPr>
        <w:t>Form</w:t>
      </w:r>
      <w:r w:rsidRPr="007B26A7">
        <w:rPr>
          <w:spacing w:val="11"/>
          <w:szCs w:val="22"/>
        </w:rPr>
        <w:t xml:space="preserve"> </w:t>
      </w:r>
      <w:r w:rsidRPr="007B26A7">
        <w:rPr>
          <w:szCs w:val="22"/>
        </w:rPr>
        <w:t>159</w:t>
      </w:r>
      <w:r w:rsidRPr="007B26A7">
        <w:rPr>
          <w:spacing w:val="14"/>
          <w:szCs w:val="22"/>
        </w:rPr>
        <w:t xml:space="preserve"> </w:t>
      </w:r>
      <w:r w:rsidRPr="007B26A7">
        <w:rPr>
          <w:spacing w:val="-4"/>
          <w:szCs w:val="22"/>
        </w:rPr>
        <w:t>m</w:t>
      </w:r>
      <w:r w:rsidRPr="007B26A7">
        <w:rPr>
          <w:szCs w:val="22"/>
        </w:rPr>
        <w:t>ust</w:t>
      </w:r>
      <w:r w:rsidRPr="007B26A7">
        <w:rPr>
          <w:spacing w:val="16"/>
          <w:szCs w:val="22"/>
        </w:rPr>
        <w:t xml:space="preserve"> </w:t>
      </w:r>
      <w:r w:rsidRPr="007B26A7">
        <w:rPr>
          <w:szCs w:val="22"/>
        </w:rPr>
        <w:t>be</w:t>
      </w:r>
      <w:r w:rsidRPr="007B26A7">
        <w:rPr>
          <w:spacing w:val="12"/>
          <w:szCs w:val="22"/>
        </w:rPr>
        <w:t xml:space="preserve"> </w:t>
      </w:r>
      <w:r w:rsidRPr="007B26A7">
        <w:rPr>
          <w:spacing w:val="-2"/>
          <w:szCs w:val="22"/>
        </w:rPr>
        <w:t>f</w:t>
      </w:r>
      <w:r w:rsidRPr="007B26A7">
        <w:rPr>
          <w:szCs w:val="22"/>
        </w:rPr>
        <w:t>axed</w:t>
      </w:r>
      <w:r w:rsidRPr="007B26A7">
        <w:rPr>
          <w:spacing w:val="12"/>
          <w:szCs w:val="22"/>
        </w:rPr>
        <w:t xml:space="preserve"> </w:t>
      </w:r>
      <w:r w:rsidRPr="007B26A7">
        <w:rPr>
          <w:spacing w:val="1"/>
          <w:szCs w:val="22"/>
        </w:rPr>
        <w:t>t</w:t>
      </w:r>
      <w:r w:rsidRPr="007B26A7">
        <w:rPr>
          <w:szCs w:val="22"/>
        </w:rPr>
        <w:t>o</w:t>
      </w:r>
      <w:r w:rsidRPr="007B26A7">
        <w:rPr>
          <w:spacing w:val="12"/>
          <w:szCs w:val="22"/>
        </w:rPr>
        <w:t xml:space="preserve"> </w:t>
      </w:r>
      <w:r w:rsidRPr="007B26A7">
        <w:rPr>
          <w:spacing w:val="-1"/>
          <w:szCs w:val="22"/>
        </w:rPr>
        <w:t>U</w:t>
      </w:r>
      <w:r w:rsidRPr="007B26A7">
        <w:rPr>
          <w:szCs w:val="22"/>
        </w:rPr>
        <w:t>.S.</w:t>
      </w:r>
      <w:r w:rsidRPr="007B26A7">
        <w:rPr>
          <w:spacing w:val="14"/>
          <w:szCs w:val="22"/>
        </w:rPr>
        <w:t xml:space="preserve"> </w:t>
      </w:r>
      <w:r w:rsidRPr="007B26A7">
        <w:rPr>
          <w:spacing w:val="-1"/>
          <w:szCs w:val="22"/>
        </w:rPr>
        <w:t>B</w:t>
      </w:r>
      <w:r w:rsidRPr="007B26A7">
        <w:rPr>
          <w:szCs w:val="22"/>
        </w:rPr>
        <w:t>ank at</w:t>
      </w:r>
      <w:r w:rsidRPr="007B26A7">
        <w:rPr>
          <w:spacing w:val="1"/>
          <w:szCs w:val="22"/>
        </w:rPr>
        <w:t xml:space="preserve"> </w:t>
      </w:r>
      <w:r w:rsidRPr="007B26A7">
        <w:rPr>
          <w:spacing w:val="-2"/>
          <w:szCs w:val="22"/>
        </w:rPr>
        <w:t>(</w:t>
      </w:r>
      <w:r w:rsidRPr="007B26A7">
        <w:rPr>
          <w:szCs w:val="22"/>
        </w:rPr>
        <w:t>314)</w:t>
      </w:r>
      <w:r w:rsidRPr="007B26A7">
        <w:rPr>
          <w:spacing w:val="-2"/>
          <w:szCs w:val="22"/>
        </w:rPr>
        <w:t xml:space="preserve"> </w:t>
      </w:r>
      <w:r w:rsidRPr="007B26A7">
        <w:rPr>
          <w:szCs w:val="22"/>
        </w:rPr>
        <w:t>41</w:t>
      </w:r>
      <w:r w:rsidRPr="007B26A7">
        <w:rPr>
          <w:spacing w:val="1"/>
          <w:szCs w:val="22"/>
        </w:rPr>
        <w:t>8</w:t>
      </w:r>
      <w:r w:rsidRPr="007B26A7">
        <w:rPr>
          <w:spacing w:val="-4"/>
          <w:szCs w:val="22"/>
        </w:rPr>
        <w:t>-</w:t>
      </w:r>
      <w:r w:rsidRPr="007B26A7">
        <w:rPr>
          <w:szCs w:val="22"/>
        </w:rPr>
        <w:t xml:space="preserve">4232 on </w:t>
      </w:r>
      <w:r w:rsidRPr="007B26A7">
        <w:rPr>
          <w:spacing w:val="1"/>
          <w:szCs w:val="22"/>
        </w:rPr>
        <w:t>t</w:t>
      </w:r>
      <w:r w:rsidRPr="007B26A7">
        <w:rPr>
          <w:spacing w:val="-2"/>
          <w:szCs w:val="22"/>
        </w:rPr>
        <w:t>h</w:t>
      </w:r>
      <w:r w:rsidRPr="007B26A7">
        <w:rPr>
          <w:szCs w:val="22"/>
        </w:rPr>
        <w:t xml:space="preserve">e </w:t>
      </w:r>
      <w:r w:rsidRPr="007B26A7">
        <w:rPr>
          <w:spacing w:val="1"/>
          <w:szCs w:val="22"/>
        </w:rPr>
        <w:t>s</w:t>
      </w:r>
      <w:r w:rsidRPr="007B26A7">
        <w:rPr>
          <w:spacing w:val="-2"/>
          <w:szCs w:val="22"/>
        </w:rPr>
        <w:t>a</w:t>
      </w:r>
      <w:r w:rsidRPr="007B26A7">
        <w:rPr>
          <w:spacing w:val="-4"/>
          <w:szCs w:val="22"/>
        </w:rPr>
        <w:t>m</w:t>
      </w:r>
      <w:r w:rsidRPr="007B26A7">
        <w:rPr>
          <w:szCs w:val="22"/>
        </w:rPr>
        <w:t>e bu</w:t>
      </w:r>
      <w:r w:rsidRPr="007B26A7">
        <w:rPr>
          <w:spacing w:val="1"/>
          <w:szCs w:val="22"/>
        </w:rPr>
        <w:t>si</w:t>
      </w:r>
      <w:r w:rsidRPr="007B26A7">
        <w:rPr>
          <w:szCs w:val="22"/>
        </w:rPr>
        <w:t>ne</w:t>
      </w:r>
      <w:r w:rsidRPr="007B26A7">
        <w:rPr>
          <w:spacing w:val="1"/>
          <w:szCs w:val="22"/>
        </w:rPr>
        <w:t>s</w:t>
      </w:r>
      <w:r w:rsidRPr="007B26A7">
        <w:rPr>
          <w:szCs w:val="22"/>
        </w:rPr>
        <w:t>s</w:t>
      </w:r>
      <w:r w:rsidRPr="007B26A7">
        <w:rPr>
          <w:spacing w:val="-2"/>
          <w:szCs w:val="22"/>
        </w:rPr>
        <w:t xml:space="preserve"> </w:t>
      </w:r>
      <w:r w:rsidRPr="007B26A7">
        <w:rPr>
          <w:szCs w:val="22"/>
        </w:rPr>
        <w:t>day</w:t>
      </w:r>
      <w:r w:rsidRPr="007B26A7">
        <w:rPr>
          <w:spacing w:val="-2"/>
          <w:szCs w:val="22"/>
        </w:rPr>
        <w:t xml:space="preserve"> </w:t>
      </w:r>
      <w:r w:rsidRPr="007B26A7">
        <w:rPr>
          <w:spacing w:val="1"/>
          <w:szCs w:val="22"/>
        </w:rPr>
        <w:t>t</w:t>
      </w:r>
      <w:r w:rsidRPr="007B26A7">
        <w:rPr>
          <w:szCs w:val="22"/>
        </w:rPr>
        <w:t xml:space="preserve">he </w:t>
      </w:r>
      <w:r w:rsidRPr="007B26A7">
        <w:rPr>
          <w:spacing w:val="-3"/>
          <w:szCs w:val="22"/>
        </w:rPr>
        <w:t>w</w:t>
      </w:r>
      <w:r w:rsidRPr="007B26A7">
        <w:rPr>
          <w:spacing w:val="1"/>
          <w:szCs w:val="22"/>
        </w:rPr>
        <w:t>ir</w:t>
      </w:r>
      <w:r w:rsidRPr="007B26A7">
        <w:rPr>
          <w:szCs w:val="22"/>
        </w:rPr>
        <w:t>e</w:t>
      </w:r>
      <w:r w:rsidRPr="007B26A7">
        <w:rPr>
          <w:spacing w:val="-2"/>
          <w:szCs w:val="22"/>
        </w:rPr>
        <w:t xml:space="preserve"> </w:t>
      </w:r>
      <w:r w:rsidRPr="007B26A7">
        <w:rPr>
          <w:spacing w:val="1"/>
          <w:szCs w:val="22"/>
        </w:rPr>
        <w:t>t</w:t>
      </w:r>
      <w:r w:rsidRPr="007B26A7">
        <w:rPr>
          <w:spacing w:val="-2"/>
          <w:szCs w:val="22"/>
        </w:rPr>
        <w:t>r</w:t>
      </w:r>
      <w:r w:rsidRPr="007B26A7">
        <w:rPr>
          <w:szCs w:val="22"/>
        </w:rPr>
        <w:t>an</w:t>
      </w:r>
      <w:r w:rsidRPr="007B26A7">
        <w:rPr>
          <w:spacing w:val="1"/>
          <w:szCs w:val="22"/>
        </w:rPr>
        <w:t>s</w:t>
      </w:r>
      <w:r w:rsidRPr="007B26A7">
        <w:rPr>
          <w:spacing w:val="-2"/>
          <w:szCs w:val="22"/>
        </w:rPr>
        <w:t>f</w:t>
      </w:r>
      <w:r w:rsidRPr="007B26A7">
        <w:rPr>
          <w:szCs w:val="22"/>
        </w:rPr>
        <w:t>er</w:t>
      </w:r>
      <w:r w:rsidRPr="007B26A7">
        <w:rPr>
          <w:spacing w:val="-1"/>
          <w:szCs w:val="22"/>
        </w:rPr>
        <w:t xml:space="preserve"> </w:t>
      </w:r>
      <w:r w:rsidRPr="007B26A7">
        <w:rPr>
          <w:spacing w:val="1"/>
          <w:szCs w:val="22"/>
        </w:rPr>
        <w:t>i</w:t>
      </w:r>
      <w:r w:rsidRPr="007B26A7">
        <w:rPr>
          <w:szCs w:val="22"/>
        </w:rPr>
        <w:t>s</w:t>
      </w:r>
      <w:r w:rsidRPr="007B26A7">
        <w:rPr>
          <w:spacing w:val="-2"/>
          <w:szCs w:val="22"/>
        </w:rPr>
        <w:t xml:space="preserve"> </w:t>
      </w:r>
      <w:r w:rsidRPr="007B26A7">
        <w:rPr>
          <w:spacing w:val="1"/>
          <w:szCs w:val="22"/>
        </w:rPr>
        <w:t>i</w:t>
      </w:r>
      <w:r w:rsidRPr="007B26A7">
        <w:rPr>
          <w:szCs w:val="22"/>
        </w:rPr>
        <w:t>n</w:t>
      </w:r>
      <w:r w:rsidRPr="007B26A7">
        <w:rPr>
          <w:spacing w:val="-1"/>
          <w:szCs w:val="22"/>
        </w:rPr>
        <w:t>i</w:t>
      </w:r>
      <w:r w:rsidRPr="007B26A7">
        <w:rPr>
          <w:spacing w:val="1"/>
          <w:szCs w:val="22"/>
        </w:rPr>
        <w:t>t</w:t>
      </w:r>
      <w:r w:rsidRPr="007B26A7">
        <w:rPr>
          <w:spacing w:val="-1"/>
          <w:szCs w:val="22"/>
        </w:rPr>
        <w:t>i</w:t>
      </w:r>
      <w:r w:rsidRPr="007B26A7">
        <w:rPr>
          <w:szCs w:val="22"/>
        </w:rPr>
        <w:t>a</w:t>
      </w:r>
      <w:r w:rsidRPr="007B26A7">
        <w:rPr>
          <w:spacing w:val="-1"/>
          <w:szCs w:val="22"/>
        </w:rPr>
        <w:t>t</w:t>
      </w:r>
      <w:r w:rsidRPr="007B26A7">
        <w:rPr>
          <w:szCs w:val="22"/>
        </w:rPr>
        <w:t>ed.</w:t>
      </w:r>
    </w:p>
    <w:p w:rsidR="001478AB" w:rsidRPr="007B26A7" w:rsidP="00F4429E" w14:paraId="26949D26" w14:textId="77777777">
      <w:pPr>
        <w:pStyle w:val="ParaNum"/>
        <w:numPr>
          <w:ilvl w:val="0"/>
          <w:numId w:val="18"/>
        </w:numPr>
        <w:ind w:left="1440" w:hanging="720"/>
        <w:rPr>
          <w:szCs w:val="22"/>
        </w:rPr>
      </w:pPr>
      <w:r w:rsidRPr="007B26A7">
        <w:rPr>
          <w:szCs w:val="22"/>
        </w:rPr>
        <w:t>Pay</w:t>
      </w:r>
      <w:r w:rsidRPr="007B26A7">
        <w:rPr>
          <w:spacing w:val="-4"/>
          <w:szCs w:val="22"/>
        </w:rPr>
        <w:t>m</w:t>
      </w:r>
      <w:r w:rsidRPr="007B26A7">
        <w:rPr>
          <w:szCs w:val="22"/>
        </w:rPr>
        <w:t>ent</w:t>
      </w:r>
      <w:r w:rsidRPr="007B26A7">
        <w:rPr>
          <w:spacing w:val="23"/>
          <w:szCs w:val="22"/>
        </w:rPr>
        <w:t xml:space="preserve"> </w:t>
      </w:r>
      <w:r w:rsidRPr="007B26A7">
        <w:rPr>
          <w:szCs w:val="22"/>
        </w:rPr>
        <w:t>by</w:t>
      </w:r>
      <w:r w:rsidRPr="007B26A7">
        <w:rPr>
          <w:spacing w:val="19"/>
          <w:szCs w:val="22"/>
        </w:rPr>
        <w:t xml:space="preserve"> </w:t>
      </w:r>
      <w:r w:rsidRPr="007B26A7">
        <w:rPr>
          <w:szCs w:val="22"/>
        </w:rPr>
        <w:t>c</w:t>
      </w:r>
      <w:r w:rsidRPr="007B26A7">
        <w:rPr>
          <w:spacing w:val="1"/>
          <w:szCs w:val="22"/>
        </w:rPr>
        <w:t>r</w:t>
      </w:r>
      <w:r w:rsidRPr="007B26A7">
        <w:rPr>
          <w:szCs w:val="22"/>
        </w:rPr>
        <w:t>ed</w:t>
      </w:r>
      <w:r w:rsidRPr="007B26A7">
        <w:rPr>
          <w:spacing w:val="1"/>
          <w:szCs w:val="22"/>
        </w:rPr>
        <w:t>i</w:t>
      </w:r>
      <w:r w:rsidRPr="007B26A7">
        <w:rPr>
          <w:szCs w:val="22"/>
        </w:rPr>
        <w:t>t</w:t>
      </w:r>
      <w:r w:rsidRPr="007B26A7">
        <w:rPr>
          <w:spacing w:val="23"/>
          <w:szCs w:val="22"/>
        </w:rPr>
        <w:t xml:space="preserve"> </w:t>
      </w:r>
      <w:r w:rsidRPr="007B26A7">
        <w:rPr>
          <w:spacing w:val="-2"/>
          <w:szCs w:val="22"/>
        </w:rPr>
        <w:t>c</w:t>
      </w:r>
      <w:r w:rsidRPr="007B26A7">
        <w:rPr>
          <w:szCs w:val="22"/>
        </w:rPr>
        <w:t>a</w:t>
      </w:r>
      <w:r w:rsidRPr="007B26A7">
        <w:rPr>
          <w:spacing w:val="1"/>
          <w:szCs w:val="22"/>
        </w:rPr>
        <w:t>r</w:t>
      </w:r>
      <w:r w:rsidRPr="007B26A7">
        <w:rPr>
          <w:szCs w:val="22"/>
        </w:rPr>
        <w:t>d</w:t>
      </w:r>
      <w:r w:rsidRPr="007B26A7">
        <w:rPr>
          <w:spacing w:val="22"/>
          <w:szCs w:val="22"/>
        </w:rPr>
        <w:t xml:space="preserve"> </w:t>
      </w:r>
      <w:r w:rsidRPr="007B26A7">
        <w:rPr>
          <w:spacing w:val="-4"/>
          <w:szCs w:val="22"/>
        </w:rPr>
        <w:t>m</w:t>
      </w:r>
      <w:r w:rsidRPr="007B26A7">
        <w:rPr>
          <w:szCs w:val="22"/>
        </w:rPr>
        <w:t>ust</w:t>
      </w:r>
      <w:r w:rsidRPr="007B26A7">
        <w:rPr>
          <w:spacing w:val="23"/>
          <w:szCs w:val="22"/>
        </w:rPr>
        <w:t xml:space="preserve"> </w:t>
      </w:r>
      <w:r w:rsidRPr="007B26A7">
        <w:rPr>
          <w:szCs w:val="22"/>
        </w:rPr>
        <w:t>be</w:t>
      </w:r>
      <w:r w:rsidRPr="007B26A7">
        <w:rPr>
          <w:spacing w:val="22"/>
          <w:szCs w:val="22"/>
        </w:rPr>
        <w:t xml:space="preserve"> </w:t>
      </w:r>
      <w:r w:rsidRPr="007B26A7">
        <w:rPr>
          <w:spacing w:val="-4"/>
          <w:szCs w:val="22"/>
        </w:rPr>
        <w:t>m</w:t>
      </w:r>
      <w:r w:rsidRPr="007B26A7">
        <w:rPr>
          <w:szCs w:val="22"/>
        </w:rPr>
        <w:t>ade</w:t>
      </w:r>
      <w:r w:rsidRPr="007B26A7">
        <w:rPr>
          <w:spacing w:val="22"/>
          <w:szCs w:val="22"/>
        </w:rPr>
        <w:t xml:space="preserve"> </w:t>
      </w:r>
      <w:r w:rsidRPr="007B26A7">
        <w:rPr>
          <w:szCs w:val="22"/>
        </w:rPr>
        <w:t>by</w:t>
      </w:r>
      <w:r w:rsidRPr="007B26A7">
        <w:rPr>
          <w:spacing w:val="19"/>
          <w:szCs w:val="22"/>
        </w:rPr>
        <w:t xml:space="preserve"> </w:t>
      </w:r>
      <w:r w:rsidRPr="007B26A7">
        <w:rPr>
          <w:szCs w:val="22"/>
        </w:rPr>
        <w:t>p</w:t>
      </w:r>
      <w:r w:rsidRPr="007B26A7">
        <w:rPr>
          <w:spacing w:val="1"/>
          <w:szCs w:val="22"/>
        </w:rPr>
        <w:t>r</w:t>
      </w:r>
      <w:r w:rsidRPr="007B26A7">
        <w:rPr>
          <w:szCs w:val="22"/>
        </w:rPr>
        <w:t>o</w:t>
      </w:r>
      <w:r w:rsidRPr="007B26A7">
        <w:rPr>
          <w:spacing w:val="-2"/>
          <w:szCs w:val="22"/>
        </w:rPr>
        <w:t>v</w:t>
      </w:r>
      <w:r w:rsidRPr="007B26A7">
        <w:rPr>
          <w:spacing w:val="1"/>
          <w:szCs w:val="22"/>
        </w:rPr>
        <w:t>i</w:t>
      </w:r>
      <w:r w:rsidRPr="007B26A7">
        <w:rPr>
          <w:szCs w:val="22"/>
        </w:rPr>
        <w:t>d</w:t>
      </w:r>
      <w:r w:rsidRPr="007B26A7">
        <w:rPr>
          <w:spacing w:val="1"/>
          <w:szCs w:val="22"/>
        </w:rPr>
        <w:t>i</w:t>
      </w:r>
      <w:r w:rsidRPr="007B26A7">
        <w:rPr>
          <w:szCs w:val="22"/>
        </w:rPr>
        <w:t>ng</w:t>
      </w:r>
      <w:r w:rsidRPr="007B26A7">
        <w:rPr>
          <w:spacing w:val="19"/>
          <w:szCs w:val="22"/>
        </w:rPr>
        <w:t xml:space="preserve"> </w:t>
      </w:r>
      <w:r w:rsidRPr="007B26A7">
        <w:rPr>
          <w:spacing w:val="1"/>
          <w:szCs w:val="22"/>
        </w:rPr>
        <w:t>t</w:t>
      </w:r>
      <w:r w:rsidRPr="007B26A7">
        <w:rPr>
          <w:szCs w:val="22"/>
        </w:rPr>
        <w:t>he</w:t>
      </w:r>
      <w:r w:rsidRPr="007B26A7">
        <w:rPr>
          <w:spacing w:val="22"/>
          <w:szCs w:val="22"/>
        </w:rPr>
        <w:t xml:space="preserve"> </w:t>
      </w:r>
      <w:r w:rsidRPr="007B26A7">
        <w:rPr>
          <w:spacing w:val="-2"/>
          <w:szCs w:val="22"/>
        </w:rPr>
        <w:t>r</w:t>
      </w:r>
      <w:r w:rsidRPr="007B26A7">
        <w:rPr>
          <w:szCs w:val="22"/>
        </w:rPr>
        <w:t>equ</w:t>
      </w:r>
      <w:r w:rsidRPr="007B26A7">
        <w:rPr>
          <w:spacing w:val="-1"/>
          <w:szCs w:val="22"/>
        </w:rPr>
        <w:t>i</w:t>
      </w:r>
      <w:r w:rsidRPr="007B26A7">
        <w:rPr>
          <w:spacing w:val="1"/>
          <w:szCs w:val="22"/>
        </w:rPr>
        <w:t>r</w:t>
      </w:r>
      <w:r w:rsidRPr="007B26A7">
        <w:rPr>
          <w:szCs w:val="22"/>
        </w:rPr>
        <w:t>ed</w:t>
      </w:r>
      <w:r w:rsidRPr="007B26A7">
        <w:rPr>
          <w:spacing w:val="22"/>
          <w:szCs w:val="22"/>
        </w:rPr>
        <w:t xml:space="preserve"> </w:t>
      </w:r>
      <w:r w:rsidRPr="007B26A7">
        <w:rPr>
          <w:spacing w:val="-2"/>
          <w:szCs w:val="22"/>
        </w:rPr>
        <w:t>c</w:t>
      </w:r>
      <w:r w:rsidRPr="007B26A7">
        <w:rPr>
          <w:spacing w:val="1"/>
          <w:szCs w:val="22"/>
        </w:rPr>
        <w:t>r</w:t>
      </w:r>
      <w:r w:rsidRPr="007B26A7">
        <w:rPr>
          <w:szCs w:val="22"/>
        </w:rPr>
        <w:t>e</w:t>
      </w:r>
      <w:r w:rsidRPr="007B26A7">
        <w:rPr>
          <w:spacing w:val="-2"/>
          <w:szCs w:val="22"/>
        </w:rPr>
        <w:t>d</w:t>
      </w:r>
      <w:r w:rsidRPr="007B26A7">
        <w:rPr>
          <w:spacing w:val="1"/>
          <w:szCs w:val="22"/>
        </w:rPr>
        <w:t>i</w:t>
      </w:r>
      <w:r w:rsidRPr="007B26A7">
        <w:rPr>
          <w:szCs w:val="22"/>
        </w:rPr>
        <w:t>t</w:t>
      </w:r>
      <w:r w:rsidRPr="007B26A7">
        <w:rPr>
          <w:spacing w:val="23"/>
          <w:szCs w:val="22"/>
        </w:rPr>
        <w:t xml:space="preserve"> </w:t>
      </w:r>
      <w:r w:rsidRPr="007B26A7">
        <w:rPr>
          <w:spacing w:val="-2"/>
          <w:szCs w:val="22"/>
        </w:rPr>
        <w:t>c</w:t>
      </w:r>
      <w:r w:rsidRPr="007B26A7">
        <w:rPr>
          <w:szCs w:val="22"/>
        </w:rPr>
        <w:t>a</w:t>
      </w:r>
      <w:r w:rsidRPr="007B26A7">
        <w:rPr>
          <w:spacing w:val="1"/>
          <w:szCs w:val="22"/>
        </w:rPr>
        <w:t>r</w:t>
      </w:r>
      <w:r w:rsidRPr="007B26A7">
        <w:rPr>
          <w:szCs w:val="22"/>
        </w:rPr>
        <w:t>d</w:t>
      </w:r>
      <w:r w:rsidRPr="007B26A7">
        <w:rPr>
          <w:spacing w:val="19"/>
          <w:szCs w:val="22"/>
        </w:rPr>
        <w:t xml:space="preserve"> </w:t>
      </w:r>
      <w:r w:rsidRPr="007B26A7">
        <w:rPr>
          <w:spacing w:val="1"/>
          <w:szCs w:val="22"/>
        </w:rPr>
        <w:t>i</w:t>
      </w:r>
      <w:r w:rsidRPr="007B26A7">
        <w:rPr>
          <w:szCs w:val="22"/>
        </w:rPr>
        <w:t>n</w:t>
      </w:r>
      <w:r w:rsidRPr="007B26A7">
        <w:rPr>
          <w:spacing w:val="-2"/>
          <w:szCs w:val="22"/>
        </w:rPr>
        <w:t>f</w:t>
      </w:r>
      <w:r w:rsidRPr="007B26A7">
        <w:rPr>
          <w:szCs w:val="22"/>
        </w:rPr>
        <w:t>o</w:t>
      </w:r>
      <w:r w:rsidRPr="007B26A7">
        <w:rPr>
          <w:spacing w:val="1"/>
          <w:szCs w:val="22"/>
        </w:rPr>
        <w:t>r</w:t>
      </w:r>
      <w:r w:rsidRPr="007B26A7">
        <w:rPr>
          <w:spacing w:val="-4"/>
          <w:szCs w:val="22"/>
        </w:rPr>
        <w:t>m</w:t>
      </w:r>
      <w:r w:rsidRPr="007B26A7">
        <w:rPr>
          <w:szCs w:val="22"/>
        </w:rPr>
        <w:t>a</w:t>
      </w:r>
      <w:r w:rsidRPr="007B26A7">
        <w:rPr>
          <w:spacing w:val="1"/>
          <w:szCs w:val="22"/>
        </w:rPr>
        <w:t>ti</w:t>
      </w:r>
      <w:r w:rsidRPr="007B26A7">
        <w:rPr>
          <w:szCs w:val="22"/>
        </w:rPr>
        <w:t>on</w:t>
      </w:r>
      <w:r w:rsidRPr="007B26A7">
        <w:rPr>
          <w:spacing w:val="22"/>
          <w:szCs w:val="22"/>
        </w:rPr>
        <w:t xml:space="preserve"> </w:t>
      </w:r>
      <w:r w:rsidRPr="007B26A7">
        <w:rPr>
          <w:szCs w:val="22"/>
        </w:rPr>
        <w:t>on F</w:t>
      </w:r>
      <w:r w:rsidRPr="007B26A7">
        <w:rPr>
          <w:spacing w:val="-1"/>
          <w:szCs w:val="22"/>
        </w:rPr>
        <w:t>C</w:t>
      </w:r>
      <w:r w:rsidRPr="007B26A7">
        <w:rPr>
          <w:szCs w:val="22"/>
        </w:rPr>
        <w:t>C</w:t>
      </w:r>
      <w:r w:rsidRPr="007B26A7">
        <w:rPr>
          <w:spacing w:val="30"/>
          <w:szCs w:val="22"/>
        </w:rPr>
        <w:t xml:space="preserve"> </w:t>
      </w:r>
      <w:r w:rsidRPr="007B26A7">
        <w:rPr>
          <w:szCs w:val="22"/>
        </w:rPr>
        <w:t>Form</w:t>
      </w:r>
      <w:r w:rsidRPr="007B26A7">
        <w:rPr>
          <w:spacing w:val="28"/>
          <w:szCs w:val="22"/>
        </w:rPr>
        <w:t xml:space="preserve"> </w:t>
      </w:r>
      <w:r w:rsidRPr="007B26A7">
        <w:rPr>
          <w:szCs w:val="22"/>
        </w:rPr>
        <w:t>159</w:t>
      </w:r>
      <w:r w:rsidRPr="007B26A7">
        <w:rPr>
          <w:spacing w:val="31"/>
          <w:szCs w:val="22"/>
        </w:rPr>
        <w:t xml:space="preserve"> </w:t>
      </w:r>
      <w:r w:rsidRPr="007B26A7">
        <w:rPr>
          <w:szCs w:val="22"/>
        </w:rPr>
        <w:t>a</w:t>
      </w:r>
      <w:r w:rsidRPr="007B26A7">
        <w:rPr>
          <w:spacing w:val="2"/>
          <w:szCs w:val="22"/>
        </w:rPr>
        <w:t>n</w:t>
      </w:r>
      <w:r w:rsidRPr="007B26A7">
        <w:rPr>
          <w:szCs w:val="22"/>
        </w:rPr>
        <w:t>d</w:t>
      </w:r>
      <w:r w:rsidRPr="007B26A7">
        <w:rPr>
          <w:spacing w:val="31"/>
          <w:szCs w:val="22"/>
        </w:rPr>
        <w:t xml:space="preserve"> </w:t>
      </w:r>
      <w:r w:rsidRPr="007B26A7">
        <w:rPr>
          <w:szCs w:val="22"/>
        </w:rPr>
        <w:t>s</w:t>
      </w:r>
      <w:r w:rsidRPr="007B26A7">
        <w:rPr>
          <w:spacing w:val="1"/>
          <w:szCs w:val="22"/>
        </w:rPr>
        <w:t>i</w:t>
      </w:r>
      <w:r w:rsidRPr="007B26A7">
        <w:rPr>
          <w:spacing w:val="-2"/>
          <w:szCs w:val="22"/>
        </w:rPr>
        <w:t>g</w:t>
      </w:r>
      <w:r w:rsidRPr="007B26A7">
        <w:rPr>
          <w:szCs w:val="22"/>
        </w:rPr>
        <w:t>n</w:t>
      </w:r>
      <w:r w:rsidRPr="007B26A7">
        <w:rPr>
          <w:spacing w:val="1"/>
          <w:szCs w:val="22"/>
        </w:rPr>
        <w:t>i</w:t>
      </w:r>
      <w:r w:rsidRPr="007B26A7">
        <w:rPr>
          <w:spacing w:val="-2"/>
          <w:szCs w:val="22"/>
        </w:rPr>
        <w:t>n</w:t>
      </w:r>
      <w:r w:rsidRPr="007B26A7">
        <w:rPr>
          <w:szCs w:val="22"/>
        </w:rPr>
        <w:t>g</w:t>
      </w:r>
      <w:r w:rsidRPr="007B26A7">
        <w:rPr>
          <w:spacing w:val="-2"/>
          <w:szCs w:val="22"/>
        </w:rPr>
        <w:t xml:space="preserve"> </w:t>
      </w:r>
      <w:r w:rsidRPr="007B26A7">
        <w:rPr>
          <w:szCs w:val="22"/>
        </w:rPr>
        <w:t>and</w:t>
      </w:r>
      <w:r w:rsidRPr="007B26A7">
        <w:rPr>
          <w:spacing w:val="32"/>
          <w:szCs w:val="22"/>
        </w:rPr>
        <w:t xml:space="preserve"> </w:t>
      </w:r>
      <w:r w:rsidRPr="007B26A7">
        <w:rPr>
          <w:szCs w:val="22"/>
        </w:rPr>
        <w:t>da</w:t>
      </w:r>
      <w:r w:rsidRPr="007B26A7">
        <w:rPr>
          <w:spacing w:val="-1"/>
          <w:szCs w:val="22"/>
        </w:rPr>
        <w:t>t</w:t>
      </w:r>
      <w:r w:rsidRPr="007B26A7">
        <w:rPr>
          <w:spacing w:val="1"/>
          <w:szCs w:val="22"/>
        </w:rPr>
        <w:t>i</w:t>
      </w:r>
      <w:r w:rsidRPr="007B26A7">
        <w:rPr>
          <w:szCs w:val="22"/>
        </w:rPr>
        <w:t>ng</w:t>
      </w:r>
      <w:r w:rsidRPr="007B26A7">
        <w:rPr>
          <w:spacing w:val="-1"/>
          <w:szCs w:val="22"/>
        </w:rPr>
        <w:t xml:space="preserve"> </w:t>
      </w:r>
      <w:r w:rsidRPr="007B26A7">
        <w:rPr>
          <w:spacing w:val="1"/>
          <w:szCs w:val="22"/>
        </w:rPr>
        <w:t>t</w:t>
      </w:r>
      <w:r w:rsidRPr="007B26A7">
        <w:rPr>
          <w:szCs w:val="22"/>
        </w:rPr>
        <w:t>he</w:t>
      </w:r>
      <w:r w:rsidRPr="007B26A7">
        <w:rPr>
          <w:spacing w:val="32"/>
          <w:szCs w:val="22"/>
        </w:rPr>
        <w:t xml:space="preserve"> </w:t>
      </w:r>
      <w:r w:rsidRPr="007B26A7">
        <w:rPr>
          <w:szCs w:val="22"/>
        </w:rPr>
        <w:t>F</w:t>
      </w:r>
      <w:r w:rsidRPr="007B26A7">
        <w:rPr>
          <w:spacing w:val="-3"/>
          <w:szCs w:val="22"/>
        </w:rPr>
        <w:t>o</w:t>
      </w:r>
      <w:r w:rsidRPr="007B26A7">
        <w:rPr>
          <w:spacing w:val="1"/>
          <w:szCs w:val="22"/>
        </w:rPr>
        <w:t>r</w:t>
      </w:r>
      <w:r w:rsidRPr="007B26A7">
        <w:rPr>
          <w:szCs w:val="22"/>
        </w:rPr>
        <w:t>m</w:t>
      </w:r>
      <w:r w:rsidRPr="007B26A7">
        <w:rPr>
          <w:spacing w:val="27"/>
          <w:szCs w:val="22"/>
        </w:rPr>
        <w:t xml:space="preserve"> </w:t>
      </w:r>
      <w:r w:rsidRPr="007B26A7">
        <w:rPr>
          <w:szCs w:val="22"/>
        </w:rPr>
        <w:t>159</w:t>
      </w:r>
      <w:r w:rsidRPr="007B26A7">
        <w:rPr>
          <w:spacing w:val="31"/>
          <w:szCs w:val="22"/>
        </w:rPr>
        <w:t xml:space="preserve"> </w:t>
      </w:r>
      <w:r w:rsidRPr="007B26A7">
        <w:rPr>
          <w:spacing w:val="1"/>
          <w:szCs w:val="22"/>
        </w:rPr>
        <w:t>t</w:t>
      </w:r>
      <w:r w:rsidRPr="007B26A7">
        <w:rPr>
          <w:szCs w:val="22"/>
        </w:rPr>
        <w:t>o</w:t>
      </w:r>
      <w:r w:rsidRPr="007B26A7">
        <w:rPr>
          <w:spacing w:val="31"/>
          <w:szCs w:val="22"/>
        </w:rPr>
        <w:t xml:space="preserve"> </w:t>
      </w:r>
      <w:r w:rsidRPr="007B26A7">
        <w:rPr>
          <w:szCs w:val="22"/>
        </w:rPr>
        <w:t>a</w:t>
      </w:r>
      <w:r w:rsidRPr="007B26A7">
        <w:rPr>
          <w:spacing w:val="-2"/>
          <w:szCs w:val="22"/>
        </w:rPr>
        <w:t>u</w:t>
      </w:r>
      <w:r w:rsidRPr="007B26A7">
        <w:rPr>
          <w:spacing w:val="1"/>
          <w:szCs w:val="22"/>
        </w:rPr>
        <w:t>t</w:t>
      </w:r>
      <w:r w:rsidRPr="007B26A7">
        <w:rPr>
          <w:szCs w:val="22"/>
        </w:rPr>
        <w:t>h</w:t>
      </w:r>
      <w:r w:rsidRPr="007B26A7">
        <w:rPr>
          <w:spacing w:val="-2"/>
          <w:szCs w:val="22"/>
        </w:rPr>
        <w:t>o</w:t>
      </w:r>
      <w:r w:rsidRPr="007B26A7">
        <w:rPr>
          <w:spacing w:val="1"/>
          <w:szCs w:val="22"/>
        </w:rPr>
        <w:t>ri</w:t>
      </w:r>
      <w:r w:rsidRPr="007B26A7">
        <w:rPr>
          <w:spacing w:val="-2"/>
          <w:szCs w:val="22"/>
        </w:rPr>
        <w:t>z</w:t>
      </w:r>
      <w:r w:rsidRPr="007B26A7">
        <w:rPr>
          <w:szCs w:val="22"/>
        </w:rPr>
        <w:t>e</w:t>
      </w:r>
      <w:r w:rsidRPr="007B26A7">
        <w:rPr>
          <w:spacing w:val="3"/>
          <w:szCs w:val="22"/>
        </w:rPr>
        <w:t xml:space="preserve"> </w:t>
      </w:r>
      <w:r w:rsidRPr="007B26A7">
        <w:rPr>
          <w:spacing w:val="-1"/>
          <w:szCs w:val="22"/>
        </w:rPr>
        <w:t>t</w:t>
      </w:r>
      <w:r w:rsidRPr="007B26A7">
        <w:rPr>
          <w:szCs w:val="22"/>
        </w:rPr>
        <w:t>he</w:t>
      </w:r>
      <w:r w:rsidRPr="007B26A7">
        <w:rPr>
          <w:spacing w:val="32"/>
          <w:szCs w:val="22"/>
        </w:rPr>
        <w:t xml:space="preserve"> </w:t>
      </w:r>
      <w:r w:rsidRPr="007B26A7">
        <w:rPr>
          <w:spacing w:val="-2"/>
          <w:szCs w:val="22"/>
        </w:rPr>
        <w:t>c</w:t>
      </w:r>
      <w:r w:rsidRPr="007B26A7">
        <w:rPr>
          <w:spacing w:val="1"/>
          <w:szCs w:val="22"/>
        </w:rPr>
        <w:t>r</w:t>
      </w:r>
      <w:r w:rsidRPr="007B26A7">
        <w:rPr>
          <w:szCs w:val="22"/>
        </w:rPr>
        <w:t>e</w:t>
      </w:r>
      <w:r w:rsidRPr="007B26A7">
        <w:rPr>
          <w:spacing w:val="-2"/>
          <w:szCs w:val="22"/>
        </w:rPr>
        <w:t>d</w:t>
      </w:r>
      <w:r w:rsidRPr="007B26A7">
        <w:rPr>
          <w:spacing w:val="1"/>
          <w:szCs w:val="22"/>
        </w:rPr>
        <w:t>i</w:t>
      </w:r>
      <w:r w:rsidRPr="007B26A7">
        <w:rPr>
          <w:szCs w:val="22"/>
        </w:rPr>
        <w:t>t</w:t>
      </w:r>
      <w:r w:rsidRPr="007B26A7">
        <w:rPr>
          <w:spacing w:val="30"/>
          <w:szCs w:val="22"/>
        </w:rPr>
        <w:t xml:space="preserve"> </w:t>
      </w:r>
      <w:r w:rsidRPr="007B26A7">
        <w:rPr>
          <w:szCs w:val="22"/>
        </w:rPr>
        <w:t>c</w:t>
      </w:r>
      <w:r w:rsidRPr="007B26A7">
        <w:rPr>
          <w:spacing w:val="-2"/>
          <w:szCs w:val="22"/>
        </w:rPr>
        <w:t>ar</w:t>
      </w:r>
      <w:r w:rsidRPr="007B26A7">
        <w:rPr>
          <w:szCs w:val="22"/>
        </w:rPr>
        <w:t>d</w:t>
      </w:r>
      <w:r w:rsidRPr="007B26A7">
        <w:rPr>
          <w:spacing w:val="31"/>
          <w:szCs w:val="22"/>
        </w:rPr>
        <w:t xml:space="preserve"> </w:t>
      </w:r>
      <w:r w:rsidRPr="007B26A7">
        <w:rPr>
          <w:szCs w:val="22"/>
        </w:rPr>
        <w:t>pa</w:t>
      </w:r>
      <w:r w:rsidRPr="007B26A7">
        <w:rPr>
          <w:spacing w:val="-2"/>
          <w:szCs w:val="22"/>
        </w:rPr>
        <w:t>y</w:t>
      </w:r>
      <w:r w:rsidRPr="007B26A7">
        <w:rPr>
          <w:spacing w:val="-4"/>
          <w:szCs w:val="22"/>
        </w:rPr>
        <w:t>m</w:t>
      </w:r>
      <w:r w:rsidRPr="007B26A7">
        <w:rPr>
          <w:szCs w:val="22"/>
        </w:rPr>
        <w:t>en</w:t>
      </w:r>
      <w:r w:rsidRPr="007B26A7">
        <w:rPr>
          <w:spacing w:val="1"/>
          <w:szCs w:val="22"/>
        </w:rPr>
        <w:t>t</w:t>
      </w:r>
      <w:r w:rsidRPr="007B26A7">
        <w:rPr>
          <w:szCs w:val="22"/>
        </w:rPr>
        <w:t xml:space="preserve">. </w:t>
      </w:r>
      <w:r w:rsidRPr="007B26A7">
        <w:rPr>
          <w:spacing w:val="2"/>
          <w:szCs w:val="22"/>
        </w:rPr>
        <w:t>T</w:t>
      </w:r>
      <w:r w:rsidRPr="007B26A7">
        <w:rPr>
          <w:szCs w:val="22"/>
        </w:rPr>
        <w:t>he</w:t>
      </w:r>
      <w:r w:rsidRPr="007B26A7">
        <w:rPr>
          <w:spacing w:val="2"/>
          <w:szCs w:val="22"/>
        </w:rPr>
        <w:t xml:space="preserve"> </w:t>
      </w:r>
      <w:r w:rsidRPr="007B26A7">
        <w:rPr>
          <w:szCs w:val="22"/>
        </w:rPr>
        <w:t>co</w:t>
      </w:r>
      <w:r w:rsidRPr="007B26A7">
        <w:rPr>
          <w:spacing w:val="-3"/>
          <w:szCs w:val="22"/>
        </w:rPr>
        <w:t>m</w:t>
      </w:r>
      <w:r w:rsidRPr="007B26A7">
        <w:rPr>
          <w:szCs w:val="22"/>
        </w:rPr>
        <w:t>p</w:t>
      </w:r>
      <w:r w:rsidRPr="007B26A7">
        <w:rPr>
          <w:spacing w:val="1"/>
          <w:szCs w:val="22"/>
        </w:rPr>
        <w:t>l</w:t>
      </w:r>
      <w:r w:rsidRPr="007B26A7">
        <w:rPr>
          <w:spacing w:val="-2"/>
          <w:szCs w:val="22"/>
        </w:rPr>
        <w:t>e</w:t>
      </w:r>
      <w:r w:rsidRPr="007B26A7">
        <w:rPr>
          <w:spacing w:val="1"/>
          <w:szCs w:val="22"/>
        </w:rPr>
        <w:t>t</w:t>
      </w:r>
      <w:r w:rsidRPr="007B26A7">
        <w:rPr>
          <w:szCs w:val="22"/>
        </w:rPr>
        <w:t>ed</w:t>
      </w:r>
      <w:r w:rsidRPr="007B26A7">
        <w:rPr>
          <w:spacing w:val="4"/>
          <w:szCs w:val="22"/>
        </w:rPr>
        <w:t xml:space="preserve"> </w:t>
      </w:r>
      <w:r w:rsidRPr="007B26A7">
        <w:rPr>
          <w:spacing w:val="-3"/>
          <w:szCs w:val="22"/>
        </w:rPr>
        <w:t>F</w:t>
      </w:r>
      <w:r w:rsidRPr="007B26A7">
        <w:rPr>
          <w:szCs w:val="22"/>
        </w:rPr>
        <w:t>o</w:t>
      </w:r>
      <w:r w:rsidRPr="007B26A7">
        <w:rPr>
          <w:spacing w:val="1"/>
          <w:szCs w:val="22"/>
        </w:rPr>
        <w:t>r</w:t>
      </w:r>
      <w:r w:rsidRPr="007B26A7">
        <w:rPr>
          <w:szCs w:val="22"/>
        </w:rPr>
        <w:t>m 159</w:t>
      </w:r>
      <w:r w:rsidRPr="007B26A7">
        <w:rPr>
          <w:spacing w:val="1"/>
          <w:szCs w:val="22"/>
        </w:rPr>
        <w:t xml:space="preserve"> </w:t>
      </w:r>
      <w:r w:rsidRPr="007B26A7">
        <w:rPr>
          <w:spacing w:val="-4"/>
          <w:szCs w:val="22"/>
        </w:rPr>
        <w:t>m</w:t>
      </w:r>
      <w:r w:rsidRPr="007B26A7">
        <w:rPr>
          <w:szCs w:val="22"/>
        </w:rPr>
        <w:t>ust</w:t>
      </w:r>
      <w:r w:rsidRPr="007B26A7">
        <w:rPr>
          <w:spacing w:val="5"/>
          <w:szCs w:val="22"/>
        </w:rPr>
        <w:t xml:space="preserve"> </w:t>
      </w:r>
      <w:r w:rsidRPr="007B26A7">
        <w:rPr>
          <w:spacing w:val="1"/>
          <w:szCs w:val="22"/>
        </w:rPr>
        <w:t>t</w:t>
      </w:r>
      <w:r w:rsidRPr="007B26A7">
        <w:rPr>
          <w:szCs w:val="22"/>
        </w:rPr>
        <w:t>hen</w:t>
      </w:r>
      <w:r w:rsidRPr="007B26A7">
        <w:rPr>
          <w:spacing w:val="2"/>
          <w:szCs w:val="22"/>
        </w:rPr>
        <w:t xml:space="preserve"> </w:t>
      </w:r>
      <w:r w:rsidRPr="007B26A7">
        <w:rPr>
          <w:szCs w:val="22"/>
        </w:rPr>
        <w:t>be</w:t>
      </w:r>
      <w:r w:rsidRPr="007B26A7">
        <w:rPr>
          <w:spacing w:val="4"/>
          <w:szCs w:val="22"/>
        </w:rPr>
        <w:t xml:space="preserve"> </w:t>
      </w:r>
      <w:r w:rsidRPr="007B26A7">
        <w:rPr>
          <w:spacing w:val="-4"/>
          <w:szCs w:val="22"/>
        </w:rPr>
        <w:t>m</w:t>
      </w:r>
      <w:r w:rsidRPr="007B26A7">
        <w:rPr>
          <w:szCs w:val="22"/>
        </w:rPr>
        <w:t>a</w:t>
      </w:r>
      <w:r w:rsidRPr="007B26A7">
        <w:rPr>
          <w:spacing w:val="-1"/>
          <w:szCs w:val="22"/>
        </w:rPr>
        <w:t>i</w:t>
      </w:r>
      <w:r w:rsidRPr="007B26A7">
        <w:rPr>
          <w:spacing w:val="1"/>
          <w:szCs w:val="22"/>
        </w:rPr>
        <w:t>l</w:t>
      </w:r>
      <w:r w:rsidRPr="007B26A7">
        <w:rPr>
          <w:szCs w:val="22"/>
        </w:rPr>
        <w:t>ed</w:t>
      </w:r>
      <w:r w:rsidRPr="007B26A7">
        <w:rPr>
          <w:spacing w:val="2"/>
          <w:szCs w:val="22"/>
        </w:rPr>
        <w:t xml:space="preserve"> </w:t>
      </w:r>
      <w:r w:rsidRPr="007B26A7">
        <w:rPr>
          <w:spacing w:val="1"/>
          <w:szCs w:val="22"/>
        </w:rPr>
        <w:t>t</w:t>
      </w:r>
      <w:r w:rsidRPr="007B26A7">
        <w:rPr>
          <w:szCs w:val="22"/>
        </w:rPr>
        <w:t>o</w:t>
      </w:r>
      <w:r w:rsidRPr="007B26A7">
        <w:rPr>
          <w:spacing w:val="4"/>
          <w:szCs w:val="22"/>
        </w:rPr>
        <w:t xml:space="preserve"> </w:t>
      </w:r>
      <w:r w:rsidRPr="007B26A7">
        <w:rPr>
          <w:spacing w:val="-3"/>
          <w:szCs w:val="22"/>
        </w:rPr>
        <w:t>F</w:t>
      </w:r>
      <w:r w:rsidRPr="007B26A7">
        <w:rPr>
          <w:szCs w:val="22"/>
        </w:rPr>
        <w:t>e</w:t>
      </w:r>
      <w:r w:rsidRPr="007B26A7">
        <w:rPr>
          <w:spacing w:val="-2"/>
          <w:szCs w:val="22"/>
        </w:rPr>
        <w:t>d</w:t>
      </w:r>
      <w:r w:rsidRPr="007B26A7">
        <w:rPr>
          <w:szCs w:val="22"/>
        </w:rPr>
        <w:t>e</w:t>
      </w:r>
      <w:r w:rsidRPr="007B26A7">
        <w:rPr>
          <w:spacing w:val="1"/>
          <w:szCs w:val="22"/>
        </w:rPr>
        <w:t>r</w:t>
      </w:r>
      <w:r w:rsidRPr="007B26A7">
        <w:rPr>
          <w:spacing w:val="-2"/>
          <w:szCs w:val="22"/>
        </w:rPr>
        <w:t>a</w:t>
      </w:r>
      <w:r w:rsidRPr="007B26A7">
        <w:rPr>
          <w:szCs w:val="22"/>
        </w:rPr>
        <w:t>l</w:t>
      </w:r>
      <w:r w:rsidRPr="007B26A7">
        <w:rPr>
          <w:spacing w:val="5"/>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zCs w:val="22"/>
        </w:rPr>
        <w:t>un</w:t>
      </w:r>
      <w:r w:rsidRPr="007B26A7">
        <w:rPr>
          <w:spacing w:val="1"/>
          <w:szCs w:val="22"/>
        </w:rPr>
        <w:t>i</w:t>
      </w:r>
      <w:r w:rsidRPr="007B26A7">
        <w:rPr>
          <w:szCs w:val="22"/>
        </w:rPr>
        <w:t>ca</w:t>
      </w:r>
      <w:r w:rsidRPr="007B26A7">
        <w:rPr>
          <w:spacing w:val="-1"/>
          <w:szCs w:val="22"/>
        </w:rPr>
        <w:t>t</w:t>
      </w:r>
      <w:r w:rsidRPr="007B26A7">
        <w:rPr>
          <w:spacing w:val="1"/>
          <w:szCs w:val="22"/>
        </w:rPr>
        <w:t>i</w:t>
      </w:r>
      <w:r w:rsidRPr="007B26A7">
        <w:rPr>
          <w:szCs w:val="22"/>
        </w:rPr>
        <w:t>o</w:t>
      </w:r>
      <w:r w:rsidRPr="007B26A7">
        <w:rPr>
          <w:spacing w:val="-2"/>
          <w:szCs w:val="22"/>
        </w:rPr>
        <w:t>n</w:t>
      </w:r>
      <w:r w:rsidRPr="007B26A7">
        <w:rPr>
          <w:szCs w:val="22"/>
        </w:rPr>
        <w:t>s</w:t>
      </w:r>
      <w:r w:rsidRPr="007B26A7">
        <w:rPr>
          <w:spacing w:val="4"/>
          <w:szCs w:val="22"/>
        </w:rPr>
        <w:t xml:space="preserve"> </w:t>
      </w:r>
      <w:r w:rsidRPr="007B26A7">
        <w:rPr>
          <w:spacing w:val="-1"/>
          <w:szCs w:val="22"/>
        </w:rPr>
        <w:t>C</w:t>
      </w:r>
      <w:r w:rsidRPr="007B26A7">
        <w:rPr>
          <w:szCs w:val="22"/>
        </w:rPr>
        <w:t>o</w:t>
      </w:r>
      <w:r w:rsidRPr="007B26A7">
        <w:rPr>
          <w:spacing w:val="-4"/>
          <w:szCs w:val="22"/>
        </w:rPr>
        <w:t>mm</w:t>
      </w:r>
      <w:r w:rsidRPr="007B26A7">
        <w:rPr>
          <w:spacing w:val="1"/>
          <w:szCs w:val="22"/>
        </w:rPr>
        <w:t>i</w:t>
      </w:r>
      <w:r w:rsidRPr="007B26A7">
        <w:rPr>
          <w:szCs w:val="22"/>
        </w:rPr>
        <w:t>s</w:t>
      </w:r>
      <w:r w:rsidRPr="007B26A7">
        <w:rPr>
          <w:spacing w:val="1"/>
          <w:szCs w:val="22"/>
        </w:rPr>
        <w:t>si</w:t>
      </w:r>
      <w:r w:rsidRPr="007B26A7">
        <w:rPr>
          <w:szCs w:val="22"/>
        </w:rPr>
        <w:t>on,</w:t>
      </w:r>
      <w:r w:rsidRPr="007B26A7">
        <w:rPr>
          <w:spacing w:val="4"/>
          <w:szCs w:val="22"/>
        </w:rPr>
        <w:t xml:space="preserve"> </w:t>
      </w:r>
      <w:r w:rsidRPr="007B26A7">
        <w:rPr>
          <w:szCs w:val="22"/>
        </w:rPr>
        <w:t>P.</w:t>
      </w:r>
      <w:r w:rsidRPr="007B26A7">
        <w:rPr>
          <w:spacing w:val="-1"/>
          <w:szCs w:val="22"/>
        </w:rPr>
        <w:t>O</w:t>
      </w:r>
      <w:r w:rsidRPr="007B26A7">
        <w:rPr>
          <w:szCs w:val="22"/>
        </w:rPr>
        <w:t xml:space="preserve">. </w:t>
      </w:r>
      <w:r w:rsidRPr="007B26A7">
        <w:rPr>
          <w:spacing w:val="-1"/>
          <w:szCs w:val="22"/>
        </w:rPr>
        <w:t>B</w:t>
      </w:r>
      <w:r w:rsidRPr="007B26A7">
        <w:rPr>
          <w:szCs w:val="22"/>
        </w:rPr>
        <w:t xml:space="preserve">ox 979088, </w:t>
      </w:r>
      <w:r w:rsidRPr="007B26A7">
        <w:rPr>
          <w:spacing w:val="-3"/>
          <w:szCs w:val="22"/>
        </w:rPr>
        <w:t>S</w:t>
      </w:r>
      <w:r w:rsidRPr="007B26A7">
        <w:rPr>
          <w:spacing w:val="1"/>
          <w:szCs w:val="22"/>
        </w:rPr>
        <w:t>t</w:t>
      </w:r>
      <w:r w:rsidRPr="007B26A7">
        <w:rPr>
          <w:szCs w:val="22"/>
        </w:rPr>
        <w:t>. Lo</w:t>
      </w:r>
      <w:r w:rsidRPr="007B26A7">
        <w:rPr>
          <w:spacing w:val="-3"/>
          <w:szCs w:val="22"/>
        </w:rPr>
        <w:t>u</w:t>
      </w:r>
      <w:r w:rsidRPr="007B26A7">
        <w:rPr>
          <w:spacing w:val="1"/>
          <w:szCs w:val="22"/>
        </w:rPr>
        <w:t>i</w:t>
      </w:r>
      <w:r w:rsidRPr="007B26A7">
        <w:rPr>
          <w:szCs w:val="22"/>
        </w:rPr>
        <w:t>s, MO 6319</w:t>
      </w:r>
      <w:r w:rsidRPr="007B26A7">
        <w:rPr>
          <w:spacing w:val="2"/>
          <w:szCs w:val="22"/>
        </w:rPr>
        <w:t>7</w:t>
      </w:r>
      <w:r w:rsidRPr="007B26A7">
        <w:rPr>
          <w:spacing w:val="-4"/>
          <w:szCs w:val="22"/>
        </w:rPr>
        <w:t>-</w:t>
      </w:r>
      <w:r w:rsidRPr="007B26A7">
        <w:rPr>
          <w:szCs w:val="22"/>
        </w:rPr>
        <w:t>9000, or s</w:t>
      </w:r>
      <w:r w:rsidRPr="007B26A7">
        <w:rPr>
          <w:spacing w:val="-2"/>
          <w:szCs w:val="22"/>
        </w:rPr>
        <w:t>e</w:t>
      </w:r>
      <w:r w:rsidRPr="007B26A7">
        <w:rPr>
          <w:szCs w:val="22"/>
        </w:rPr>
        <w:t xml:space="preserve">nt </w:t>
      </w:r>
      <w:r w:rsidRPr="007B26A7">
        <w:rPr>
          <w:spacing w:val="-2"/>
          <w:szCs w:val="22"/>
        </w:rPr>
        <w:t>v</w:t>
      </w:r>
      <w:r w:rsidRPr="007B26A7">
        <w:rPr>
          <w:spacing w:val="1"/>
          <w:szCs w:val="22"/>
        </w:rPr>
        <w:t>i</w:t>
      </w:r>
      <w:r w:rsidRPr="007B26A7">
        <w:rPr>
          <w:szCs w:val="22"/>
        </w:rPr>
        <w:t>a</w:t>
      </w:r>
      <w:r w:rsidRPr="007B26A7">
        <w:rPr>
          <w:spacing w:val="1"/>
          <w:szCs w:val="22"/>
        </w:rPr>
        <w:t xml:space="preserve"> </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1"/>
          <w:szCs w:val="22"/>
        </w:rPr>
        <w:t>i</w:t>
      </w:r>
      <w:r w:rsidRPr="007B26A7">
        <w:rPr>
          <w:spacing w:val="-2"/>
          <w:szCs w:val="22"/>
        </w:rPr>
        <w:t>g</w:t>
      </w:r>
      <w:r w:rsidRPr="007B26A7">
        <w:rPr>
          <w:szCs w:val="22"/>
        </w:rPr>
        <w:t xml:space="preserve">ht </w:t>
      </w:r>
      <w:r w:rsidRPr="007B26A7">
        <w:rPr>
          <w:spacing w:val="-4"/>
          <w:szCs w:val="22"/>
        </w:rPr>
        <w:t>m</w:t>
      </w:r>
      <w:r w:rsidRPr="007B26A7">
        <w:rPr>
          <w:szCs w:val="22"/>
        </w:rPr>
        <w:t>a</w:t>
      </w:r>
      <w:r w:rsidRPr="007B26A7">
        <w:rPr>
          <w:spacing w:val="1"/>
          <w:szCs w:val="22"/>
        </w:rPr>
        <w:t>i</w:t>
      </w:r>
      <w:r w:rsidRPr="007B26A7">
        <w:rPr>
          <w:szCs w:val="22"/>
        </w:rPr>
        <w:t>l</w:t>
      </w:r>
      <w:r w:rsidRPr="007B26A7">
        <w:rPr>
          <w:spacing w:val="3"/>
          <w:szCs w:val="22"/>
        </w:rPr>
        <w:t xml:space="preserve"> </w:t>
      </w:r>
      <w:r w:rsidRPr="007B26A7">
        <w:rPr>
          <w:spacing w:val="1"/>
          <w:szCs w:val="22"/>
        </w:rPr>
        <w:t>t</w:t>
      </w:r>
      <w:r w:rsidRPr="007B26A7">
        <w:rPr>
          <w:szCs w:val="22"/>
        </w:rPr>
        <w:t>o</w:t>
      </w:r>
      <w:r w:rsidRPr="007B26A7">
        <w:rPr>
          <w:spacing w:val="27"/>
          <w:szCs w:val="22"/>
        </w:rPr>
        <w:t xml:space="preserve"> </w:t>
      </w:r>
      <w:r w:rsidRPr="007B26A7">
        <w:rPr>
          <w:spacing w:val="-1"/>
          <w:szCs w:val="22"/>
        </w:rPr>
        <w:t>U</w:t>
      </w:r>
      <w:r w:rsidRPr="007B26A7">
        <w:rPr>
          <w:spacing w:val="-2"/>
          <w:szCs w:val="22"/>
        </w:rPr>
        <w:t>.</w:t>
      </w:r>
      <w:r w:rsidRPr="007B26A7">
        <w:rPr>
          <w:szCs w:val="22"/>
        </w:rPr>
        <w:t xml:space="preserve">S. </w:t>
      </w:r>
      <w:r w:rsidRPr="007B26A7">
        <w:rPr>
          <w:spacing w:val="26"/>
          <w:szCs w:val="22"/>
        </w:rPr>
        <w:t xml:space="preserve"> </w:t>
      </w:r>
      <w:r w:rsidRPr="007B26A7">
        <w:rPr>
          <w:spacing w:val="-1"/>
          <w:szCs w:val="22"/>
        </w:rPr>
        <w:t>B</w:t>
      </w:r>
      <w:r w:rsidRPr="007B26A7">
        <w:rPr>
          <w:szCs w:val="22"/>
        </w:rPr>
        <w:t xml:space="preserve">ank – </w:t>
      </w:r>
      <w:r w:rsidRPr="007B26A7">
        <w:rPr>
          <w:spacing w:val="-1"/>
          <w:szCs w:val="22"/>
        </w:rPr>
        <w:t>G</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4"/>
          <w:szCs w:val="22"/>
        </w:rPr>
        <w:t>m</w:t>
      </w:r>
      <w:r w:rsidRPr="007B26A7">
        <w:rPr>
          <w:szCs w:val="22"/>
        </w:rPr>
        <w:t>ent Loc</w:t>
      </w:r>
      <w:r w:rsidRPr="007B26A7">
        <w:rPr>
          <w:spacing w:val="-3"/>
          <w:szCs w:val="22"/>
        </w:rPr>
        <w:t>k</w:t>
      </w:r>
      <w:r w:rsidRPr="007B26A7">
        <w:rPr>
          <w:spacing w:val="1"/>
          <w:szCs w:val="22"/>
        </w:rPr>
        <w:t>b</w:t>
      </w:r>
      <w:r w:rsidRPr="007B26A7">
        <w:rPr>
          <w:szCs w:val="22"/>
        </w:rPr>
        <w:t>ox #9</w:t>
      </w:r>
      <w:r w:rsidRPr="007B26A7">
        <w:rPr>
          <w:spacing w:val="-2"/>
          <w:szCs w:val="22"/>
        </w:rPr>
        <w:t>7</w:t>
      </w:r>
      <w:r w:rsidRPr="007B26A7">
        <w:rPr>
          <w:szCs w:val="22"/>
        </w:rPr>
        <w:t>9088, SL</w:t>
      </w:r>
      <w:r w:rsidRPr="007B26A7">
        <w:rPr>
          <w:spacing w:val="-4"/>
          <w:szCs w:val="22"/>
        </w:rPr>
        <w:t>-</w:t>
      </w:r>
      <w:r w:rsidRPr="007B26A7">
        <w:rPr>
          <w:spacing w:val="1"/>
          <w:szCs w:val="22"/>
        </w:rPr>
        <w:t>MO</w:t>
      </w:r>
      <w:r w:rsidRPr="007B26A7">
        <w:rPr>
          <w:spacing w:val="-4"/>
          <w:szCs w:val="22"/>
        </w:rPr>
        <w:t>-</w:t>
      </w:r>
      <w:r w:rsidRPr="007B26A7">
        <w:rPr>
          <w:spacing w:val="-1"/>
          <w:szCs w:val="22"/>
        </w:rPr>
        <w:t>C</w:t>
      </w:r>
      <w:r w:rsidRPr="007B26A7">
        <w:rPr>
          <w:spacing w:val="2"/>
          <w:szCs w:val="22"/>
        </w:rPr>
        <w:t>2</w:t>
      </w:r>
      <w:r w:rsidRPr="007B26A7">
        <w:rPr>
          <w:spacing w:val="-2"/>
          <w:szCs w:val="22"/>
        </w:rPr>
        <w:t>-</w:t>
      </w:r>
      <w:r w:rsidRPr="007B26A7">
        <w:rPr>
          <w:spacing w:val="-1"/>
          <w:szCs w:val="22"/>
        </w:rPr>
        <w:t>G</w:t>
      </w:r>
      <w:r w:rsidRPr="007B26A7">
        <w:rPr>
          <w:szCs w:val="22"/>
        </w:rPr>
        <w:t xml:space="preserve">L, 1005 </w:t>
      </w:r>
      <w:r w:rsidRPr="007B26A7">
        <w:rPr>
          <w:spacing w:val="-1"/>
          <w:szCs w:val="22"/>
        </w:rPr>
        <w:t>C</w:t>
      </w:r>
      <w:r w:rsidRPr="007B26A7">
        <w:rPr>
          <w:szCs w:val="22"/>
        </w:rPr>
        <w:t>on</w:t>
      </w:r>
      <w:r w:rsidRPr="007B26A7">
        <w:rPr>
          <w:spacing w:val="-2"/>
          <w:szCs w:val="22"/>
        </w:rPr>
        <w:t>v</w:t>
      </w:r>
      <w:r w:rsidRPr="007B26A7">
        <w:rPr>
          <w:szCs w:val="22"/>
        </w:rPr>
        <w:t>en</w:t>
      </w:r>
      <w:r w:rsidRPr="007B26A7">
        <w:rPr>
          <w:spacing w:val="1"/>
          <w:szCs w:val="22"/>
        </w:rPr>
        <w:t>t</w:t>
      </w:r>
      <w:r w:rsidRPr="007B26A7">
        <w:rPr>
          <w:spacing w:val="-1"/>
          <w:szCs w:val="22"/>
        </w:rPr>
        <w:t>i</w:t>
      </w:r>
      <w:r w:rsidRPr="007B26A7">
        <w:rPr>
          <w:szCs w:val="22"/>
        </w:rPr>
        <w:t>on P</w:t>
      </w:r>
      <w:r w:rsidRPr="007B26A7">
        <w:rPr>
          <w:spacing w:val="-2"/>
          <w:szCs w:val="22"/>
        </w:rPr>
        <w:t>l</w:t>
      </w:r>
      <w:r w:rsidRPr="007B26A7">
        <w:rPr>
          <w:szCs w:val="22"/>
        </w:rPr>
        <w:t>a</w:t>
      </w:r>
      <w:r w:rsidRPr="007B26A7">
        <w:rPr>
          <w:spacing w:val="-2"/>
          <w:szCs w:val="22"/>
        </w:rPr>
        <w:t>z</w:t>
      </w:r>
      <w:r w:rsidRPr="007B26A7">
        <w:rPr>
          <w:szCs w:val="22"/>
        </w:rPr>
        <w:t xml:space="preserve">a, </w:t>
      </w:r>
      <w:r w:rsidRPr="007B26A7">
        <w:rPr>
          <w:spacing w:val="1"/>
          <w:szCs w:val="22"/>
        </w:rPr>
        <w:t>St</w:t>
      </w:r>
      <w:r w:rsidRPr="007B26A7">
        <w:rPr>
          <w:szCs w:val="22"/>
        </w:rPr>
        <w:t>.</w:t>
      </w:r>
      <w:r w:rsidRPr="007B26A7">
        <w:rPr>
          <w:spacing w:val="53"/>
          <w:szCs w:val="22"/>
        </w:rPr>
        <w:t xml:space="preserve"> </w:t>
      </w:r>
      <w:r w:rsidRPr="007B26A7">
        <w:rPr>
          <w:szCs w:val="22"/>
        </w:rPr>
        <w:t>Loui</w:t>
      </w:r>
      <w:r w:rsidRPr="007B26A7">
        <w:rPr>
          <w:spacing w:val="1"/>
          <w:szCs w:val="22"/>
        </w:rPr>
        <w:t>s</w:t>
      </w:r>
      <w:r w:rsidRPr="007B26A7">
        <w:rPr>
          <w:szCs w:val="22"/>
        </w:rPr>
        <w:t>,</w:t>
      </w:r>
      <w:r w:rsidRPr="007B26A7">
        <w:rPr>
          <w:spacing w:val="53"/>
          <w:szCs w:val="22"/>
        </w:rPr>
        <w:t xml:space="preserve"> </w:t>
      </w:r>
      <w:r w:rsidRPr="007B26A7">
        <w:rPr>
          <w:szCs w:val="22"/>
        </w:rPr>
        <w:t>MO 63101.</w:t>
      </w:r>
    </w:p>
    <w:p w:rsidR="001478AB" w:rsidRPr="007B26A7" w:rsidP="00CA7214" w14:paraId="2E5D8DFA" w14:textId="77777777">
      <w:pPr>
        <w:pStyle w:val="ParaNum"/>
        <w:widowControl/>
        <w:ind w:left="0"/>
        <w:rPr>
          <w:szCs w:val="22"/>
        </w:rPr>
      </w:pPr>
      <w:r w:rsidRPr="007B26A7">
        <w:rPr>
          <w:szCs w:val="22"/>
        </w:rPr>
        <w:t>The response, if any, must be mailed to Office of the Secretary, Federal Communications Commission, 445 12</w:t>
      </w:r>
      <w:r w:rsidRPr="007B26A7">
        <w:rPr>
          <w:szCs w:val="22"/>
          <w:vertAlign w:val="superscript"/>
        </w:rPr>
        <w:t>th</w:t>
      </w:r>
      <w:r w:rsidRPr="007B26A7">
        <w:rPr>
          <w:szCs w:val="22"/>
        </w:rPr>
        <w:t xml:space="preserve"> Street, S.W., Washington DC 20554, ATTN:  </w:t>
      </w:r>
      <w:r w:rsidR="00B537C2">
        <w:rPr>
          <w:szCs w:val="22"/>
        </w:rPr>
        <w:t>Albert Shuldiner</w:t>
      </w:r>
      <w:r w:rsidRPr="007B26A7">
        <w:rPr>
          <w:szCs w:val="22"/>
        </w:rPr>
        <w:t>, Audio Division, Media Bureau, and MUST INCLUDE the NAL/Acct. No. referenced above.</w:t>
      </w:r>
    </w:p>
    <w:p w:rsidR="001478AB" w:rsidRPr="007B26A7" w:rsidP="00CA7214" w14:paraId="561C7B1F" w14:textId="77777777">
      <w:pPr>
        <w:pStyle w:val="ParaNum"/>
        <w:ind w:left="0"/>
        <w:rPr>
          <w:szCs w:val="22"/>
        </w:rPr>
      </w:pPr>
      <w:r w:rsidRPr="007B26A7">
        <w:rPr>
          <w:szCs w:val="22"/>
        </w:rPr>
        <w:t>The Commission will not consider reducing or canceling a forfeiture in response to a claim of inability to pay unless the respondent submits</w:t>
      </w:r>
      <w:r w:rsidRPr="007B26A7" w:rsidR="00860B70">
        <w:rPr>
          <w:szCs w:val="22"/>
        </w:rPr>
        <w:t>:</w:t>
      </w:r>
      <w:r w:rsidR="00E7041C">
        <w:rPr>
          <w:szCs w:val="22"/>
        </w:rPr>
        <w:t xml:space="preserve">  </w:t>
      </w:r>
      <w:r w:rsidRPr="007B26A7" w:rsidR="00860B70">
        <w:rPr>
          <w:szCs w:val="22"/>
        </w:rPr>
        <w:t>(</w:t>
      </w:r>
      <w:r w:rsidRPr="007B26A7">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1478AB" w:rsidP="006726BC" w14:paraId="1DAC4328" w14:textId="77777777">
      <w:pPr>
        <w:pStyle w:val="ParaNum"/>
        <w:widowControl/>
        <w:ind w:left="0"/>
        <w:rPr>
          <w:szCs w:val="22"/>
        </w:rPr>
      </w:pPr>
      <w:r w:rsidRPr="007B26A7">
        <w:rPr>
          <w:szCs w:val="22"/>
        </w:rPr>
        <w:t xml:space="preserve">Requests for full payment of the forfeiture proposed in this </w:t>
      </w:r>
      <w:r w:rsidRPr="007B26A7">
        <w:rPr>
          <w:i/>
          <w:szCs w:val="22"/>
        </w:rPr>
        <w:t>NAL</w:t>
      </w:r>
      <w:r w:rsidRPr="007B26A7">
        <w:rPr>
          <w:szCs w:val="22"/>
        </w:rPr>
        <w:t xml:space="preserve"> under the installment plan should be sent to:  Associate Managing Director-Financial Operations, 445 12th Street, S.W., Room 1-A625, Washington, DC 20554.</w:t>
      </w:r>
      <w:r>
        <w:rPr>
          <w:rStyle w:val="FootnoteReference"/>
          <w:szCs w:val="22"/>
        </w:rPr>
        <w:footnoteReference w:id="79"/>
      </w:r>
    </w:p>
    <w:p w:rsidR="00F056B0" w:rsidP="00346714" w14:paraId="749928C6" w14:textId="77777777">
      <w:pPr>
        <w:pStyle w:val="ParaNum"/>
        <w:widowControl/>
        <w:ind w:left="0"/>
        <w:rPr>
          <w:szCs w:val="22"/>
        </w:rPr>
      </w:pPr>
      <w:r w:rsidRPr="00B31ABF">
        <w:rPr>
          <w:szCs w:val="22"/>
        </w:rPr>
        <w:t xml:space="preserve">IT IS </w:t>
      </w:r>
      <w:r w:rsidR="00295F8C">
        <w:rPr>
          <w:szCs w:val="22"/>
        </w:rPr>
        <w:t xml:space="preserve">FURTHER </w:t>
      </w:r>
      <w:r w:rsidRPr="00B31ABF">
        <w:rPr>
          <w:szCs w:val="22"/>
        </w:rPr>
        <w:t>ORDERED</w:t>
      </w:r>
      <w:r w:rsidR="00156ECB">
        <w:rPr>
          <w:szCs w:val="22"/>
        </w:rPr>
        <w:t>,</w:t>
      </w:r>
      <w:r w:rsidRPr="00B31ABF">
        <w:rPr>
          <w:szCs w:val="22"/>
        </w:rPr>
        <w:t xml:space="preserve"> that the </w:t>
      </w:r>
      <w:r w:rsidR="002E2F30">
        <w:rPr>
          <w:szCs w:val="22"/>
        </w:rPr>
        <w:t xml:space="preserve">Informal Objection </w:t>
      </w:r>
      <w:r w:rsidRPr="00B31ABF">
        <w:rPr>
          <w:szCs w:val="22"/>
        </w:rPr>
        <w:t xml:space="preserve">filed by </w:t>
      </w:r>
      <w:r w:rsidR="002E2F30">
        <w:rPr>
          <w:szCs w:val="22"/>
        </w:rPr>
        <w:t xml:space="preserve">WOOF, Inc., </w:t>
      </w:r>
      <w:r>
        <w:rPr>
          <w:szCs w:val="22"/>
        </w:rPr>
        <w:t xml:space="preserve">on </w:t>
      </w:r>
      <w:r w:rsidR="002E2F30">
        <w:rPr>
          <w:szCs w:val="22"/>
        </w:rPr>
        <w:t>October 28, 2016, IS GRANTED in part and IS DENIED in all other respects.</w:t>
      </w:r>
    </w:p>
    <w:p w:rsidR="00830208" w:rsidRPr="00830208" w:rsidP="00CA7214" w14:paraId="32BE2C91" w14:textId="77777777">
      <w:pPr>
        <w:pStyle w:val="ParaNum"/>
        <w:ind w:left="0"/>
        <w:rPr>
          <w:szCs w:val="22"/>
        </w:rPr>
      </w:pPr>
      <w:r w:rsidRPr="00B31ABF">
        <w:t xml:space="preserve">IT IS </w:t>
      </w:r>
      <w:r>
        <w:t xml:space="preserve">FURTHER </w:t>
      </w:r>
      <w:r w:rsidRPr="00B31ABF">
        <w:t>ORDERED</w:t>
      </w:r>
      <w:r>
        <w:t>,</w:t>
      </w:r>
      <w:r w:rsidRPr="00B31ABF">
        <w:t xml:space="preserve"> that the </w:t>
      </w:r>
      <w:r>
        <w:t xml:space="preserve">Informal Objection </w:t>
      </w:r>
      <w:r w:rsidRPr="00B31ABF">
        <w:t xml:space="preserve">filed by </w:t>
      </w:r>
      <w:r>
        <w:t>Fox Broadcasting Corporation, LLC, on June 8, 2017, IS DENIED.</w:t>
      </w:r>
    </w:p>
    <w:p w:rsidR="001478AB" w:rsidRPr="00D318E3" w:rsidP="00CA7214" w14:paraId="44C07B3C" w14:textId="4C24BB9B">
      <w:pPr>
        <w:pStyle w:val="ParaNum"/>
        <w:widowControl/>
        <w:ind w:left="0"/>
        <w:rPr>
          <w:szCs w:val="22"/>
        </w:rPr>
      </w:pPr>
      <w:r w:rsidRPr="00D318E3">
        <w:rPr>
          <w:szCs w:val="22"/>
        </w:rPr>
        <w:t xml:space="preserve">IT IS FURTHER ORDERED that copies of this </w:t>
      </w:r>
      <w:r w:rsidRPr="00D318E3" w:rsidR="006776CB">
        <w:rPr>
          <w:i/>
          <w:szCs w:val="22"/>
        </w:rPr>
        <w:t>NAL</w:t>
      </w:r>
      <w:r w:rsidRPr="00D318E3">
        <w:rPr>
          <w:szCs w:val="22"/>
        </w:rPr>
        <w:t xml:space="preserve"> shall be sent, by First Class and Certified Mail, Return Receipt Requested, to </w:t>
      </w:r>
      <w:r w:rsidRPr="00D318E3" w:rsidR="00A43681">
        <w:rPr>
          <w:szCs w:val="22"/>
        </w:rPr>
        <w:t>Alabama Media, LLC</w:t>
      </w:r>
      <w:r w:rsidRPr="00D318E3" w:rsidR="00F376E3">
        <w:rPr>
          <w:szCs w:val="22"/>
        </w:rPr>
        <w:t>,</w:t>
      </w:r>
      <w:r w:rsidRPr="00D318E3" w:rsidR="004A6E30">
        <w:rPr>
          <w:szCs w:val="22"/>
        </w:rPr>
        <w:t xml:space="preserve"> </w:t>
      </w:r>
      <w:r w:rsidRPr="00D318E3" w:rsidR="00A43681">
        <w:rPr>
          <w:szCs w:val="22"/>
        </w:rPr>
        <w:t>1109 Hudson Lane, Monroe, L</w:t>
      </w:r>
      <w:r w:rsidRPr="00D318E3" w:rsidR="0074459B">
        <w:rPr>
          <w:szCs w:val="22"/>
        </w:rPr>
        <w:t>A 71201</w:t>
      </w:r>
      <w:r w:rsidRPr="00D318E3" w:rsidR="0041202A">
        <w:rPr>
          <w:szCs w:val="22"/>
        </w:rPr>
        <w:t>,</w:t>
      </w:r>
      <w:r w:rsidRPr="00D318E3" w:rsidR="00B543FE">
        <w:rPr>
          <w:szCs w:val="22"/>
        </w:rPr>
        <w:t xml:space="preserve"> </w:t>
      </w:r>
      <w:r w:rsidRPr="00D318E3" w:rsidR="00F2335C">
        <w:rPr>
          <w:szCs w:val="22"/>
        </w:rPr>
        <w:t>and to its</w:t>
      </w:r>
      <w:r w:rsidRPr="00D318E3">
        <w:rPr>
          <w:szCs w:val="22"/>
        </w:rPr>
        <w:t xml:space="preserve"> counsel, </w:t>
      </w:r>
      <w:r w:rsidRPr="00D318E3" w:rsidR="0074459B">
        <w:rPr>
          <w:szCs w:val="22"/>
        </w:rPr>
        <w:t>David D. Burns, Esq., Pillsbury Winthrop Shaw Pittman, LLP, 1200 17</w:t>
      </w:r>
      <w:r w:rsidRPr="00D318E3" w:rsidR="0074459B">
        <w:rPr>
          <w:szCs w:val="22"/>
          <w:vertAlign w:val="superscript"/>
        </w:rPr>
        <w:t>th</w:t>
      </w:r>
      <w:r w:rsidRPr="00D318E3" w:rsidR="0074459B">
        <w:rPr>
          <w:szCs w:val="22"/>
        </w:rPr>
        <w:t xml:space="preserve"> Street, N.W., Washington, DC 20036; to WOOF, Inc</w:t>
      </w:r>
      <w:r w:rsidR="00FC1D08">
        <w:rPr>
          <w:szCs w:val="22"/>
        </w:rPr>
        <w:t>.</w:t>
      </w:r>
      <w:r w:rsidRPr="00D318E3" w:rsidR="0074459B">
        <w:rPr>
          <w:szCs w:val="22"/>
        </w:rPr>
        <w:t>, P.O. Box 1427, Dothan, AL 36302, and to its counsel</w:t>
      </w:r>
      <w:r w:rsidRPr="00D318E3" w:rsidR="00A2398A">
        <w:rPr>
          <w:szCs w:val="22"/>
        </w:rPr>
        <w:t>,</w:t>
      </w:r>
      <w:r w:rsidRPr="00D318E3" w:rsidR="0074459B">
        <w:rPr>
          <w:szCs w:val="22"/>
        </w:rPr>
        <w:t xml:space="preserve"> David D. Oxenford, Esq., Wilkinson Barker Knauer, LLP, 1800 M St., N.W., Suite 800N, Washington, DC 20036; to Fox Broadcasting Corporation, LLC, P</w:t>
      </w:r>
      <w:r w:rsidRPr="00D318E3" w:rsidR="00A2398A">
        <w:rPr>
          <w:szCs w:val="22"/>
        </w:rPr>
        <w:t>.O.</w:t>
      </w:r>
      <w:r w:rsidRPr="00D318E3" w:rsidR="0074459B">
        <w:rPr>
          <w:szCs w:val="22"/>
        </w:rPr>
        <w:t xml:space="preserve"> Drawer 110, Evergreen, AL 36401, and to its counsel</w:t>
      </w:r>
      <w:r w:rsidRPr="00D318E3" w:rsidR="00A2398A">
        <w:rPr>
          <w:szCs w:val="22"/>
        </w:rPr>
        <w:t>,</w:t>
      </w:r>
      <w:r w:rsidRPr="00D318E3" w:rsidR="0074459B">
        <w:rPr>
          <w:szCs w:val="22"/>
        </w:rPr>
        <w:t xml:space="preserve"> Dennis J. Kelly, Esq., Law </w:t>
      </w:r>
      <w:r w:rsidRPr="00D318E3" w:rsidR="00A2398A">
        <w:rPr>
          <w:szCs w:val="22"/>
        </w:rPr>
        <w:t>Office</w:t>
      </w:r>
      <w:r w:rsidRPr="00D318E3" w:rsidR="0074459B">
        <w:rPr>
          <w:szCs w:val="22"/>
        </w:rPr>
        <w:t xml:space="preserve"> of Dennis J. Kelly, P.O. Box 41177</w:t>
      </w:r>
      <w:r w:rsidRPr="00D318E3" w:rsidR="00A2398A">
        <w:rPr>
          <w:szCs w:val="22"/>
        </w:rPr>
        <w:t>, Washington, DC 20018.</w:t>
      </w:r>
      <w:r w:rsidRPr="00D318E3" w:rsidR="0074459B">
        <w:rPr>
          <w:szCs w:val="22"/>
        </w:rPr>
        <w:t xml:space="preserve">     </w:t>
      </w:r>
    </w:p>
    <w:p w:rsidR="00441E04" w:rsidRPr="007B26A7" w:rsidP="00441E04" w14:paraId="27448E5B" w14:textId="77777777">
      <w:pPr>
        <w:pStyle w:val="ParaNum"/>
        <w:numPr>
          <w:ilvl w:val="0"/>
          <w:numId w:val="0"/>
        </w:numPr>
        <w:ind w:left="3600" w:firstLine="720"/>
        <w:rPr>
          <w:szCs w:val="22"/>
        </w:rPr>
      </w:pPr>
    </w:p>
    <w:p w:rsidR="00441E04" w:rsidRPr="007B26A7" w:rsidP="00441E04" w14:paraId="0C15FF92" w14:textId="77777777">
      <w:pPr>
        <w:pStyle w:val="ParaNum"/>
        <w:numPr>
          <w:ilvl w:val="0"/>
          <w:numId w:val="0"/>
        </w:numPr>
        <w:ind w:left="3600" w:firstLine="720"/>
        <w:rPr>
          <w:szCs w:val="22"/>
        </w:rPr>
      </w:pPr>
      <w:r w:rsidRPr="007B26A7">
        <w:rPr>
          <w:szCs w:val="22"/>
        </w:rPr>
        <w:t>FEDERAL COMMUNICATIONS COMMISSION</w:t>
      </w:r>
    </w:p>
    <w:p w:rsidR="00441E04" w:rsidRPr="007B26A7" w:rsidP="00441E04" w14:paraId="42FA3498" w14:textId="77777777">
      <w:pPr>
        <w:tabs>
          <w:tab w:val="left" w:pos="0"/>
        </w:tabs>
        <w:suppressAutoHyphens/>
        <w:rPr>
          <w:szCs w:val="22"/>
        </w:rPr>
      </w:pPr>
    </w:p>
    <w:p w:rsidR="00441E04" w:rsidRPr="007B26A7" w:rsidP="00441E04" w14:paraId="13C079AC" w14:textId="77777777">
      <w:pPr>
        <w:tabs>
          <w:tab w:val="left" w:pos="0"/>
        </w:tabs>
        <w:suppressAutoHyphens/>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r>
    </w:p>
    <w:p w:rsidR="00441E04" w:rsidRPr="007B26A7" w:rsidP="00441E04" w14:paraId="5A0875C7" w14:textId="77777777">
      <w:pPr>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t xml:space="preserve"> </w:t>
      </w:r>
      <w:r w:rsidR="00A43681">
        <w:rPr>
          <w:szCs w:val="22"/>
        </w:rPr>
        <w:t>Albert Shuldiner</w:t>
      </w:r>
    </w:p>
    <w:p w:rsidR="00441E04" w:rsidRPr="007B26A7" w:rsidP="00441E04" w14:paraId="119B3946" w14:textId="77777777">
      <w:pPr>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t xml:space="preserve"> Chief, Audio Division</w:t>
      </w:r>
    </w:p>
    <w:p w:rsidR="00E319F2" w:rsidRPr="007B26A7" w:rsidP="00CB4FC9" w14:paraId="542325E8" w14:textId="7732461B">
      <w:pPr>
        <w:widowControl/>
        <w:ind w:left="3600" w:firstLine="720"/>
        <w:rPr>
          <w:szCs w:val="22"/>
        </w:rPr>
      </w:pPr>
      <w:r w:rsidRPr="007B26A7">
        <w:rPr>
          <w:szCs w:val="22"/>
        </w:rPr>
        <w:t xml:space="preserve"> 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75" w:rsidP="0055614C" w14:paraId="1027D404" w14:textId="77777777">
    <w:pPr>
      <w:pStyle w:val="Footer"/>
      <w:framePr w:wrap="around" w:vAnchor="text" w:hAnchor="margin" w:xAlign="center" w:y="1"/>
    </w:pPr>
    <w:r>
      <w:fldChar w:fldCharType="begin"/>
    </w:r>
    <w:r>
      <w:instrText xml:space="preserve">PAGE  </w:instrText>
    </w:r>
    <w:r>
      <w:fldChar w:fldCharType="separate"/>
    </w:r>
    <w:r w:rsidR="00887206">
      <w:rPr>
        <w:noProof/>
      </w:rPr>
      <w:t>9</w:t>
    </w:r>
    <w:r>
      <w:fldChar w:fldCharType="end"/>
    </w:r>
  </w:p>
  <w:p w:rsidR="00A93B75" w14:paraId="62FD64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75" w:rsidP="0055614C" w14:paraId="3E018588" w14:textId="77777777">
    <w:pPr>
      <w:pStyle w:val="Footer"/>
      <w:framePr w:wrap="around" w:vAnchor="text" w:hAnchor="margin" w:xAlign="center" w:y="1"/>
    </w:pPr>
    <w:r>
      <w:fldChar w:fldCharType="begin"/>
    </w:r>
    <w:r>
      <w:instrText xml:space="preserve">PAGE  </w:instrText>
    </w:r>
    <w:r>
      <w:fldChar w:fldCharType="separate"/>
    </w:r>
    <w:r w:rsidR="00592B47">
      <w:rPr>
        <w:noProof/>
      </w:rPr>
      <w:t>2</w:t>
    </w:r>
    <w:r>
      <w:fldChar w:fldCharType="end"/>
    </w:r>
  </w:p>
  <w:p w:rsidR="00A93B75" w14:paraId="5B6C9490" w14:textId="77777777">
    <w:pPr>
      <w:spacing w:before="140" w:line="100" w:lineRule="exact"/>
      <w:rPr>
        <w:sz w:val="10"/>
      </w:rPr>
    </w:pPr>
  </w:p>
  <w:p w:rsidR="00A93B75" w14:paraId="6F8C3033" w14:textId="77777777">
    <w:pPr>
      <w:suppressAutoHyphens/>
      <w:spacing w:line="227" w:lineRule="auto"/>
    </w:pPr>
  </w:p>
  <w:p w:rsidR="00A93B75" w14:paraId="7022173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75" w14:paraId="2860A5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487C" w14:paraId="125D95DB" w14:textId="77777777">
      <w:r>
        <w:separator/>
      </w:r>
    </w:p>
  </w:footnote>
  <w:footnote w:type="continuationSeparator" w:id="1">
    <w:p w:rsidR="0036487C" w14:paraId="6A1E1573" w14:textId="77777777">
      <w:pPr>
        <w:rPr>
          <w:sz w:val="20"/>
        </w:rPr>
      </w:pPr>
      <w:r>
        <w:rPr>
          <w:sz w:val="20"/>
        </w:rPr>
        <w:t xml:space="preserve">(Continued from previous page)  </w:t>
      </w:r>
      <w:r>
        <w:rPr>
          <w:sz w:val="20"/>
        </w:rPr>
        <w:separator/>
      </w:r>
    </w:p>
  </w:footnote>
  <w:footnote w:type="continuationNotice" w:id="2">
    <w:p w:rsidR="0036487C" w:rsidRPr="00A73A72" w:rsidP="00A73A72" w14:paraId="1ED0F741" w14:textId="77777777">
      <w:pPr>
        <w:pStyle w:val="Footer"/>
      </w:pPr>
    </w:p>
  </w:footnote>
  <w:footnote w:id="3">
    <w:p w:rsidR="00F21CD8" w:rsidRPr="00952980" w:rsidP="00F21CD8" w14:paraId="2F633BD6" w14:textId="353D9AE7">
      <w:pPr>
        <w:spacing w:after="120"/>
        <w:rPr>
          <w:b/>
          <w:sz w:val="20"/>
        </w:rPr>
      </w:pPr>
      <w:r w:rsidRPr="00952980">
        <w:rPr>
          <w:rStyle w:val="FootnoteReference"/>
          <w:sz w:val="20"/>
        </w:rPr>
        <w:footnoteRef/>
      </w:r>
      <w:r w:rsidRPr="00952980">
        <w:rPr>
          <w:sz w:val="20"/>
        </w:rPr>
        <w:t xml:space="preserve"> </w:t>
      </w:r>
      <w:r w:rsidR="00305D66">
        <w:rPr>
          <w:sz w:val="20"/>
        </w:rPr>
        <w:t>AMLLC</w:t>
      </w:r>
      <w:r w:rsidRPr="00952980">
        <w:rPr>
          <w:sz w:val="20"/>
        </w:rPr>
        <w:t xml:space="preserve"> filed a</w:t>
      </w:r>
      <w:r w:rsidR="00305D66">
        <w:rPr>
          <w:sz w:val="20"/>
        </w:rPr>
        <w:t>n Opposition to the WOOF Objection (</w:t>
      </w:r>
      <w:r w:rsidR="009E5080">
        <w:rPr>
          <w:sz w:val="20"/>
        </w:rPr>
        <w:t xml:space="preserve">WOOF </w:t>
      </w:r>
      <w:r w:rsidR="00305D66">
        <w:rPr>
          <w:sz w:val="20"/>
        </w:rPr>
        <w:t>Opposition</w:t>
      </w:r>
      <w:r w:rsidR="003D248F">
        <w:rPr>
          <w:sz w:val="20"/>
        </w:rPr>
        <w:t>)</w:t>
      </w:r>
      <w:r w:rsidR="00305D66">
        <w:rPr>
          <w:sz w:val="20"/>
        </w:rPr>
        <w:t xml:space="preserve"> on November 29, 2016, to which WOOF replied on December 6, 2016 (Reply).  WOOF is licensee of Stations WOOF(AM/</w:t>
      </w:r>
      <w:r w:rsidR="00684E29">
        <w:rPr>
          <w:sz w:val="20"/>
        </w:rPr>
        <w:t>-</w:t>
      </w:r>
      <w:r w:rsidR="00305D66">
        <w:rPr>
          <w:sz w:val="20"/>
        </w:rPr>
        <w:t>FM)</w:t>
      </w:r>
      <w:r w:rsidR="00FD757D">
        <w:rPr>
          <w:sz w:val="20"/>
        </w:rPr>
        <w:t>,</w:t>
      </w:r>
      <w:r w:rsidR="00305D66">
        <w:rPr>
          <w:sz w:val="20"/>
        </w:rPr>
        <w:t xml:space="preserve"> Dothan, Alabama.  AMLLC filed an Opposition to the Fox Objection </w:t>
      </w:r>
      <w:r w:rsidR="00A77E3E">
        <w:rPr>
          <w:sz w:val="20"/>
        </w:rPr>
        <w:t>(</w:t>
      </w:r>
      <w:r w:rsidR="009E5080">
        <w:rPr>
          <w:sz w:val="20"/>
        </w:rPr>
        <w:t xml:space="preserve">Fox </w:t>
      </w:r>
      <w:r w:rsidR="00A77E3E">
        <w:rPr>
          <w:sz w:val="20"/>
        </w:rPr>
        <w:t xml:space="preserve">Opposition) </w:t>
      </w:r>
      <w:r w:rsidR="00305D66">
        <w:rPr>
          <w:sz w:val="20"/>
        </w:rPr>
        <w:t>on October 12, 2017.  Fox is licensee of</w:t>
      </w:r>
      <w:r w:rsidR="00FD757D">
        <w:rPr>
          <w:sz w:val="20"/>
        </w:rPr>
        <w:t xml:space="preserve"> </w:t>
      </w:r>
      <w:r w:rsidR="00305D66">
        <w:rPr>
          <w:sz w:val="20"/>
        </w:rPr>
        <w:t xml:space="preserve">Station WFXX(FM), Georgina, Alabama.  </w:t>
      </w:r>
    </w:p>
  </w:footnote>
  <w:footnote w:id="4">
    <w:p w:rsidR="00A93B75" w:rsidRPr="007B26A7" w:rsidP="007B26A7" w14:paraId="0CFB5856" w14:textId="77777777">
      <w:pPr>
        <w:pStyle w:val="Footer"/>
        <w:spacing w:after="120"/>
        <w:rPr>
          <w:sz w:val="20"/>
        </w:rPr>
      </w:pPr>
      <w:r w:rsidRPr="007B26A7">
        <w:rPr>
          <w:rStyle w:val="FootnoteReference"/>
          <w:sz w:val="20"/>
        </w:rPr>
        <w:footnoteRef/>
      </w:r>
      <w:r w:rsidRPr="007B26A7">
        <w:rPr>
          <w:sz w:val="20"/>
        </w:rPr>
        <w:t xml:space="preserve"> This </w:t>
      </w:r>
      <w:r w:rsidRPr="007B26A7">
        <w:rPr>
          <w:i/>
          <w:sz w:val="20"/>
        </w:rPr>
        <w:t xml:space="preserve">NAL </w:t>
      </w:r>
      <w:r w:rsidRPr="007B26A7">
        <w:rPr>
          <w:sz w:val="20"/>
        </w:rPr>
        <w:t>is issued pursuant to Sections 309(k) and 503(b) of the Communica</w:t>
      </w:r>
      <w:r w:rsidRPr="007B26A7" w:rsidR="00255874">
        <w:rPr>
          <w:sz w:val="20"/>
        </w:rPr>
        <w:t>tions Act of 1934, as amended (Act</w:t>
      </w:r>
      <w:r w:rsidRPr="007B26A7">
        <w:rPr>
          <w:sz w:val="20"/>
        </w:rPr>
        <w:t>), and Section 1</w:t>
      </w:r>
      <w:r w:rsidRPr="007B26A7" w:rsidR="00255874">
        <w:rPr>
          <w:sz w:val="20"/>
        </w:rPr>
        <w:t xml:space="preserve">.80 of the </w:t>
      </w:r>
      <w:r w:rsidR="00A77E3E">
        <w:rPr>
          <w:sz w:val="20"/>
        </w:rPr>
        <w:t>FCC</w:t>
      </w:r>
      <w:r w:rsidRPr="007B26A7" w:rsidR="00255874">
        <w:rPr>
          <w:sz w:val="20"/>
        </w:rPr>
        <w:t xml:space="preserve">’s </w:t>
      </w:r>
      <w:r w:rsidR="00A77E3E">
        <w:rPr>
          <w:sz w:val="20"/>
        </w:rPr>
        <w:t>r</w:t>
      </w:r>
      <w:r w:rsidRPr="007B26A7" w:rsidR="00255874">
        <w:rPr>
          <w:sz w:val="20"/>
        </w:rPr>
        <w:t>ules</w:t>
      </w:r>
      <w:r w:rsidR="00A77E3E">
        <w:rPr>
          <w:sz w:val="20"/>
        </w:rPr>
        <w:t xml:space="preserve"> (Rules)</w:t>
      </w:r>
      <w:r w:rsidRPr="007B26A7">
        <w:rPr>
          <w:sz w:val="20"/>
        </w:rPr>
        <w:t>.  47 U.</w:t>
      </w:r>
      <w:r w:rsidRPr="007B26A7" w:rsidR="00255874">
        <w:rPr>
          <w:sz w:val="20"/>
        </w:rPr>
        <w:t>S.C. §§ 309(k), 503(b); 47 CFR</w:t>
      </w:r>
      <w:r w:rsidRPr="007B26A7">
        <w:rPr>
          <w:sz w:val="20"/>
        </w:rPr>
        <w:t xml:space="preserve"> § 1.80.  The </w:t>
      </w:r>
      <w:r w:rsidR="00A77E3E">
        <w:rPr>
          <w:sz w:val="20"/>
        </w:rPr>
        <w:t xml:space="preserve">Media </w:t>
      </w:r>
      <w:r w:rsidRPr="007B26A7">
        <w:rPr>
          <w:sz w:val="20"/>
        </w:rPr>
        <w:t xml:space="preserve">Bureau </w:t>
      </w:r>
      <w:r w:rsidR="00A77E3E">
        <w:rPr>
          <w:sz w:val="20"/>
        </w:rPr>
        <w:t xml:space="preserve">(Bureau) </w:t>
      </w:r>
      <w:r w:rsidRPr="007B26A7">
        <w:rPr>
          <w:sz w:val="20"/>
        </w:rPr>
        <w:t xml:space="preserve">has delegated authority to issue the </w:t>
      </w:r>
      <w:r w:rsidRPr="007B26A7">
        <w:rPr>
          <w:i/>
          <w:sz w:val="20"/>
        </w:rPr>
        <w:t>NAL</w:t>
      </w:r>
      <w:r w:rsidRPr="007B26A7">
        <w:rPr>
          <w:sz w:val="20"/>
        </w:rPr>
        <w:t xml:space="preserve"> under Section 0.283 of the Rules.  </w:t>
      </w:r>
      <w:r w:rsidRPr="007B26A7" w:rsidR="00255874">
        <w:rPr>
          <w:sz w:val="20"/>
        </w:rPr>
        <w:t>47 CFR</w:t>
      </w:r>
      <w:r w:rsidRPr="007B26A7">
        <w:rPr>
          <w:sz w:val="20"/>
        </w:rPr>
        <w:t xml:space="preserve"> § 0.283.  </w:t>
      </w:r>
    </w:p>
  </w:footnote>
  <w:footnote w:id="5">
    <w:p w:rsidR="009503EA" w:rsidP="009503EA" w14:paraId="22E6768C" w14:textId="55341911">
      <w:pPr>
        <w:pStyle w:val="FootnoteText"/>
      </w:pPr>
      <w:r>
        <w:rPr>
          <w:rStyle w:val="FootnoteReference"/>
        </w:rPr>
        <w:footnoteRef/>
      </w:r>
      <w:r>
        <w:t xml:space="preserve"> 47 U.S.C. § 301; </w:t>
      </w:r>
      <w:r w:rsidR="00985CB8">
        <w:t xml:space="preserve">47 </w:t>
      </w:r>
      <w:r>
        <w:t>CFR § 74.1251(b).</w:t>
      </w:r>
    </w:p>
  </w:footnote>
  <w:footnote w:id="6">
    <w:p w:rsidR="00877F52" w:rsidP="00877F52" w14:paraId="2AF94425" w14:textId="77777777">
      <w:pPr>
        <w:pStyle w:val="FootnoteText"/>
      </w:pPr>
      <w:r>
        <w:rPr>
          <w:rStyle w:val="FootnoteReference"/>
        </w:rPr>
        <w:footnoteRef/>
      </w:r>
      <w:r>
        <w:t xml:space="preserve"> 47 CFR</w:t>
      </w:r>
      <w:r w:rsidR="00745935">
        <w:t xml:space="preserve"> §</w:t>
      </w:r>
      <w:r>
        <w:t>§ 74.1231(b)</w:t>
      </w:r>
      <w:r w:rsidR="00745935">
        <w:t xml:space="preserve"> and 74.1263(b).</w:t>
      </w:r>
      <w:r>
        <w:t xml:space="preserve"> </w:t>
      </w:r>
    </w:p>
  </w:footnote>
  <w:footnote w:id="7">
    <w:p w:rsidR="00600DAA" w:rsidP="00600DAA" w14:paraId="37B8026E" w14:textId="77777777">
      <w:pPr>
        <w:pStyle w:val="FootnoteText"/>
      </w:pPr>
      <w:r>
        <w:rPr>
          <w:rStyle w:val="FootnoteReference"/>
        </w:rPr>
        <w:footnoteRef/>
      </w:r>
      <w:r>
        <w:t xml:space="preserve"> 47 CFR § 74.1263(</w:t>
      </w:r>
      <w:r w:rsidR="004F7691">
        <w:t>c</w:t>
      </w:r>
      <w:r>
        <w:t>)</w:t>
      </w:r>
      <w:r w:rsidR="00F75E85">
        <w:t xml:space="preserve"> and (e)</w:t>
      </w:r>
      <w:r>
        <w:t xml:space="preserve">. </w:t>
      </w:r>
    </w:p>
  </w:footnote>
  <w:footnote w:id="8">
    <w:p w:rsidR="00FA2DDA" w:rsidRPr="00FA2DDA" w14:paraId="3288B334" w14:textId="72D30051">
      <w:pPr>
        <w:pStyle w:val="FootnoteText"/>
      </w:pPr>
      <w:r>
        <w:rPr>
          <w:rStyle w:val="FootnoteReference"/>
        </w:rPr>
        <w:footnoteRef/>
      </w:r>
      <w:r>
        <w:t xml:space="preserve"> </w:t>
      </w:r>
      <w:r w:rsidRPr="00FA2DDA">
        <w:rPr>
          <w:i/>
          <w:iCs/>
          <w:snapToGrid w:val="0"/>
          <w:kern w:val="28"/>
        </w:rPr>
        <w:t>See</w:t>
      </w:r>
      <w:r w:rsidRPr="00FA2DDA">
        <w:rPr>
          <w:snapToGrid w:val="0"/>
          <w:kern w:val="28"/>
        </w:rPr>
        <w:t xml:space="preserve"> </w:t>
      </w:r>
      <w:hyperlink r:id="rId1" w:anchor="co_pp_6ad60000aeea7" w:history="1">
        <w:r w:rsidRPr="00FA2DDA">
          <w:rPr>
            <w:snapToGrid w:val="0"/>
            <w:kern w:val="28"/>
          </w:rPr>
          <w:t>47 CFR § 1.80(b)(4)</w:t>
        </w:r>
      </w:hyperlink>
      <w:r w:rsidRPr="00FA2DDA">
        <w:rPr>
          <w:snapToGrid w:val="0"/>
          <w:kern w:val="28"/>
        </w:rPr>
        <w:t>.</w:t>
      </w:r>
    </w:p>
  </w:footnote>
  <w:footnote w:id="9">
    <w:p w:rsidR="004A593C" w:rsidP="004A593C" w14:paraId="38B16815" w14:textId="77777777">
      <w:pPr>
        <w:pStyle w:val="FootnoteText"/>
      </w:pPr>
      <w:r>
        <w:rPr>
          <w:rStyle w:val="FootnoteReference"/>
        </w:rPr>
        <w:footnoteRef/>
      </w:r>
      <w:r>
        <w:t xml:space="preserve"> 47 CFR § 1.17.</w:t>
      </w:r>
    </w:p>
  </w:footnote>
  <w:footnote w:id="10">
    <w:p w:rsidR="009E5080" w:rsidRPr="009E5080" w14:paraId="2941F846" w14:textId="77777777">
      <w:pPr>
        <w:pStyle w:val="FootnoteText"/>
      </w:pPr>
      <w:r>
        <w:rPr>
          <w:rStyle w:val="FootnoteReference"/>
        </w:rPr>
        <w:footnoteRef/>
      </w:r>
      <w:r>
        <w:t xml:space="preserve"> </w:t>
      </w:r>
      <w:r>
        <w:rPr>
          <w:i/>
        </w:rPr>
        <w:t xml:space="preserve">See </w:t>
      </w:r>
      <w:r>
        <w:t>BLFT-20150429ABN.</w:t>
      </w:r>
    </w:p>
  </w:footnote>
  <w:footnote w:id="11">
    <w:p w:rsidR="009E5080" w:rsidRPr="002155D2" w:rsidP="00B00253" w14:paraId="62DE65C0" w14:textId="77777777">
      <w:pPr>
        <w:pStyle w:val="FootnoteText"/>
      </w:pPr>
      <w:r>
        <w:rPr>
          <w:rStyle w:val="FootnoteReference"/>
        </w:rPr>
        <w:footnoteRef/>
      </w:r>
      <w:r>
        <w:t xml:space="preserve"> </w:t>
      </w:r>
      <w:r>
        <w:rPr>
          <w:i/>
        </w:rPr>
        <w:t xml:space="preserve">See </w:t>
      </w:r>
      <w:r w:rsidRPr="00B00253">
        <w:t>WOOF Opposition at 2.</w:t>
      </w:r>
    </w:p>
  </w:footnote>
  <w:footnote w:id="12">
    <w:p w:rsidR="006218E0" w14:paraId="447328BB" w14:textId="0982B44F">
      <w:pPr>
        <w:pStyle w:val="FootnoteText"/>
      </w:pPr>
      <w:r>
        <w:rPr>
          <w:rStyle w:val="FootnoteReference"/>
        </w:rPr>
        <w:footnoteRef/>
      </w:r>
      <w:r>
        <w:t xml:space="preserve"> Formerly WCNF(AM).</w:t>
      </w:r>
    </w:p>
  </w:footnote>
  <w:footnote w:id="13">
    <w:p w:rsidR="004921B5" w:rsidRPr="00B00253" w:rsidP="002155D2" w14:paraId="08F26C2B" w14:textId="5A3B03A7">
      <w:pPr>
        <w:pStyle w:val="FootnoteText"/>
      </w:pPr>
      <w:r w:rsidRPr="00D4142E">
        <w:rPr>
          <w:rStyle w:val="FootnoteReference"/>
          <w:sz w:val="20"/>
        </w:rPr>
        <w:footnoteRef/>
      </w:r>
      <w:r w:rsidRPr="00B00253">
        <w:t xml:space="preserve"> </w:t>
      </w:r>
      <w:r w:rsidR="006218E0">
        <w:t>WARB</w:t>
      </w:r>
      <w:r w:rsidRPr="002155D2">
        <w:t>(AM) is owned by Alarado Media, LLC</w:t>
      </w:r>
      <w:r w:rsidR="00FB5634">
        <w:t xml:space="preserve"> (Alarado)</w:t>
      </w:r>
      <w:r w:rsidRPr="002155D2">
        <w:t xml:space="preserve">.  The Bureau staff initially granted the CP Application on </w:t>
      </w:r>
      <w:r w:rsidRPr="00887774">
        <w:t>November 9, 2016, bu</w:t>
      </w:r>
      <w:r w:rsidRPr="00B00253">
        <w:t xml:space="preserve">t rescinded the grant on November 10, 2016, in light of </w:t>
      </w:r>
      <w:r w:rsidR="00075AF2">
        <w:t xml:space="preserve">the </w:t>
      </w:r>
      <w:r w:rsidRPr="00B00253">
        <w:t>WOOF Objection.</w:t>
      </w:r>
      <w:r w:rsidRPr="00B00253" w:rsidR="003A1FBC">
        <w:t xml:space="preserve">  </w:t>
      </w:r>
      <w:r w:rsidRPr="00B00253" w:rsidR="003A1FBC">
        <w:rPr>
          <w:i/>
        </w:rPr>
        <w:t xml:space="preserve">See Broadcast Applications, </w:t>
      </w:r>
      <w:r w:rsidRPr="00B00253" w:rsidR="003A1FBC">
        <w:t>Public Notice, Report No. 28862 (</w:t>
      </w:r>
      <w:r w:rsidR="00FB5634">
        <w:t xml:space="preserve">rel. </w:t>
      </w:r>
      <w:r w:rsidRPr="00B00253" w:rsidR="003A1FBC">
        <w:t>Nov. 16, 2016), p. 13.</w:t>
      </w:r>
    </w:p>
  </w:footnote>
  <w:footnote w:id="14">
    <w:p w:rsidR="003E09AD" w:rsidRPr="00B00253" w:rsidP="002155D2" w14:paraId="572C52EF" w14:textId="2507F230">
      <w:pPr>
        <w:pStyle w:val="FootnoteText"/>
      </w:pPr>
      <w:r w:rsidRPr="00D4142E">
        <w:rPr>
          <w:rStyle w:val="FootnoteReference"/>
          <w:sz w:val="20"/>
        </w:rPr>
        <w:footnoteRef/>
      </w:r>
      <w:r w:rsidRPr="00B00253">
        <w:t xml:space="preserve"> STA Request, Exh</w:t>
      </w:r>
      <w:r w:rsidR="00075AF2">
        <w:t>.</w:t>
      </w:r>
      <w:r w:rsidRPr="00B00253">
        <w:t xml:space="preserve"> 12.</w:t>
      </w:r>
    </w:p>
  </w:footnote>
  <w:footnote w:id="15">
    <w:p w:rsidR="003E09AD" w:rsidRPr="00E319F2" w:rsidP="00D4142E" w14:paraId="5A768632" w14:textId="3CE2F115">
      <w:pPr>
        <w:widowControl/>
        <w:autoSpaceDE w:val="0"/>
        <w:autoSpaceDN w:val="0"/>
        <w:adjustRightInd w:val="0"/>
        <w:spacing w:after="120"/>
      </w:pPr>
      <w:r w:rsidRPr="00D4142E">
        <w:rPr>
          <w:rStyle w:val="FootnoteReference"/>
          <w:sz w:val="20"/>
        </w:rPr>
        <w:footnoteRef/>
      </w:r>
      <w:r w:rsidRPr="00D4142E">
        <w:rPr>
          <w:sz w:val="20"/>
        </w:rPr>
        <w:t xml:space="preserve"> </w:t>
      </w:r>
      <w:r w:rsidRPr="00D4142E">
        <w:rPr>
          <w:i/>
          <w:sz w:val="20"/>
        </w:rPr>
        <w:t xml:space="preserve">See </w:t>
      </w:r>
      <w:r w:rsidRPr="00D4142E">
        <w:rPr>
          <w:sz w:val="20"/>
        </w:rPr>
        <w:t>CP Application, Exh</w:t>
      </w:r>
      <w:r w:rsidR="00075AF2">
        <w:rPr>
          <w:sz w:val="20"/>
        </w:rPr>
        <w:t>.</w:t>
      </w:r>
      <w:r w:rsidRPr="00D4142E">
        <w:rPr>
          <w:sz w:val="20"/>
        </w:rPr>
        <w:t xml:space="preserve"> 12, Technical Narrative (both in original and amended Application): “</w:t>
      </w:r>
      <w:r w:rsidRPr="00D4142E">
        <w:rPr>
          <w:snapToGrid/>
          <w:kern w:val="0"/>
          <w:sz w:val="20"/>
        </w:rPr>
        <w:t xml:space="preserve">Alabama </w:t>
      </w:r>
      <w:r w:rsidRPr="00D4142E">
        <w:rPr>
          <w:i/>
          <w:snapToGrid/>
          <w:kern w:val="0"/>
          <w:sz w:val="20"/>
        </w:rPr>
        <w:t>proposes to modify</w:t>
      </w:r>
      <w:r w:rsidRPr="00D4142E">
        <w:rPr>
          <w:snapToGrid/>
          <w:kern w:val="0"/>
          <w:sz w:val="20"/>
        </w:rPr>
        <w:t xml:space="preserve"> W299BX by relocating to a different transmit</w:t>
      </w:r>
      <w:r w:rsidRPr="00B00253">
        <w:rPr>
          <w:snapToGrid/>
          <w:kern w:val="0"/>
          <w:sz w:val="20"/>
        </w:rPr>
        <w:t xml:space="preserve"> </w:t>
      </w:r>
      <w:r w:rsidRPr="00D4142E">
        <w:rPr>
          <w:snapToGrid/>
          <w:kern w:val="0"/>
          <w:sz w:val="20"/>
        </w:rPr>
        <w:t>location at Dothan, AL. W299BX would operate with .088 kW at 119 meters AGL and 124</w:t>
      </w:r>
      <w:r w:rsidRPr="00B00253">
        <w:rPr>
          <w:snapToGrid/>
          <w:kern w:val="0"/>
          <w:sz w:val="20"/>
        </w:rPr>
        <w:t xml:space="preserve"> </w:t>
      </w:r>
      <w:r w:rsidRPr="00D4142E">
        <w:rPr>
          <w:snapToGrid/>
          <w:kern w:val="0"/>
          <w:sz w:val="20"/>
        </w:rPr>
        <w:t xml:space="preserve">meters HAAT. The modified W299BX </w:t>
      </w:r>
      <w:r w:rsidRPr="00D4142E">
        <w:rPr>
          <w:i/>
          <w:snapToGrid/>
          <w:kern w:val="0"/>
          <w:sz w:val="20"/>
        </w:rPr>
        <w:t>will be used as a fill-in translator</w:t>
      </w:r>
      <w:r w:rsidRPr="00D4142E">
        <w:rPr>
          <w:snapToGrid/>
          <w:kern w:val="0"/>
          <w:sz w:val="20"/>
        </w:rPr>
        <w:t xml:space="preserve"> for Class D AM station</w:t>
      </w:r>
      <w:r w:rsidRPr="00B00253">
        <w:rPr>
          <w:snapToGrid/>
          <w:kern w:val="0"/>
          <w:sz w:val="20"/>
        </w:rPr>
        <w:t xml:space="preserve"> </w:t>
      </w:r>
      <w:r w:rsidR="006218E0">
        <w:rPr>
          <w:snapToGrid/>
          <w:kern w:val="0"/>
          <w:sz w:val="20"/>
        </w:rPr>
        <w:t>WARB</w:t>
      </w:r>
      <w:r w:rsidRPr="00D4142E">
        <w:rPr>
          <w:snapToGrid/>
          <w:kern w:val="0"/>
          <w:sz w:val="20"/>
        </w:rPr>
        <w:t>, 700 kHz, Facility ID Number 23616, licensed to Dothan, AL.</w:t>
      </w:r>
      <w:r w:rsidRPr="00D4142E">
        <w:rPr>
          <w:sz w:val="20"/>
        </w:rPr>
        <w:t>” (emphasis supplied).</w:t>
      </w:r>
      <w:r w:rsidR="00075AF2">
        <w:rPr>
          <w:sz w:val="20"/>
        </w:rPr>
        <w:t xml:space="preserve">  An exhibit to the STA Request disclosed that the Translator’s site change had occurred without FCC approval.  </w:t>
      </w:r>
      <w:r w:rsidRPr="00075AF2" w:rsidR="00075AF2">
        <w:rPr>
          <w:i/>
          <w:sz w:val="20"/>
        </w:rPr>
        <w:t>See</w:t>
      </w:r>
      <w:r w:rsidR="00075AF2">
        <w:rPr>
          <w:sz w:val="20"/>
        </w:rPr>
        <w:t xml:space="preserve"> BSTA-20161027AAY, Exh. 12.</w:t>
      </w:r>
    </w:p>
  </w:footnote>
  <w:footnote w:id="16">
    <w:p w:rsidR="005919DD" w:rsidRPr="002155D2" w:rsidP="00B00253" w14:paraId="1007112C" w14:textId="70313B89">
      <w:pPr>
        <w:pStyle w:val="FootnoteText"/>
      </w:pPr>
      <w:r w:rsidRPr="00D4142E">
        <w:rPr>
          <w:rStyle w:val="FootnoteReference"/>
          <w:sz w:val="20"/>
        </w:rPr>
        <w:footnoteRef/>
      </w:r>
      <w:r w:rsidR="00555707">
        <w:t>WOOF Objection</w:t>
      </w:r>
      <w:r w:rsidRPr="00B00253">
        <w:rPr>
          <w:i/>
        </w:rPr>
        <w:t xml:space="preserve"> </w:t>
      </w:r>
      <w:r w:rsidRPr="002155D2">
        <w:t>at 4.</w:t>
      </w:r>
    </w:p>
  </w:footnote>
  <w:footnote w:id="17">
    <w:p w:rsidR="00C37A60" w:rsidRPr="002155D2" w:rsidP="002155D2" w14:paraId="7A2A72C3" w14:textId="2BC5D8B4">
      <w:pPr>
        <w:pStyle w:val="FootnoteText"/>
      </w:pPr>
      <w:r w:rsidRPr="00D4142E">
        <w:rPr>
          <w:rStyle w:val="FootnoteReference"/>
          <w:sz w:val="20"/>
        </w:rPr>
        <w:footnoteRef/>
      </w:r>
      <w:r w:rsidRPr="00B00253">
        <w:t xml:space="preserve"> </w:t>
      </w:r>
      <w:r w:rsidR="00555707">
        <w:rPr>
          <w:i/>
        </w:rPr>
        <w:t>Id.</w:t>
      </w:r>
      <w:r w:rsidRPr="002155D2" w:rsidR="00342C55">
        <w:t xml:space="preserve"> at 5</w:t>
      </w:r>
      <w:r w:rsidRPr="002155D2" w:rsidR="00AE5D9F">
        <w:t>.</w:t>
      </w:r>
    </w:p>
  </w:footnote>
  <w:footnote w:id="18">
    <w:p w:rsidR="00246464" w:rsidRPr="00246464" w:rsidP="002155D2" w14:paraId="4981A25E" w14:textId="77777777">
      <w:pPr>
        <w:pStyle w:val="FootnoteText"/>
      </w:pPr>
      <w:r w:rsidRPr="00D4142E">
        <w:rPr>
          <w:rStyle w:val="FootnoteReference"/>
          <w:sz w:val="20"/>
        </w:rPr>
        <w:footnoteRef/>
      </w:r>
      <w:r w:rsidRPr="00B00253">
        <w:t xml:space="preserve"> </w:t>
      </w:r>
      <w:r w:rsidRPr="00B00253">
        <w:rPr>
          <w:i/>
        </w:rPr>
        <w:t xml:space="preserve">Id. </w:t>
      </w:r>
      <w:r w:rsidRPr="002155D2">
        <w:t>at 6.</w:t>
      </w:r>
      <w:r w:rsidR="00F62EDE">
        <w:t xml:space="preserve">  WOOF, in fact, alleges that the Translator may have been silent </w:t>
      </w:r>
      <w:r w:rsidR="008B4A2A">
        <w:t xml:space="preserve">for </w:t>
      </w:r>
      <w:r w:rsidR="00F62EDE">
        <w:t xml:space="preserve">“almost a year.”  </w:t>
      </w:r>
      <w:r w:rsidR="00F62EDE">
        <w:rPr>
          <w:i/>
        </w:rPr>
        <w:t xml:space="preserve">Id. </w:t>
      </w:r>
      <w:r w:rsidR="00F62EDE">
        <w:t xml:space="preserve">at 8.  </w:t>
      </w:r>
    </w:p>
  </w:footnote>
  <w:footnote w:id="19">
    <w:p w:rsidR="000651DA" w:rsidRPr="003279A1" w14:paraId="0D3ECFFC" w14:textId="7493A3CC">
      <w:pPr>
        <w:pStyle w:val="FootnoteText"/>
      </w:pPr>
      <w:r>
        <w:rPr>
          <w:rStyle w:val="FootnoteReference"/>
        </w:rPr>
        <w:footnoteRef/>
      </w:r>
      <w:r>
        <w:t xml:space="preserve"> </w:t>
      </w:r>
      <w:r>
        <w:rPr>
          <w:i/>
        </w:rPr>
        <w:t>Id.</w:t>
      </w:r>
      <w:r w:rsidR="00A051E0">
        <w:t>,</w:t>
      </w:r>
      <w:r w:rsidR="003279A1">
        <w:t xml:space="preserve"> </w:t>
      </w:r>
      <w:r w:rsidR="002155D2">
        <w:t xml:space="preserve">citing 47 CFR §§ 74.1263(c), (e).  </w:t>
      </w:r>
      <w:r w:rsidR="002155D2">
        <w:rPr>
          <w:i/>
        </w:rPr>
        <w:t>S</w:t>
      </w:r>
      <w:r w:rsidR="003279A1">
        <w:rPr>
          <w:i/>
        </w:rPr>
        <w:t xml:space="preserve">ee also </w:t>
      </w:r>
      <w:r w:rsidR="002F0A5F">
        <w:t>“</w:t>
      </w:r>
      <w:r w:rsidR="003279A1">
        <w:t>Declaration of WOOF Chief Engineer Michael Holderfield</w:t>
      </w:r>
      <w:r w:rsidR="002F0A5F">
        <w:t>”</w:t>
      </w:r>
      <w:r w:rsidR="003279A1">
        <w:t xml:space="preserve"> </w:t>
      </w:r>
      <w:r w:rsidR="00BC18E6">
        <w:t>(Holderfield Declaration)</w:t>
      </w:r>
      <w:r w:rsidR="001E469C">
        <w:t xml:space="preserve">, submitted as </w:t>
      </w:r>
      <w:r w:rsidR="003279A1">
        <w:t>Attachment</w:t>
      </w:r>
      <w:r w:rsidR="001E469C">
        <w:t xml:space="preserve"> A to the WOOF Objection</w:t>
      </w:r>
      <w:r w:rsidR="003279A1">
        <w:t>.</w:t>
      </w:r>
      <w:r w:rsidR="00B1750B">
        <w:t xml:space="preserve">  </w:t>
      </w:r>
      <w:r w:rsidR="00BC18E6">
        <w:t>Holderfield declares under penalty of perjury that</w:t>
      </w:r>
      <w:r w:rsidR="002155D2">
        <w:t xml:space="preserve"> he “regularly scans” the local airwaves to identify any changes in the market” and that his daily commute takes him past the new site location, and</w:t>
      </w:r>
      <w:r w:rsidR="00BC18E6">
        <w:t xml:space="preserve"> the Translator was silent for 11 months from early November 2015 until September 2016.  </w:t>
      </w:r>
      <w:r w:rsidR="00BC18E6">
        <w:rPr>
          <w:i/>
        </w:rPr>
        <w:t xml:space="preserve">See </w:t>
      </w:r>
      <w:r w:rsidR="00BC18E6">
        <w:t>Holderfield Declaration at para</w:t>
      </w:r>
      <w:r w:rsidR="002155D2">
        <w:t>s</w:t>
      </w:r>
      <w:r w:rsidR="00BC18E6">
        <w:t>. 5</w:t>
      </w:r>
      <w:r w:rsidR="002155D2">
        <w:t>-6</w:t>
      </w:r>
      <w:r w:rsidR="00BC18E6">
        <w:t xml:space="preserve">.    </w:t>
      </w:r>
      <w:r w:rsidR="003279A1">
        <w:t xml:space="preserve"> </w:t>
      </w:r>
    </w:p>
  </w:footnote>
  <w:footnote w:id="20">
    <w:p w:rsidR="003C06E1" w:rsidRPr="003C06E1" w14:paraId="3DBDB63D" w14:textId="4E7C88F9">
      <w:pPr>
        <w:pStyle w:val="FootnoteText"/>
      </w:pPr>
      <w:r>
        <w:rPr>
          <w:rStyle w:val="FootnoteReference"/>
        </w:rPr>
        <w:footnoteRef/>
      </w:r>
      <w:r w:rsidR="00A051E0">
        <w:t xml:space="preserve"> </w:t>
      </w:r>
      <w:r w:rsidR="005B2C38">
        <w:t>WOOF Objection</w:t>
      </w:r>
      <w:r>
        <w:rPr>
          <w:i/>
        </w:rPr>
        <w:t xml:space="preserve"> </w:t>
      </w:r>
      <w:r>
        <w:t>at 8-9.  WOOF submits for review a compact disc containing a recording allegedly made on September 14, 2016, at approximately 1:00 p</w:t>
      </w:r>
      <w:r w:rsidR="004805C6">
        <w:t>.</w:t>
      </w:r>
      <w:r>
        <w:t>m</w:t>
      </w:r>
      <w:r w:rsidR="004805C6">
        <w:t>.</w:t>
      </w:r>
      <w:r>
        <w:t xml:space="preserve"> </w:t>
      </w:r>
      <w:r w:rsidR="00291927">
        <w:t xml:space="preserve">local time </w:t>
      </w:r>
      <w:r>
        <w:t>in which the Translat</w:t>
      </w:r>
      <w:r w:rsidR="00886A8A">
        <w:t>o</w:t>
      </w:r>
      <w:r>
        <w:t xml:space="preserve">r identifies </w:t>
      </w:r>
      <w:r w:rsidR="004805C6">
        <w:t>the WARB call sign but not</w:t>
      </w:r>
      <w:r>
        <w:t xml:space="preserve"> the Tr</w:t>
      </w:r>
      <w:r w:rsidR="00886A8A">
        <w:t>a</w:t>
      </w:r>
      <w:r>
        <w:t>n</w:t>
      </w:r>
      <w:r w:rsidR="00886A8A">
        <w:t>s</w:t>
      </w:r>
      <w:r>
        <w:t xml:space="preserve">lator’s call sign.  </w:t>
      </w:r>
      <w:r>
        <w:rPr>
          <w:i/>
        </w:rPr>
        <w:t xml:space="preserve">Id. </w:t>
      </w:r>
    </w:p>
  </w:footnote>
  <w:footnote w:id="21">
    <w:p w:rsidR="00472563" w:rsidRPr="00472563" w14:paraId="320504C6" w14:textId="5C764155">
      <w:pPr>
        <w:pStyle w:val="FootnoteText"/>
      </w:pPr>
      <w:r>
        <w:rPr>
          <w:rStyle w:val="FootnoteReference"/>
        </w:rPr>
        <w:footnoteRef/>
      </w:r>
      <w:r>
        <w:t xml:space="preserve"> </w:t>
      </w:r>
      <w:r>
        <w:rPr>
          <w:i/>
        </w:rPr>
        <w:t xml:space="preserve">Id. </w:t>
      </w:r>
      <w:r>
        <w:t>at 7.  WOOF also</w:t>
      </w:r>
      <w:r w:rsidR="003068F1">
        <w:t xml:space="preserve"> argues</w:t>
      </w:r>
      <w:r>
        <w:t xml:space="preserve"> that the Commission, pursuant to the local radio ownership rules, should review the “economic relationship</w:t>
      </w:r>
      <w:r w:rsidR="005919DD">
        <w:t>[s]</w:t>
      </w:r>
      <w:r>
        <w:t xml:space="preserve">” </w:t>
      </w:r>
      <w:r w:rsidR="00072FBD">
        <w:t xml:space="preserve">between primary AM station </w:t>
      </w:r>
      <w:r w:rsidR="006218E0">
        <w:t>WARB</w:t>
      </w:r>
      <w:r w:rsidR="00072FBD">
        <w:t>’s licensee</w:t>
      </w:r>
      <w:r w:rsidR="005919DD">
        <w:t>, Alarado</w:t>
      </w:r>
      <w:r w:rsidR="00072FBD">
        <w:t xml:space="preserve">, </w:t>
      </w:r>
      <w:r w:rsidR="003068F1">
        <w:t xml:space="preserve">owned by James Ricky Carter (Carter), </w:t>
      </w:r>
      <w:r w:rsidR="00072FBD">
        <w:t>AMLLC principal Robert Holladay</w:t>
      </w:r>
      <w:r w:rsidR="003068F1">
        <w:t>,</w:t>
      </w:r>
      <w:r w:rsidR="00072FBD">
        <w:t xml:space="preserve"> and his brother Clay Holladay of Gulf South Communications, Inc.</w:t>
      </w:r>
      <w:r w:rsidR="00335D53">
        <w:t xml:space="preserve"> </w:t>
      </w:r>
      <w:r w:rsidR="009F063D">
        <w:t>(Gulf</w:t>
      </w:r>
      <w:r w:rsidR="002C27CD">
        <w:t xml:space="preserve"> South</w:t>
      </w:r>
      <w:r w:rsidR="009F063D">
        <w:t>)</w:t>
      </w:r>
      <w:r w:rsidR="00072FBD">
        <w:t xml:space="preserve">, who </w:t>
      </w:r>
      <w:r w:rsidR="00B33CC9">
        <w:t xml:space="preserve">together </w:t>
      </w:r>
      <w:r w:rsidR="00072FBD">
        <w:t xml:space="preserve">control nine full-power stations in the Dothan, Alabama, Nielsen radio market.  </w:t>
      </w:r>
      <w:r w:rsidR="00072FBD">
        <w:rPr>
          <w:i/>
        </w:rPr>
        <w:t>Id.</w:t>
      </w:r>
      <w:r>
        <w:t xml:space="preserve">  </w:t>
      </w:r>
    </w:p>
  </w:footnote>
  <w:footnote w:id="22">
    <w:p w:rsidR="009A125F" w14:paraId="0594E5C4" w14:textId="20809690">
      <w:pPr>
        <w:pStyle w:val="FootnoteText"/>
      </w:pPr>
      <w:r>
        <w:rPr>
          <w:rStyle w:val="FootnoteReference"/>
        </w:rPr>
        <w:footnoteRef/>
      </w:r>
      <w:r>
        <w:t xml:space="preserve"> WOOF </w:t>
      </w:r>
      <w:r w:rsidR="005B2C38">
        <w:t xml:space="preserve">Opposition </w:t>
      </w:r>
      <w:r>
        <w:t>at 2</w:t>
      </w:r>
      <w:r w:rsidR="00C3709F">
        <w:t>-3</w:t>
      </w:r>
      <w:r>
        <w:t>.</w:t>
      </w:r>
    </w:p>
  </w:footnote>
  <w:footnote w:id="23">
    <w:p w:rsidR="00C3709F" w:rsidRPr="00C3709F" w14:paraId="3C3F4EC5" w14:textId="77777777">
      <w:pPr>
        <w:pStyle w:val="FootnoteText"/>
      </w:pPr>
      <w:r>
        <w:rPr>
          <w:rStyle w:val="FootnoteReference"/>
        </w:rPr>
        <w:footnoteRef/>
      </w:r>
      <w:r>
        <w:t xml:space="preserve"> </w:t>
      </w:r>
      <w:r>
        <w:rPr>
          <w:i/>
        </w:rPr>
        <w:t xml:space="preserve">Id. </w:t>
      </w:r>
      <w:r>
        <w:t>at 3.</w:t>
      </w:r>
    </w:p>
  </w:footnote>
  <w:footnote w:id="24">
    <w:p w:rsidR="00075966" w:rsidRPr="00887774" w14:paraId="63BDA8BE" w14:textId="626A0039">
      <w:pPr>
        <w:pStyle w:val="FootnoteText"/>
      </w:pPr>
      <w:r>
        <w:rPr>
          <w:rStyle w:val="FootnoteReference"/>
        </w:rPr>
        <w:footnoteRef/>
      </w:r>
      <w:r>
        <w:t xml:space="preserve"> </w:t>
      </w:r>
      <w:r w:rsidRPr="00075966">
        <w:rPr>
          <w:i/>
        </w:rPr>
        <w:t xml:space="preserve">Id. </w:t>
      </w:r>
      <w:r w:rsidRPr="00075966">
        <w:t xml:space="preserve">at </w:t>
      </w:r>
      <w:r w:rsidR="00887774">
        <w:t>4-</w:t>
      </w:r>
      <w:r w:rsidRPr="00075966">
        <w:t xml:space="preserve">5, </w:t>
      </w:r>
      <w:r w:rsidRPr="00075966">
        <w:rPr>
          <w:snapToGrid w:val="0"/>
          <w:kern w:val="28"/>
        </w:rPr>
        <w:t xml:space="preserve">citing </w:t>
      </w:r>
      <w:hyperlink r:id="rId2" w:anchor="co_pp_sp_4493_7222" w:history="1">
        <w:r w:rsidRPr="00075966">
          <w:rPr>
            <w:i/>
            <w:iCs/>
            <w:snapToGrid w:val="0"/>
            <w:kern w:val="28"/>
          </w:rPr>
          <w:t>Amendment of Part 74 of the FM Commission's Rules Concerning Translator Stations</w:t>
        </w:r>
        <w:r w:rsidRPr="00075966">
          <w:rPr>
            <w:snapToGrid w:val="0"/>
            <w:kern w:val="28"/>
          </w:rPr>
          <w:t xml:space="preserve">, Report and Order, 5 FCC Rcd 7212, </w:t>
        </w:r>
        <w:r>
          <w:rPr>
            <w:snapToGrid w:val="0"/>
            <w:kern w:val="28"/>
          </w:rPr>
          <w:t xml:space="preserve">para. 48 </w:t>
        </w:r>
        <w:r w:rsidRPr="00075966">
          <w:rPr>
            <w:snapToGrid w:val="0"/>
            <w:kern w:val="28"/>
          </w:rPr>
          <w:t>(1990)</w:t>
        </w:r>
      </w:hyperlink>
      <w:r w:rsidR="009D2D60">
        <w:rPr>
          <w:snapToGrid w:val="0"/>
          <w:kern w:val="28"/>
        </w:rPr>
        <w:t>.</w:t>
      </w:r>
      <w:r w:rsidR="00887774">
        <w:rPr>
          <w:snapToGrid w:val="0"/>
          <w:kern w:val="28"/>
        </w:rPr>
        <w:t xml:space="preserve">  AMLLC indicates that it was the intention of AMLLC and Alarado to turn both stations on at the same time, but technical problems prevented W</w:t>
      </w:r>
      <w:r w:rsidR="00F6543F">
        <w:rPr>
          <w:snapToGrid w:val="0"/>
          <w:kern w:val="28"/>
        </w:rPr>
        <w:t>CNF</w:t>
      </w:r>
      <w:r w:rsidR="00887774">
        <w:rPr>
          <w:snapToGrid w:val="0"/>
          <w:kern w:val="28"/>
        </w:rPr>
        <w:t xml:space="preserve">(AM)’s </w:t>
      </w:r>
      <w:r w:rsidR="00F6543F">
        <w:rPr>
          <w:snapToGrid w:val="0"/>
          <w:kern w:val="28"/>
        </w:rPr>
        <w:t xml:space="preserve">(now WARB(AM)) </w:t>
      </w:r>
      <w:r w:rsidR="00887774">
        <w:rPr>
          <w:snapToGrid w:val="0"/>
          <w:kern w:val="28"/>
        </w:rPr>
        <w:t xml:space="preserve">resumption of operations.  AMLLC indicates that, “unaware that such action would violate Commission rules and knowing that WCNF would return to service in a matter of days,” it continued with its plan and recommenced operation with the translator, airing the sports-oriented programming it would have received from </w:t>
      </w:r>
      <w:r w:rsidR="00F6543F">
        <w:rPr>
          <w:snapToGrid w:val="0"/>
          <w:kern w:val="28"/>
        </w:rPr>
        <w:t xml:space="preserve">what was then </w:t>
      </w:r>
      <w:r w:rsidR="00887774">
        <w:rPr>
          <w:snapToGrid w:val="0"/>
          <w:kern w:val="28"/>
        </w:rPr>
        <w:t xml:space="preserve">WCNF(AM).  </w:t>
      </w:r>
      <w:r w:rsidR="005B2C38">
        <w:rPr>
          <w:snapToGrid w:val="0"/>
          <w:kern w:val="28"/>
        </w:rPr>
        <w:t xml:space="preserve">WOOF </w:t>
      </w:r>
      <w:r w:rsidRPr="005B2C38" w:rsidR="0009041A">
        <w:rPr>
          <w:snapToGrid w:val="0"/>
          <w:kern w:val="28"/>
        </w:rPr>
        <w:t>Opposition</w:t>
      </w:r>
      <w:r w:rsidR="0009041A">
        <w:rPr>
          <w:snapToGrid w:val="0"/>
          <w:kern w:val="28"/>
        </w:rPr>
        <w:t xml:space="preserve"> at 4-5</w:t>
      </w:r>
      <w:r w:rsidR="00887774">
        <w:rPr>
          <w:snapToGrid w:val="0"/>
          <w:kern w:val="28"/>
        </w:rPr>
        <w:t>.</w:t>
      </w:r>
    </w:p>
  </w:footnote>
  <w:footnote w:id="25">
    <w:p w:rsidR="009D2D60" w:rsidRPr="009D2D60" w14:paraId="7DFF5E4E" w14:textId="147BB17D">
      <w:pPr>
        <w:pStyle w:val="FootnoteText"/>
      </w:pPr>
      <w:r>
        <w:rPr>
          <w:rStyle w:val="FootnoteReference"/>
        </w:rPr>
        <w:footnoteRef/>
      </w:r>
      <w:r>
        <w:t xml:space="preserve"> </w:t>
      </w:r>
      <w:r>
        <w:rPr>
          <w:i/>
        </w:rPr>
        <w:t xml:space="preserve">Id. </w:t>
      </w:r>
      <w:r>
        <w:t xml:space="preserve">at 8.  </w:t>
      </w:r>
      <w:r w:rsidR="004805C6">
        <w:t xml:space="preserve">The relevant Rule is 47 CFR § 74.1283(c).  </w:t>
      </w:r>
      <w:r>
        <w:t>AMLLC submits a compact disc allegedly containing the station identification announcement it broadcasts three times daily (7:59:30 a</w:t>
      </w:r>
      <w:r w:rsidR="004805C6">
        <w:t>.</w:t>
      </w:r>
      <w:r>
        <w:t>m</w:t>
      </w:r>
      <w:r w:rsidR="004805C6">
        <w:t>.</w:t>
      </w:r>
      <w:r>
        <w:t>; 12:59:30 p</w:t>
      </w:r>
      <w:r w:rsidR="004805C6">
        <w:t>.</w:t>
      </w:r>
      <w:r>
        <w:t>m</w:t>
      </w:r>
      <w:r w:rsidR="004805C6">
        <w:t>.</w:t>
      </w:r>
      <w:r>
        <w:t>; and 4:58:30 p</w:t>
      </w:r>
      <w:r w:rsidR="004805C6">
        <w:t>.</w:t>
      </w:r>
      <w:r>
        <w:t>m</w:t>
      </w:r>
      <w:r w:rsidR="004805C6">
        <w:t>.</w:t>
      </w:r>
      <w:r w:rsidR="00022522">
        <w:t xml:space="preserve"> local time</w:t>
      </w:r>
      <w:r>
        <w:t xml:space="preserve">) </w:t>
      </w:r>
      <w:r w:rsidR="004805C6">
        <w:t xml:space="preserve">on the Translator </w:t>
      </w:r>
      <w:r>
        <w:t>in accordance with th</w:t>
      </w:r>
      <w:r w:rsidR="004805C6">
        <w:t>at</w:t>
      </w:r>
      <w:r>
        <w:t xml:space="preserve"> Rule.  </w:t>
      </w:r>
      <w:r>
        <w:rPr>
          <w:i/>
        </w:rPr>
        <w:t>Id.</w:t>
      </w:r>
      <w:r w:rsidR="008D38BE">
        <w:t xml:space="preserve"> at Attach</w:t>
      </w:r>
      <w:r w:rsidR="004805C6">
        <w:t>.</w:t>
      </w:r>
      <w:r w:rsidR="008D38BE">
        <w:t xml:space="preserve"> 2.</w:t>
      </w:r>
    </w:p>
  </w:footnote>
  <w:footnote w:id="26">
    <w:p w:rsidR="00BE788A" w14:paraId="48D1DC02" w14:textId="77777777">
      <w:pPr>
        <w:pStyle w:val="FootnoteText"/>
      </w:pPr>
      <w:r>
        <w:rPr>
          <w:rStyle w:val="FootnoteReference"/>
        </w:rPr>
        <w:footnoteRef/>
      </w:r>
      <w:r>
        <w:t xml:space="preserve"> </w:t>
      </w:r>
      <w:r w:rsidRPr="00BE788A">
        <w:rPr>
          <w:i/>
        </w:rPr>
        <w:t>Id</w:t>
      </w:r>
      <w:r>
        <w:t>. at 6.</w:t>
      </w:r>
    </w:p>
  </w:footnote>
  <w:footnote w:id="27">
    <w:p w:rsidR="000408C1" w:rsidRPr="000408C1" w14:paraId="35F2145D" w14:textId="77777777">
      <w:pPr>
        <w:pStyle w:val="FootnoteText"/>
        <w:rPr>
          <w:i/>
        </w:rPr>
      </w:pPr>
      <w:r>
        <w:rPr>
          <w:rStyle w:val="FootnoteReference"/>
        </w:rPr>
        <w:footnoteRef/>
      </w:r>
      <w:r>
        <w:t xml:space="preserve"> </w:t>
      </w:r>
      <w:r>
        <w:rPr>
          <w:i/>
        </w:rPr>
        <w:t>Id.</w:t>
      </w:r>
    </w:p>
  </w:footnote>
  <w:footnote w:id="28">
    <w:p w:rsidR="0044760E" w14:paraId="2304133F" w14:textId="77777777">
      <w:pPr>
        <w:pStyle w:val="FootnoteText"/>
      </w:pPr>
      <w:r>
        <w:rPr>
          <w:rStyle w:val="FootnoteReference"/>
        </w:rPr>
        <w:footnoteRef/>
      </w:r>
      <w:r>
        <w:t xml:space="preserve"> Reply at 4.</w:t>
      </w:r>
    </w:p>
  </w:footnote>
  <w:footnote w:id="29">
    <w:p w:rsidR="000A79FC" w:rsidRPr="00225EAD" w:rsidP="000A79FC" w14:paraId="6E631B18" w14:textId="6854BBBC">
      <w:pPr>
        <w:pStyle w:val="FootnoteText"/>
      </w:pPr>
      <w:r>
        <w:rPr>
          <w:rStyle w:val="FootnoteReference"/>
        </w:rPr>
        <w:footnoteRef/>
      </w:r>
      <w:r>
        <w:t xml:space="preserve"> Fox Objection at 2</w:t>
      </w:r>
      <w:r w:rsidR="00745935">
        <w:t xml:space="preserve">; </w:t>
      </w:r>
      <w:r w:rsidR="00745935">
        <w:rPr>
          <w:i/>
        </w:rPr>
        <w:t xml:space="preserve">see also </w:t>
      </w:r>
      <w:r w:rsidR="00745935">
        <w:t>47 CFR § 74.1203(b).</w:t>
      </w:r>
      <w:r w:rsidR="00225EAD">
        <w:t xml:space="preserve">  Previously, on June 5, 2017, AMLLC filed an Interference Complaint with the Bureau indicating that the Translator was interfering with WFXX(FM) listeners’ reception of that station.  </w:t>
      </w:r>
      <w:r w:rsidR="00225EAD">
        <w:rPr>
          <w:i/>
        </w:rPr>
        <w:t>See Letter to Mr. James D. Bradshaw</w:t>
      </w:r>
      <w:r w:rsidR="00225EAD">
        <w:t xml:space="preserve"> (Jun. 5. 2017) (Interference Complaint).  The Bureau staff ordered AMLLC to respond to the complaint on September 12, 2017, </w:t>
      </w:r>
      <w:r w:rsidR="00225EAD">
        <w:rPr>
          <w:i/>
        </w:rPr>
        <w:t xml:space="preserve">see Letter to Alabama Media, LLC, </w:t>
      </w:r>
      <w:r w:rsidR="00225EAD">
        <w:t xml:space="preserve">Ref. 1800B3-PPD (MB </w:t>
      </w:r>
      <w:r w:rsidR="00F6543F">
        <w:t xml:space="preserve">rel. </w:t>
      </w:r>
      <w:r w:rsidR="00225EAD">
        <w:t>Sep. 12. 2017)</w:t>
      </w:r>
      <w:r w:rsidR="004805C6">
        <w:t>,</w:t>
      </w:r>
      <w:r w:rsidR="00225EAD">
        <w:t xml:space="preserve"> but ultimately dismissed that complaint.  </w:t>
      </w:r>
      <w:r w:rsidR="00225EAD">
        <w:rPr>
          <w:i/>
        </w:rPr>
        <w:t>Letter to Dennis J. Kelly, Esq. and David D. Burns, Esq.</w:t>
      </w:r>
      <w:r w:rsidR="00225EAD">
        <w:t>, Ref. 1800B3-PPD (MB</w:t>
      </w:r>
      <w:r w:rsidR="002E0F15">
        <w:t>,</w:t>
      </w:r>
      <w:r w:rsidR="00225EAD">
        <w:t xml:space="preserve"> </w:t>
      </w:r>
      <w:r w:rsidR="00BD1A3D">
        <w:t>r</w:t>
      </w:r>
      <w:r w:rsidR="00F6543F">
        <w:t xml:space="preserve">el. </w:t>
      </w:r>
      <w:r w:rsidR="00225EAD">
        <w:t>Feb. 15, 2018).</w:t>
      </w:r>
    </w:p>
  </w:footnote>
  <w:footnote w:id="30">
    <w:p w:rsidR="003D5660" w:rsidRPr="003D5660" w14:paraId="6B13654C" w14:textId="77777777">
      <w:pPr>
        <w:pStyle w:val="FootnoteText"/>
      </w:pPr>
      <w:r>
        <w:rPr>
          <w:rStyle w:val="FootnoteReference"/>
        </w:rPr>
        <w:footnoteRef/>
      </w:r>
      <w:r>
        <w:t xml:space="preserve"> </w:t>
      </w:r>
      <w:r>
        <w:rPr>
          <w:i/>
        </w:rPr>
        <w:t xml:space="preserve">See </w:t>
      </w:r>
      <w:r>
        <w:t>Fox Objection at Exhibit A.</w:t>
      </w:r>
    </w:p>
  </w:footnote>
  <w:footnote w:id="31">
    <w:p w:rsidR="004720D1" w14:paraId="6221FEEE" w14:textId="15B30566">
      <w:pPr>
        <w:pStyle w:val="FootnoteText"/>
      </w:pPr>
      <w:r>
        <w:rPr>
          <w:rStyle w:val="FootnoteReference"/>
        </w:rPr>
        <w:footnoteRef/>
      </w:r>
      <w:r>
        <w:t xml:space="preserve"> </w:t>
      </w:r>
      <w:r w:rsidR="002E0F15">
        <w:t xml:space="preserve">Fox </w:t>
      </w:r>
      <w:r>
        <w:t>Opposition at 2.</w:t>
      </w:r>
    </w:p>
  </w:footnote>
  <w:footnote w:id="32">
    <w:p w:rsidR="008F4295" w14:paraId="4D3DE712" w14:textId="43175E86">
      <w:pPr>
        <w:pStyle w:val="FootnoteText"/>
      </w:pPr>
      <w:r>
        <w:rPr>
          <w:rStyle w:val="FootnoteReference"/>
        </w:rPr>
        <w:footnoteRef/>
      </w:r>
      <w:r>
        <w:t xml:space="preserve"> </w:t>
      </w:r>
      <w:r w:rsidR="000464DB">
        <w:t>AMLLC</w:t>
      </w:r>
      <w:r>
        <w:t xml:space="preserve"> notes that the last name was illegible on the form</w:t>
      </w:r>
      <w:r w:rsidR="003F5726">
        <w:t xml:space="preserve"> an</w:t>
      </w:r>
      <w:r w:rsidR="00FF5311">
        <w:t>d</w:t>
      </w:r>
      <w:r w:rsidR="003F5726">
        <w:t xml:space="preserve"> </w:t>
      </w:r>
      <w:r w:rsidR="003D7709">
        <w:t>could</w:t>
      </w:r>
      <w:r w:rsidR="003F5726">
        <w:t xml:space="preserve"> be </w:t>
      </w:r>
      <w:r w:rsidR="00FF5311">
        <w:t xml:space="preserve">either </w:t>
      </w:r>
      <w:r w:rsidR="003F5726">
        <w:t>“</w:t>
      </w:r>
      <w:r w:rsidR="00FF5311">
        <w:t>Lawton” or “Layton.”</w:t>
      </w:r>
      <w:r w:rsidR="003D7709">
        <w:t xml:space="preserve">  </w:t>
      </w:r>
      <w:r>
        <w:t xml:space="preserve">  </w:t>
      </w:r>
    </w:p>
  </w:footnote>
  <w:footnote w:id="33">
    <w:p w:rsidR="0052472A" w:rsidRPr="0052472A" w14:paraId="5AD68BFB" w14:textId="74461457">
      <w:pPr>
        <w:pStyle w:val="FootnoteText"/>
      </w:pPr>
      <w:r>
        <w:rPr>
          <w:rStyle w:val="FootnoteReference"/>
        </w:rPr>
        <w:footnoteRef/>
      </w:r>
      <w:r>
        <w:t xml:space="preserve"> </w:t>
      </w:r>
      <w:r>
        <w:rPr>
          <w:i/>
        </w:rPr>
        <w:t xml:space="preserve">Id. </w:t>
      </w:r>
      <w:r>
        <w:t xml:space="preserve">at 3; </w:t>
      </w:r>
      <w:r>
        <w:rPr>
          <w:i/>
        </w:rPr>
        <w:t xml:space="preserve">see also </w:t>
      </w:r>
      <w:r w:rsidR="002E0F15">
        <w:t xml:space="preserve">Fox </w:t>
      </w:r>
      <w:r w:rsidR="00C860F6">
        <w:t>Opposition,</w:t>
      </w:r>
      <w:r w:rsidR="00FD670A">
        <w:t xml:space="preserve"> “Declaration of Christopher Mendez” and</w:t>
      </w:r>
      <w:r w:rsidR="00C860F6">
        <w:t xml:space="preserve"> </w:t>
      </w:r>
      <w:r w:rsidR="002F0A5F">
        <w:t>“</w:t>
      </w:r>
      <w:r>
        <w:t>Declaration of James Ricky Carter</w:t>
      </w:r>
      <w:r w:rsidR="00FD670A">
        <w:t>,</w:t>
      </w:r>
      <w:r w:rsidR="002F0A5F">
        <w:t>”</w:t>
      </w:r>
      <w:r>
        <w:t xml:space="preserve"> </w:t>
      </w:r>
      <w:r w:rsidR="00FD670A">
        <w:t xml:space="preserve">submitted as </w:t>
      </w:r>
      <w:r>
        <w:t>Attach</w:t>
      </w:r>
      <w:r w:rsidR="002E0F15">
        <w:t>.</w:t>
      </w:r>
      <w:r w:rsidR="00FD670A">
        <w:t xml:space="preserve"> A.</w:t>
      </w:r>
      <w:r>
        <w:t xml:space="preserve">  </w:t>
      </w:r>
    </w:p>
  </w:footnote>
  <w:footnote w:id="34">
    <w:p w:rsidR="0052472A" w14:paraId="73C51258" w14:textId="77777777">
      <w:pPr>
        <w:pStyle w:val="FootnoteText"/>
      </w:pPr>
      <w:r>
        <w:rPr>
          <w:rStyle w:val="FootnoteReference"/>
        </w:rPr>
        <w:footnoteRef/>
      </w:r>
      <w:r>
        <w:t xml:space="preserve"> 47 CFR </w:t>
      </w:r>
      <w:r w:rsidRPr="007E4424">
        <w:t>§</w:t>
      </w:r>
      <w:r>
        <w:t xml:space="preserve"> 74.1203(a)(3).</w:t>
      </w:r>
    </w:p>
  </w:footnote>
  <w:footnote w:id="35">
    <w:p w:rsidR="0052472A" w14:paraId="6A5DA4F7" w14:textId="77777777">
      <w:pPr>
        <w:pStyle w:val="FootnoteText"/>
      </w:pPr>
      <w:r>
        <w:rPr>
          <w:rStyle w:val="FootnoteReference"/>
        </w:rPr>
        <w:footnoteRef/>
      </w:r>
      <w:r>
        <w:t xml:space="preserve"> Opposition to Fox at 3-4. </w:t>
      </w:r>
    </w:p>
  </w:footnote>
  <w:footnote w:id="36">
    <w:p w:rsidR="00104F0C" w:rsidP="003042D8" w14:paraId="29E7C4F3" w14:textId="47B55343">
      <w:pPr>
        <w:widowControl/>
        <w:spacing w:after="120"/>
      </w:pPr>
      <w:r w:rsidRPr="00104F0C">
        <w:rPr>
          <w:rStyle w:val="FootnoteReference"/>
          <w:sz w:val="20"/>
        </w:rPr>
        <w:footnoteRef/>
      </w:r>
      <w:hyperlink r:id="rId3" w:anchor="co_pp_5ba1000067d06" w:history="1">
        <w:r w:rsidRPr="00104F0C">
          <w:rPr>
            <w:snapToGrid/>
            <w:kern w:val="0"/>
            <w:sz w:val="20"/>
          </w:rPr>
          <w:t>47 U.S.C. § 309(d)</w:t>
        </w:r>
      </w:hyperlink>
      <w:r w:rsidRPr="00104F0C">
        <w:rPr>
          <w:snapToGrid/>
          <w:kern w:val="0"/>
          <w:sz w:val="20"/>
        </w:rPr>
        <w:t>.</w:t>
      </w:r>
      <w:r>
        <w:t xml:space="preserve"> </w:t>
      </w:r>
    </w:p>
  </w:footnote>
  <w:footnote w:id="37">
    <w:p w:rsidR="00104F0C" w:rsidRPr="00104F0C" w:rsidP="003042D8" w14:paraId="3B7B5C65" w14:textId="574F5F28">
      <w:pPr>
        <w:pStyle w:val="FootnoteText"/>
      </w:pPr>
      <w:r>
        <w:rPr>
          <w:rStyle w:val="FootnoteReference"/>
        </w:rPr>
        <w:footnoteRef/>
      </w:r>
      <w:r>
        <w:t xml:space="preserve"> </w:t>
      </w:r>
      <w:r w:rsidRPr="00104F0C">
        <w:rPr>
          <w:i/>
          <w:iCs/>
          <w:snapToGrid w:val="0"/>
          <w:kern w:val="28"/>
        </w:rPr>
        <w:t xml:space="preserve">See, e.g., </w:t>
      </w:r>
      <w:hyperlink r:id="rId4" w:anchor="co_pp_sp_4493_197" w:history="1">
        <w:r w:rsidRPr="00104F0C">
          <w:rPr>
            <w:i/>
            <w:iCs/>
            <w:snapToGrid w:val="0"/>
            <w:kern w:val="28"/>
          </w:rPr>
          <w:t>WWOR-TV, Inc.</w:t>
        </w:r>
        <w:r w:rsidRPr="00104F0C">
          <w:rPr>
            <w:snapToGrid w:val="0"/>
            <w:kern w:val="28"/>
          </w:rPr>
          <w:t>, Memorandum Opinion and Order, 6 FCC Rcd 193, 197 n.10 (1990)</w:t>
        </w:r>
      </w:hyperlink>
      <w:r w:rsidRPr="00104F0C">
        <w:rPr>
          <w:snapToGrid w:val="0"/>
          <w:kern w:val="28"/>
        </w:rPr>
        <w:t xml:space="preserve">, </w:t>
      </w:r>
      <w:r w:rsidRPr="00104F0C">
        <w:rPr>
          <w:i/>
          <w:iCs/>
          <w:snapToGrid w:val="0"/>
          <w:kern w:val="28"/>
        </w:rPr>
        <w:t xml:space="preserve">aff'd sub nom. </w:t>
      </w:r>
      <w:hyperlink r:id="rId5" w:history="1">
        <w:r w:rsidRPr="00104F0C">
          <w:rPr>
            <w:i/>
            <w:iCs/>
            <w:snapToGrid w:val="0"/>
            <w:kern w:val="28"/>
          </w:rPr>
          <w:t>Garden State Broad</w:t>
        </w:r>
        <w:r w:rsidR="005C54B2">
          <w:rPr>
            <w:i/>
            <w:iCs/>
            <w:snapToGrid w:val="0"/>
            <w:kern w:val="28"/>
          </w:rPr>
          <w:t>.</w:t>
        </w:r>
        <w:r w:rsidRPr="00104F0C">
          <w:rPr>
            <w:i/>
            <w:iCs/>
            <w:snapToGrid w:val="0"/>
            <w:kern w:val="28"/>
          </w:rPr>
          <w:t xml:space="preserve"> L.P. v. FCC</w:t>
        </w:r>
        <w:r w:rsidRPr="00104F0C">
          <w:rPr>
            <w:snapToGrid w:val="0"/>
            <w:kern w:val="28"/>
          </w:rPr>
          <w:t>, 996 F.2d 386 (D.C. Cir. 1993)</w:t>
        </w:r>
      </w:hyperlink>
      <w:r w:rsidRPr="00104F0C">
        <w:rPr>
          <w:snapToGrid w:val="0"/>
          <w:kern w:val="28"/>
        </w:rPr>
        <w:t xml:space="preserve">, </w:t>
      </w:r>
      <w:r w:rsidRPr="00104F0C">
        <w:rPr>
          <w:i/>
          <w:iCs/>
          <w:snapToGrid w:val="0"/>
          <w:kern w:val="28"/>
        </w:rPr>
        <w:t>reh'g denied</w:t>
      </w:r>
      <w:r w:rsidRPr="00104F0C">
        <w:rPr>
          <w:snapToGrid w:val="0"/>
          <w:kern w:val="28"/>
        </w:rPr>
        <w:t xml:space="preserve"> (Sept. 10, 1993); </w:t>
      </w:r>
      <w:hyperlink r:id="rId6" w:anchor="co_pp_sp_265_864" w:history="1">
        <w:r w:rsidRPr="00104F0C">
          <w:rPr>
            <w:i/>
            <w:iCs/>
            <w:snapToGrid w:val="0"/>
            <w:kern w:val="28"/>
          </w:rPr>
          <w:t>Area Christian Television, Inc.</w:t>
        </w:r>
        <w:r w:rsidRPr="00104F0C">
          <w:rPr>
            <w:snapToGrid w:val="0"/>
            <w:kern w:val="28"/>
          </w:rPr>
          <w:t>, Memorandum Opinion and Order, 60 RR 2d 862, 864 (1986)</w:t>
        </w:r>
      </w:hyperlink>
      <w:r w:rsidRPr="00104F0C">
        <w:rPr>
          <w:snapToGrid w:val="0"/>
          <w:kern w:val="28"/>
        </w:rPr>
        <w:t xml:space="preserve"> (informal objection must contain adequate and specific factual allegations sufficient to warrant the relief requested).</w:t>
      </w:r>
    </w:p>
  </w:footnote>
  <w:footnote w:id="38">
    <w:p w:rsidR="008E170C" w:rsidP="008E170C" w14:paraId="0694586D" w14:textId="77777777">
      <w:pPr>
        <w:pStyle w:val="FootnoteText"/>
      </w:pPr>
      <w:r>
        <w:rPr>
          <w:rStyle w:val="FootnoteReference"/>
        </w:rPr>
        <w:footnoteRef/>
      </w:r>
      <w:r>
        <w:t xml:space="preserve"> 47 U.S.C. § 301.</w:t>
      </w:r>
    </w:p>
  </w:footnote>
  <w:footnote w:id="39">
    <w:p w:rsidR="008E170C" w:rsidP="005F6137" w14:paraId="0410F6E3" w14:textId="4931360F">
      <w:pPr>
        <w:pStyle w:val="FootnoteText"/>
      </w:pPr>
      <w:r>
        <w:rPr>
          <w:rStyle w:val="FootnoteReference"/>
        </w:rPr>
        <w:footnoteRef/>
      </w:r>
      <w:r>
        <w:t xml:space="preserve"> 47 CFR § 74.1251(</w:t>
      </w:r>
      <w:r w:rsidR="00F35999">
        <w:t>b</w:t>
      </w:r>
      <w:r>
        <w:t>)</w:t>
      </w:r>
      <w:r w:rsidR="00F35999">
        <w:t>(4) (excluding only “a move within the same building or upon the same pole or tower” that does not involve any of the other changes restricted by Section 74.1251(b), such as a change in frequency, power, direction of radiation, etc.)</w:t>
      </w:r>
      <w:r>
        <w:t>.</w:t>
      </w:r>
    </w:p>
  </w:footnote>
  <w:footnote w:id="40">
    <w:p w:rsidR="00891A1B" w:rsidP="005F6137" w14:paraId="19DC192A" w14:textId="5F850D74">
      <w:pPr>
        <w:pStyle w:val="FootnoteText"/>
      </w:pPr>
      <w:r>
        <w:rPr>
          <w:rStyle w:val="FootnoteReference"/>
        </w:rPr>
        <w:footnoteRef/>
      </w:r>
      <w:r>
        <w:t xml:space="preserve"> </w:t>
      </w:r>
      <w:r>
        <w:rPr>
          <w:i/>
        </w:rPr>
        <w:t xml:space="preserve">See </w:t>
      </w:r>
      <w:r>
        <w:t xml:space="preserve">47 U.S.C. § 301.  </w:t>
      </w:r>
      <w:r>
        <w:rPr>
          <w:i/>
        </w:rPr>
        <w:t>See also J. Thomas Dev</w:t>
      </w:r>
      <w:r w:rsidR="00E960E7">
        <w:rPr>
          <w:i/>
        </w:rPr>
        <w:t>.</w:t>
      </w:r>
      <w:r>
        <w:rPr>
          <w:i/>
        </w:rPr>
        <w:t xml:space="preserve"> of NM, Inc.</w:t>
      </w:r>
      <w:r>
        <w:t>, Memorandum Opinion and Order and Notice of Apparent Liability for Forfeiture, 27 FCC Rcd 10859 (MB 2012) (finding that licensee’s operations after license expired and without STA apparently violated Section 301).</w:t>
      </w:r>
    </w:p>
  </w:footnote>
  <w:footnote w:id="41">
    <w:p w:rsidR="00891A1B" w:rsidRPr="00C33D39" w:rsidP="005F6137" w14:paraId="2BBE2AAA" w14:textId="5D026296">
      <w:pPr>
        <w:pStyle w:val="FootnoteText"/>
      </w:pPr>
      <w:r>
        <w:rPr>
          <w:rStyle w:val="FootnoteReference"/>
        </w:rPr>
        <w:footnoteRef/>
      </w:r>
      <w:r>
        <w:t xml:space="preserve"> </w:t>
      </w:r>
      <w:r>
        <w:rPr>
          <w:spacing w:val="-2"/>
        </w:rPr>
        <w:t xml:space="preserve">As the record reflects, </w:t>
      </w:r>
      <w:r w:rsidR="00C33D39">
        <w:rPr>
          <w:spacing w:val="-2"/>
        </w:rPr>
        <w:t>in response to WOOF’s September 28, 2016, filing of a Request for Enforcement with the FCC’s Enforcement Bureau, inspector Rakesh Patel</w:t>
      </w:r>
      <w:r w:rsidR="00D23880">
        <w:rPr>
          <w:spacing w:val="-2"/>
        </w:rPr>
        <w:t>, on October 24, 2016,</w:t>
      </w:r>
      <w:r w:rsidR="00C33D39">
        <w:rPr>
          <w:spacing w:val="-2"/>
        </w:rPr>
        <w:t xml:space="preserve"> notified AMLLC </w:t>
      </w:r>
      <w:r w:rsidR="00D23880">
        <w:rPr>
          <w:spacing w:val="-2"/>
        </w:rPr>
        <w:t xml:space="preserve">on site </w:t>
      </w:r>
      <w:r w:rsidR="00C33D39">
        <w:rPr>
          <w:spacing w:val="-2"/>
        </w:rPr>
        <w:t xml:space="preserve">that it was operating W299BX </w:t>
      </w:r>
      <w:r>
        <w:rPr>
          <w:spacing w:val="-2"/>
        </w:rPr>
        <w:t xml:space="preserve">at </w:t>
      </w:r>
      <w:r w:rsidR="00676C71">
        <w:rPr>
          <w:spacing w:val="-2"/>
        </w:rPr>
        <w:t>an</w:t>
      </w:r>
      <w:r>
        <w:rPr>
          <w:spacing w:val="-2"/>
        </w:rPr>
        <w:t xml:space="preserve"> unauthorized location.</w:t>
      </w:r>
      <w:r w:rsidR="00C33D39">
        <w:rPr>
          <w:spacing w:val="-2"/>
        </w:rPr>
        <w:t xml:space="preserve">  </w:t>
      </w:r>
      <w:r w:rsidR="00C33D39">
        <w:rPr>
          <w:i/>
          <w:spacing w:val="-2"/>
        </w:rPr>
        <w:t xml:space="preserve">See </w:t>
      </w:r>
      <w:r w:rsidR="00B1750B">
        <w:rPr>
          <w:spacing w:val="-2"/>
        </w:rPr>
        <w:t xml:space="preserve">WOOF </w:t>
      </w:r>
      <w:r w:rsidRPr="00C33D39" w:rsidR="00C33D39">
        <w:rPr>
          <w:spacing w:val="-2"/>
        </w:rPr>
        <w:t>Oppos</w:t>
      </w:r>
      <w:r w:rsidR="00C33D39">
        <w:rPr>
          <w:spacing w:val="-2"/>
        </w:rPr>
        <w:t xml:space="preserve">ition </w:t>
      </w:r>
      <w:r w:rsidR="00B1750B">
        <w:rPr>
          <w:spacing w:val="-2"/>
        </w:rPr>
        <w:t>a</w:t>
      </w:r>
      <w:r w:rsidRPr="00C33D39" w:rsidR="00C33D39">
        <w:rPr>
          <w:spacing w:val="-2"/>
        </w:rPr>
        <w:t>t n.3</w:t>
      </w:r>
    </w:p>
  </w:footnote>
  <w:footnote w:id="42">
    <w:p w:rsidR="00891A1B" w:rsidRPr="00030929" w:rsidP="005F6137" w14:paraId="39777D65" w14:textId="674D16B8">
      <w:pPr>
        <w:widowControl/>
        <w:spacing w:after="120"/>
        <w:rPr>
          <w:i/>
        </w:rPr>
      </w:pPr>
      <w:r>
        <w:rPr>
          <w:rStyle w:val="FootnoteReference"/>
        </w:rPr>
        <w:footnoteRef/>
      </w:r>
      <w:r>
        <w:t xml:space="preserve"> </w:t>
      </w:r>
      <w:r w:rsidRPr="00030929">
        <w:rPr>
          <w:i/>
          <w:sz w:val="20"/>
        </w:rPr>
        <w:t>See Bay Broad</w:t>
      </w:r>
      <w:r w:rsidR="00AF204B">
        <w:rPr>
          <w:i/>
          <w:sz w:val="20"/>
        </w:rPr>
        <w:t>.</w:t>
      </w:r>
      <w:r w:rsidRPr="00030929">
        <w:rPr>
          <w:i/>
          <w:sz w:val="20"/>
        </w:rPr>
        <w:t xml:space="preserve"> Corp</w:t>
      </w:r>
      <w:r w:rsidR="00AF204B">
        <w:rPr>
          <w:i/>
          <w:sz w:val="20"/>
        </w:rPr>
        <w:t>.</w:t>
      </w:r>
      <w:r w:rsidRPr="00030929">
        <w:rPr>
          <w:sz w:val="20"/>
        </w:rPr>
        <w:t>, 15 FCC Rcd 13613 (EB 2000) (forfeiture issued for operating a translator station at unauthorized location in violation of Section 74.1251)</w:t>
      </w:r>
      <w:r w:rsidRPr="00030929" w:rsidR="00030929">
        <w:rPr>
          <w:sz w:val="20"/>
        </w:rPr>
        <w:t xml:space="preserve">; </w:t>
      </w:r>
      <w:r w:rsidRPr="00030929" w:rsidR="00030929">
        <w:rPr>
          <w:i/>
          <w:sz w:val="20"/>
        </w:rPr>
        <w:t>see also</w:t>
      </w:r>
      <w:r w:rsidR="00014C01">
        <w:rPr>
          <w:i/>
          <w:sz w:val="20"/>
        </w:rPr>
        <w:t xml:space="preserve">, e.g., </w:t>
      </w:r>
      <w:r w:rsidRPr="00030929" w:rsidR="00030929">
        <w:rPr>
          <w:i/>
          <w:iCs/>
          <w:snapToGrid/>
          <w:kern w:val="0"/>
          <w:sz w:val="20"/>
        </w:rPr>
        <w:t>James Rouse</w:t>
      </w:r>
      <w:r w:rsidRPr="00030929" w:rsidR="00030929">
        <w:rPr>
          <w:snapToGrid/>
          <w:kern w:val="0"/>
          <w:sz w:val="20"/>
        </w:rPr>
        <w:t xml:space="preserve">, Memorandum Opinion and Order and Notice of Apparent Liability for Forfeiture, </w:t>
      </w:r>
      <w:hyperlink r:id="rId7" w:history="1">
        <w:r w:rsidRPr="00030929" w:rsidR="00030929">
          <w:rPr>
            <w:snapToGrid/>
            <w:kern w:val="0"/>
            <w:sz w:val="20"/>
          </w:rPr>
          <w:t>22 FCC Rcd 5602 (MB 2008)</w:t>
        </w:r>
      </w:hyperlink>
      <w:r w:rsidR="00014C01">
        <w:rPr>
          <w:snapToGrid/>
          <w:kern w:val="0"/>
          <w:sz w:val="20"/>
        </w:rPr>
        <w:t xml:space="preserve"> (forfeiture for </w:t>
      </w:r>
      <w:r w:rsidRPr="00030929" w:rsidR="00030929">
        <w:rPr>
          <w:snapToGrid/>
          <w:kern w:val="0"/>
          <w:sz w:val="20"/>
        </w:rPr>
        <w:t>full base amount of $10,000 for unauthorized operation</w:t>
      </w:r>
      <w:r w:rsidR="00014C01">
        <w:rPr>
          <w:snapToGrid/>
          <w:kern w:val="0"/>
          <w:sz w:val="20"/>
        </w:rPr>
        <w:t xml:space="preserve"> of AM station)</w:t>
      </w:r>
      <w:r w:rsidRPr="00030929" w:rsidR="00030929">
        <w:rPr>
          <w:snapToGrid/>
          <w:kern w:val="0"/>
          <w:sz w:val="20"/>
        </w:rPr>
        <w:t>.</w:t>
      </w:r>
    </w:p>
  </w:footnote>
  <w:footnote w:id="43">
    <w:p w:rsidR="000F469D" w:rsidP="005F6137" w14:paraId="38126A07" w14:textId="57D4B3EF">
      <w:pPr>
        <w:pStyle w:val="FootnoteText"/>
      </w:pPr>
      <w:r>
        <w:rPr>
          <w:rStyle w:val="FootnoteReference"/>
        </w:rPr>
        <w:footnoteRef/>
      </w:r>
      <w:r>
        <w:t xml:space="preserve"> 47 CFR </w:t>
      </w:r>
      <w:bookmarkStart w:id="5" w:name="_Hlk792393"/>
      <w:r>
        <w:t>§</w:t>
      </w:r>
      <w:bookmarkEnd w:id="5"/>
      <w:r>
        <w:t xml:space="preserve"> 74.1231(b) (“An FM translator may be used for the purpose of retransmitting the signals of a primary AM or FM radio broadcast station . . . and originating programming to the extent authorized in paragraphs (f), (g), and (h) of this section.”)</w:t>
      </w:r>
      <w:r w:rsidR="00F35999">
        <w:t>;</w:t>
      </w:r>
      <w:r>
        <w:t xml:space="preserve"> 47 CFR § 74.1263(b) (“An . . . FM translator station rebroadcasting . . . an AM of FM primary station shall not be permitted to radiate . . . when signals of the primary station are not being transmitted</w:t>
      </w:r>
      <w:r w:rsidR="00F35999">
        <w:t>,</w:t>
      </w:r>
      <w:r>
        <w:t>”</w:t>
      </w:r>
      <w:r w:rsidR="00F35999">
        <w:t xml:space="preserve"> except for </w:t>
      </w:r>
      <w:r w:rsidR="00045E66">
        <w:t>nighttime transmission by a translator rebroadcasting a Class D station that has operated during the daytime in the last 24 hours</w:t>
      </w:r>
      <w:r>
        <w:t xml:space="preserve">).     </w:t>
      </w:r>
    </w:p>
  </w:footnote>
  <w:footnote w:id="44">
    <w:p w:rsidR="003474C2" w:rsidRPr="003474C2" w14:paraId="24E050C8" w14:textId="61BEB982">
      <w:pPr>
        <w:pStyle w:val="FootnoteText"/>
      </w:pPr>
      <w:r>
        <w:rPr>
          <w:rStyle w:val="FootnoteReference"/>
        </w:rPr>
        <w:footnoteRef/>
      </w:r>
      <w:r>
        <w:t xml:space="preserve"> </w:t>
      </w:r>
      <w:r>
        <w:rPr>
          <w:i/>
        </w:rPr>
        <w:t xml:space="preserve">See also </w:t>
      </w:r>
      <w:r>
        <w:t>47 CFR § 74</w:t>
      </w:r>
      <w:r w:rsidR="00A051E0">
        <w:t>.</w:t>
      </w:r>
      <w:r>
        <w:t>1231(g) (“Originations concerning financial support are limited to a total of 30 seconds an hour”).</w:t>
      </w:r>
    </w:p>
  </w:footnote>
  <w:footnote w:id="45">
    <w:p w:rsidR="005102E6" w:rsidP="005102E6" w14:paraId="357A5C52" w14:textId="77777777">
      <w:pPr>
        <w:pStyle w:val="FootnoteText"/>
      </w:pPr>
      <w:r>
        <w:rPr>
          <w:rStyle w:val="FootnoteReference"/>
        </w:rPr>
        <w:footnoteRef/>
      </w:r>
      <w:r>
        <w:t xml:space="preserve"> 47 CFR § 74.1263(c).  Notification must be made within 10 days of the date on which the station first discontinues operation, and Commission approval is required for such discontinued operation beyond 30 days.   </w:t>
      </w:r>
    </w:p>
  </w:footnote>
  <w:footnote w:id="46">
    <w:p w:rsidR="00F75E85" w14:paraId="32347E19" w14:textId="77777777">
      <w:pPr>
        <w:pStyle w:val="FootnoteText"/>
      </w:pPr>
      <w:r>
        <w:rPr>
          <w:rStyle w:val="FootnoteReference"/>
        </w:rPr>
        <w:footnoteRef/>
      </w:r>
      <w:r>
        <w:t xml:space="preserve"> 47 CFR § 74.1263(e).</w:t>
      </w:r>
    </w:p>
  </w:footnote>
  <w:footnote w:id="47">
    <w:p w:rsidR="007530BC" w14:paraId="22D6436D" w14:textId="77777777">
      <w:pPr>
        <w:pStyle w:val="FootnoteText"/>
      </w:pPr>
      <w:r>
        <w:rPr>
          <w:rStyle w:val="FootnoteReference"/>
        </w:rPr>
        <w:footnoteRef/>
      </w:r>
      <w:r>
        <w:t xml:space="preserve"> </w:t>
      </w:r>
      <w:r w:rsidR="00ED281A">
        <w:t>WOOF</w:t>
      </w:r>
      <w:r>
        <w:t xml:space="preserve"> correctly notes that </w:t>
      </w:r>
      <w:r w:rsidR="00ED281A">
        <w:t xml:space="preserve">CDBS has no record of AMLLC requesting authority to remain silent during this period.  </w:t>
      </w:r>
      <w:r w:rsidR="00ED281A">
        <w:rPr>
          <w:i/>
        </w:rPr>
        <w:t xml:space="preserve">See </w:t>
      </w:r>
      <w:r w:rsidRPr="00ED281A" w:rsidR="00ED281A">
        <w:t>WOOF Objection at 8.</w:t>
      </w:r>
      <w:r w:rsidR="00ED281A">
        <w:t xml:space="preserve">   </w:t>
      </w:r>
    </w:p>
  </w:footnote>
  <w:footnote w:id="48">
    <w:p w:rsidR="00D45482" w:rsidRPr="00D45482" w:rsidP="00D45482" w14:paraId="48E393DD" w14:textId="5DF9B70D">
      <w:pPr>
        <w:pStyle w:val="FootnoteText"/>
      </w:pPr>
      <w:r w:rsidRPr="00AA73A1">
        <w:rPr>
          <w:rStyle w:val="FootnoteReference"/>
          <w:sz w:val="20"/>
        </w:rPr>
        <w:footnoteRef/>
      </w:r>
      <w:r w:rsidRPr="00D45482">
        <w:t xml:space="preserve"> </w:t>
      </w:r>
      <w:r w:rsidRPr="00D45482">
        <w:rPr>
          <w:i/>
        </w:rPr>
        <w:t>See Triangle Access Broad</w:t>
      </w:r>
      <w:r w:rsidR="00AF204B">
        <w:rPr>
          <w:i/>
        </w:rPr>
        <w:t>.</w:t>
      </w:r>
      <w:r w:rsidRPr="00D45482">
        <w:rPr>
          <w:i/>
        </w:rPr>
        <w:t>, Inc.</w:t>
      </w:r>
      <w:r w:rsidRPr="00D45482">
        <w:t>, Letter Order, 32 FCC Rcd 10105, 10112 (MB 2017).</w:t>
      </w:r>
    </w:p>
  </w:footnote>
  <w:footnote w:id="49">
    <w:p w:rsidR="003514BF" w:rsidRPr="003514BF" w14:paraId="4925ACE7" w14:textId="1996B0E3">
      <w:pPr>
        <w:pStyle w:val="FootnoteText"/>
      </w:pPr>
      <w:r>
        <w:rPr>
          <w:rStyle w:val="FootnoteReference"/>
        </w:rPr>
        <w:footnoteRef/>
      </w:r>
      <w:r>
        <w:t xml:space="preserve"> </w:t>
      </w:r>
      <w:r>
        <w:rPr>
          <w:i/>
        </w:rPr>
        <w:t xml:space="preserve">See </w:t>
      </w:r>
      <w:r>
        <w:t xml:space="preserve">47 CFR § 74.1283(c). </w:t>
      </w:r>
    </w:p>
  </w:footnote>
  <w:footnote w:id="50">
    <w:p w:rsidR="0086608E" w:rsidRPr="0086608E" w:rsidP="00F924AA" w14:paraId="4B5B824C" w14:textId="6949221F">
      <w:pPr>
        <w:pStyle w:val="FootnoteText"/>
      </w:pPr>
      <w:r>
        <w:rPr>
          <w:rStyle w:val="FootnoteReference"/>
        </w:rPr>
        <w:footnoteRef/>
      </w:r>
      <w:r>
        <w:t xml:space="preserve"> </w:t>
      </w:r>
      <w:r>
        <w:rPr>
          <w:i/>
        </w:rPr>
        <w:t xml:space="preserve">See </w:t>
      </w:r>
      <w:r>
        <w:t>n</w:t>
      </w:r>
      <w:r w:rsidR="007462C8">
        <w:t>ote</w:t>
      </w:r>
      <w:r w:rsidR="003514BF">
        <w:t xml:space="preserve"> </w:t>
      </w:r>
      <w:r w:rsidR="009A2BAE">
        <w:t>18</w:t>
      </w:r>
      <w:r>
        <w:t xml:space="preserve"> </w:t>
      </w:r>
      <w:r>
        <w:rPr>
          <w:i/>
        </w:rPr>
        <w:t xml:space="preserve">supra.  </w:t>
      </w:r>
      <w:r>
        <w:t>Staff</w:t>
      </w:r>
      <w:r w:rsidR="00676C71">
        <w:t xml:space="preserve"> </w:t>
      </w:r>
      <w:r w:rsidR="00D72738">
        <w:t xml:space="preserve">listened </w:t>
      </w:r>
      <w:r w:rsidR="00D26B89">
        <w:t>to the disc</w:t>
      </w:r>
      <w:r>
        <w:t xml:space="preserve"> on February 5, 2019</w:t>
      </w:r>
      <w:r w:rsidR="00863AE7">
        <w:t>,</w:t>
      </w:r>
      <w:r>
        <w:t xml:space="preserve"> and found </w:t>
      </w:r>
      <w:r w:rsidR="00DF7401">
        <w:t xml:space="preserve">the station identifications </w:t>
      </w:r>
      <w:r w:rsidR="007462C8">
        <w:t>satisfy</w:t>
      </w:r>
      <w:r>
        <w:t xml:space="preserve"> the Rules.</w:t>
      </w:r>
    </w:p>
  </w:footnote>
  <w:footnote w:id="51">
    <w:p w:rsidR="00F36498" w:rsidP="00F924AA" w14:paraId="10A27BCC" w14:textId="77777777">
      <w:pPr>
        <w:pStyle w:val="FootnoteText"/>
      </w:pPr>
      <w:r>
        <w:rPr>
          <w:rStyle w:val="FootnoteReference"/>
        </w:rPr>
        <w:footnoteRef/>
      </w:r>
      <w:r>
        <w:t xml:space="preserve"> 47 CFR § 1.17(a)(2).</w:t>
      </w:r>
    </w:p>
  </w:footnote>
  <w:footnote w:id="52">
    <w:p w:rsidR="00F36498" w:rsidRPr="00F36498" w:rsidP="00F924AA" w14:paraId="447400F3" w14:textId="474A1FC1">
      <w:pPr>
        <w:widowControl/>
        <w:spacing w:after="120"/>
        <w:rPr>
          <w:sz w:val="20"/>
        </w:rPr>
      </w:pPr>
      <w:r w:rsidRPr="00F36498">
        <w:rPr>
          <w:rStyle w:val="FootnoteReference"/>
          <w:sz w:val="20"/>
        </w:rPr>
        <w:footnoteRef/>
      </w:r>
      <w:r w:rsidRPr="00F36498">
        <w:rPr>
          <w:sz w:val="20"/>
        </w:rPr>
        <w:t xml:space="preserve"> </w:t>
      </w:r>
      <w:r w:rsidRPr="00F36498">
        <w:rPr>
          <w:i/>
          <w:iCs/>
          <w:snapToGrid/>
          <w:kern w:val="0"/>
          <w:sz w:val="20"/>
        </w:rPr>
        <w:t xml:space="preserve">See </w:t>
      </w:r>
      <w:hyperlink r:id="rId8" w:anchor="co_pp_sp_4493_4017" w:history="1">
        <w:r w:rsidRPr="00F36498">
          <w:rPr>
            <w:i/>
            <w:iCs/>
            <w:snapToGrid/>
            <w:kern w:val="0"/>
            <w:sz w:val="20"/>
          </w:rPr>
          <w:t>Amendment of Section 1.17 of the Commission's Rules Concerning Truthful Statements to the Commission</w:t>
        </w:r>
        <w:r w:rsidRPr="00F36498">
          <w:rPr>
            <w:snapToGrid/>
            <w:kern w:val="0"/>
            <w:sz w:val="20"/>
          </w:rPr>
          <w:t>, Report and Order, 18 FCC Rcd 4016, 4017, para. 5 (2003)</w:t>
        </w:r>
      </w:hyperlink>
      <w:r w:rsidRPr="00F36498">
        <w:rPr>
          <w:snapToGrid/>
          <w:kern w:val="0"/>
          <w:sz w:val="20"/>
        </w:rPr>
        <w:t xml:space="preserve"> (subsequent history omitted).</w:t>
      </w:r>
    </w:p>
  </w:footnote>
  <w:footnote w:id="53">
    <w:p w:rsidR="00BB2C89" w:rsidRPr="0038030B" w:rsidP="00BB2C89" w14:paraId="31553AD4" w14:textId="4C7FE25F">
      <w:pPr>
        <w:pStyle w:val="FootnoteText"/>
      </w:pPr>
      <w:r w:rsidRPr="0038030B">
        <w:rPr>
          <w:rStyle w:val="FootnoteReference"/>
        </w:rPr>
        <w:footnoteRef/>
      </w:r>
      <w:r w:rsidRPr="0038030B">
        <w:t xml:space="preserve"> “Material” has been defined as “important,” “more or less necessary,” and “having influence or effect.”  Additionally, a “material representation” has been defined as “relating to matter which is so substantial or important as to influence the party to whom it is made.”  </w:t>
      </w:r>
      <w:r w:rsidRPr="0038030B">
        <w:rPr>
          <w:i/>
        </w:rPr>
        <w:t xml:space="preserve">Amendment of Section 1.17 of the Commission’s Rules Concerning Truthful Statements to the Commission, </w:t>
      </w:r>
      <w:r w:rsidRPr="0038030B">
        <w:t xml:space="preserve">Report and Order, 18 FCC Rcd 4016, 4020, n.4 (2003) (citations omitted).  Whether the STA applicant has already commenced operation with the technical facilities for which it seeks approval is “material” in determining the applicant’s compliance with the Act and the Rules.  We do not, however, find </w:t>
      </w:r>
      <w:r w:rsidR="00420DD1">
        <w:t>AMLLC</w:t>
      </w:r>
      <w:r w:rsidRPr="0038030B">
        <w:t>’s omission of factually material information</w:t>
      </w:r>
      <w:r w:rsidR="007462C8">
        <w:t xml:space="preserve"> from the CP Application</w:t>
      </w:r>
      <w:r w:rsidRPr="0038030B">
        <w:t xml:space="preserve"> to be </w:t>
      </w:r>
      <w:r w:rsidR="007462C8">
        <w:t>intentionally deceitful because AMLLC did disclose</w:t>
      </w:r>
      <w:r w:rsidR="000E6DB0">
        <w:t xml:space="preserve"> that information in the STA Request</w:t>
      </w:r>
      <w:r w:rsidRPr="0038030B">
        <w:t xml:space="preserve">. </w:t>
      </w:r>
    </w:p>
  </w:footnote>
  <w:footnote w:id="54">
    <w:p w:rsidR="00B116F8" w:rsidRPr="006B2EE1" w14:paraId="2DBE949C" w14:textId="51B071C0">
      <w:pPr>
        <w:pStyle w:val="FootnoteText"/>
      </w:pPr>
      <w:r>
        <w:rPr>
          <w:rStyle w:val="FootnoteReference"/>
        </w:rPr>
        <w:footnoteRef/>
      </w:r>
      <w:r>
        <w:t xml:space="preserve"> </w:t>
      </w:r>
      <w:r>
        <w:rPr>
          <w:i/>
        </w:rPr>
        <w:t xml:space="preserve">See, e.g., Roy </w:t>
      </w:r>
      <w:r w:rsidR="006B2EE1">
        <w:rPr>
          <w:i/>
        </w:rPr>
        <w:t xml:space="preserve">E. Henderson, </w:t>
      </w:r>
      <w:r w:rsidR="006B2EE1">
        <w:t>Memorandum Opinion and Order and Notice of Apparent Liability, 33 FCC Rcd 5223, 5228-29 (MB 2018), Forfeiture Order, 33 FCC Rcd 7365 (2018) (</w:t>
      </w:r>
      <w:r w:rsidR="0025324C">
        <w:t>$5,000 forfeiture levied for failure to disclose material information where licensee failed to disclose in STA request that the station had been operating with the requested facilities for 17 months)</w:t>
      </w:r>
      <w:r w:rsidR="004A0CE9">
        <w:t xml:space="preserve"> (</w:t>
      </w:r>
      <w:r w:rsidR="004A0CE9">
        <w:rPr>
          <w:i/>
        </w:rPr>
        <w:t>Henderson</w:t>
      </w:r>
      <w:r w:rsidR="004A0CE9">
        <w:t>)</w:t>
      </w:r>
      <w:r w:rsidR="0025324C">
        <w:t>.</w:t>
      </w:r>
    </w:p>
  </w:footnote>
  <w:footnote w:id="55">
    <w:p w:rsidR="00F924AA" w:rsidRPr="00F924AA" w:rsidP="00F924AA" w14:paraId="0357E3FE" w14:textId="70B9504A">
      <w:pPr>
        <w:pStyle w:val="FootnoteText"/>
      </w:pPr>
      <w:r w:rsidRPr="00F924AA">
        <w:rPr>
          <w:rStyle w:val="FootnoteReference"/>
          <w:sz w:val="20"/>
        </w:rPr>
        <w:footnoteRef/>
      </w:r>
      <w:r w:rsidRPr="00F924AA">
        <w:t xml:space="preserve"> </w:t>
      </w:r>
      <w:r w:rsidRPr="00F924AA">
        <w:rPr>
          <w:i/>
          <w:iCs/>
          <w:snapToGrid w:val="0"/>
          <w:kern w:val="28"/>
        </w:rPr>
        <w:t xml:space="preserve">See, e.g., </w:t>
      </w:r>
      <w:hyperlink r:id="rId9" w:history="1">
        <w:r w:rsidRPr="00F924AA">
          <w:rPr>
            <w:i/>
            <w:iCs/>
            <w:snapToGrid w:val="0"/>
            <w:kern w:val="28"/>
          </w:rPr>
          <w:t>Donald E. Martin, Esq., and Harry C. Martin, Esq.</w:t>
        </w:r>
        <w:r w:rsidRPr="00F924AA">
          <w:rPr>
            <w:snapToGrid w:val="0"/>
            <w:kern w:val="28"/>
          </w:rPr>
          <w:t>, Letter</w:t>
        </w:r>
        <w:r w:rsidR="00FE2D39">
          <w:rPr>
            <w:snapToGrid w:val="0"/>
            <w:kern w:val="28"/>
          </w:rPr>
          <w:t xml:space="preserve"> Order</w:t>
        </w:r>
        <w:r w:rsidRPr="00F924AA">
          <w:rPr>
            <w:snapToGrid w:val="0"/>
            <w:kern w:val="28"/>
          </w:rPr>
          <w:t>, 28 FCC Rcd 411 (MB 2013)</w:t>
        </w:r>
      </w:hyperlink>
      <w:r w:rsidRPr="00F924AA">
        <w:rPr>
          <w:snapToGrid w:val="0"/>
          <w:kern w:val="28"/>
        </w:rPr>
        <w:t xml:space="preserve"> (admonishing applicant for failure to report a loss of transmitter site when the property was sold and to report changes in its governing board).</w:t>
      </w:r>
    </w:p>
  </w:footnote>
  <w:footnote w:id="56">
    <w:p w:rsidR="00F924AA" w:rsidRPr="00F924AA" w:rsidP="0036422A" w14:paraId="5DD2270B" w14:textId="491D8784">
      <w:pPr>
        <w:widowControl/>
        <w:spacing w:after="120"/>
        <w:rPr>
          <w:sz w:val="20"/>
        </w:rPr>
      </w:pPr>
      <w:r w:rsidRPr="00F924AA">
        <w:rPr>
          <w:rStyle w:val="FootnoteReference"/>
          <w:sz w:val="20"/>
        </w:rPr>
        <w:footnoteRef/>
      </w:r>
      <w:r w:rsidRPr="00F924AA">
        <w:rPr>
          <w:sz w:val="20"/>
        </w:rPr>
        <w:t xml:space="preserve"> </w:t>
      </w:r>
      <w:r w:rsidRPr="00F924AA">
        <w:rPr>
          <w:i/>
          <w:iCs/>
          <w:snapToGrid/>
          <w:kern w:val="0"/>
          <w:sz w:val="20"/>
        </w:rPr>
        <w:t xml:space="preserve">See, e.g., </w:t>
      </w:r>
      <w:hyperlink r:id="rId10" w:anchor="co_pp_sp_4493_13692" w:history="1">
        <w:r w:rsidRPr="00F924AA">
          <w:rPr>
            <w:i/>
            <w:iCs/>
            <w:snapToGrid/>
            <w:kern w:val="0"/>
            <w:sz w:val="20"/>
          </w:rPr>
          <w:t>Applications of Detroit Pub</w:t>
        </w:r>
        <w:r w:rsidR="0063785A">
          <w:rPr>
            <w:i/>
            <w:iCs/>
            <w:snapToGrid/>
            <w:kern w:val="0"/>
            <w:sz w:val="20"/>
          </w:rPr>
          <w:t>.</w:t>
        </w:r>
        <w:r w:rsidRPr="00F924AA">
          <w:rPr>
            <w:i/>
            <w:iCs/>
            <w:snapToGrid/>
            <w:kern w:val="0"/>
            <w:sz w:val="20"/>
          </w:rPr>
          <w:t xml:space="preserve"> Sch</w:t>
        </w:r>
        <w:r w:rsidR="0063785A">
          <w:rPr>
            <w:i/>
            <w:iCs/>
            <w:snapToGrid/>
            <w:kern w:val="0"/>
            <w:sz w:val="20"/>
          </w:rPr>
          <w:t>ools</w:t>
        </w:r>
        <w:r w:rsidRPr="00F924AA">
          <w:rPr>
            <w:snapToGrid/>
            <w:kern w:val="0"/>
            <w:sz w:val="20"/>
          </w:rPr>
          <w:t>, Memorandum Opinion and Order and Notice of Apparent Liability for Forfeiture, 21 FCC Rcd 13688, 13692 (MB 2006)</w:t>
        </w:r>
      </w:hyperlink>
      <w:r w:rsidR="00825676">
        <w:rPr>
          <w:snapToGrid/>
          <w:kern w:val="0"/>
          <w:sz w:val="20"/>
        </w:rPr>
        <w:t xml:space="preserve">, and </w:t>
      </w:r>
      <w:r w:rsidR="00825676">
        <w:rPr>
          <w:i/>
          <w:snapToGrid/>
          <w:kern w:val="0"/>
          <w:sz w:val="20"/>
        </w:rPr>
        <w:t>Henderson, supra</w:t>
      </w:r>
      <w:r w:rsidRPr="00F924AA">
        <w:rPr>
          <w:snapToGrid/>
          <w:kern w:val="0"/>
          <w:sz w:val="20"/>
        </w:rPr>
        <w:t>.</w:t>
      </w:r>
    </w:p>
  </w:footnote>
  <w:footnote w:id="57">
    <w:p w:rsidR="00D8774A" w:rsidP="0036422A" w14:paraId="6230AB6F" w14:textId="77777777">
      <w:pPr>
        <w:pStyle w:val="FootnoteText"/>
      </w:pPr>
      <w:r>
        <w:rPr>
          <w:rStyle w:val="FootnoteReference"/>
        </w:rPr>
        <w:footnoteRef/>
      </w:r>
      <w:r>
        <w:t xml:space="preserve"> 47 CFR § 74.1232(d).  </w:t>
      </w:r>
    </w:p>
  </w:footnote>
  <w:footnote w:id="58">
    <w:p w:rsidR="0036422A" w:rsidRPr="006147BC" w:rsidP="00AA73A1" w14:paraId="002DA462" w14:textId="38E66099">
      <w:pPr>
        <w:pStyle w:val="ParaNum"/>
        <w:numPr>
          <w:ilvl w:val="0"/>
          <w:numId w:val="0"/>
        </w:numPr>
        <w:rPr>
          <w:i/>
          <w:sz w:val="20"/>
        </w:rPr>
      </w:pPr>
      <w:r>
        <w:rPr>
          <w:rStyle w:val="FootnoteReference"/>
        </w:rPr>
        <w:footnoteRef/>
      </w:r>
      <w:r>
        <w:t xml:space="preserve"> </w:t>
      </w:r>
      <w:r w:rsidRPr="006147BC">
        <w:rPr>
          <w:i/>
          <w:sz w:val="20"/>
        </w:rPr>
        <w:t xml:space="preserve">See </w:t>
      </w:r>
      <w:hyperlink r:id="rId11" w:anchor="co_pp_sp_4493_7215" w:history="1">
        <w:r w:rsidRPr="006147BC">
          <w:rPr>
            <w:i/>
            <w:iCs/>
            <w:sz w:val="20"/>
          </w:rPr>
          <w:t>Amendment of Part 74 of the Commission's Rules Concerning FM Translator Stations</w:t>
        </w:r>
        <w:r w:rsidRPr="006147BC">
          <w:rPr>
            <w:sz w:val="20"/>
          </w:rPr>
          <w:t>, Report and Order, 5 FCC Rcd 7212, 7215 (1990)</w:t>
        </w:r>
      </w:hyperlink>
      <w:r w:rsidRPr="006147BC">
        <w:rPr>
          <w:sz w:val="20"/>
        </w:rPr>
        <w:t xml:space="preserve"> (</w:t>
      </w:r>
      <w:r w:rsidRPr="006147BC">
        <w:rPr>
          <w:i/>
          <w:iCs/>
          <w:sz w:val="20"/>
        </w:rPr>
        <w:t>Translator Order</w:t>
      </w:r>
      <w:r w:rsidRPr="006147BC">
        <w:rPr>
          <w:sz w:val="20"/>
        </w:rPr>
        <w:t xml:space="preserve">). A primary station is the full-service station whose signal a translator retransmits. </w:t>
      </w:r>
      <w:hyperlink r:id="rId12" w:anchor="co_pp_5ba1000067d06" w:history="1">
        <w:r w:rsidRPr="006147BC">
          <w:rPr>
            <w:sz w:val="20"/>
          </w:rPr>
          <w:t>Section 74.1232(d)</w:t>
        </w:r>
      </w:hyperlink>
      <w:r w:rsidRPr="006147BC">
        <w:rPr>
          <w:sz w:val="20"/>
        </w:rPr>
        <w:t xml:space="preserve"> permits “fill-in” stations -- those located entirely within the protected service contour of the primary station -- to be co-owned; </w:t>
      </w:r>
      <w:r w:rsidRPr="006147BC">
        <w:rPr>
          <w:i/>
          <w:sz w:val="20"/>
        </w:rPr>
        <w:t xml:space="preserve">see also </w:t>
      </w:r>
      <w:hyperlink r:id="rId13" w:anchor="co_pp_sp_4493_7232" w:history="1">
        <w:r w:rsidRPr="006147BC">
          <w:rPr>
            <w:i/>
            <w:iCs/>
            <w:snapToGrid/>
            <w:kern w:val="0"/>
            <w:sz w:val="20"/>
          </w:rPr>
          <w:t>Translator Order</w:t>
        </w:r>
        <w:r w:rsidRPr="006147BC">
          <w:rPr>
            <w:snapToGrid/>
            <w:kern w:val="0"/>
            <w:sz w:val="20"/>
          </w:rPr>
          <w:t>, 5 FCC Rcd at 7232</w:t>
        </w:r>
      </w:hyperlink>
      <w:r w:rsidRPr="006147BC">
        <w:rPr>
          <w:snapToGrid/>
          <w:kern w:val="0"/>
          <w:sz w:val="20"/>
        </w:rPr>
        <w:t xml:space="preserve">; </w:t>
      </w:r>
      <w:r w:rsidRPr="006147BC">
        <w:rPr>
          <w:i/>
          <w:iCs/>
          <w:snapToGrid/>
          <w:kern w:val="0"/>
          <w:sz w:val="20"/>
        </w:rPr>
        <w:t>Amendment of Service and Eligibility Rules for FM Broadcast Translator Stations</w:t>
      </w:r>
      <w:r w:rsidRPr="006147BC">
        <w:rPr>
          <w:snapToGrid/>
          <w:kern w:val="0"/>
          <w:sz w:val="20"/>
        </w:rPr>
        <w:t>, Report and Order, 4 FCC Rcd 9642 (2009) (adopting changes to FM translator rules allowing AM stations to use FM translators to rebroadcast AM programming as a fill-in service).</w:t>
      </w:r>
      <w:r w:rsidRPr="0054010C" w:rsidR="006147BC">
        <w:rPr>
          <w:snapToGrid/>
          <w:kern w:val="0"/>
          <w:sz w:val="20"/>
        </w:rPr>
        <w:t xml:space="preserve">  </w:t>
      </w:r>
      <w:r w:rsidRPr="00AA73A1" w:rsidR="006147BC">
        <w:rPr>
          <w:snapToGrid/>
          <w:sz w:val="20"/>
        </w:rPr>
        <w:t>We note, however, that, although not argued in the pleadings, a recent ownership report for WARB(AM) indicates that Robert Halladay’s A</w:t>
      </w:r>
      <w:r w:rsidR="003F7073">
        <w:rPr>
          <w:snapToGrid/>
          <w:sz w:val="20"/>
        </w:rPr>
        <w:t>MLLC</w:t>
      </w:r>
      <w:r w:rsidRPr="00AA73A1" w:rsidR="006147BC">
        <w:rPr>
          <w:snapToGrid/>
          <w:sz w:val="20"/>
        </w:rPr>
        <w:t xml:space="preserve"> was operating WARB(AM) pursuant to a Local Marketing Agreement executed on September 18, 2016</w:t>
      </w:r>
      <w:r w:rsidR="00F6543F">
        <w:rPr>
          <w:snapToGrid/>
          <w:sz w:val="20"/>
        </w:rPr>
        <w:t>.</w:t>
      </w:r>
      <w:r w:rsidR="0054010C">
        <w:rPr>
          <w:snapToGrid/>
          <w:sz w:val="20"/>
        </w:rPr>
        <w:t xml:space="preserve">  This</w:t>
      </w:r>
      <w:r w:rsidRPr="00AA73A1" w:rsidR="006147BC">
        <w:rPr>
          <w:snapToGrid/>
          <w:sz w:val="20"/>
        </w:rPr>
        <w:t>, in fact, gave A</w:t>
      </w:r>
      <w:r w:rsidR="003F7073">
        <w:rPr>
          <w:snapToGrid/>
          <w:sz w:val="20"/>
        </w:rPr>
        <w:t>MLLC</w:t>
      </w:r>
      <w:r w:rsidRPr="00AA73A1" w:rsidR="006147BC">
        <w:rPr>
          <w:snapToGrid/>
          <w:sz w:val="20"/>
        </w:rPr>
        <w:t xml:space="preserve"> an attributable interest in five stations in the Dothan, Alabama, area.  A</w:t>
      </w:r>
      <w:r w:rsidR="003F7073">
        <w:rPr>
          <w:snapToGrid/>
          <w:sz w:val="20"/>
        </w:rPr>
        <w:t>MLLC</w:t>
      </w:r>
      <w:r w:rsidRPr="00AA73A1" w:rsidR="006147BC">
        <w:rPr>
          <w:snapToGrid/>
          <w:sz w:val="20"/>
        </w:rPr>
        <w:t xml:space="preserve"> reported it as such.  However, that agreement appears to have been superseded by a “Local Management Agreement” between Alarado and Brian Baker’s Good Guys Broadcasting, LLC, effective January 2, 2019, pursuant to which Good Guys Broadcasting is programming WARB(AM).</w:t>
      </w:r>
      <w:r w:rsidR="006147BC">
        <w:rPr>
          <w:snapToGrid/>
          <w:sz w:val="20"/>
        </w:rPr>
        <w:t xml:space="preserve">  </w:t>
      </w:r>
      <w:r w:rsidRPr="00AA73A1" w:rsidR="006147BC">
        <w:rPr>
          <w:i/>
          <w:sz w:val="20"/>
        </w:rPr>
        <w:t xml:space="preserve">See </w:t>
      </w:r>
      <w:r w:rsidRPr="00AA73A1" w:rsidR="006147BC">
        <w:rPr>
          <w:sz w:val="20"/>
        </w:rPr>
        <w:t xml:space="preserve">Ownership Report No. </w:t>
      </w:r>
      <w:r w:rsidRPr="00AA73A1" w:rsidR="006147BC">
        <w:rPr>
          <w:bCs/>
          <w:sz w:val="20"/>
        </w:rPr>
        <w:t>0000042255, submitted on February 15, 2018.</w:t>
      </w:r>
    </w:p>
  </w:footnote>
  <w:footnote w:id="59">
    <w:p w:rsidR="00AA5535" w14:paraId="6B86FC91" w14:textId="00E4FD05">
      <w:pPr>
        <w:pStyle w:val="FootnoteText"/>
      </w:pPr>
      <w:r>
        <w:rPr>
          <w:rStyle w:val="FootnoteReference"/>
        </w:rPr>
        <w:footnoteRef/>
      </w:r>
      <w:r>
        <w:t xml:space="preserve"> </w:t>
      </w:r>
      <w:r w:rsidR="006915DB">
        <w:t>WOOF</w:t>
      </w:r>
      <w:r>
        <w:t xml:space="preserve"> Objection at 7.</w:t>
      </w:r>
    </w:p>
  </w:footnote>
  <w:footnote w:id="60">
    <w:p w:rsidR="00C95A8B" w14:paraId="2C352858" w14:textId="2D73FE37">
      <w:pPr>
        <w:pStyle w:val="FootnoteText"/>
      </w:pPr>
      <w:r>
        <w:rPr>
          <w:rStyle w:val="FootnoteReference"/>
        </w:rPr>
        <w:footnoteRef/>
      </w:r>
      <w:r>
        <w:t xml:space="preserve"> </w:t>
      </w:r>
      <w:r w:rsidR="00AB6B9E">
        <w:t>WOOF’s claim</w:t>
      </w:r>
      <w:r>
        <w:t xml:space="preserve"> that “AMLLC already operates 4 FM stations in this market, and the operation of the FM translator effectively gives it a fifth,” </w:t>
      </w:r>
      <w:r>
        <w:rPr>
          <w:i/>
        </w:rPr>
        <w:t xml:space="preserve">see </w:t>
      </w:r>
      <w:r w:rsidR="003D2A61">
        <w:t>WOOF</w:t>
      </w:r>
      <w:r>
        <w:t xml:space="preserve"> Objection at 7, requires no further discussion.  WOOF provides no support for its proposition that </w:t>
      </w:r>
      <w:r w:rsidR="00367601">
        <w:t xml:space="preserve">an </w:t>
      </w:r>
      <w:r>
        <w:t>FM translator station count</w:t>
      </w:r>
      <w:r w:rsidR="00367601">
        <w:t>s</w:t>
      </w:r>
      <w:r>
        <w:t xml:space="preserve"> as an attributable station interest for purpose of compliance with the Commission’s multiple ownership rules. </w:t>
      </w:r>
    </w:p>
  </w:footnote>
  <w:footnote w:id="61">
    <w:p w:rsidR="006E55A5" w14:paraId="7207FC05" w14:textId="5F35D345">
      <w:pPr>
        <w:pStyle w:val="FootnoteText"/>
      </w:pPr>
      <w:r>
        <w:rPr>
          <w:rStyle w:val="FootnoteReference"/>
        </w:rPr>
        <w:footnoteRef/>
      </w:r>
      <w:r>
        <w:t xml:space="preserve"> </w:t>
      </w:r>
      <w:r>
        <w:rPr>
          <w:i/>
        </w:rPr>
        <w:t xml:space="preserve">See, e.g., David D. Oxenford, Esq., David D. Burns, Esq., and Charles L. Spencer, Esq., </w:t>
      </w:r>
      <w:r>
        <w:t xml:space="preserve">Letter Order, 27 FCC Rcd 13363, 13368 (MB 2012) (“There are no relevant facts before us to suggest that Clay Holladay will be involved in the financial affairs, programming, or personnel decisions of </w:t>
      </w:r>
      <w:r w:rsidR="003C0DD4">
        <w:t xml:space="preserve">Alabama Media </w:t>
      </w:r>
      <w:r>
        <w:t>[AMLLC] . . . .</w:t>
      </w:r>
      <w:r w:rsidR="003C0DD4">
        <w:t xml:space="preserve">  </w:t>
      </w:r>
      <w:r>
        <w:t>Should it come to our attention, however, that Gulf South and Alabama Media principals are exercising common influence or control over the operations of these Dothan radio market stations, we are prepared to apply the full weight of available sanctions.”).</w:t>
      </w:r>
      <w:r w:rsidR="000B5920">
        <w:t xml:space="preserve">  WOOF’s claims here suffer from a similar paucity of factual support.</w:t>
      </w:r>
      <w:r>
        <w:t xml:space="preserve">     </w:t>
      </w:r>
      <w:r>
        <w:rPr>
          <w:i/>
        </w:rPr>
        <w:t xml:space="preserve">  </w:t>
      </w:r>
      <w:r>
        <w:t xml:space="preserve"> </w:t>
      </w:r>
    </w:p>
  </w:footnote>
  <w:footnote w:id="62">
    <w:p w:rsidR="00947A82" w:rsidRPr="004450CB" w14:paraId="6992AABF" w14:textId="77777777">
      <w:pPr>
        <w:pStyle w:val="FootnoteText"/>
      </w:pPr>
      <w:r>
        <w:rPr>
          <w:rStyle w:val="FootnoteReference"/>
        </w:rPr>
        <w:footnoteRef/>
      </w:r>
      <w:r>
        <w:t xml:space="preserve"> </w:t>
      </w:r>
      <w:r w:rsidRPr="004450CB">
        <w:rPr>
          <w:i/>
        </w:rPr>
        <w:t xml:space="preserve">See, e.g., Community Education, Inc., </w:t>
      </w:r>
      <w:r w:rsidRPr="004450CB">
        <w:t>Memorandum Opinion and Order, 19 FCC Rcd 12682, 12688, para. 16 (2004)</w:t>
      </w:r>
      <w:r w:rsidRPr="004450CB" w:rsidR="004450CB">
        <w:rPr>
          <w:snapToGrid w:val="0"/>
          <w:kern w:val="28"/>
        </w:rPr>
        <w:t>.</w:t>
      </w:r>
    </w:p>
  </w:footnote>
  <w:footnote w:id="63">
    <w:p w:rsidR="004450CB" w14:paraId="3AAD438B" w14:textId="041DD704">
      <w:pPr>
        <w:pStyle w:val="FootnoteText"/>
      </w:pPr>
      <w:r>
        <w:rPr>
          <w:rStyle w:val="FootnoteReference"/>
        </w:rPr>
        <w:footnoteRef/>
      </w:r>
      <w:r>
        <w:t xml:space="preserve"> </w:t>
      </w:r>
      <w:r w:rsidRPr="0036422A">
        <w:rPr>
          <w:i/>
        </w:rPr>
        <w:t xml:space="preserve">See </w:t>
      </w:r>
      <w:hyperlink r:id="rId11" w:anchor="co_pp_sp_4493_7215" w:history="1">
        <w:r w:rsidRPr="0036422A">
          <w:rPr>
            <w:i/>
            <w:iCs/>
          </w:rPr>
          <w:t xml:space="preserve">Amendment of Part 74 of the Commission's Rules </w:t>
        </w:r>
        <w:r>
          <w:rPr>
            <w:i/>
            <w:iCs/>
          </w:rPr>
          <w:t xml:space="preserve">Regarding </w:t>
        </w:r>
        <w:r w:rsidRPr="0036422A">
          <w:rPr>
            <w:i/>
            <w:iCs/>
          </w:rPr>
          <w:t xml:space="preserve"> FM Translator </w:t>
        </w:r>
        <w:r>
          <w:rPr>
            <w:i/>
            <w:iCs/>
          </w:rPr>
          <w:t>Interference</w:t>
        </w:r>
        <w:r w:rsidRPr="0036422A">
          <w:t xml:space="preserve">, </w:t>
        </w:r>
        <w:r>
          <w:t xml:space="preserve">Notice of Proposed Rulemaking, 2018 WL 2192431, </w:t>
        </w:r>
        <w:r w:rsidR="004D0ADB">
          <w:t xml:space="preserve">FCC 18-60, </w:t>
        </w:r>
        <w:r w:rsidR="007C4506">
          <w:t xml:space="preserve">MB Docket 18-119, </w:t>
        </w:r>
        <w:r>
          <w:t>para. 7</w:t>
        </w:r>
        <w:r w:rsidRPr="0036422A">
          <w:t xml:space="preserve"> (</w:t>
        </w:r>
        <w:r>
          <w:t>rel. May 19, 2018)</w:t>
        </w:r>
      </w:hyperlink>
      <w:r w:rsidR="004D0ADB">
        <w:t xml:space="preserve"> (</w:t>
      </w:r>
      <w:r w:rsidR="004D0ADB">
        <w:rPr>
          <w:i/>
        </w:rPr>
        <w:t>Translator Notice</w:t>
      </w:r>
      <w:r w:rsidR="004D0ADB">
        <w:t>)</w:t>
      </w:r>
      <w:r>
        <w:t xml:space="preserve">; </w:t>
      </w:r>
      <w:r>
        <w:rPr>
          <w:i/>
          <w:iCs/>
          <w:snapToGrid w:val="0"/>
          <w:kern w:val="28"/>
        </w:rPr>
        <w:t>se</w:t>
      </w:r>
      <w:r w:rsidRPr="004450CB">
        <w:rPr>
          <w:i/>
          <w:iCs/>
          <w:snapToGrid w:val="0"/>
          <w:kern w:val="28"/>
        </w:rPr>
        <w:t xml:space="preserve">e </w:t>
      </w:r>
      <w:r>
        <w:rPr>
          <w:i/>
          <w:iCs/>
          <w:snapToGrid w:val="0"/>
          <w:kern w:val="28"/>
        </w:rPr>
        <w:t xml:space="preserve">also </w:t>
      </w:r>
      <w:hyperlink r:id="rId14" w:history="1">
        <w:r w:rsidRPr="004450CB">
          <w:rPr>
            <w:i/>
            <w:iCs/>
            <w:snapToGrid w:val="0"/>
            <w:kern w:val="28"/>
          </w:rPr>
          <w:t>Radio Power, Inc.</w:t>
        </w:r>
        <w:r w:rsidRPr="004450CB">
          <w:rPr>
            <w:snapToGrid w:val="0"/>
            <w:kern w:val="28"/>
          </w:rPr>
          <w:t xml:space="preserve">, </w:t>
        </w:r>
        <w:r>
          <w:rPr>
            <w:snapToGrid w:val="0"/>
            <w:kern w:val="28"/>
          </w:rPr>
          <w:t xml:space="preserve">Letter Order, </w:t>
        </w:r>
        <w:r w:rsidRPr="004450CB">
          <w:rPr>
            <w:snapToGrid w:val="0"/>
            <w:kern w:val="28"/>
          </w:rPr>
          <w:t>26 FCC Rcd 14385, 14385-86 (MB 2011)</w:t>
        </w:r>
      </w:hyperlink>
      <w:r>
        <w:rPr>
          <w:snapToGrid w:val="0"/>
          <w:kern w:val="28"/>
        </w:rPr>
        <w:t>.</w:t>
      </w:r>
      <w:r>
        <w:t xml:space="preserve"> </w:t>
      </w:r>
    </w:p>
  </w:footnote>
  <w:footnote w:id="64">
    <w:p w:rsidR="004450CB" w:rsidRPr="004D0ADB" w14:paraId="24050364" w14:textId="748253F5">
      <w:pPr>
        <w:pStyle w:val="FootnoteText"/>
      </w:pPr>
      <w:r w:rsidRPr="004D0ADB">
        <w:rPr>
          <w:rStyle w:val="FootnoteReference"/>
          <w:sz w:val="20"/>
        </w:rPr>
        <w:footnoteRef/>
      </w:r>
      <w:r w:rsidRPr="004D0ADB">
        <w:t xml:space="preserve"> </w:t>
      </w:r>
      <w:r w:rsidRPr="004D0ADB" w:rsidR="004D0ADB">
        <w:rPr>
          <w:i/>
        </w:rPr>
        <w:t xml:space="preserve">See Translator Notice, </w:t>
      </w:r>
      <w:r w:rsidRPr="004D0ADB" w:rsidR="004D0ADB">
        <w:t>FCC 18-60 at para. 7;</w:t>
      </w:r>
      <w:r w:rsidR="004A14CD">
        <w:t xml:space="preserve"> </w:t>
      </w:r>
      <w:r w:rsidR="004A14CD">
        <w:rPr>
          <w:i/>
          <w:iCs/>
          <w:snapToGrid w:val="0"/>
          <w:kern w:val="28"/>
        </w:rPr>
        <w:t>s</w:t>
      </w:r>
      <w:r w:rsidRPr="004D0ADB" w:rsidR="004D0ADB">
        <w:rPr>
          <w:i/>
          <w:iCs/>
          <w:snapToGrid w:val="0"/>
          <w:kern w:val="28"/>
        </w:rPr>
        <w:t>ee</w:t>
      </w:r>
      <w:r w:rsidR="004D0ADB">
        <w:rPr>
          <w:i/>
          <w:iCs/>
          <w:snapToGrid w:val="0"/>
          <w:kern w:val="28"/>
        </w:rPr>
        <w:t xml:space="preserve"> also</w:t>
      </w:r>
      <w:r w:rsidRPr="004D0ADB" w:rsidR="004D0ADB">
        <w:rPr>
          <w:i/>
          <w:iCs/>
          <w:snapToGrid w:val="0"/>
          <w:kern w:val="28"/>
        </w:rPr>
        <w:t>, e.g., Apple 107.1, Inc.</w:t>
      </w:r>
      <w:r w:rsidRPr="004D0ADB" w:rsidR="004D0ADB">
        <w:rPr>
          <w:snapToGrid w:val="0"/>
          <w:kern w:val="28"/>
        </w:rPr>
        <w:t xml:space="preserve">, Memorandum Opinion and Order and Notice of Apparent Liability for Forfeiture, </w:t>
      </w:r>
      <w:hyperlink r:id="rId15" w:anchor="co_pp_sp_4493_15723" w:history="1">
        <w:r w:rsidRPr="004D0ADB" w:rsidR="004D0ADB">
          <w:rPr>
            <w:snapToGrid w:val="0"/>
            <w:kern w:val="28"/>
          </w:rPr>
          <w:t>28 FCC Rcd 15722, 15723, para. 4 (MB 2013)</w:t>
        </w:r>
      </w:hyperlink>
      <w:r w:rsidRPr="004D0ADB" w:rsidR="004D0ADB">
        <w:rPr>
          <w:snapToGrid w:val="0"/>
          <w:kern w:val="28"/>
        </w:rPr>
        <w:t>.</w:t>
      </w:r>
    </w:p>
  </w:footnote>
  <w:footnote w:id="65">
    <w:p w:rsidR="004A14CD" w:rsidRPr="004A14CD" w14:paraId="6F5FC946" w14:textId="77777777">
      <w:pPr>
        <w:pStyle w:val="FootnoteText"/>
        <w:rPr>
          <w:i/>
        </w:rPr>
      </w:pPr>
      <w:r>
        <w:rPr>
          <w:rStyle w:val="FootnoteReference"/>
        </w:rPr>
        <w:footnoteRef/>
      </w:r>
      <w:r>
        <w:t xml:space="preserve"> </w:t>
      </w:r>
      <w:r>
        <w:rPr>
          <w:i/>
        </w:rPr>
        <w:t>Id.</w:t>
      </w:r>
    </w:p>
  </w:footnote>
  <w:footnote w:id="66">
    <w:p w:rsidR="00D87A5C" w:rsidRPr="007B26A7" w:rsidP="0036422A" w14:paraId="48B97A3D" w14:textId="77777777">
      <w:pPr>
        <w:pStyle w:val="Footer"/>
        <w:spacing w:after="120"/>
        <w:rPr>
          <w:sz w:val="20"/>
        </w:rPr>
      </w:pPr>
      <w:r w:rsidRPr="007B26A7">
        <w:rPr>
          <w:rStyle w:val="FootnoteReference"/>
          <w:sz w:val="20"/>
        </w:rPr>
        <w:footnoteRef/>
      </w:r>
      <w:r w:rsidRPr="007B26A7">
        <w:rPr>
          <w:sz w:val="20"/>
        </w:rPr>
        <w:t xml:space="preserve"> 47 U.S.C. § 503(b)(1)(B).  </w:t>
      </w:r>
      <w:r w:rsidRPr="007B26A7">
        <w:rPr>
          <w:i/>
          <w:sz w:val="20"/>
        </w:rPr>
        <w:t>S</w:t>
      </w:r>
      <w:r w:rsidRPr="007B26A7">
        <w:rPr>
          <w:i/>
          <w:iCs/>
          <w:sz w:val="20"/>
        </w:rPr>
        <w:t>ee also</w:t>
      </w:r>
      <w:r w:rsidRPr="007B26A7">
        <w:rPr>
          <w:sz w:val="20"/>
        </w:rPr>
        <w:t xml:space="preserve"> 47 CFR </w:t>
      </w:r>
      <w:r w:rsidR="008E3AB8">
        <w:rPr>
          <w:sz w:val="20"/>
        </w:rPr>
        <w:t xml:space="preserve">§ </w:t>
      </w:r>
      <w:r w:rsidRPr="007B26A7">
        <w:rPr>
          <w:sz w:val="20"/>
        </w:rPr>
        <w:t>1.80(a)(1).</w:t>
      </w:r>
    </w:p>
  </w:footnote>
  <w:footnote w:id="67">
    <w:p w:rsidR="00D87A5C" w:rsidRPr="007B26A7" w:rsidP="0036422A" w14:paraId="0E936116" w14:textId="77777777">
      <w:pPr>
        <w:pStyle w:val="Footer"/>
        <w:spacing w:after="120"/>
        <w:rPr>
          <w:sz w:val="20"/>
        </w:rPr>
      </w:pPr>
      <w:r w:rsidRPr="007B26A7">
        <w:rPr>
          <w:rStyle w:val="FootnoteReference"/>
          <w:sz w:val="20"/>
        </w:rPr>
        <w:footnoteRef/>
      </w:r>
      <w:r w:rsidRPr="007B26A7">
        <w:rPr>
          <w:sz w:val="20"/>
        </w:rPr>
        <w:t xml:space="preserve"> 47 U.S.C. § 312(f)(1).</w:t>
      </w:r>
    </w:p>
  </w:footnote>
  <w:footnote w:id="68">
    <w:p w:rsidR="00D87A5C" w:rsidRPr="007B26A7" w:rsidP="0036422A" w14:paraId="4700442F" w14:textId="77777777">
      <w:pPr>
        <w:pStyle w:val="Footer"/>
        <w:spacing w:after="120"/>
        <w:rPr>
          <w:sz w:val="20"/>
        </w:rPr>
      </w:pPr>
      <w:r w:rsidRPr="007B26A7">
        <w:rPr>
          <w:rStyle w:val="FootnoteReference"/>
          <w:sz w:val="20"/>
        </w:rPr>
        <w:footnoteRef/>
      </w:r>
      <w:r w:rsidRPr="007B26A7">
        <w:rPr>
          <w:i/>
          <w:sz w:val="20"/>
        </w:rPr>
        <w:t xml:space="preserve"> See</w:t>
      </w:r>
      <w:r w:rsidRPr="007B26A7">
        <w:rPr>
          <w:sz w:val="20"/>
        </w:rPr>
        <w:t xml:space="preserve"> H.R. Rep. No. 97-765, 97</w:t>
      </w:r>
      <w:r w:rsidRPr="007B26A7">
        <w:rPr>
          <w:sz w:val="20"/>
          <w:vertAlign w:val="superscript"/>
        </w:rPr>
        <w:t>th</w:t>
      </w:r>
      <w:r w:rsidRPr="007B26A7">
        <w:rPr>
          <w:sz w:val="20"/>
        </w:rPr>
        <w:t xml:space="preserve"> Cong. 2d Sess. 51 (1982).</w:t>
      </w:r>
    </w:p>
  </w:footnote>
  <w:footnote w:id="69">
    <w:p w:rsidR="00D87A5C" w:rsidRPr="007B26A7" w:rsidP="0036422A" w14:paraId="7044ABF1" w14:textId="77777777">
      <w:pPr>
        <w:pStyle w:val="Footer"/>
        <w:spacing w:after="120"/>
        <w:rPr>
          <w:sz w:val="20"/>
        </w:rPr>
      </w:pPr>
      <w:r w:rsidRPr="007B26A7">
        <w:rPr>
          <w:rStyle w:val="FootnoteReference"/>
          <w:sz w:val="20"/>
        </w:rPr>
        <w:footnoteRef/>
      </w:r>
      <w:r w:rsidRPr="007B26A7">
        <w:rPr>
          <w:i/>
          <w:iCs/>
          <w:sz w:val="20"/>
        </w:rPr>
        <w:t xml:space="preserve"> See Southern California Broad. Co.</w:t>
      </w:r>
      <w:r w:rsidRPr="007B26A7">
        <w:rPr>
          <w:sz w:val="20"/>
        </w:rPr>
        <w:t>, Memorandum Opinion and Order, 6 FCC Rcd 4387, 4388</w:t>
      </w:r>
      <w:r w:rsidR="00860B70">
        <w:rPr>
          <w:sz w:val="20"/>
        </w:rPr>
        <w:t>,</w:t>
      </w:r>
      <w:r w:rsidRPr="007B26A7">
        <w:rPr>
          <w:sz w:val="20"/>
        </w:rPr>
        <w:t xml:space="preserve"> para. 5 (1991) </w:t>
      </w:r>
      <w:r w:rsidRPr="007B26A7">
        <w:rPr>
          <w:i/>
          <w:sz w:val="20"/>
        </w:rPr>
        <w:t>recon denied</w:t>
      </w:r>
      <w:r w:rsidRPr="007B26A7">
        <w:rPr>
          <w:sz w:val="20"/>
        </w:rPr>
        <w:t>, 7 FCC Rcd 3454 (1992).</w:t>
      </w:r>
    </w:p>
  </w:footnote>
  <w:footnote w:id="70">
    <w:p w:rsidR="00A93B75" w:rsidRPr="007B26A7" w:rsidP="0036422A" w14:paraId="158539D5" w14:textId="77777777">
      <w:pPr>
        <w:pStyle w:val="Footer"/>
        <w:spacing w:after="120"/>
        <w:rPr>
          <w:sz w:val="20"/>
        </w:rPr>
      </w:pPr>
      <w:r w:rsidRPr="007B26A7">
        <w:rPr>
          <w:rStyle w:val="FootnoteReference"/>
          <w:sz w:val="20"/>
        </w:rPr>
        <w:footnoteRef/>
      </w:r>
      <w:r w:rsidRPr="007B26A7">
        <w:rPr>
          <w:sz w:val="20"/>
        </w:rPr>
        <w:t xml:space="preserve"> 47 U.S.C. § 312(f)(2). </w:t>
      </w:r>
    </w:p>
  </w:footnote>
  <w:footnote w:id="71">
    <w:p w:rsidR="00044DAE" w:rsidP="0036422A" w14:paraId="33086ED4" w14:textId="77777777">
      <w:pPr>
        <w:pStyle w:val="FootnoteText"/>
      </w:pPr>
      <w:r>
        <w:rPr>
          <w:rStyle w:val="FootnoteReference"/>
        </w:rPr>
        <w:footnoteRef/>
      </w:r>
      <w:r>
        <w:t xml:space="preserve"> </w:t>
      </w:r>
      <w:r w:rsidRPr="004F4EDD">
        <w:rPr>
          <w:i/>
          <w:szCs w:val="22"/>
        </w:rPr>
        <w:t>See Forfeiture Policy Statement</w:t>
      </w:r>
      <w:r>
        <w:rPr>
          <w:i/>
          <w:szCs w:val="22"/>
        </w:rPr>
        <w:t xml:space="preserve"> and Amendment of Section 1.80(b) of the Rules to Incorporate Forfeiture Guidelines</w:t>
      </w:r>
      <w:r>
        <w:rPr>
          <w:szCs w:val="22"/>
        </w:rPr>
        <w:t>, Report and Order, 12 FCC Rcd 17087, 17113-15 (1997) (</w:t>
      </w:r>
      <w:r w:rsidRPr="004F4EDD">
        <w:rPr>
          <w:i/>
          <w:szCs w:val="22"/>
        </w:rPr>
        <w:t>Forfeiture Policy Statement</w:t>
      </w:r>
      <w:r>
        <w:rPr>
          <w:szCs w:val="22"/>
        </w:rPr>
        <w:t xml:space="preserve">), </w:t>
      </w:r>
      <w:r w:rsidRPr="004F4EDD">
        <w:rPr>
          <w:i/>
          <w:szCs w:val="22"/>
        </w:rPr>
        <w:t>recon denied</w:t>
      </w:r>
      <w:r>
        <w:rPr>
          <w:szCs w:val="22"/>
        </w:rPr>
        <w:t xml:space="preserve">, Memorandum Opinion and Order, 15 FCC Rcd 303 (1999); 47 CFR § 1.80.  </w:t>
      </w:r>
    </w:p>
  </w:footnote>
  <w:footnote w:id="72">
    <w:p w:rsidR="00775E89" w:rsidP="0007566D" w14:paraId="65909BAC" w14:textId="77777777">
      <w:pPr>
        <w:pStyle w:val="FootnoteText"/>
      </w:pPr>
      <w:r>
        <w:rPr>
          <w:rStyle w:val="FootnoteReference"/>
        </w:rPr>
        <w:footnoteRef/>
      </w:r>
      <w:r>
        <w:t xml:space="preserve"> 47 CFR </w:t>
      </w:r>
      <w:r w:rsidR="006347E9">
        <w:t xml:space="preserve">§ </w:t>
      </w:r>
      <w:r w:rsidR="000F382F">
        <w:t>1.80(b)(6).</w:t>
      </w:r>
    </w:p>
  </w:footnote>
  <w:footnote w:id="73">
    <w:p w:rsidR="00E57A15" w:rsidRPr="0038030B" w:rsidP="00E57A15" w14:paraId="53C67EA4" w14:textId="77777777">
      <w:pPr>
        <w:pStyle w:val="FootnoteText"/>
      </w:pPr>
      <w:r w:rsidRPr="0038030B">
        <w:rPr>
          <w:rStyle w:val="FootnoteReference"/>
        </w:rPr>
        <w:footnoteRef/>
      </w:r>
      <w:r w:rsidRPr="0038030B">
        <w:t xml:space="preserve"> 47 U.S.C. § 503(b)(2)(D); </w:t>
      </w:r>
      <w:r w:rsidRPr="0038030B">
        <w:rPr>
          <w:i/>
        </w:rPr>
        <w:t xml:space="preserve">see also Forfeiture Policy Statement, </w:t>
      </w:r>
      <w:r w:rsidRPr="0038030B">
        <w:t>12 FCC Rcd at 17100, para. 27; 47 CFR § 1.80(b)(4).</w:t>
      </w:r>
    </w:p>
  </w:footnote>
  <w:footnote w:id="74">
    <w:p w:rsidR="004F0DCC" w:rsidRPr="004F0DCC" w:rsidP="0007566D" w14:paraId="41F9AD28" w14:textId="77777777">
      <w:pPr>
        <w:pStyle w:val="FootnoteText"/>
      </w:pPr>
      <w:r>
        <w:rPr>
          <w:rStyle w:val="FootnoteReference"/>
        </w:rPr>
        <w:footnoteRef/>
      </w:r>
      <w:r>
        <w:t xml:space="preserve"> </w:t>
      </w:r>
      <w:r>
        <w:rPr>
          <w:i/>
        </w:rPr>
        <w:t>See, e.g., Juan Alberto Ayala</w:t>
      </w:r>
      <w:r>
        <w:t xml:space="preserve">, </w:t>
      </w:r>
      <w:r w:rsidR="00643BFF">
        <w:t xml:space="preserve">Memorandum Opinion and Order and Notice of Apparent Liability for Forfeiture, </w:t>
      </w:r>
      <w:r>
        <w:t>27 FCC Rcd 16033</w:t>
      </w:r>
      <w:r w:rsidR="00643BFF">
        <w:t>, 16036, para. 12</w:t>
      </w:r>
      <w:r>
        <w:t xml:space="preserve"> (</w:t>
      </w:r>
      <w:r w:rsidR="00643BFF">
        <w:t xml:space="preserve">MB </w:t>
      </w:r>
      <w:r>
        <w:t xml:space="preserve">2012) (proposing a $4,000 forfeiture </w:t>
      </w:r>
      <w:r w:rsidR="0015576B">
        <w:t>to an FM translator station for originating programming</w:t>
      </w:r>
      <w:r w:rsidR="00A03ADA">
        <w:t>).</w:t>
      </w:r>
      <w:r>
        <w:t xml:space="preserve">  </w:t>
      </w:r>
    </w:p>
  </w:footnote>
  <w:footnote w:id="75">
    <w:p w:rsidR="00700929" w:rsidRPr="0007566D" w:rsidP="00700929" w14:paraId="73520955" w14:textId="1FED4299">
      <w:pPr>
        <w:pStyle w:val="FootnoteText"/>
      </w:pPr>
      <w:r w:rsidRPr="0007566D">
        <w:rPr>
          <w:rStyle w:val="FootnoteReference"/>
          <w:sz w:val="20"/>
        </w:rPr>
        <w:footnoteRef/>
      </w:r>
      <w:r w:rsidRPr="0007566D">
        <w:t xml:space="preserve"> </w:t>
      </w:r>
      <w:r>
        <w:rPr>
          <w:i/>
          <w:snapToGrid w:val="0"/>
          <w:kern w:val="28"/>
        </w:rPr>
        <w:t xml:space="preserve">See </w:t>
      </w:r>
      <w:r>
        <w:rPr>
          <w:snapToGrid w:val="0"/>
          <w:kern w:val="28"/>
        </w:rPr>
        <w:t>47 CFR § 1.80, Section 1, Note to subsection (b)(8</w:t>
      </w:r>
      <w:r w:rsidR="00D4142E">
        <w:rPr>
          <w:snapToGrid w:val="0"/>
          <w:kern w:val="28"/>
        </w:rPr>
        <w:t>).</w:t>
      </w:r>
    </w:p>
  </w:footnote>
  <w:footnote w:id="76">
    <w:p w:rsidR="00F416AC" w:rsidRPr="00021CA6" w14:paraId="19772684" w14:textId="2100F202">
      <w:pPr>
        <w:pStyle w:val="FootnoteText"/>
      </w:pPr>
      <w:r>
        <w:rPr>
          <w:rStyle w:val="FootnoteReference"/>
        </w:rPr>
        <w:footnoteRef/>
      </w:r>
      <w:r>
        <w:t xml:space="preserve"> </w:t>
      </w:r>
      <w:r w:rsidRPr="00021CA6">
        <w:rPr>
          <w:i/>
        </w:rPr>
        <w:t xml:space="preserve">See, e.g., </w:t>
      </w:r>
      <w:r w:rsidRPr="00A269D2" w:rsidR="00000274">
        <w:rPr>
          <w:i/>
        </w:rPr>
        <w:t>Southern Broadcasting and Investment Co.</w:t>
      </w:r>
      <w:r w:rsidRPr="00A269D2" w:rsidR="00000274">
        <w:t>, Memorandum Opinion and Order and Notice of Apparent Liability</w:t>
      </w:r>
      <w:r w:rsidRPr="00A269D2" w:rsidR="00000274">
        <w:rPr>
          <w:i/>
        </w:rPr>
        <w:t xml:space="preserve">, </w:t>
      </w:r>
      <w:r w:rsidRPr="00A269D2" w:rsidR="00000274">
        <w:t>25 FCC Rcd 13199, 13201, para. 6 (MB 2010)</w:t>
      </w:r>
      <w:r w:rsidRPr="00021CA6" w:rsidR="00000274">
        <w:rPr>
          <w:i/>
        </w:rPr>
        <w:t xml:space="preserve"> </w:t>
      </w:r>
      <w:r w:rsidRPr="00021CA6">
        <w:t>($4,000 forfeiture proposed for unauthorized operation and $3,000 forfeiture proposed for failure to file required form).</w:t>
      </w:r>
    </w:p>
  </w:footnote>
  <w:footnote w:id="77">
    <w:p w:rsidR="00331A05" w:rsidRPr="00803001" w14:paraId="0B0D4F0D" w14:textId="5A31C73F">
      <w:pPr>
        <w:pStyle w:val="FootnoteText"/>
      </w:pPr>
      <w:r>
        <w:rPr>
          <w:rStyle w:val="FootnoteReference"/>
        </w:rPr>
        <w:footnoteRef/>
      </w:r>
      <w:r>
        <w:t xml:space="preserve"> </w:t>
      </w:r>
      <w:r w:rsidRPr="00803001">
        <w:rPr>
          <w:i/>
        </w:rPr>
        <w:t>See, e.g., Roger L. Hoppe, II,</w:t>
      </w:r>
      <w:r w:rsidRPr="00803001">
        <w:t xml:space="preserve"> Memorandum Opinion and Order and Notice of Apparent Liability,</w:t>
      </w:r>
      <w:r w:rsidR="005F6137">
        <w:t xml:space="preserve"> </w:t>
      </w:r>
      <w:r w:rsidRPr="00803001">
        <w:t>31 FCC Rcd 8790, 8792, para. 6 (MB 2016) (proposing a $5000 forfeiture for 11-month period of unauthorized silence)</w:t>
      </w:r>
      <w:r w:rsidRPr="00803001" w:rsidR="00803001">
        <w:t xml:space="preserve">; </w:t>
      </w:r>
      <w:r w:rsidRPr="00803001" w:rsidR="00803001">
        <w:rPr>
          <w:i/>
        </w:rPr>
        <w:t xml:space="preserve">see also Forfeiture Policy Statement, </w:t>
      </w:r>
      <w:r w:rsidRPr="00803001" w:rsidR="00803001">
        <w:t xml:space="preserve">12 FCC Rcd at 17113-15; </w:t>
      </w:r>
      <w:hyperlink r:id="rId16" w:anchor="co_pp_6ad60000aeea7" w:history="1">
        <w:r w:rsidRPr="00803001" w:rsidR="00803001">
          <w:rPr>
            <w:snapToGrid w:val="0"/>
            <w:kern w:val="28"/>
          </w:rPr>
          <w:t>47 CFR § 1.80(b)(4)</w:t>
        </w:r>
      </w:hyperlink>
      <w:r w:rsidRPr="00803001" w:rsidR="00803001">
        <w:rPr>
          <w:snapToGrid w:val="0"/>
          <w:kern w:val="28"/>
        </w:rPr>
        <w:t>, note to paragraph (b)(4), Section I.</w:t>
      </w:r>
      <w:r w:rsidRPr="00803001" w:rsidR="00803001">
        <w:rPr>
          <w:i/>
        </w:rPr>
        <w:t xml:space="preserve"> </w:t>
      </w:r>
      <w:r w:rsidRPr="00803001">
        <w:t xml:space="preserve"> </w:t>
      </w:r>
      <w:r w:rsidRPr="00803001">
        <w:rPr>
          <w:i/>
        </w:rPr>
        <w:t xml:space="preserve">  </w:t>
      </w:r>
    </w:p>
  </w:footnote>
  <w:footnote w:id="78">
    <w:p w:rsidR="005349D8" w14:paraId="71351950" w14:textId="545B4A99">
      <w:pPr>
        <w:pStyle w:val="FootnoteText"/>
      </w:pPr>
      <w:r>
        <w:rPr>
          <w:rStyle w:val="FootnoteReference"/>
        </w:rPr>
        <w:footnoteRef/>
      </w:r>
      <w:r>
        <w:t xml:space="preserve"> </w:t>
      </w:r>
      <w:r w:rsidRPr="005349D8">
        <w:rPr>
          <w:i/>
        </w:rPr>
        <w:t>See</w:t>
      </w:r>
      <w:r>
        <w:t xml:space="preserve"> 47 CFR § 1.80, Section II, Note to Subsection (b)(8).</w:t>
      </w:r>
    </w:p>
  </w:footnote>
  <w:footnote w:id="79">
    <w:p w:rsidR="001478AB" w:rsidRPr="007B26A7" w:rsidP="007B26A7" w14:paraId="7BCE705F" w14:textId="77777777">
      <w:pPr>
        <w:pStyle w:val="Footer"/>
        <w:spacing w:after="120"/>
        <w:rPr>
          <w:sz w:val="20"/>
        </w:rPr>
      </w:pPr>
      <w:r w:rsidRPr="007B26A7">
        <w:rPr>
          <w:rStyle w:val="FootnoteReference"/>
          <w:sz w:val="20"/>
        </w:rPr>
        <w:footnoteRef/>
      </w:r>
      <w:r w:rsidRPr="007B26A7">
        <w:rPr>
          <w:sz w:val="20"/>
        </w:rPr>
        <w:t xml:space="preserve"> </w:t>
      </w:r>
      <w:r w:rsidRPr="007B26A7" w:rsidR="00375789">
        <w:rPr>
          <w:sz w:val="20"/>
        </w:rPr>
        <w:t>47 CFR</w:t>
      </w:r>
      <w:r w:rsidRPr="007B26A7">
        <w:rPr>
          <w:sz w:val="20"/>
        </w:rPr>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75" w:rsidP="00894139" w14:paraId="7AB8C994" w14:textId="6BF353BD">
    <w:pPr>
      <w:pStyle w:val="Header"/>
      <w:pBdr>
        <w:bottom w:val="single" w:sz="12" w:space="1" w:color="auto"/>
      </w:pBdr>
      <w:rPr>
        <w:spacing w:val="-2"/>
      </w:rPr>
    </w:pPr>
    <w:r>
      <w:tab/>
    </w:r>
    <w:r w:rsidR="00894139">
      <w:t>Federal Communications Commission</w:t>
    </w:r>
    <w:r w:rsidR="00894139">
      <w:tab/>
    </w:r>
    <w:r w:rsidR="00894139">
      <w:rPr>
        <w:spacing w:val="-2"/>
      </w:rPr>
      <w:t xml:space="preserve">DA </w:t>
    </w:r>
    <w:r w:rsidRPr="003B6FB5" w:rsidR="00894139">
      <w:rPr>
        <w:spacing w:val="-2"/>
      </w:rPr>
      <w:t>1</w:t>
    </w:r>
    <w:r w:rsidR="00894139">
      <w:rPr>
        <w:spacing w:val="-2"/>
      </w:rPr>
      <w:t>9</w:t>
    </w:r>
    <w:r w:rsidRPr="003B6FB5" w:rsidR="00894139">
      <w:rPr>
        <w:spacing w:val="-2"/>
      </w:rPr>
      <w:t>-</w:t>
    </w:r>
    <w:r w:rsidR="004D70FF">
      <w:rPr>
        <w:spacing w:val="-2"/>
      </w:rPr>
      <w:t>212</w:t>
    </w:r>
  </w:p>
  <w:p w:rsidR="00A93B75" w14:paraId="1E1A1B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3B75" w14:paraId="5F7D892A" w14:textId="713DA5AD">
    <w:pPr>
      <w:pStyle w:val="Header"/>
      <w:pBdr>
        <w:bottom w:val="single" w:sz="12" w:space="1" w:color="auto"/>
      </w:pBdr>
      <w:rPr>
        <w:b w:val="0"/>
      </w:rPr>
    </w:pPr>
    <w:r>
      <w:tab/>
      <w:t>Federal Communications Commission</w:t>
    </w:r>
    <w:r>
      <w:tab/>
    </w:r>
    <w:r>
      <w:rPr>
        <w:spacing w:val="-2"/>
      </w:rPr>
      <w:t xml:space="preserve">DA </w:t>
    </w:r>
    <w:r w:rsidRPr="003B6FB5" w:rsidR="003B6FB5">
      <w:rPr>
        <w:spacing w:val="-2"/>
      </w:rPr>
      <w:t>1</w:t>
    </w:r>
    <w:r w:rsidR="00A44637">
      <w:rPr>
        <w:spacing w:val="-2"/>
      </w:rPr>
      <w:t>9</w:t>
    </w:r>
    <w:r w:rsidRPr="003B6FB5" w:rsidR="003B6FB5">
      <w:rPr>
        <w:spacing w:val="-2"/>
      </w:rPr>
      <w:t>-</w:t>
    </w:r>
    <w:r w:rsidR="004D70FF">
      <w:rPr>
        <w:spacing w:val="-2"/>
      </w:rPr>
      <w:t>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638554B"/>
    <w:multiLevelType w:val="hybridMultilevel"/>
    <w:tmpl w:val="91167CBC"/>
    <w:lvl w:ilvl="0">
      <w:start w:val="1"/>
      <w:numFmt w:val="decimal"/>
      <w:lvlText w:val="%1)"/>
      <w:lvlJc w:val="left"/>
      <w:pPr>
        <w:tabs>
          <w:tab w:val="num" w:pos="1660"/>
        </w:tabs>
        <w:ind w:left="1660" w:hanging="360"/>
      </w:pPr>
      <w:rPr>
        <w:rFonts w:ascii="Times New Roman" w:eastAsia="Times New Roman" w:hAnsi="Times New Roman" w:cs="Times New Roman"/>
      </w:rPr>
    </w:lvl>
    <w:lvl w:ilvl="1" w:tentative="1">
      <w:start w:val="1"/>
      <w:numFmt w:val="lowerLetter"/>
      <w:lvlText w:val="%2."/>
      <w:lvlJc w:val="left"/>
      <w:pPr>
        <w:tabs>
          <w:tab w:val="num" w:pos="2380"/>
        </w:tabs>
        <w:ind w:left="2380" w:hanging="360"/>
      </w:pPr>
    </w:lvl>
    <w:lvl w:ilvl="2" w:tentative="1">
      <w:start w:val="1"/>
      <w:numFmt w:val="lowerRoman"/>
      <w:lvlText w:val="%3."/>
      <w:lvlJc w:val="right"/>
      <w:pPr>
        <w:tabs>
          <w:tab w:val="num" w:pos="3100"/>
        </w:tabs>
        <w:ind w:left="3100" w:hanging="180"/>
      </w:pPr>
    </w:lvl>
    <w:lvl w:ilvl="3" w:tentative="1">
      <w:start w:val="1"/>
      <w:numFmt w:val="decimal"/>
      <w:lvlText w:val="%4."/>
      <w:lvlJc w:val="left"/>
      <w:pPr>
        <w:tabs>
          <w:tab w:val="num" w:pos="3820"/>
        </w:tabs>
        <w:ind w:left="3820" w:hanging="360"/>
      </w:pPr>
    </w:lvl>
    <w:lvl w:ilvl="4" w:tentative="1">
      <w:start w:val="1"/>
      <w:numFmt w:val="lowerLetter"/>
      <w:lvlText w:val="%5."/>
      <w:lvlJc w:val="left"/>
      <w:pPr>
        <w:tabs>
          <w:tab w:val="num" w:pos="4540"/>
        </w:tabs>
        <w:ind w:left="4540" w:hanging="360"/>
      </w:pPr>
    </w:lvl>
    <w:lvl w:ilvl="5" w:tentative="1">
      <w:start w:val="1"/>
      <w:numFmt w:val="lowerRoman"/>
      <w:lvlText w:val="%6."/>
      <w:lvlJc w:val="right"/>
      <w:pPr>
        <w:tabs>
          <w:tab w:val="num" w:pos="5260"/>
        </w:tabs>
        <w:ind w:left="5260" w:hanging="180"/>
      </w:pPr>
    </w:lvl>
    <w:lvl w:ilvl="6" w:tentative="1">
      <w:start w:val="1"/>
      <w:numFmt w:val="decimal"/>
      <w:lvlText w:val="%7."/>
      <w:lvlJc w:val="left"/>
      <w:pPr>
        <w:tabs>
          <w:tab w:val="num" w:pos="5980"/>
        </w:tabs>
        <w:ind w:left="5980" w:hanging="360"/>
      </w:pPr>
    </w:lvl>
    <w:lvl w:ilvl="7" w:tentative="1">
      <w:start w:val="1"/>
      <w:numFmt w:val="lowerLetter"/>
      <w:lvlText w:val="%8."/>
      <w:lvlJc w:val="left"/>
      <w:pPr>
        <w:tabs>
          <w:tab w:val="num" w:pos="6700"/>
        </w:tabs>
        <w:ind w:left="6700" w:hanging="360"/>
      </w:pPr>
    </w:lvl>
    <w:lvl w:ilvl="8" w:tentative="1">
      <w:start w:val="1"/>
      <w:numFmt w:val="lowerRoman"/>
      <w:lvlText w:val="%9."/>
      <w:lvlJc w:val="right"/>
      <w:pPr>
        <w:tabs>
          <w:tab w:val="num" w:pos="7420"/>
        </w:tabs>
        <w:ind w:left="74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391C7B"/>
    <w:multiLevelType w:val="hybridMultilevel"/>
    <w:tmpl w:val="B4B2B6B8"/>
    <w:lvl w:ilvl="0">
      <w:start w:val="0"/>
      <w:numFmt w:val="bullet"/>
      <w:lvlText w:val=""/>
      <w:lvlJc w:val="left"/>
      <w:pPr>
        <w:ind w:left="324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6A1E9C"/>
    <w:multiLevelType w:val="hybridMultilevel"/>
    <w:tmpl w:val="05C21F02"/>
    <w:lvl w:ilvl="0">
      <w:start w:val="16"/>
      <w:numFmt w:val="decimal"/>
      <w:lvlText w:val="%1."/>
      <w:lvlJc w:val="left"/>
      <w:pPr>
        <w:tabs>
          <w:tab w:val="num" w:pos="1260"/>
        </w:tabs>
        <w:ind w:left="180" w:firstLine="720"/>
      </w:pPr>
      <w:rPr>
        <w:rFonts w:ascii="Times New Roman" w:hAnsi="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5501AB8"/>
    <w:multiLevelType w:val="singleLevel"/>
    <w:tmpl w:val="DC9E3396"/>
    <w:lvl w:ilvl="0">
      <w:start w:val="1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2340"/>
        </w:tabs>
        <w:ind w:left="23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0F1B3D"/>
    <w:multiLevelType w:val="singleLevel"/>
    <w:tmpl w:val="577C8B4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11">
    <w:nsid w:val="40693E18"/>
    <w:multiLevelType w:val="hybridMultilevel"/>
    <w:tmpl w:val="5EF6876E"/>
    <w:lvl w:ilvl="0">
      <w:start w:val="0"/>
      <w:numFmt w:val="bullet"/>
      <w:lvlText w:val=""/>
      <w:lvlJc w:val="left"/>
      <w:pPr>
        <w:ind w:left="1800" w:hanging="360"/>
      </w:pPr>
      <w:rPr>
        <w:rFonts w:ascii="Wingdings" w:eastAsia="Wingdings" w:hAnsi="Wingdings" w:cs="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432817C4"/>
    <w:multiLevelType w:val="singleLevel"/>
    <w:tmpl w:val="DC9E3396"/>
    <w:lvl w:ilvl="0">
      <w:start w:val="1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010C42"/>
    <w:multiLevelType w:val="hybridMultilevel"/>
    <w:tmpl w:val="6AF26654"/>
    <w:lvl w:ilvl="0">
      <w:start w:val="1"/>
      <w:numFmt w:val="decimal"/>
      <w:lvlText w:val="%1)"/>
      <w:lvlJc w:val="left"/>
      <w:pPr>
        <w:tabs>
          <w:tab w:val="num" w:pos="1779"/>
        </w:tabs>
        <w:ind w:left="1779" w:hanging="360"/>
      </w:pPr>
      <w:rPr>
        <w:rFonts w:hint="default"/>
      </w:rPr>
    </w:lvl>
    <w:lvl w:ilvl="1">
      <w:start w:val="1"/>
      <w:numFmt w:val="lowerLetter"/>
      <w:lvlText w:val="%2."/>
      <w:lvlJc w:val="left"/>
      <w:pPr>
        <w:tabs>
          <w:tab w:val="num" w:pos="2499"/>
        </w:tabs>
        <w:ind w:left="2499" w:hanging="360"/>
      </w:pPr>
    </w:lvl>
    <w:lvl w:ilvl="2" w:tentative="1">
      <w:start w:val="1"/>
      <w:numFmt w:val="lowerRoman"/>
      <w:lvlText w:val="%3."/>
      <w:lvlJc w:val="right"/>
      <w:pPr>
        <w:tabs>
          <w:tab w:val="num" w:pos="3219"/>
        </w:tabs>
        <w:ind w:left="3219" w:hanging="180"/>
      </w:pPr>
    </w:lvl>
    <w:lvl w:ilvl="3" w:tentative="1">
      <w:start w:val="1"/>
      <w:numFmt w:val="decimal"/>
      <w:lvlText w:val="%4."/>
      <w:lvlJc w:val="left"/>
      <w:pPr>
        <w:tabs>
          <w:tab w:val="num" w:pos="3939"/>
        </w:tabs>
        <w:ind w:left="3939" w:hanging="360"/>
      </w:pPr>
    </w:lvl>
    <w:lvl w:ilvl="4" w:tentative="1">
      <w:start w:val="1"/>
      <w:numFmt w:val="lowerLetter"/>
      <w:lvlText w:val="%5."/>
      <w:lvlJc w:val="left"/>
      <w:pPr>
        <w:tabs>
          <w:tab w:val="num" w:pos="4659"/>
        </w:tabs>
        <w:ind w:left="4659" w:hanging="360"/>
      </w:pPr>
    </w:lvl>
    <w:lvl w:ilvl="5" w:tentative="1">
      <w:start w:val="1"/>
      <w:numFmt w:val="lowerRoman"/>
      <w:lvlText w:val="%6."/>
      <w:lvlJc w:val="right"/>
      <w:pPr>
        <w:tabs>
          <w:tab w:val="num" w:pos="5379"/>
        </w:tabs>
        <w:ind w:left="5379" w:hanging="180"/>
      </w:pPr>
    </w:lvl>
    <w:lvl w:ilvl="6" w:tentative="1">
      <w:start w:val="1"/>
      <w:numFmt w:val="decimal"/>
      <w:lvlText w:val="%7."/>
      <w:lvlJc w:val="left"/>
      <w:pPr>
        <w:tabs>
          <w:tab w:val="num" w:pos="6099"/>
        </w:tabs>
        <w:ind w:left="6099" w:hanging="360"/>
      </w:pPr>
    </w:lvl>
    <w:lvl w:ilvl="7" w:tentative="1">
      <w:start w:val="1"/>
      <w:numFmt w:val="lowerLetter"/>
      <w:lvlText w:val="%8."/>
      <w:lvlJc w:val="left"/>
      <w:pPr>
        <w:tabs>
          <w:tab w:val="num" w:pos="6819"/>
        </w:tabs>
        <w:ind w:left="6819" w:hanging="360"/>
      </w:pPr>
    </w:lvl>
    <w:lvl w:ilvl="8" w:tentative="1">
      <w:start w:val="1"/>
      <w:numFmt w:val="lowerRoman"/>
      <w:lvlText w:val="%9."/>
      <w:lvlJc w:val="right"/>
      <w:pPr>
        <w:tabs>
          <w:tab w:val="num" w:pos="7539"/>
        </w:tabs>
        <w:ind w:left="7539" w:hanging="180"/>
      </w:pPr>
    </w:lvl>
  </w:abstractNum>
  <w:abstractNum w:abstractNumId="15">
    <w:nsid w:val="53A930D6"/>
    <w:multiLevelType w:val="singleLevel"/>
    <w:tmpl w:val="577C8B4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16">
    <w:nsid w:val="55600670"/>
    <w:multiLevelType w:val="hybridMultilevel"/>
    <w:tmpl w:val="54C46124"/>
    <w:lvl w:ilvl="0">
      <w:start w:val="13"/>
      <w:numFmt w:val="decimal"/>
      <w:lvlText w:val="%1."/>
      <w:lvlJc w:val="left"/>
      <w:pPr>
        <w:tabs>
          <w:tab w:val="num" w:pos="1260"/>
        </w:tabs>
        <w:ind w:left="180" w:firstLine="720"/>
      </w:pPr>
      <w:rPr>
        <w:rFonts w:ascii="Times New Roman" w:hAnsi="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FE907CBA"/>
    <w:lvl w:ilvl="0">
      <w:start w:val="1"/>
      <w:numFmt w:val="decimal"/>
      <w:pStyle w:val="ParaNum"/>
      <w:lvlText w:val="%1."/>
      <w:lvlJc w:val="left"/>
      <w:pPr>
        <w:tabs>
          <w:tab w:val="num" w:pos="1260"/>
        </w:tabs>
        <w:ind w:left="180" w:firstLine="720"/>
      </w:pPr>
      <w:rPr>
        <w:rFonts w:hint="default"/>
        <w:b w:val="0"/>
        <w:sz w:val="22"/>
        <w:szCs w:val="22"/>
      </w:rPr>
    </w:lvl>
  </w:abstractNum>
  <w:abstractNum w:abstractNumId="18">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8ED62A6"/>
    <w:multiLevelType w:val="hybridMultilevel"/>
    <w:tmpl w:val="65447386"/>
    <w:lvl w:ilvl="0">
      <w:start w:val="24"/>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5"/>
  </w:num>
  <w:num w:numId="2">
    <w:abstractNumId w:val="17"/>
  </w:num>
  <w:num w:numId="3">
    <w:abstractNumId w:val="9"/>
  </w:num>
  <w:num w:numId="4">
    <w:abstractNumId w:val="13"/>
  </w:num>
  <w:num w:numId="5">
    <w:abstractNumId w:val="7"/>
  </w:num>
  <w:num w:numId="6">
    <w:abstractNumId w:val="2"/>
  </w:num>
  <w:num w:numId="7">
    <w:abstractNumId w:val="10"/>
    <w:lvlOverride w:ilvl="0">
      <w:startOverride w:val="1"/>
    </w:lvlOverride>
  </w:num>
  <w:num w:numId="8">
    <w:abstractNumId w:val="10"/>
  </w:num>
  <w:num w:numId="9">
    <w:abstractNumId w:val="18"/>
  </w:num>
  <w:num w:numId="10">
    <w:abstractNumId w:val="17"/>
    <w:lvlOverride w:ilvl="0">
      <w:startOverride w:val="1"/>
    </w:lvlOverride>
  </w:num>
  <w:num w:numId="11">
    <w:abstractNumId w:val="17"/>
  </w:num>
  <w:num w:numId="12">
    <w:abstractNumId w:val="17"/>
  </w:num>
  <w:num w:numId="13">
    <w:abstractNumId w:val="17"/>
  </w:num>
  <w:num w:numId="14">
    <w:abstractNumId w:val="14"/>
  </w:num>
  <w:num w:numId="15">
    <w:abstractNumId w:val="1"/>
  </w:num>
  <w:num w:numId="16">
    <w:abstractNumId w:val="10"/>
  </w:num>
  <w:num w:numId="17">
    <w:abstractNumId w:val="10"/>
    <w:lvlOverride w:ilvl="0">
      <w:startOverride w:val="18"/>
    </w:lvlOverride>
  </w:num>
  <w:num w:numId="18">
    <w:abstractNumId w:val="0"/>
  </w:num>
  <w:num w:numId="19">
    <w:abstractNumId w:val="11"/>
  </w:num>
  <w:num w:numId="20">
    <w:abstractNumId w:val="3"/>
  </w:num>
  <w:num w:numId="21">
    <w:abstractNumId w:val="4"/>
  </w:num>
  <w:num w:numId="22">
    <w:abstractNumId w:val="17"/>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2"/>
  </w:num>
  <w:num w:numId="27">
    <w:abstractNumId w:val="8"/>
  </w:num>
  <w:num w:numId="28">
    <w:abstractNumId w:val="17"/>
  </w:num>
  <w:num w:numId="29">
    <w:abstractNumId w:val="17"/>
  </w:num>
  <w:num w:numId="30">
    <w:abstractNumId w:val="17"/>
    <w:lvlOverride w:ilvl="0">
      <w:startOverride w:val="12"/>
    </w:lvlOverride>
  </w:num>
  <w:num w:numId="31">
    <w:abstractNumId w:val="16"/>
  </w:num>
  <w:num w:numId="32">
    <w:abstractNumId w:val="17"/>
  </w:num>
  <w:num w:numId="33">
    <w:abstractNumId w:val="6"/>
  </w:num>
  <w:num w:numId="34">
    <w:abstractNumId w:val="17"/>
    <w:lvlOverride w:ilvl="0">
      <w:startOverride w:val="17"/>
    </w:lvlOverride>
  </w:num>
  <w:num w:numId="35">
    <w:abstractNumId w:val="17"/>
    <w:lvlOverride w:ilvl="0">
      <w:startOverride w:val="1"/>
    </w:lvlOverride>
  </w:num>
  <w:num w:numId="36">
    <w:abstractNumId w:val="19"/>
  </w:num>
  <w:num w:numId="37">
    <w:abstractNumId w:val="17"/>
    <w:lvlOverride w:ilvl="0">
      <w:startOverride w:val="14"/>
    </w:lvlOverride>
  </w:num>
  <w:num w:numId="38">
    <w:abstractNumId w:val="10"/>
    <w:lvlOverride w:ilvl="0">
      <w:startOverride w:val="5"/>
    </w:lvlOverride>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4"/>
    <w:rsid w:val="00000274"/>
    <w:rsid w:val="00006F19"/>
    <w:rsid w:val="00011999"/>
    <w:rsid w:val="00014C01"/>
    <w:rsid w:val="000152B2"/>
    <w:rsid w:val="00016329"/>
    <w:rsid w:val="0002190F"/>
    <w:rsid w:val="00021CA6"/>
    <w:rsid w:val="00022522"/>
    <w:rsid w:val="00025712"/>
    <w:rsid w:val="0002789F"/>
    <w:rsid w:val="00030929"/>
    <w:rsid w:val="00032AB4"/>
    <w:rsid w:val="00036039"/>
    <w:rsid w:val="00037F90"/>
    <w:rsid w:val="000408C1"/>
    <w:rsid w:val="00041043"/>
    <w:rsid w:val="00044DAE"/>
    <w:rsid w:val="0004578A"/>
    <w:rsid w:val="00045E66"/>
    <w:rsid w:val="0004649D"/>
    <w:rsid w:val="000464DB"/>
    <w:rsid w:val="0005086C"/>
    <w:rsid w:val="000518FD"/>
    <w:rsid w:val="00053DEF"/>
    <w:rsid w:val="000548D0"/>
    <w:rsid w:val="000559DC"/>
    <w:rsid w:val="00056DB3"/>
    <w:rsid w:val="00063139"/>
    <w:rsid w:val="000651DA"/>
    <w:rsid w:val="00066978"/>
    <w:rsid w:val="00072E59"/>
    <w:rsid w:val="00072FBD"/>
    <w:rsid w:val="00074FE7"/>
    <w:rsid w:val="0007566D"/>
    <w:rsid w:val="00075966"/>
    <w:rsid w:val="00075AF2"/>
    <w:rsid w:val="000763C7"/>
    <w:rsid w:val="000771B0"/>
    <w:rsid w:val="000803E6"/>
    <w:rsid w:val="0008046A"/>
    <w:rsid w:val="00080626"/>
    <w:rsid w:val="00083265"/>
    <w:rsid w:val="00083ADB"/>
    <w:rsid w:val="00084C6E"/>
    <w:rsid w:val="00085164"/>
    <w:rsid w:val="00085754"/>
    <w:rsid w:val="000875BF"/>
    <w:rsid w:val="0009041A"/>
    <w:rsid w:val="00091479"/>
    <w:rsid w:val="00096D8C"/>
    <w:rsid w:val="000A0FEF"/>
    <w:rsid w:val="000A175F"/>
    <w:rsid w:val="000A1ACE"/>
    <w:rsid w:val="000A6697"/>
    <w:rsid w:val="000A79FC"/>
    <w:rsid w:val="000B5920"/>
    <w:rsid w:val="000B7DBB"/>
    <w:rsid w:val="000C0B65"/>
    <w:rsid w:val="000C1C23"/>
    <w:rsid w:val="000C4AF8"/>
    <w:rsid w:val="000C6370"/>
    <w:rsid w:val="000D0C35"/>
    <w:rsid w:val="000D2EBE"/>
    <w:rsid w:val="000D47A2"/>
    <w:rsid w:val="000D77E5"/>
    <w:rsid w:val="000E3D42"/>
    <w:rsid w:val="000E5D20"/>
    <w:rsid w:val="000E6DB0"/>
    <w:rsid w:val="000F0923"/>
    <w:rsid w:val="000F1DC4"/>
    <w:rsid w:val="000F2C68"/>
    <w:rsid w:val="000F382F"/>
    <w:rsid w:val="000F469D"/>
    <w:rsid w:val="000F5AC8"/>
    <w:rsid w:val="00100027"/>
    <w:rsid w:val="00103E89"/>
    <w:rsid w:val="00104F0C"/>
    <w:rsid w:val="0010745A"/>
    <w:rsid w:val="00107C54"/>
    <w:rsid w:val="00111F2A"/>
    <w:rsid w:val="00112466"/>
    <w:rsid w:val="00112A84"/>
    <w:rsid w:val="00112C96"/>
    <w:rsid w:val="0011392D"/>
    <w:rsid w:val="00116874"/>
    <w:rsid w:val="00117FCC"/>
    <w:rsid w:val="00122BD5"/>
    <w:rsid w:val="00125E7B"/>
    <w:rsid w:val="00141A66"/>
    <w:rsid w:val="00144087"/>
    <w:rsid w:val="0014666D"/>
    <w:rsid w:val="00146D4B"/>
    <w:rsid w:val="001478AB"/>
    <w:rsid w:val="001531DE"/>
    <w:rsid w:val="0015576B"/>
    <w:rsid w:val="001562CD"/>
    <w:rsid w:val="00156BB6"/>
    <w:rsid w:val="00156ECB"/>
    <w:rsid w:val="00162B7B"/>
    <w:rsid w:val="001650FD"/>
    <w:rsid w:val="001738C9"/>
    <w:rsid w:val="001758A4"/>
    <w:rsid w:val="0018256A"/>
    <w:rsid w:val="00184A1F"/>
    <w:rsid w:val="0018621D"/>
    <w:rsid w:val="00190EC3"/>
    <w:rsid w:val="00193A4B"/>
    <w:rsid w:val="00197A80"/>
    <w:rsid w:val="001A0B84"/>
    <w:rsid w:val="001A1466"/>
    <w:rsid w:val="001A3343"/>
    <w:rsid w:val="001A51C4"/>
    <w:rsid w:val="001A78AF"/>
    <w:rsid w:val="001B1FA9"/>
    <w:rsid w:val="001B421C"/>
    <w:rsid w:val="001B4D75"/>
    <w:rsid w:val="001B6371"/>
    <w:rsid w:val="001B66A1"/>
    <w:rsid w:val="001B7AF5"/>
    <w:rsid w:val="001C1405"/>
    <w:rsid w:val="001C201E"/>
    <w:rsid w:val="001C20F9"/>
    <w:rsid w:val="001C53B6"/>
    <w:rsid w:val="001C61D0"/>
    <w:rsid w:val="001D0A26"/>
    <w:rsid w:val="001D1CC3"/>
    <w:rsid w:val="001D2052"/>
    <w:rsid w:val="001D5D92"/>
    <w:rsid w:val="001D6BCF"/>
    <w:rsid w:val="001E01CA"/>
    <w:rsid w:val="001E2E2B"/>
    <w:rsid w:val="001E469C"/>
    <w:rsid w:val="001E5FC7"/>
    <w:rsid w:val="001E6352"/>
    <w:rsid w:val="001F3BC5"/>
    <w:rsid w:val="001F5284"/>
    <w:rsid w:val="001F6436"/>
    <w:rsid w:val="00211097"/>
    <w:rsid w:val="00211D1C"/>
    <w:rsid w:val="002126CF"/>
    <w:rsid w:val="00213B82"/>
    <w:rsid w:val="00215123"/>
    <w:rsid w:val="002155D2"/>
    <w:rsid w:val="00216182"/>
    <w:rsid w:val="00216C15"/>
    <w:rsid w:val="00217D20"/>
    <w:rsid w:val="00220D4D"/>
    <w:rsid w:val="00223860"/>
    <w:rsid w:val="00225EAD"/>
    <w:rsid w:val="00232786"/>
    <w:rsid w:val="00237CCE"/>
    <w:rsid w:val="002432AA"/>
    <w:rsid w:val="002453B3"/>
    <w:rsid w:val="00246464"/>
    <w:rsid w:val="00247504"/>
    <w:rsid w:val="00252DE1"/>
    <w:rsid w:val="0025324C"/>
    <w:rsid w:val="00255874"/>
    <w:rsid w:val="002575EC"/>
    <w:rsid w:val="00261670"/>
    <w:rsid w:val="00262392"/>
    <w:rsid w:val="002635DE"/>
    <w:rsid w:val="00263C50"/>
    <w:rsid w:val="00264AC2"/>
    <w:rsid w:val="00271196"/>
    <w:rsid w:val="00275C0B"/>
    <w:rsid w:val="00282156"/>
    <w:rsid w:val="002828E9"/>
    <w:rsid w:val="00285017"/>
    <w:rsid w:val="00285096"/>
    <w:rsid w:val="0028669A"/>
    <w:rsid w:val="00291721"/>
    <w:rsid w:val="00291927"/>
    <w:rsid w:val="00292711"/>
    <w:rsid w:val="002945D9"/>
    <w:rsid w:val="00295F8C"/>
    <w:rsid w:val="002970C6"/>
    <w:rsid w:val="002A2892"/>
    <w:rsid w:val="002A2D2E"/>
    <w:rsid w:val="002B30DF"/>
    <w:rsid w:val="002B3F00"/>
    <w:rsid w:val="002C023E"/>
    <w:rsid w:val="002C14BB"/>
    <w:rsid w:val="002C14D5"/>
    <w:rsid w:val="002C27CD"/>
    <w:rsid w:val="002C3F18"/>
    <w:rsid w:val="002C6965"/>
    <w:rsid w:val="002D02FA"/>
    <w:rsid w:val="002D0FA3"/>
    <w:rsid w:val="002D294B"/>
    <w:rsid w:val="002D2977"/>
    <w:rsid w:val="002D3897"/>
    <w:rsid w:val="002D673D"/>
    <w:rsid w:val="002E0F15"/>
    <w:rsid w:val="002E2F30"/>
    <w:rsid w:val="002E43C0"/>
    <w:rsid w:val="002E4D00"/>
    <w:rsid w:val="002E5640"/>
    <w:rsid w:val="002F0A5F"/>
    <w:rsid w:val="002F201A"/>
    <w:rsid w:val="002F3990"/>
    <w:rsid w:val="002F7D90"/>
    <w:rsid w:val="00301170"/>
    <w:rsid w:val="003014AC"/>
    <w:rsid w:val="003042D8"/>
    <w:rsid w:val="003056DA"/>
    <w:rsid w:val="0030584E"/>
    <w:rsid w:val="00305D66"/>
    <w:rsid w:val="003068F1"/>
    <w:rsid w:val="003069A3"/>
    <w:rsid w:val="00316467"/>
    <w:rsid w:val="00316598"/>
    <w:rsid w:val="003169DB"/>
    <w:rsid w:val="00316EE5"/>
    <w:rsid w:val="003176B1"/>
    <w:rsid w:val="00317880"/>
    <w:rsid w:val="00320467"/>
    <w:rsid w:val="00321072"/>
    <w:rsid w:val="003225C0"/>
    <w:rsid w:val="0032551B"/>
    <w:rsid w:val="003279A1"/>
    <w:rsid w:val="00330B2E"/>
    <w:rsid w:val="00330E34"/>
    <w:rsid w:val="0033194B"/>
    <w:rsid w:val="00331A05"/>
    <w:rsid w:val="003341B4"/>
    <w:rsid w:val="0033537A"/>
    <w:rsid w:val="00335D53"/>
    <w:rsid w:val="003404DA"/>
    <w:rsid w:val="003423F6"/>
    <w:rsid w:val="00342C55"/>
    <w:rsid w:val="00343749"/>
    <w:rsid w:val="0034559F"/>
    <w:rsid w:val="00346669"/>
    <w:rsid w:val="00346714"/>
    <w:rsid w:val="00346B44"/>
    <w:rsid w:val="003474C2"/>
    <w:rsid w:val="003514BF"/>
    <w:rsid w:val="003522E3"/>
    <w:rsid w:val="00355E2E"/>
    <w:rsid w:val="0036422A"/>
    <w:rsid w:val="0036487C"/>
    <w:rsid w:val="00367601"/>
    <w:rsid w:val="00372121"/>
    <w:rsid w:val="00373B16"/>
    <w:rsid w:val="00373C09"/>
    <w:rsid w:val="00375789"/>
    <w:rsid w:val="0037705F"/>
    <w:rsid w:val="00377576"/>
    <w:rsid w:val="0038030B"/>
    <w:rsid w:val="00381988"/>
    <w:rsid w:val="003844EB"/>
    <w:rsid w:val="00390CCF"/>
    <w:rsid w:val="003914C2"/>
    <w:rsid w:val="00392DBC"/>
    <w:rsid w:val="00393239"/>
    <w:rsid w:val="003A05F4"/>
    <w:rsid w:val="003A1FBC"/>
    <w:rsid w:val="003A27AA"/>
    <w:rsid w:val="003A478A"/>
    <w:rsid w:val="003A5186"/>
    <w:rsid w:val="003A5913"/>
    <w:rsid w:val="003B0550"/>
    <w:rsid w:val="003B50A9"/>
    <w:rsid w:val="003B694F"/>
    <w:rsid w:val="003B6FB5"/>
    <w:rsid w:val="003B733C"/>
    <w:rsid w:val="003C06E1"/>
    <w:rsid w:val="003C0DD4"/>
    <w:rsid w:val="003C4B73"/>
    <w:rsid w:val="003D248F"/>
    <w:rsid w:val="003D2A61"/>
    <w:rsid w:val="003D4231"/>
    <w:rsid w:val="003D4F38"/>
    <w:rsid w:val="003D5660"/>
    <w:rsid w:val="003D5C88"/>
    <w:rsid w:val="003D7047"/>
    <w:rsid w:val="003D7709"/>
    <w:rsid w:val="003D78B7"/>
    <w:rsid w:val="003E09AD"/>
    <w:rsid w:val="003E711B"/>
    <w:rsid w:val="003F11EF"/>
    <w:rsid w:val="003F171C"/>
    <w:rsid w:val="003F2B1B"/>
    <w:rsid w:val="003F36D4"/>
    <w:rsid w:val="003F5726"/>
    <w:rsid w:val="003F7073"/>
    <w:rsid w:val="0040082D"/>
    <w:rsid w:val="004016CD"/>
    <w:rsid w:val="0041202A"/>
    <w:rsid w:val="00412382"/>
    <w:rsid w:val="00412FC5"/>
    <w:rsid w:val="004130B2"/>
    <w:rsid w:val="0041348E"/>
    <w:rsid w:val="0041705F"/>
    <w:rsid w:val="00420DD1"/>
    <w:rsid w:val="00422276"/>
    <w:rsid w:val="004225CB"/>
    <w:rsid w:val="004242F1"/>
    <w:rsid w:val="00424837"/>
    <w:rsid w:val="00424FA5"/>
    <w:rsid w:val="004268DD"/>
    <w:rsid w:val="0043208C"/>
    <w:rsid w:val="00432E99"/>
    <w:rsid w:val="00434CF8"/>
    <w:rsid w:val="0044046F"/>
    <w:rsid w:val="004417F1"/>
    <w:rsid w:val="00441B4D"/>
    <w:rsid w:val="00441E04"/>
    <w:rsid w:val="00442939"/>
    <w:rsid w:val="004437EE"/>
    <w:rsid w:val="00443B13"/>
    <w:rsid w:val="004450CB"/>
    <w:rsid w:val="00445A00"/>
    <w:rsid w:val="0044760E"/>
    <w:rsid w:val="004501E8"/>
    <w:rsid w:val="004507BD"/>
    <w:rsid w:val="00451B0F"/>
    <w:rsid w:val="00451F2D"/>
    <w:rsid w:val="00454461"/>
    <w:rsid w:val="00467A64"/>
    <w:rsid w:val="0047037E"/>
    <w:rsid w:val="004720D1"/>
    <w:rsid w:val="00472563"/>
    <w:rsid w:val="004762F6"/>
    <w:rsid w:val="004805C6"/>
    <w:rsid w:val="00480F0B"/>
    <w:rsid w:val="00481463"/>
    <w:rsid w:val="00483314"/>
    <w:rsid w:val="0048455F"/>
    <w:rsid w:val="00490B46"/>
    <w:rsid w:val="004921B5"/>
    <w:rsid w:val="0049387E"/>
    <w:rsid w:val="004A025A"/>
    <w:rsid w:val="004A0CE9"/>
    <w:rsid w:val="004A14CD"/>
    <w:rsid w:val="004A1D34"/>
    <w:rsid w:val="004A256C"/>
    <w:rsid w:val="004A2D42"/>
    <w:rsid w:val="004A593C"/>
    <w:rsid w:val="004A5FE1"/>
    <w:rsid w:val="004A6E30"/>
    <w:rsid w:val="004B02CB"/>
    <w:rsid w:val="004B08E6"/>
    <w:rsid w:val="004B0F6D"/>
    <w:rsid w:val="004B1529"/>
    <w:rsid w:val="004C0EEB"/>
    <w:rsid w:val="004C2EE3"/>
    <w:rsid w:val="004C4793"/>
    <w:rsid w:val="004C58C8"/>
    <w:rsid w:val="004C7194"/>
    <w:rsid w:val="004C75F4"/>
    <w:rsid w:val="004D0ADB"/>
    <w:rsid w:val="004D2199"/>
    <w:rsid w:val="004D59D8"/>
    <w:rsid w:val="004D70FF"/>
    <w:rsid w:val="004D77DE"/>
    <w:rsid w:val="004E0354"/>
    <w:rsid w:val="004E0CBF"/>
    <w:rsid w:val="004E211C"/>
    <w:rsid w:val="004E260E"/>
    <w:rsid w:val="004E3D97"/>
    <w:rsid w:val="004E4A22"/>
    <w:rsid w:val="004E7BA1"/>
    <w:rsid w:val="004F0511"/>
    <w:rsid w:val="004F0DCC"/>
    <w:rsid w:val="004F4EDD"/>
    <w:rsid w:val="004F58A1"/>
    <w:rsid w:val="004F6FA5"/>
    <w:rsid w:val="004F7691"/>
    <w:rsid w:val="00500709"/>
    <w:rsid w:val="00504FF8"/>
    <w:rsid w:val="005102E6"/>
    <w:rsid w:val="00511968"/>
    <w:rsid w:val="00511BA2"/>
    <w:rsid w:val="00514754"/>
    <w:rsid w:val="00514D02"/>
    <w:rsid w:val="00515616"/>
    <w:rsid w:val="005173E5"/>
    <w:rsid w:val="00520BFF"/>
    <w:rsid w:val="00521504"/>
    <w:rsid w:val="0052472A"/>
    <w:rsid w:val="00530258"/>
    <w:rsid w:val="00530476"/>
    <w:rsid w:val="005305DA"/>
    <w:rsid w:val="005349D8"/>
    <w:rsid w:val="00536512"/>
    <w:rsid w:val="00537798"/>
    <w:rsid w:val="0054010C"/>
    <w:rsid w:val="00540420"/>
    <w:rsid w:val="00541348"/>
    <w:rsid w:val="005447BD"/>
    <w:rsid w:val="00544AF8"/>
    <w:rsid w:val="00547A49"/>
    <w:rsid w:val="00551622"/>
    <w:rsid w:val="00551665"/>
    <w:rsid w:val="00552886"/>
    <w:rsid w:val="00555707"/>
    <w:rsid w:val="0055614C"/>
    <w:rsid w:val="00557465"/>
    <w:rsid w:val="005577DF"/>
    <w:rsid w:val="0056362F"/>
    <w:rsid w:val="00563BCE"/>
    <w:rsid w:val="00566FBA"/>
    <w:rsid w:val="0057427F"/>
    <w:rsid w:val="005748D4"/>
    <w:rsid w:val="00575A68"/>
    <w:rsid w:val="00575BE3"/>
    <w:rsid w:val="0057706C"/>
    <w:rsid w:val="00585554"/>
    <w:rsid w:val="00585B73"/>
    <w:rsid w:val="005919DD"/>
    <w:rsid w:val="00592B47"/>
    <w:rsid w:val="00592F97"/>
    <w:rsid w:val="00593992"/>
    <w:rsid w:val="005A306E"/>
    <w:rsid w:val="005A5715"/>
    <w:rsid w:val="005A6210"/>
    <w:rsid w:val="005B2C38"/>
    <w:rsid w:val="005B6FBC"/>
    <w:rsid w:val="005C14A9"/>
    <w:rsid w:val="005C4A51"/>
    <w:rsid w:val="005C54B2"/>
    <w:rsid w:val="005D407B"/>
    <w:rsid w:val="005E20A8"/>
    <w:rsid w:val="005E4E47"/>
    <w:rsid w:val="005F09E6"/>
    <w:rsid w:val="005F3239"/>
    <w:rsid w:val="005F6137"/>
    <w:rsid w:val="00600DAA"/>
    <w:rsid w:val="00602BF6"/>
    <w:rsid w:val="00604094"/>
    <w:rsid w:val="006056A9"/>
    <w:rsid w:val="00605A43"/>
    <w:rsid w:val="00605F81"/>
    <w:rsid w:val="00607BA5"/>
    <w:rsid w:val="00612948"/>
    <w:rsid w:val="006147BC"/>
    <w:rsid w:val="006218E0"/>
    <w:rsid w:val="00624E97"/>
    <w:rsid w:val="00626EB6"/>
    <w:rsid w:val="006308BF"/>
    <w:rsid w:val="006347E9"/>
    <w:rsid w:val="006375B7"/>
    <w:rsid w:val="0063785A"/>
    <w:rsid w:val="006407A4"/>
    <w:rsid w:val="006411E5"/>
    <w:rsid w:val="00643BFF"/>
    <w:rsid w:val="00647F55"/>
    <w:rsid w:val="00654D4C"/>
    <w:rsid w:val="00655D03"/>
    <w:rsid w:val="006578DA"/>
    <w:rsid w:val="006607F9"/>
    <w:rsid w:val="006635C2"/>
    <w:rsid w:val="00663746"/>
    <w:rsid w:val="006726BC"/>
    <w:rsid w:val="0067621B"/>
    <w:rsid w:val="00676C71"/>
    <w:rsid w:val="00676F90"/>
    <w:rsid w:val="00677168"/>
    <w:rsid w:val="006776CB"/>
    <w:rsid w:val="00683F84"/>
    <w:rsid w:val="00684924"/>
    <w:rsid w:val="00684E29"/>
    <w:rsid w:val="00687E6E"/>
    <w:rsid w:val="006904D1"/>
    <w:rsid w:val="00690962"/>
    <w:rsid w:val="006915DB"/>
    <w:rsid w:val="00691BDA"/>
    <w:rsid w:val="00693848"/>
    <w:rsid w:val="006964FF"/>
    <w:rsid w:val="00697333"/>
    <w:rsid w:val="0069742F"/>
    <w:rsid w:val="006A02A4"/>
    <w:rsid w:val="006A09AC"/>
    <w:rsid w:val="006A0E2D"/>
    <w:rsid w:val="006A2136"/>
    <w:rsid w:val="006A4275"/>
    <w:rsid w:val="006A6A81"/>
    <w:rsid w:val="006B2EE1"/>
    <w:rsid w:val="006B5F69"/>
    <w:rsid w:val="006B6B46"/>
    <w:rsid w:val="006B7D66"/>
    <w:rsid w:val="006C001A"/>
    <w:rsid w:val="006D133B"/>
    <w:rsid w:val="006D27F0"/>
    <w:rsid w:val="006E55A5"/>
    <w:rsid w:val="006E6303"/>
    <w:rsid w:val="006F224C"/>
    <w:rsid w:val="006F2A08"/>
    <w:rsid w:val="006F3AA5"/>
    <w:rsid w:val="006F46F0"/>
    <w:rsid w:val="006F4D55"/>
    <w:rsid w:val="006F5BC8"/>
    <w:rsid w:val="006F660F"/>
    <w:rsid w:val="006F7393"/>
    <w:rsid w:val="00700703"/>
    <w:rsid w:val="00700929"/>
    <w:rsid w:val="00700A8F"/>
    <w:rsid w:val="0070224F"/>
    <w:rsid w:val="00705A6A"/>
    <w:rsid w:val="007064E5"/>
    <w:rsid w:val="007115F7"/>
    <w:rsid w:val="0071555E"/>
    <w:rsid w:val="00717BB7"/>
    <w:rsid w:val="00720C0F"/>
    <w:rsid w:val="00721E55"/>
    <w:rsid w:val="00722536"/>
    <w:rsid w:val="00722884"/>
    <w:rsid w:val="007274EA"/>
    <w:rsid w:val="00727858"/>
    <w:rsid w:val="00733C97"/>
    <w:rsid w:val="00733D09"/>
    <w:rsid w:val="007359F5"/>
    <w:rsid w:val="00736F9D"/>
    <w:rsid w:val="007434F7"/>
    <w:rsid w:val="0074459B"/>
    <w:rsid w:val="00745935"/>
    <w:rsid w:val="007462C8"/>
    <w:rsid w:val="00747FF7"/>
    <w:rsid w:val="00750960"/>
    <w:rsid w:val="007530BC"/>
    <w:rsid w:val="0076003B"/>
    <w:rsid w:val="00761252"/>
    <w:rsid w:val="00766F9D"/>
    <w:rsid w:val="0077018E"/>
    <w:rsid w:val="007754BB"/>
    <w:rsid w:val="00775E89"/>
    <w:rsid w:val="0078381F"/>
    <w:rsid w:val="00785689"/>
    <w:rsid w:val="00790414"/>
    <w:rsid w:val="00790721"/>
    <w:rsid w:val="00791014"/>
    <w:rsid w:val="00792CAD"/>
    <w:rsid w:val="0079414D"/>
    <w:rsid w:val="007950DE"/>
    <w:rsid w:val="00795A5A"/>
    <w:rsid w:val="0079736A"/>
    <w:rsid w:val="0079754B"/>
    <w:rsid w:val="007979FB"/>
    <w:rsid w:val="00797B53"/>
    <w:rsid w:val="007A1E6D"/>
    <w:rsid w:val="007A20E7"/>
    <w:rsid w:val="007B0E56"/>
    <w:rsid w:val="007B2616"/>
    <w:rsid w:val="007B26A7"/>
    <w:rsid w:val="007B28DA"/>
    <w:rsid w:val="007B4B71"/>
    <w:rsid w:val="007B60D2"/>
    <w:rsid w:val="007B7853"/>
    <w:rsid w:val="007C07D2"/>
    <w:rsid w:val="007C2727"/>
    <w:rsid w:val="007C4506"/>
    <w:rsid w:val="007C525B"/>
    <w:rsid w:val="007C6CFF"/>
    <w:rsid w:val="007D22EE"/>
    <w:rsid w:val="007D385B"/>
    <w:rsid w:val="007D57BE"/>
    <w:rsid w:val="007E0975"/>
    <w:rsid w:val="007E1FD3"/>
    <w:rsid w:val="007E4424"/>
    <w:rsid w:val="007E4BDC"/>
    <w:rsid w:val="007E528D"/>
    <w:rsid w:val="007E72C8"/>
    <w:rsid w:val="007E7C1C"/>
    <w:rsid w:val="007F3978"/>
    <w:rsid w:val="007F443E"/>
    <w:rsid w:val="0080204C"/>
    <w:rsid w:val="0080243B"/>
    <w:rsid w:val="00803001"/>
    <w:rsid w:val="00806A8F"/>
    <w:rsid w:val="00812997"/>
    <w:rsid w:val="00813590"/>
    <w:rsid w:val="008158CD"/>
    <w:rsid w:val="00820A02"/>
    <w:rsid w:val="00820C0E"/>
    <w:rsid w:val="00821747"/>
    <w:rsid w:val="0082259F"/>
    <w:rsid w:val="00822630"/>
    <w:rsid w:val="00822CE0"/>
    <w:rsid w:val="00825676"/>
    <w:rsid w:val="008267B0"/>
    <w:rsid w:val="00830208"/>
    <w:rsid w:val="00831B2B"/>
    <w:rsid w:val="00835499"/>
    <w:rsid w:val="0084045F"/>
    <w:rsid w:val="0084099F"/>
    <w:rsid w:val="00841AB1"/>
    <w:rsid w:val="00841B5F"/>
    <w:rsid w:val="0084222D"/>
    <w:rsid w:val="0084477F"/>
    <w:rsid w:val="00844C5E"/>
    <w:rsid w:val="00846746"/>
    <w:rsid w:val="0085092F"/>
    <w:rsid w:val="0085205A"/>
    <w:rsid w:val="008558B6"/>
    <w:rsid w:val="00856A36"/>
    <w:rsid w:val="008574A4"/>
    <w:rsid w:val="00860B70"/>
    <w:rsid w:val="008614A1"/>
    <w:rsid w:val="00863AE7"/>
    <w:rsid w:val="0086608E"/>
    <w:rsid w:val="00870787"/>
    <w:rsid w:val="00870AFB"/>
    <w:rsid w:val="0087467D"/>
    <w:rsid w:val="00875A54"/>
    <w:rsid w:val="00877F52"/>
    <w:rsid w:val="0088158B"/>
    <w:rsid w:val="00881A4E"/>
    <w:rsid w:val="00881EE9"/>
    <w:rsid w:val="00886A8A"/>
    <w:rsid w:val="00887051"/>
    <w:rsid w:val="00887206"/>
    <w:rsid w:val="00887774"/>
    <w:rsid w:val="00887B20"/>
    <w:rsid w:val="00887FCB"/>
    <w:rsid w:val="00891A1B"/>
    <w:rsid w:val="00894139"/>
    <w:rsid w:val="008A3D76"/>
    <w:rsid w:val="008A610F"/>
    <w:rsid w:val="008B4A2A"/>
    <w:rsid w:val="008B5AA1"/>
    <w:rsid w:val="008B67C3"/>
    <w:rsid w:val="008C17B3"/>
    <w:rsid w:val="008C318A"/>
    <w:rsid w:val="008D0797"/>
    <w:rsid w:val="008D25AE"/>
    <w:rsid w:val="008D38BE"/>
    <w:rsid w:val="008D6028"/>
    <w:rsid w:val="008D6A1D"/>
    <w:rsid w:val="008E170C"/>
    <w:rsid w:val="008E3AB8"/>
    <w:rsid w:val="008E3D57"/>
    <w:rsid w:val="008E7086"/>
    <w:rsid w:val="008E7FBB"/>
    <w:rsid w:val="008F1DBA"/>
    <w:rsid w:val="008F4295"/>
    <w:rsid w:val="008F60D6"/>
    <w:rsid w:val="009023F9"/>
    <w:rsid w:val="009026FF"/>
    <w:rsid w:val="00905491"/>
    <w:rsid w:val="00905769"/>
    <w:rsid w:val="00906700"/>
    <w:rsid w:val="009074F6"/>
    <w:rsid w:val="00912FAC"/>
    <w:rsid w:val="00913DD8"/>
    <w:rsid w:val="0091642D"/>
    <w:rsid w:val="00921803"/>
    <w:rsid w:val="0092253C"/>
    <w:rsid w:val="00922FF0"/>
    <w:rsid w:val="00923BD7"/>
    <w:rsid w:val="00924604"/>
    <w:rsid w:val="00926503"/>
    <w:rsid w:val="00926921"/>
    <w:rsid w:val="00927733"/>
    <w:rsid w:val="0093039D"/>
    <w:rsid w:val="009338A2"/>
    <w:rsid w:val="00933A1A"/>
    <w:rsid w:val="009340C0"/>
    <w:rsid w:val="00936073"/>
    <w:rsid w:val="00936206"/>
    <w:rsid w:val="009435D7"/>
    <w:rsid w:val="009442E4"/>
    <w:rsid w:val="0094489D"/>
    <w:rsid w:val="0094791D"/>
    <w:rsid w:val="00947A82"/>
    <w:rsid w:val="009503EA"/>
    <w:rsid w:val="00951B71"/>
    <w:rsid w:val="00952980"/>
    <w:rsid w:val="00955E77"/>
    <w:rsid w:val="0096077F"/>
    <w:rsid w:val="00965187"/>
    <w:rsid w:val="0096718D"/>
    <w:rsid w:val="00972964"/>
    <w:rsid w:val="00972A18"/>
    <w:rsid w:val="009775C9"/>
    <w:rsid w:val="00977BB3"/>
    <w:rsid w:val="00981321"/>
    <w:rsid w:val="00981AB9"/>
    <w:rsid w:val="00981CA1"/>
    <w:rsid w:val="00983E16"/>
    <w:rsid w:val="00985CB8"/>
    <w:rsid w:val="00986476"/>
    <w:rsid w:val="00987845"/>
    <w:rsid w:val="009909C8"/>
    <w:rsid w:val="0099240F"/>
    <w:rsid w:val="00992830"/>
    <w:rsid w:val="00993349"/>
    <w:rsid w:val="0099550D"/>
    <w:rsid w:val="009972A0"/>
    <w:rsid w:val="00997F08"/>
    <w:rsid w:val="009A021D"/>
    <w:rsid w:val="009A125F"/>
    <w:rsid w:val="009A2122"/>
    <w:rsid w:val="009A2BAE"/>
    <w:rsid w:val="009B3049"/>
    <w:rsid w:val="009B5AE3"/>
    <w:rsid w:val="009B6CF4"/>
    <w:rsid w:val="009C0666"/>
    <w:rsid w:val="009C320D"/>
    <w:rsid w:val="009C48B5"/>
    <w:rsid w:val="009C67DA"/>
    <w:rsid w:val="009D0382"/>
    <w:rsid w:val="009D2D60"/>
    <w:rsid w:val="009D62A5"/>
    <w:rsid w:val="009D702C"/>
    <w:rsid w:val="009E2C1E"/>
    <w:rsid w:val="009E30F2"/>
    <w:rsid w:val="009E5080"/>
    <w:rsid w:val="009E5A01"/>
    <w:rsid w:val="009F063D"/>
    <w:rsid w:val="009F56CA"/>
    <w:rsid w:val="009F59F5"/>
    <w:rsid w:val="009F6DE9"/>
    <w:rsid w:val="009F7BC2"/>
    <w:rsid w:val="00A03ADA"/>
    <w:rsid w:val="00A050E3"/>
    <w:rsid w:val="00A051E0"/>
    <w:rsid w:val="00A07BCB"/>
    <w:rsid w:val="00A110C8"/>
    <w:rsid w:val="00A12E34"/>
    <w:rsid w:val="00A15152"/>
    <w:rsid w:val="00A169DD"/>
    <w:rsid w:val="00A16CA6"/>
    <w:rsid w:val="00A17C29"/>
    <w:rsid w:val="00A20882"/>
    <w:rsid w:val="00A20A5C"/>
    <w:rsid w:val="00A21FC6"/>
    <w:rsid w:val="00A22D2A"/>
    <w:rsid w:val="00A2384F"/>
    <w:rsid w:val="00A2398A"/>
    <w:rsid w:val="00A24A58"/>
    <w:rsid w:val="00A24D56"/>
    <w:rsid w:val="00A269D2"/>
    <w:rsid w:val="00A30B20"/>
    <w:rsid w:val="00A317BE"/>
    <w:rsid w:val="00A3291A"/>
    <w:rsid w:val="00A3306F"/>
    <w:rsid w:val="00A34B68"/>
    <w:rsid w:val="00A43681"/>
    <w:rsid w:val="00A44637"/>
    <w:rsid w:val="00A448A6"/>
    <w:rsid w:val="00A45F4F"/>
    <w:rsid w:val="00A46032"/>
    <w:rsid w:val="00A4683C"/>
    <w:rsid w:val="00A4709E"/>
    <w:rsid w:val="00A51176"/>
    <w:rsid w:val="00A51B32"/>
    <w:rsid w:val="00A600A9"/>
    <w:rsid w:val="00A63DA8"/>
    <w:rsid w:val="00A66EB3"/>
    <w:rsid w:val="00A72FDE"/>
    <w:rsid w:val="00A73A72"/>
    <w:rsid w:val="00A77E3E"/>
    <w:rsid w:val="00A80336"/>
    <w:rsid w:val="00A80B15"/>
    <w:rsid w:val="00A853F3"/>
    <w:rsid w:val="00A85E66"/>
    <w:rsid w:val="00A86C40"/>
    <w:rsid w:val="00A86EB0"/>
    <w:rsid w:val="00A8730F"/>
    <w:rsid w:val="00A9259E"/>
    <w:rsid w:val="00A92FD4"/>
    <w:rsid w:val="00A93B75"/>
    <w:rsid w:val="00A95D1B"/>
    <w:rsid w:val="00AA3A01"/>
    <w:rsid w:val="00AA5535"/>
    <w:rsid w:val="00AA55B7"/>
    <w:rsid w:val="00AA5B9E"/>
    <w:rsid w:val="00AA73A1"/>
    <w:rsid w:val="00AB11E4"/>
    <w:rsid w:val="00AB2407"/>
    <w:rsid w:val="00AB2A3E"/>
    <w:rsid w:val="00AB2B49"/>
    <w:rsid w:val="00AB53DF"/>
    <w:rsid w:val="00AB6B9E"/>
    <w:rsid w:val="00AC1324"/>
    <w:rsid w:val="00AC1A53"/>
    <w:rsid w:val="00AD3E8B"/>
    <w:rsid w:val="00AD4331"/>
    <w:rsid w:val="00AE0DC2"/>
    <w:rsid w:val="00AE1737"/>
    <w:rsid w:val="00AE2C4B"/>
    <w:rsid w:val="00AE4B4C"/>
    <w:rsid w:val="00AE5D9F"/>
    <w:rsid w:val="00AE7D23"/>
    <w:rsid w:val="00AF204B"/>
    <w:rsid w:val="00AF3ABF"/>
    <w:rsid w:val="00AF3BCF"/>
    <w:rsid w:val="00AF6192"/>
    <w:rsid w:val="00AF686B"/>
    <w:rsid w:val="00B00253"/>
    <w:rsid w:val="00B007E0"/>
    <w:rsid w:val="00B01933"/>
    <w:rsid w:val="00B04653"/>
    <w:rsid w:val="00B04F35"/>
    <w:rsid w:val="00B07E5C"/>
    <w:rsid w:val="00B116F8"/>
    <w:rsid w:val="00B12EC3"/>
    <w:rsid w:val="00B16ACF"/>
    <w:rsid w:val="00B1750B"/>
    <w:rsid w:val="00B17A15"/>
    <w:rsid w:val="00B20377"/>
    <w:rsid w:val="00B2110D"/>
    <w:rsid w:val="00B21358"/>
    <w:rsid w:val="00B22269"/>
    <w:rsid w:val="00B25992"/>
    <w:rsid w:val="00B31ABF"/>
    <w:rsid w:val="00B330A9"/>
    <w:rsid w:val="00B33CC9"/>
    <w:rsid w:val="00B3469E"/>
    <w:rsid w:val="00B368F6"/>
    <w:rsid w:val="00B43D35"/>
    <w:rsid w:val="00B446BE"/>
    <w:rsid w:val="00B44C42"/>
    <w:rsid w:val="00B44E66"/>
    <w:rsid w:val="00B45E52"/>
    <w:rsid w:val="00B4731B"/>
    <w:rsid w:val="00B51DBD"/>
    <w:rsid w:val="00B537C2"/>
    <w:rsid w:val="00B543FE"/>
    <w:rsid w:val="00B55C8F"/>
    <w:rsid w:val="00B56A1C"/>
    <w:rsid w:val="00B62523"/>
    <w:rsid w:val="00B62855"/>
    <w:rsid w:val="00B64192"/>
    <w:rsid w:val="00B64913"/>
    <w:rsid w:val="00B66616"/>
    <w:rsid w:val="00B670FA"/>
    <w:rsid w:val="00B70C59"/>
    <w:rsid w:val="00B72974"/>
    <w:rsid w:val="00B77DFF"/>
    <w:rsid w:val="00B811F7"/>
    <w:rsid w:val="00B821AC"/>
    <w:rsid w:val="00B84895"/>
    <w:rsid w:val="00B87B4C"/>
    <w:rsid w:val="00B918E3"/>
    <w:rsid w:val="00B93116"/>
    <w:rsid w:val="00B94575"/>
    <w:rsid w:val="00B9611F"/>
    <w:rsid w:val="00BA0065"/>
    <w:rsid w:val="00BA2303"/>
    <w:rsid w:val="00BA38AA"/>
    <w:rsid w:val="00BA5DC6"/>
    <w:rsid w:val="00BA6196"/>
    <w:rsid w:val="00BA61B3"/>
    <w:rsid w:val="00BA6311"/>
    <w:rsid w:val="00BA6319"/>
    <w:rsid w:val="00BB21A3"/>
    <w:rsid w:val="00BB2C89"/>
    <w:rsid w:val="00BB5382"/>
    <w:rsid w:val="00BB55E5"/>
    <w:rsid w:val="00BB6E4D"/>
    <w:rsid w:val="00BB77D1"/>
    <w:rsid w:val="00BC0106"/>
    <w:rsid w:val="00BC18E6"/>
    <w:rsid w:val="00BC250C"/>
    <w:rsid w:val="00BC2AE6"/>
    <w:rsid w:val="00BC48A7"/>
    <w:rsid w:val="00BC6D8C"/>
    <w:rsid w:val="00BD0A76"/>
    <w:rsid w:val="00BD1A3D"/>
    <w:rsid w:val="00BD1CC3"/>
    <w:rsid w:val="00BD2AC6"/>
    <w:rsid w:val="00BE656C"/>
    <w:rsid w:val="00BE6656"/>
    <w:rsid w:val="00BE788A"/>
    <w:rsid w:val="00BF1E2D"/>
    <w:rsid w:val="00BF453F"/>
    <w:rsid w:val="00BF55E7"/>
    <w:rsid w:val="00C00071"/>
    <w:rsid w:val="00C006CD"/>
    <w:rsid w:val="00C00823"/>
    <w:rsid w:val="00C01017"/>
    <w:rsid w:val="00C114B1"/>
    <w:rsid w:val="00C1259C"/>
    <w:rsid w:val="00C12D16"/>
    <w:rsid w:val="00C151FE"/>
    <w:rsid w:val="00C178C0"/>
    <w:rsid w:val="00C17E9D"/>
    <w:rsid w:val="00C203A7"/>
    <w:rsid w:val="00C2189E"/>
    <w:rsid w:val="00C21966"/>
    <w:rsid w:val="00C21E36"/>
    <w:rsid w:val="00C237B4"/>
    <w:rsid w:val="00C25F8D"/>
    <w:rsid w:val="00C278ED"/>
    <w:rsid w:val="00C31ABD"/>
    <w:rsid w:val="00C33D39"/>
    <w:rsid w:val="00C34006"/>
    <w:rsid w:val="00C34BD9"/>
    <w:rsid w:val="00C36176"/>
    <w:rsid w:val="00C36C12"/>
    <w:rsid w:val="00C3709F"/>
    <w:rsid w:val="00C37A60"/>
    <w:rsid w:val="00C426B1"/>
    <w:rsid w:val="00C44341"/>
    <w:rsid w:val="00C44349"/>
    <w:rsid w:val="00C5002C"/>
    <w:rsid w:val="00C51C3D"/>
    <w:rsid w:val="00C5347B"/>
    <w:rsid w:val="00C53E01"/>
    <w:rsid w:val="00C61DA3"/>
    <w:rsid w:val="00C642D2"/>
    <w:rsid w:val="00C6616D"/>
    <w:rsid w:val="00C748E7"/>
    <w:rsid w:val="00C76113"/>
    <w:rsid w:val="00C834FE"/>
    <w:rsid w:val="00C84414"/>
    <w:rsid w:val="00C860F6"/>
    <w:rsid w:val="00C87067"/>
    <w:rsid w:val="00C874C6"/>
    <w:rsid w:val="00C90D6A"/>
    <w:rsid w:val="00C93DCC"/>
    <w:rsid w:val="00C944E2"/>
    <w:rsid w:val="00C95A8B"/>
    <w:rsid w:val="00C97EEA"/>
    <w:rsid w:val="00CA247E"/>
    <w:rsid w:val="00CA35AA"/>
    <w:rsid w:val="00CA5409"/>
    <w:rsid w:val="00CA7214"/>
    <w:rsid w:val="00CB0E6C"/>
    <w:rsid w:val="00CB2CDD"/>
    <w:rsid w:val="00CB4FC9"/>
    <w:rsid w:val="00CB51BF"/>
    <w:rsid w:val="00CB5977"/>
    <w:rsid w:val="00CB5EC7"/>
    <w:rsid w:val="00CC72B6"/>
    <w:rsid w:val="00CD5B51"/>
    <w:rsid w:val="00CE05B4"/>
    <w:rsid w:val="00CE2C68"/>
    <w:rsid w:val="00CE51F8"/>
    <w:rsid w:val="00CE641C"/>
    <w:rsid w:val="00CF3FE9"/>
    <w:rsid w:val="00CF4B1F"/>
    <w:rsid w:val="00D00257"/>
    <w:rsid w:val="00D0041B"/>
    <w:rsid w:val="00D01624"/>
    <w:rsid w:val="00D0218D"/>
    <w:rsid w:val="00D03D0D"/>
    <w:rsid w:val="00D0775C"/>
    <w:rsid w:val="00D07C11"/>
    <w:rsid w:val="00D10414"/>
    <w:rsid w:val="00D11405"/>
    <w:rsid w:val="00D12F09"/>
    <w:rsid w:val="00D16DCE"/>
    <w:rsid w:val="00D23880"/>
    <w:rsid w:val="00D239C9"/>
    <w:rsid w:val="00D23D6C"/>
    <w:rsid w:val="00D26B89"/>
    <w:rsid w:val="00D318E3"/>
    <w:rsid w:val="00D33A29"/>
    <w:rsid w:val="00D35352"/>
    <w:rsid w:val="00D40EBB"/>
    <w:rsid w:val="00D4142E"/>
    <w:rsid w:val="00D41864"/>
    <w:rsid w:val="00D44720"/>
    <w:rsid w:val="00D451B2"/>
    <w:rsid w:val="00D45482"/>
    <w:rsid w:val="00D551E2"/>
    <w:rsid w:val="00D57746"/>
    <w:rsid w:val="00D619CD"/>
    <w:rsid w:val="00D72738"/>
    <w:rsid w:val="00D752D6"/>
    <w:rsid w:val="00D757B9"/>
    <w:rsid w:val="00D77EFD"/>
    <w:rsid w:val="00D80A17"/>
    <w:rsid w:val="00D81BFD"/>
    <w:rsid w:val="00D82149"/>
    <w:rsid w:val="00D85C5C"/>
    <w:rsid w:val="00D8774A"/>
    <w:rsid w:val="00D87A5C"/>
    <w:rsid w:val="00D919A0"/>
    <w:rsid w:val="00D921B8"/>
    <w:rsid w:val="00D940AD"/>
    <w:rsid w:val="00DA1EBE"/>
    <w:rsid w:val="00DA2529"/>
    <w:rsid w:val="00DA40BC"/>
    <w:rsid w:val="00DA591B"/>
    <w:rsid w:val="00DB130A"/>
    <w:rsid w:val="00DB3461"/>
    <w:rsid w:val="00DC0E8B"/>
    <w:rsid w:val="00DC10A1"/>
    <w:rsid w:val="00DC1809"/>
    <w:rsid w:val="00DC61BA"/>
    <w:rsid w:val="00DC655F"/>
    <w:rsid w:val="00DD0B59"/>
    <w:rsid w:val="00DD0C0B"/>
    <w:rsid w:val="00DD29F3"/>
    <w:rsid w:val="00DD56DC"/>
    <w:rsid w:val="00DD7EBD"/>
    <w:rsid w:val="00DE1D27"/>
    <w:rsid w:val="00DE374B"/>
    <w:rsid w:val="00DE3AC1"/>
    <w:rsid w:val="00DE44E0"/>
    <w:rsid w:val="00DF1F28"/>
    <w:rsid w:val="00DF2F03"/>
    <w:rsid w:val="00DF62B6"/>
    <w:rsid w:val="00DF7401"/>
    <w:rsid w:val="00E000B6"/>
    <w:rsid w:val="00E02527"/>
    <w:rsid w:val="00E069D6"/>
    <w:rsid w:val="00E07225"/>
    <w:rsid w:val="00E0749E"/>
    <w:rsid w:val="00E10B00"/>
    <w:rsid w:val="00E14B7A"/>
    <w:rsid w:val="00E156F1"/>
    <w:rsid w:val="00E17A5C"/>
    <w:rsid w:val="00E20C9E"/>
    <w:rsid w:val="00E22578"/>
    <w:rsid w:val="00E2505E"/>
    <w:rsid w:val="00E25414"/>
    <w:rsid w:val="00E25CE1"/>
    <w:rsid w:val="00E26B33"/>
    <w:rsid w:val="00E319F2"/>
    <w:rsid w:val="00E36949"/>
    <w:rsid w:val="00E45B27"/>
    <w:rsid w:val="00E51816"/>
    <w:rsid w:val="00E53CDD"/>
    <w:rsid w:val="00E5409F"/>
    <w:rsid w:val="00E57A15"/>
    <w:rsid w:val="00E57B40"/>
    <w:rsid w:val="00E61CE1"/>
    <w:rsid w:val="00E641FE"/>
    <w:rsid w:val="00E6491A"/>
    <w:rsid w:val="00E64D20"/>
    <w:rsid w:val="00E6749B"/>
    <w:rsid w:val="00E7041C"/>
    <w:rsid w:val="00E7267E"/>
    <w:rsid w:val="00E7440F"/>
    <w:rsid w:val="00E7624A"/>
    <w:rsid w:val="00E76BCF"/>
    <w:rsid w:val="00E8127F"/>
    <w:rsid w:val="00E81806"/>
    <w:rsid w:val="00E84F34"/>
    <w:rsid w:val="00E853B9"/>
    <w:rsid w:val="00E8595E"/>
    <w:rsid w:val="00E87F7B"/>
    <w:rsid w:val="00E91900"/>
    <w:rsid w:val="00E9523D"/>
    <w:rsid w:val="00E960E7"/>
    <w:rsid w:val="00E96221"/>
    <w:rsid w:val="00EA4861"/>
    <w:rsid w:val="00EA6B7F"/>
    <w:rsid w:val="00EB1B17"/>
    <w:rsid w:val="00EB29A5"/>
    <w:rsid w:val="00EB5671"/>
    <w:rsid w:val="00EB5E75"/>
    <w:rsid w:val="00EC1B76"/>
    <w:rsid w:val="00EC4A28"/>
    <w:rsid w:val="00EC4FDC"/>
    <w:rsid w:val="00ED27EB"/>
    <w:rsid w:val="00ED281A"/>
    <w:rsid w:val="00ED48CE"/>
    <w:rsid w:val="00ED4C40"/>
    <w:rsid w:val="00ED5A17"/>
    <w:rsid w:val="00ED63EF"/>
    <w:rsid w:val="00ED6933"/>
    <w:rsid w:val="00EE1312"/>
    <w:rsid w:val="00EE1E77"/>
    <w:rsid w:val="00EE2566"/>
    <w:rsid w:val="00EE2DE1"/>
    <w:rsid w:val="00EE37D4"/>
    <w:rsid w:val="00EE3D3E"/>
    <w:rsid w:val="00EE6488"/>
    <w:rsid w:val="00EE65D3"/>
    <w:rsid w:val="00EF0C9B"/>
    <w:rsid w:val="00EF3091"/>
    <w:rsid w:val="00EF5FD0"/>
    <w:rsid w:val="00EF6330"/>
    <w:rsid w:val="00F021FA"/>
    <w:rsid w:val="00F056B0"/>
    <w:rsid w:val="00F065CC"/>
    <w:rsid w:val="00F13B5E"/>
    <w:rsid w:val="00F141BC"/>
    <w:rsid w:val="00F15F8B"/>
    <w:rsid w:val="00F15FE2"/>
    <w:rsid w:val="00F171E9"/>
    <w:rsid w:val="00F21CD8"/>
    <w:rsid w:val="00F2335C"/>
    <w:rsid w:val="00F23B96"/>
    <w:rsid w:val="00F24182"/>
    <w:rsid w:val="00F25D77"/>
    <w:rsid w:val="00F26F59"/>
    <w:rsid w:val="00F32F69"/>
    <w:rsid w:val="00F34647"/>
    <w:rsid w:val="00F34B9A"/>
    <w:rsid w:val="00F35999"/>
    <w:rsid w:val="00F35B02"/>
    <w:rsid w:val="00F36498"/>
    <w:rsid w:val="00F376E3"/>
    <w:rsid w:val="00F416AC"/>
    <w:rsid w:val="00F4429E"/>
    <w:rsid w:val="00F50AA2"/>
    <w:rsid w:val="00F52283"/>
    <w:rsid w:val="00F52ECB"/>
    <w:rsid w:val="00F53C82"/>
    <w:rsid w:val="00F54788"/>
    <w:rsid w:val="00F600E0"/>
    <w:rsid w:val="00F604CF"/>
    <w:rsid w:val="00F60F18"/>
    <w:rsid w:val="00F62E97"/>
    <w:rsid w:val="00F62EDE"/>
    <w:rsid w:val="00F64209"/>
    <w:rsid w:val="00F64D34"/>
    <w:rsid w:val="00F6543F"/>
    <w:rsid w:val="00F65887"/>
    <w:rsid w:val="00F6636E"/>
    <w:rsid w:val="00F66FBD"/>
    <w:rsid w:val="00F715A1"/>
    <w:rsid w:val="00F71D1B"/>
    <w:rsid w:val="00F75E85"/>
    <w:rsid w:val="00F8649D"/>
    <w:rsid w:val="00F872E7"/>
    <w:rsid w:val="00F8774F"/>
    <w:rsid w:val="00F9052B"/>
    <w:rsid w:val="00F90A59"/>
    <w:rsid w:val="00F924AA"/>
    <w:rsid w:val="00F92DB6"/>
    <w:rsid w:val="00F93006"/>
    <w:rsid w:val="00F93BF5"/>
    <w:rsid w:val="00F9586C"/>
    <w:rsid w:val="00FA08B0"/>
    <w:rsid w:val="00FA2DDA"/>
    <w:rsid w:val="00FA5A51"/>
    <w:rsid w:val="00FA71BF"/>
    <w:rsid w:val="00FB1C1F"/>
    <w:rsid w:val="00FB34C4"/>
    <w:rsid w:val="00FB386F"/>
    <w:rsid w:val="00FB48C8"/>
    <w:rsid w:val="00FB5634"/>
    <w:rsid w:val="00FB5D14"/>
    <w:rsid w:val="00FC1D08"/>
    <w:rsid w:val="00FC2B80"/>
    <w:rsid w:val="00FC2BF5"/>
    <w:rsid w:val="00FC756B"/>
    <w:rsid w:val="00FD082F"/>
    <w:rsid w:val="00FD134E"/>
    <w:rsid w:val="00FD2003"/>
    <w:rsid w:val="00FD670A"/>
    <w:rsid w:val="00FD757D"/>
    <w:rsid w:val="00FE0012"/>
    <w:rsid w:val="00FE2D39"/>
    <w:rsid w:val="00FE31E2"/>
    <w:rsid w:val="00FE3A72"/>
    <w:rsid w:val="00FE41E0"/>
    <w:rsid w:val="00FE41FD"/>
    <w:rsid w:val="00FE6477"/>
    <w:rsid w:val="00FF5201"/>
    <w:rsid w:val="00FF53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tabs>
        <w:tab w:val="num" w:pos="1440"/>
        <w:tab w:val="clear" w:pos="2340"/>
      </w:tabs>
      <w:spacing w:after="120"/>
      <w:ind w:left="144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3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f,fn,rrfootnote"/>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 Char Char4 Char Char Char,Footnote Text Char1 Char Char,Footnote Text Char1 Char1,Footnote Text Char4 Char1 Char Char Char,Footnote Text Char7 Char Char Char,Footnote Text Char7 Char Char Char Char Char Char,fn Char"/>
    <w:link w:val="FootnoteText"/>
    <w:rsid w:val="00441E04"/>
  </w:style>
  <w:style w:type="character" w:customStyle="1" w:styleId="documentbody1">
    <w:name w:val="documentbody1"/>
    <w:basedOn w:val="DefaultParagraphFont"/>
    <w:rsid w:val="00441E04"/>
    <w:rPr>
      <w:rFonts w:ascii="Verdana" w:hAnsi="Verdana" w:hint="default"/>
      <w:sz w:val="19"/>
      <w:szCs w:val="19"/>
    </w:rPr>
  </w:style>
  <w:style w:type="character" w:customStyle="1" w:styleId="FootnoteTextChar2">
    <w:name w:val="Footnote Text Char2"/>
    <w:aliases w:val="Footnote Text Char Char,Footnote Text Char Char Char Char,Footnote Text Char1 Char2 Char Char Char Char,Footnote Text Char2 Char Char Char Char,Footnote Text Char4 Char1 Char Char Char Char Char,rrfootnote Char Char,rrfootnote Char1"/>
    <w:basedOn w:val="DefaultParagraphFont"/>
    <w:rsid w:val="00080626"/>
    <w:rPr>
      <w:sz w:val="22"/>
      <w:lang w:val="en-US" w:eastAsia="en-US" w:bidi="ar-SA"/>
    </w:rPr>
  </w:style>
  <w:style w:type="paragraph" w:styleId="ListParagraph">
    <w:name w:val="List Paragraph"/>
    <w:basedOn w:val="Normal"/>
    <w:uiPriority w:val="34"/>
    <w:qFormat/>
    <w:rsid w:val="00080626"/>
    <w:pPr>
      <w:ind w:left="720"/>
      <w:contextualSpacing/>
    </w:pPr>
  </w:style>
  <w:style w:type="paragraph" w:styleId="NoSpacing">
    <w:name w:val="No Spacing"/>
    <w:uiPriority w:val="1"/>
    <w:qFormat/>
    <w:rsid w:val="00906700"/>
    <w:pPr>
      <w:widowControl w:val="0"/>
    </w:pPr>
    <w:rPr>
      <w:snapToGrid w:val="0"/>
      <w:kern w:val="28"/>
      <w:sz w:val="22"/>
    </w:rPr>
  </w:style>
  <w:style w:type="character" w:customStyle="1" w:styleId="FooterChar">
    <w:name w:val="Footer Char"/>
    <w:basedOn w:val="DefaultParagraphFont"/>
    <w:link w:val="Footer"/>
    <w:rsid w:val="0040082D"/>
    <w:rPr>
      <w:snapToGrid w:val="0"/>
      <w:kern w:val="28"/>
      <w:sz w:val="22"/>
    </w:rPr>
  </w:style>
  <w:style w:type="character" w:styleId="CommentReference">
    <w:name w:val="annotation reference"/>
    <w:basedOn w:val="DefaultParagraphFont"/>
    <w:semiHidden/>
    <w:unhideWhenUsed/>
    <w:rsid w:val="00557465"/>
    <w:rPr>
      <w:sz w:val="16"/>
      <w:szCs w:val="16"/>
    </w:rPr>
  </w:style>
  <w:style w:type="paragraph" w:styleId="CommentText">
    <w:name w:val="annotation text"/>
    <w:basedOn w:val="Normal"/>
    <w:link w:val="CommentTextChar"/>
    <w:semiHidden/>
    <w:unhideWhenUsed/>
    <w:rsid w:val="00557465"/>
    <w:rPr>
      <w:sz w:val="20"/>
    </w:rPr>
  </w:style>
  <w:style w:type="character" w:customStyle="1" w:styleId="CommentTextChar">
    <w:name w:val="Comment Text Char"/>
    <w:basedOn w:val="DefaultParagraphFont"/>
    <w:link w:val="CommentText"/>
    <w:semiHidden/>
    <w:rsid w:val="00557465"/>
    <w:rPr>
      <w:snapToGrid w:val="0"/>
      <w:kern w:val="28"/>
    </w:rPr>
  </w:style>
  <w:style w:type="paragraph" w:styleId="CommentSubject">
    <w:name w:val="annotation subject"/>
    <w:basedOn w:val="CommentText"/>
    <w:next w:val="CommentText"/>
    <w:link w:val="CommentSubjectChar"/>
    <w:semiHidden/>
    <w:unhideWhenUsed/>
    <w:rsid w:val="00557465"/>
    <w:rPr>
      <w:b/>
      <w:bCs/>
    </w:rPr>
  </w:style>
  <w:style w:type="character" w:customStyle="1" w:styleId="CommentSubjectChar">
    <w:name w:val="Comment Subject Char"/>
    <w:basedOn w:val="CommentTextChar"/>
    <w:link w:val="CommentSubject"/>
    <w:semiHidden/>
    <w:rsid w:val="00557465"/>
    <w:rPr>
      <w:b/>
      <w:bCs/>
      <w:snapToGrid w:val="0"/>
      <w:kern w:val="28"/>
    </w:rPr>
  </w:style>
  <w:style w:type="paragraph" w:styleId="BalloonText">
    <w:name w:val="Balloon Text"/>
    <w:basedOn w:val="Normal"/>
    <w:link w:val="BalloonTextChar"/>
    <w:semiHidden/>
    <w:unhideWhenUsed/>
    <w:rsid w:val="00557465"/>
    <w:rPr>
      <w:rFonts w:ascii="Segoe UI" w:hAnsi="Segoe UI" w:cs="Segoe UI"/>
      <w:sz w:val="18"/>
      <w:szCs w:val="18"/>
    </w:rPr>
  </w:style>
  <w:style w:type="character" w:customStyle="1" w:styleId="BalloonTextChar">
    <w:name w:val="Balloon Text Char"/>
    <w:basedOn w:val="DefaultParagraphFont"/>
    <w:link w:val="BalloonText"/>
    <w:semiHidden/>
    <w:rsid w:val="00557465"/>
    <w:rPr>
      <w:rFonts w:ascii="Segoe UI" w:hAnsi="Segoe UI" w:cs="Segoe UI"/>
      <w:snapToGrid w:val="0"/>
      <w:kern w:val="28"/>
      <w:sz w:val="18"/>
      <w:szCs w:val="18"/>
    </w:rPr>
  </w:style>
  <w:style w:type="character" w:customStyle="1" w:styleId="term">
    <w:name w:val="term"/>
    <w:basedOn w:val="DefaultParagraphFont"/>
    <w:rsid w:val="00C01017"/>
  </w:style>
  <w:style w:type="character" w:styleId="Emphasis">
    <w:name w:val="Emphasis"/>
    <w:basedOn w:val="DefaultParagraphFont"/>
    <w:uiPriority w:val="20"/>
    <w:qFormat/>
    <w:rsid w:val="004A256C"/>
    <w:rPr>
      <w:i/>
      <w:iCs/>
    </w:rPr>
  </w:style>
  <w:style w:type="paragraph" w:styleId="Revision">
    <w:name w:val="Revision"/>
    <w:hidden/>
    <w:uiPriority w:val="99"/>
    <w:semiHidden/>
    <w:rsid w:val="00D0775C"/>
    <w:rPr>
      <w:snapToGrid w:val="0"/>
      <w:kern w:val="28"/>
      <w:sz w:val="22"/>
    </w:rPr>
  </w:style>
  <w:style w:type="character" w:customStyle="1" w:styleId="term1">
    <w:name w:val="term1"/>
    <w:rsid w:val="00EF5FD0"/>
    <w:rPr>
      <w:b/>
      <w:bCs/>
    </w:rPr>
  </w:style>
  <w:style w:type="character" w:customStyle="1" w:styleId="UnresolvedMention">
    <w:name w:val="Unresolved Mention"/>
    <w:basedOn w:val="DefaultParagraphFont"/>
    <w:uiPriority w:val="99"/>
    <w:semiHidden/>
    <w:unhideWhenUsed/>
    <w:rsid w:val="00104F0C"/>
    <w:rPr>
      <w:color w:val="605E5C"/>
      <w:shd w:val="clear" w:color="auto" w:fill="E1DFDD"/>
    </w:rPr>
  </w:style>
  <w:style w:type="character" w:customStyle="1" w:styleId="documentbody">
    <w:name w:val="documentbody"/>
    <w:basedOn w:val="DefaultParagraphFont"/>
    <w:rsid w:val="00FB5D14"/>
  </w:style>
  <w:style w:type="character" w:customStyle="1" w:styleId="searchterm">
    <w:name w:val="searchterm"/>
    <w:basedOn w:val="DefaultParagraphFont"/>
    <w:rsid w:val="00FB5D14"/>
  </w:style>
  <w:style w:type="character" w:customStyle="1" w:styleId="costarpage">
    <w:name w:val="co_starpage"/>
    <w:basedOn w:val="DefaultParagraphFont"/>
    <w:rsid w:val="000559DC"/>
  </w:style>
  <w:style w:type="character" w:customStyle="1" w:styleId="cosearchterm">
    <w:name w:val="co_searchterm"/>
    <w:basedOn w:val="DefaultParagraphFont"/>
    <w:rsid w:val="002D3897"/>
  </w:style>
  <w:style w:type="character" w:customStyle="1" w:styleId="ParaNumChar">
    <w:name w:val="ParaNum Char"/>
    <w:link w:val="ParaNum"/>
    <w:rsid w:val="00E319F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en.Svab@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80&amp;originatingDoc=Icb3fd8dfaba611e8bc5b825c4b9add2e&amp;refType=RB&amp;originationContext=document&amp;transitionType=DocumentItem&amp;contextData=(sc.Search)" TargetMode="External" /><Relationship Id="rId10" Type="http://schemas.openxmlformats.org/officeDocument/2006/relationships/hyperlink" Target="https://1.next.westlaw.com/Link/Document/FullText?findType=Y&amp;serNum=2010730135&amp;pubNum=0004493&amp;originatingDoc=Iafb2ddde898811e4a795ac035416da91&amp;refType=CA&amp;fi=co_pp_sp_4493_13692&amp;originationContext=document&amp;transitionType=DocumentItem&amp;contextData=(sc.Search)" TargetMode="External" /><Relationship Id="rId11" Type="http://schemas.openxmlformats.org/officeDocument/2006/relationships/hyperlink" Target="https://1.next.westlaw.com/Link/Document/FullText?findType=Y&amp;serNum=1990195212&amp;pubNum=0004493&amp;originatingDoc=I713829d2934d11e7bfb79a463a4b3bc7&amp;refType=CA&amp;fi=co_pp_sp_4493_7215&amp;originationContext=document&amp;transitionType=DocumentItem&amp;contextData=(sc.Search)" TargetMode="External" /><Relationship Id="rId12" Type="http://schemas.openxmlformats.org/officeDocument/2006/relationships/hyperlink" Target="https://1.next.westlaw.com/Link/Document/FullText?findType=L&amp;pubNum=1000547&amp;cite=47CFRS74.1232&amp;originatingDoc=I713829d2934d11e7bfb79a463a4b3bc7&amp;refType=RB&amp;originationContext=document&amp;transitionType=DocumentItem&amp;contextData=(sc.Search)" TargetMode="External" /><Relationship Id="rId13" Type="http://schemas.openxmlformats.org/officeDocument/2006/relationships/hyperlink" Target="https://1.next.westlaw.com/Link/Document/FullText?findType=Y&amp;serNum=1990195212&amp;pubNum=0004493&amp;originatingDoc=I713829d2934d11e7bfb79a463a4b3bc7&amp;refType=CA&amp;fi=co_pp_sp_4493_7232&amp;originationContext=document&amp;transitionType=DocumentItem&amp;contextData=(sc.Search)" TargetMode="External" /><Relationship Id="rId14" Type="http://schemas.openxmlformats.org/officeDocument/2006/relationships/hyperlink" Target="https://1.next.westlaw.com/Link/Document/FullText?findType=Y&amp;serNum=2026358749&amp;pubNum=0004493&amp;originatingDoc=Ie66952d2579711e8bbbcd57aa014637b&amp;refType=CA&amp;originationContext=document&amp;transitionType=DocumentItem&amp;contextData=(sc.Search)" TargetMode="External" /><Relationship Id="rId15" Type="http://schemas.openxmlformats.org/officeDocument/2006/relationships/hyperlink" Target="https://1.next.westlaw.com/Link/Document/FullText?findType=Y&amp;serNum=2031969277&amp;pubNum=0004493&amp;originatingDoc=Ie66952d2579711e8bbbcd57aa014637b&amp;refType=CA&amp;fi=co_pp_sp_4493_15723&amp;originationContext=document&amp;transitionType=DocumentItem&amp;contextData=(sc.Search)" TargetMode="External" /><Relationship Id="rId16" Type="http://schemas.openxmlformats.org/officeDocument/2006/relationships/hyperlink" Target="https://1.next.westlaw.com/Link/Document/FullText?findType=L&amp;pubNum=1000547&amp;cite=47CFRS1.80&amp;originatingDoc=I80dffc465d2e11e6a795ac035416da91&amp;refType=RB&amp;originationContext=document&amp;transitionType=DocumentItem&amp;contextData=(sc.DocLink)" TargetMode="External" /><Relationship Id="rId2" Type="http://schemas.openxmlformats.org/officeDocument/2006/relationships/hyperlink" Target="https://1.next.westlaw.com/Link/Document/FullText?findType=Y&amp;serNum=1990195212&amp;pubNum=0004493&amp;originatingDoc=I2d52e282d63011e794bae40cad3637b1&amp;refType=CA&amp;fi=co_pp_sp_4493_7222&amp;originationContext=document&amp;transitionType=DocumentItem&amp;contextData=(sc.Search)" TargetMode="External" /><Relationship Id="rId3" Type="http://schemas.openxmlformats.org/officeDocument/2006/relationships/hyperlink" Target="https://1.next.westlaw.com/Link/Document/FullText?findType=L&amp;pubNum=1000546&amp;cite=47USCAS309&amp;originatingDoc=I9a6244513d8311e6a807ad48145ed9f1&amp;refType=RB&amp;originationContext=document&amp;transitionType=DocumentItem&amp;contextData=(sc.Search)" TargetMode="External" /><Relationship Id="rId4" Type="http://schemas.openxmlformats.org/officeDocument/2006/relationships/hyperlink" Target="https://1.next.westlaw.com/Link/Document/FullText?findType=Y&amp;serNum=1990195256&amp;pubNum=0004493&amp;originatingDoc=I9a6244513d8311e6a807ad48145ed9f1&amp;refType=CA&amp;fi=co_pp_sp_4493_197&amp;originationContext=document&amp;transitionType=DocumentItem&amp;contextData=(sc.Search)" TargetMode="External" /><Relationship Id="rId5" Type="http://schemas.openxmlformats.org/officeDocument/2006/relationships/hyperlink" Target="https://1.next.westlaw.com/Link/Document/FullText?findType=Y&amp;serNum=1993122752&amp;pubNum=0000350&amp;originatingDoc=I9a6244513d8311e6a807ad48145ed9f1&amp;refType=RP&amp;originationContext=document&amp;transitionType=DocumentItem&amp;contextData=(sc.Search)" TargetMode="External" /><Relationship Id="rId6" Type="http://schemas.openxmlformats.org/officeDocument/2006/relationships/hyperlink" Target="https://1.next.westlaw.com/Link/Document/FullText?findType=Y&amp;serNum=1986028724&amp;pubNum=0000265&amp;originatingDoc=I9a6244513d8311e6a807ad48145ed9f1&amp;refType=CA&amp;fi=co_pp_sp_265_864&amp;originationContext=document&amp;transitionType=DocumentItem&amp;contextData=(sc.Search)" TargetMode="External" /><Relationship Id="rId7" Type="http://schemas.openxmlformats.org/officeDocument/2006/relationships/hyperlink" Target="https://1.next.westlaw.com/Link/Document/FullText?findType=Y&amp;pubNum=4493&amp;cite=22FCCRCD5602&amp;originatingDoc=I27d8618835c011e0aa23bccc834e9520&amp;refType=CA&amp;originationContext=document&amp;transitionType=DocumentItem&amp;contextData=(sc.Search)" TargetMode="External" /><Relationship Id="rId8" Type="http://schemas.openxmlformats.org/officeDocument/2006/relationships/hyperlink" Target="https://1.next.westlaw.com/Link/Document/FullText?findType=Y&amp;serNum=2003205516&amp;pubNum=0004493&amp;originatingDoc=Ibeeb6215bb6b11e590d4edf60ce7d742&amp;refType=CA&amp;fi=co_pp_sp_4493_4017&amp;originationContext=document&amp;transitionType=DocumentItem&amp;contextData=(sc.Search)" TargetMode="External" /><Relationship Id="rId9" Type="http://schemas.openxmlformats.org/officeDocument/2006/relationships/hyperlink" Target="https://1.next.westlaw.com/Link/Document/FullText?findType=Y&amp;serNum=2029755589&amp;pubNum=0004493&amp;originatingDoc=Iafb2ddde898811e4a795ac035416da91&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