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6437F" w:rsidP="0006437F" w14:paraId="7D90B3A0" w14:textId="77777777">
      <w:pPr>
        <w:jc w:val="center"/>
        <w:rPr>
          <w:b/>
        </w:rPr>
      </w:pPr>
      <w:r>
        <w:rPr>
          <w:rFonts w:ascii="Times New Roman Bold" w:hAnsi="Times New Roman Bold"/>
          <w:b/>
          <w:kern w:val="0"/>
          <w:szCs w:val="22"/>
        </w:rPr>
        <w:t>B</w:t>
      </w:r>
      <w:r w:rsidRPr="0070224F">
        <w:rPr>
          <w:rFonts w:ascii="Times New Roman Bold" w:hAnsi="Times New Roman Bold"/>
          <w:b/>
          <w:kern w:val="0"/>
          <w:szCs w:val="22"/>
        </w:rPr>
        <w:t>efore</w:t>
      </w:r>
      <w:r>
        <w:rPr>
          <w:b/>
        </w:rPr>
        <w:t xml:space="preserve"> the</w:t>
      </w:r>
    </w:p>
    <w:p w:rsidR="0006437F" w:rsidP="0006437F" w14:paraId="3347EFB8" w14:textId="77777777">
      <w:pPr>
        <w:pStyle w:val="StyleBoldCentered"/>
      </w:pPr>
      <w:r>
        <w:t>F</w:t>
      </w:r>
      <w:r>
        <w:rPr>
          <w:caps w:val="0"/>
        </w:rPr>
        <w:t>ederal Communications Commission</w:t>
      </w:r>
    </w:p>
    <w:p w:rsidR="0006437F" w:rsidP="0006437F" w14:paraId="69C44394" w14:textId="77777777">
      <w:pPr>
        <w:pStyle w:val="StyleBoldCentered"/>
      </w:pPr>
      <w:r>
        <w:rPr>
          <w:caps w:val="0"/>
        </w:rPr>
        <w:t>Washington, D.C. 20554</w:t>
      </w:r>
    </w:p>
    <w:p w:rsidR="0006437F" w:rsidP="0006437F" w14:paraId="29616786" w14:textId="77777777"/>
    <w:tbl>
      <w:tblPr>
        <w:tblW w:w="0" w:type="auto"/>
        <w:tblLayout w:type="fixed"/>
        <w:tblLook w:val="0000"/>
      </w:tblPr>
      <w:tblGrid>
        <w:gridCol w:w="4698"/>
        <w:gridCol w:w="630"/>
        <w:gridCol w:w="4248"/>
      </w:tblGrid>
      <w:tr w14:paraId="2AF7E940" w14:textId="77777777" w:rsidTr="00267F0A">
        <w:tblPrEx>
          <w:tblW w:w="0" w:type="auto"/>
          <w:tblLayout w:type="fixed"/>
          <w:tblLook w:val="0000"/>
        </w:tblPrEx>
        <w:tc>
          <w:tcPr>
            <w:tcW w:w="4698" w:type="dxa"/>
          </w:tcPr>
          <w:p w:rsidR="0006437F" w:rsidP="00267F0A" w14:paraId="18CD4298" w14:textId="77777777">
            <w:pPr>
              <w:tabs>
                <w:tab w:val="center" w:pos="4680"/>
              </w:tabs>
              <w:suppressAutoHyphens/>
              <w:rPr>
                <w:spacing w:val="-2"/>
              </w:rPr>
            </w:pPr>
            <w:r>
              <w:rPr>
                <w:spacing w:val="-2"/>
              </w:rPr>
              <w:t>In the Matter of</w:t>
            </w:r>
          </w:p>
          <w:p w:rsidR="0006437F" w:rsidP="00267F0A" w14:paraId="15807C91" w14:textId="77777777">
            <w:pPr>
              <w:tabs>
                <w:tab w:val="center" w:pos="4680"/>
              </w:tabs>
              <w:suppressAutoHyphens/>
              <w:rPr>
                <w:spacing w:val="-2"/>
              </w:rPr>
            </w:pPr>
          </w:p>
          <w:p w:rsidR="0006437F" w:rsidP="00267F0A" w14:paraId="7D3774C1" w14:textId="77777777">
            <w:pPr>
              <w:tabs>
                <w:tab w:val="center" w:pos="4680"/>
              </w:tabs>
              <w:suppressAutoHyphens/>
              <w:rPr>
                <w:spacing w:val="-2"/>
              </w:rPr>
            </w:pPr>
            <w:r>
              <w:rPr>
                <w:spacing w:val="-2"/>
              </w:rPr>
              <w:t>Warren Havens</w:t>
            </w:r>
          </w:p>
          <w:p w:rsidR="0006437F" w:rsidP="00267F0A" w14:paraId="53870527" w14:textId="77777777">
            <w:pPr>
              <w:tabs>
                <w:tab w:val="center" w:pos="4680"/>
              </w:tabs>
              <w:suppressAutoHyphens/>
              <w:rPr>
                <w:spacing w:val="-2"/>
              </w:rPr>
            </w:pPr>
          </w:p>
          <w:p w:rsidR="0006437F" w:rsidRPr="007115F7" w:rsidP="00267F0A" w14:paraId="7DDD7883" w14:textId="77777777">
            <w:pPr>
              <w:tabs>
                <w:tab w:val="center" w:pos="4680"/>
              </w:tabs>
              <w:suppressAutoHyphens/>
              <w:rPr>
                <w:spacing w:val="-2"/>
              </w:rPr>
            </w:pPr>
            <w:r>
              <w:rPr>
                <w:spacing w:val="-2"/>
              </w:rPr>
              <w:t>On Request for Inspection of Records</w:t>
            </w:r>
          </w:p>
        </w:tc>
        <w:tc>
          <w:tcPr>
            <w:tcW w:w="630" w:type="dxa"/>
          </w:tcPr>
          <w:p w:rsidR="0006437F" w:rsidP="00267F0A" w14:paraId="34654781" w14:textId="77777777">
            <w:pPr>
              <w:tabs>
                <w:tab w:val="center" w:pos="4680"/>
              </w:tabs>
              <w:suppressAutoHyphens/>
              <w:rPr>
                <w:b/>
                <w:spacing w:val="-2"/>
              </w:rPr>
            </w:pPr>
            <w:r>
              <w:rPr>
                <w:b/>
                <w:spacing w:val="-2"/>
              </w:rPr>
              <w:t>)</w:t>
            </w:r>
          </w:p>
          <w:p w:rsidR="0006437F" w:rsidP="00267F0A" w14:paraId="2C74FAE7" w14:textId="77777777">
            <w:pPr>
              <w:tabs>
                <w:tab w:val="center" w:pos="4680"/>
              </w:tabs>
              <w:suppressAutoHyphens/>
              <w:rPr>
                <w:b/>
                <w:spacing w:val="-2"/>
              </w:rPr>
            </w:pPr>
            <w:r>
              <w:rPr>
                <w:b/>
                <w:spacing w:val="-2"/>
              </w:rPr>
              <w:t>)</w:t>
            </w:r>
          </w:p>
          <w:p w:rsidR="0006437F" w:rsidP="00267F0A" w14:paraId="1ECA3DFF" w14:textId="77777777">
            <w:pPr>
              <w:tabs>
                <w:tab w:val="center" w:pos="4680"/>
              </w:tabs>
              <w:suppressAutoHyphens/>
              <w:rPr>
                <w:b/>
                <w:spacing w:val="-2"/>
              </w:rPr>
            </w:pPr>
            <w:r>
              <w:rPr>
                <w:b/>
                <w:spacing w:val="-2"/>
              </w:rPr>
              <w:t>)</w:t>
            </w:r>
          </w:p>
          <w:p w:rsidR="0006437F" w:rsidP="00267F0A" w14:paraId="4FB91D74" w14:textId="77777777">
            <w:pPr>
              <w:tabs>
                <w:tab w:val="center" w:pos="4680"/>
              </w:tabs>
              <w:suppressAutoHyphens/>
              <w:rPr>
                <w:b/>
                <w:spacing w:val="-2"/>
              </w:rPr>
            </w:pPr>
            <w:r>
              <w:rPr>
                <w:b/>
                <w:spacing w:val="-2"/>
              </w:rPr>
              <w:t>)</w:t>
            </w:r>
          </w:p>
          <w:p w:rsidR="0006437F" w:rsidP="00267F0A" w14:paraId="0BABBF5D" w14:textId="77777777">
            <w:pPr>
              <w:tabs>
                <w:tab w:val="center" w:pos="4680"/>
              </w:tabs>
              <w:suppressAutoHyphens/>
              <w:rPr>
                <w:spacing w:val="-2"/>
              </w:rPr>
            </w:pPr>
            <w:r>
              <w:rPr>
                <w:b/>
                <w:spacing w:val="-2"/>
              </w:rPr>
              <w:t>)</w:t>
            </w:r>
          </w:p>
        </w:tc>
        <w:tc>
          <w:tcPr>
            <w:tcW w:w="4248" w:type="dxa"/>
          </w:tcPr>
          <w:p w:rsidR="0006437F" w:rsidP="00267F0A" w14:paraId="56D90C8E" w14:textId="77777777">
            <w:pPr>
              <w:tabs>
                <w:tab w:val="center" w:pos="4680"/>
              </w:tabs>
              <w:suppressAutoHyphens/>
              <w:rPr>
                <w:spacing w:val="-2"/>
              </w:rPr>
            </w:pPr>
          </w:p>
          <w:p w:rsidR="0006437F" w:rsidP="00267F0A" w14:paraId="5FC37F26" w14:textId="77777777">
            <w:pPr>
              <w:pStyle w:val="TOAHeading"/>
              <w:tabs>
                <w:tab w:val="center" w:pos="4680"/>
                <w:tab w:val="clear" w:pos="9360"/>
              </w:tabs>
              <w:rPr>
                <w:spacing w:val="-2"/>
              </w:rPr>
            </w:pPr>
          </w:p>
          <w:p w:rsidR="0006437F" w:rsidP="00267F0A" w14:paraId="69F1AD4B" w14:textId="77777777">
            <w:pPr>
              <w:tabs>
                <w:tab w:val="center" w:pos="4680"/>
              </w:tabs>
              <w:suppressAutoHyphens/>
              <w:rPr>
                <w:spacing w:val="-2"/>
              </w:rPr>
            </w:pPr>
            <w:r>
              <w:rPr>
                <w:spacing w:val="-2"/>
              </w:rPr>
              <w:t>FOIA Control No. 2014-664</w:t>
            </w:r>
          </w:p>
          <w:p w:rsidR="0006437F" w:rsidP="00267F0A" w14:paraId="779203F0" w14:textId="77777777">
            <w:pPr>
              <w:tabs>
                <w:tab w:val="center" w:pos="4680"/>
              </w:tabs>
              <w:suppressAutoHyphens/>
              <w:rPr>
                <w:spacing w:val="-2"/>
              </w:rPr>
            </w:pPr>
          </w:p>
          <w:p w:rsidR="0006437F" w:rsidP="00267F0A" w14:paraId="37AE0B65" w14:textId="77777777">
            <w:pPr>
              <w:tabs>
                <w:tab w:val="center" w:pos="4680"/>
              </w:tabs>
              <w:suppressAutoHyphens/>
              <w:rPr>
                <w:spacing w:val="-2"/>
              </w:rPr>
            </w:pPr>
          </w:p>
        </w:tc>
      </w:tr>
    </w:tbl>
    <w:p w:rsidR="0006437F" w:rsidP="0006437F" w14:paraId="03BC01A3" w14:textId="77777777"/>
    <w:p w:rsidR="0006437F" w:rsidP="0006437F" w14:paraId="5E978555" w14:textId="77777777">
      <w:pPr>
        <w:pStyle w:val="StyleBoldCentered"/>
      </w:pPr>
      <w:r>
        <w:t>ORDER</w:t>
      </w:r>
    </w:p>
    <w:p w:rsidR="0006437F" w:rsidP="0006437F" w14:paraId="75E2F3C7" w14:textId="77777777">
      <w:pPr>
        <w:tabs>
          <w:tab w:val="left" w:pos="-720"/>
        </w:tabs>
        <w:suppressAutoHyphens/>
        <w:rPr>
          <w:spacing w:val="-2"/>
        </w:rPr>
      </w:pPr>
    </w:p>
    <w:p w:rsidR="0006437F" w:rsidP="0006437F" w14:paraId="1EAF1AB2" w14:textId="4B226A31">
      <w:pPr>
        <w:tabs>
          <w:tab w:val="left" w:pos="720"/>
          <w:tab w:val="right" w:pos="9360"/>
        </w:tabs>
        <w:suppressAutoHyphens/>
        <w:rPr>
          <w:spacing w:val="-2"/>
        </w:rPr>
      </w:pPr>
      <w:r>
        <w:rPr>
          <w:b/>
          <w:spacing w:val="-2"/>
        </w:rPr>
        <w:t xml:space="preserve">Adopted: </w:t>
      </w:r>
      <w:r w:rsidR="0049727B">
        <w:rPr>
          <w:b/>
          <w:spacing w:val="-2"/>
        </w:rPr>
        <w:t>March 27</w:t>
      </w:r>
      <w:r>
        <w:rPr>
          <w:b/>
          <w:spacing w:val="-2"/>
        </w:rPr>
        <w:t>, 201</w:t>
      </w:r>
      <w:r w:rsidR="005C083D">
        <w:rPr>
          <w:b/>
          <w:spacing w:val="-2"/>
        </w:rPr>
        <w:t>9</w:t>
      </w:r>
      <w:r>
        <w:rPr>
          <w:b/>
          <w:spacing w:val="-2"/>
        </w:rPr>
        <w:tab/>
        <w:t xml:space="preserve">Released:  </w:t>
      </w:r>
      <w:r w:rsidR="0049727B">
        <w:rPr>
          <w:b/>
          <w:spacing w:val="-2"/>
        </w:rPr>
        <w:t>March 27</w:t>
      </w:r>
      <w:r>
        <w:rPr>
          <w:b/>
          <w:spacing w:val="-2"/>
        </w:rPr>
        <w:t>, 201</w:t>
      </w:r>
      <w:r w:rsidR="005C083D">
        <w:rPr>
          <w:b/>
          <w:spacing w:val="-2"/>
        </w:rPr>
        <w:t>9</w:t>
      </w:r>
    </w:p>
    <w:p w:rsidR="0006437F" w:rsidP="0006437F" w14:paraId="3E9FECD1" w14:textId="77777777"/>
    <w:p w:rsidR="0006437F" w:rsidP="0006437F" w14:paraId="184CD2B6" w14:textId="77777777">
      <w:pPr>
        <w:rPr>
          <w:spacing w:val="-2"/>
        </w:rPr>
      </w:pPr>
      <w:r>
        <w:t>By the General Counsel</w:t>
      </w:r>
      <w:r>
        <w:rPr>
          <w:spacing w:val="-2"/>
        </w:rPr>
        <w:t>:</w:t>
      </w:r>
    </w:p>
    <w:p w:rsidR="0006437F" w:rsidP="0006437F" w14:paraId="563C6037" w14:textId="77777777">
      <w:pPr>
        <w:rPr>
          <w:spacing w:val="-2"/>
        </w:rPr>
      </w:pPr>
    </w:p>
    <w:p w:rsidR="0006437F" w:rsidP="0006437F" w14:paraId="6543FE7C" w14:textId="77777777"/>
    <w:p w:rsidR="0006437F" w:rsidP="0006437F" w14:paraId="7C86D973" w14:textId="77777777">
      <w:pPr>
        <w:pStyle w:val="Heading1"/>
      </w:pPr>
      <w:r>
        <w:t>introduction</w:t>
      </w:r>
    </w:p>
    <w:p w:rsidR="0006437F" w:rsidP="00B73B7E" w14:paraId="5C50FB06" w14:textId="55F8B9AE">
      <w:pPr>
        <w:pStyle w:val="ParaNum"/>
        <w:tabs>
          <w:tab w:val="clear" w:pos="1080"/>
          <w:tab w:val="num" w:pos="1440"/>
        </w:tabs>
      </w:pPr>
      <w:r>
        <w:t xml:space="preserve">By this Order, we dismiss as unauthorized </w:t>
      </w:r>
      <w:r w:rsidR="00BD231A">
        <w:t xml:space="preserve">the </w:t>
      </w:r>
      <w:r>
        <w:t>Protective Petition for Reconsideration of MO&amp;O, 18-154, Regarding FOIA Control No. 2014-664</w:t>
      </w:r>
      <w:r w:rsidR="00E173C4">
        <w:t xml:space="preserve"> (Petition)</w:t>
      </w:r>
      <w:r>
        <w:t>, filed November 30, 2</w:t>
      </w:r>
      <w:r w:rsidR="005C083D">
        <w:t>0</w:t>
      </w:r>
      <w:r>
        <w:t xml:space="preserve">18, </w:t>
      </w:r>
      <w:r w:rsidR="00ED1AB4">
        <w:t xml:space="preserve">by Warren Havens (Havens). </w:t>
      </w:r>
      <w:r w:rsidR="004932BB">
        <w:t xml:space="preserve"> </w:t>
      </w:r>
      <w:r w:rsidR="00ED1AB4">
        <w:t>Havens seeks reconsideration of a Memorandum Opinion and Order granting in</w:t>
      </w:r>
      <w:r w:rsidR="00BD231A">
        <w:t xml:space="preserve"> </w:t>
      </w:r>
      <w:r w:rsidR="00ED1AB4">
        <w:t xml:space="preserve">part and denying in part </w:t>
      </w:r>
      <w:r w:rsidR="005E5BBC">
        <w:t xml:space="preserve">his </w:t>
      </w:r>
      <w:r w:rsidR="004E5E75">
        <w:t>A</w:t>
      </w:r>
      <w:r w:rsidR="00BD231A">
        <w:t xml:space="preserve">pplication for </w:t>
      </w:r>
      <w:r w:rsidR="004E5E75">
        <w:t>R</w:t>
      </w:r>
      <w:r w:rsidR="00BD231A">
        <w:t xml:space="preserve">eview of </w:t>
      </w:r>
      <w:r w:rsidR="00ED1AB4">
        <w:t xml:space="preserve">an Enforcement Bureau decision ruling on </w:t>
      </w:r>
      <w:r w:rsidR="005E5BBC">
        <w:t>the</w:t>
      </w:r>
      <w:r w:rsidR="00ED1AB4">
        <w:t xml:space="preserve"> above-c</w:t>
      </w:r>
      <w:r w:rsidR="00BD231A">
        <w:t xml:space="preserve">aptioned </w:t>
      </w:r>
      <w:r w:rsidR="00ED1AB4">
        <w:t>Free</w:t>
      </w:r>
      <w:r w:rsidR="00BD231A">
        <w:t>d</w:t>
      </w:r>
      <w:r w:rsidR="00ED1AB4">
        <w:t>om of Information Act (FOIA) request.</w:t>
      </w:r>
      <w:r>
        <w:rPr>
          <w:rStyle w:val="FootnoteReference"/>
        </w:rPr>
        <w:footnoteReference w:id="3"/>
      </w:r>
      <w:r w:rsidR="00ED1AB4">
        <w:t xml:space="preserve">  </w:t>
      </w:r>
      <w:r w:rsidR="00BD231A">
        <w:t>We find that Havens’</w:t>
      </w:r>
      <w:r w:rsidR="004932BB">
        <w:t>s</w:t>
      </w:r>
      <w:r w:rsidR="00BD231A">
        <w:t xml:space="preserve"> </w:t>
      </w:r>
      <w:r w:rsidR="00E173C4">
        <w:t>Petition fails to meet the prerequisites for seeking reconsideration of an order denying an application for review.</w:t>
      </w:r>
    </w:p>
    <w:p w:rsidR="00E173C4" w:rsidP="00E173C4" w14:paraId="29BB04E6" w14:textId="77777777">
      <w:pPr>
        <w:pStyle w:val="Heading1"/>
      </w:pPr>
      <w:r>
        <w:t>background</w:t>
      </w:r>
      <w:r w:rsidR="00BF210B">
        <w:t xml:space="preserve"> and discussion</w:t>
      </w:r>
    </w:p>
    <w:p w:rsidR="00E173C4" w:rsidP="005D0D85" w14:paraId="06B7BEBB" w14:textId="338EAEC7">
      <w:pPr>
        <w:pStyle w:val="ParaNum"/>
        <w:tabs>
          <w:tab w:val="clear" w:pos="1080"/>
          <w:tab w:val="num" w:pos="1440"/>
        </w:tabs>
      </w:pPr>
      <w:r>
        <w:t>Havens’</w:t>
      </w:r>
      <w:r w:rsidR="004932BB">
        <w:t>s</w:t>
      </w:r>
      <w:r>
        <w:t xml:space="preserve"> FOIA request seeks documents submitted in connection with the Enforcement Bureau’s direct case in EB Docket No. 11-71, an enforcement proceeding involving Maritime Communications/Land Mobile, LLC</w:t>
      </w:r>
      <w:r w:rsidR="00570451">
        <w:t xml:space="preserve"> (Maritime)</w:t>
      </w:r>
      <w:r>
        <w:t xml:space="preserve">.  </w:t>
      </w:r>
      <w:r w:rsidR="00BF210B">
        <w:t>After review proceedings described in detail in the Commission Order, the Commission determined that the dispositive issue is whether the documents responsive to Haven</w:t>
      </w:r>
      <w:r w:rsidR="004932BB">
        <w:t>s</w:t>
      </w:r>
      <w:r w:rsidR="00BF210B">
        <w:t>’s FOIA request are confidential for purposes of FOIA Exemption 4.</w:t>
      </w:r>
      <w:r>
        <w:rPr>
          <w:rStyle w:val="FootnoteReference"/>
        </w:rPr>
        <w:footnoteReference w:id="4"/>
      </w:r>
      <w:r w:rsidR="00BF210B">
        <w:t xml:space="preserve">  The Commission Order upheld, with a few exceptions, the Enforcement Bureau’s Decision finding that the documents are confidential and therefore exempt from disclosure.  </w:t>
      </w:r>
      <w:r w:rsidR="00570451">
        <w:t>The Commission directed the Enforcement Bureau to release the few documents found not to be confidential</w:t>
      </w:r>
      <w:r w:rsidR="006F2446">
        <w:t xml:space="preserve"> because they had been made public in court litigation</w:t>
      </w:r>
      <w:r w:rsidR="00570451">
        <w:t xml:space="preserve">.  </w:t>
      </w:r>
    </w:p>
    <w:p w:rsidR="00BF210B" w:rsidP="006F274A" w14:paraId="521CB0DF" w14:textId="3FF36E4C">
      <w:pPr>
        <w:pStyle w:val="ParaNum"/>
        <w:tabs>
          <w:tab w:val="clear" w:pos="1080"/>
          <w:tab w:val="num" w:pos="1440"/>
        </w:tabs>
      </w:pPr>
      <w:r>
        <w:t>Havens’</w:t>
      </w:r>
      <w:r w:rsidR="004932BB">
        <w:t>s</w:t>
      </w:r>
      <w:r>
        <w:t xml:space="preserve"> Petition disputes three findings made in the Commission Order.  These </w:t>
      </w:r>
      <w:r w:rsidR="005E5BBC">
        <w:t xml:space="preserve">findings </w:t>
      </w:r>
      <w:r>
        <w:t xml:space="preserve">are that (1) Havens provided no evidence that </w:t>
      </w:r>
      <w:r w:rsidR="006F2446">
        <w:t xml:space="preserve">other </w:t>
      </w:r>
      <w:r>
        <w:t>documents had lost their confidential status by being publicly disclosed in court litigation;</w:t>
      </w:r>
      <w:r>
        <w:rPr>
          <w:rStyle w:val="FootnoteReference"/>
        </w:rPr>
        <w:footnoteReference w:id="5"/>
      </w:r>
      <w:r>
        <w:t xml:space="preserve"> (2) </w:t>
      </w:r>
      <w:r w:rsidR="00532FED">
        <w:t xml:space="preserve">the subject documents contain </w:t>
      </w:r>
      <w:r w:rsidR="009D0999">
        <w:t xml:space="preserve">competitively </w:t>
      </w:r>
      <w:r w:rsidR="00532FED">
        <w:t xml:space="preserve">sensitive </w:t>
      </w:r>
      <w:r w:rsidR="009D0999">
        <w:t>(</w:t>
      </w:r>
      <w:r w:rsidR="009D0999">
        <w:rPr>
          <w:i/>
        </w:rPr>
        <w:t xml:space="preserve">i.e., </w:t>
      </w:r>
      <w:r w:rsidR="009D0999">
        <w:t xml:space="preserve">confidential) </w:t>
      </w:r>
      <w:r w:rsidR="00532FED">
        <w:t>business and financial information;</w:t>
      </w:r>
      <w:r>
        <w:rPr>
          <w:rStyle w:val="FootnoteReference"/>
        </w:rPr>
        <w:footnoteReference w:id="6"/>
      </w:r>
      <w:r w:rsidR="00532FED">
        <w:t xml:space="preserve"> (3) Havens</w:t>
      </w:r>
      <w:r w:rsidR="004932BB">
        <w:t>’s</w:t>
      </w:r>
      <w:r w:rsidR="00532FED">
        <w:t xml:space="preserve"> </w:t>
      </w:r>
      <w:r w:rsidR="0005722C">
        <w:t xml:space="preserve">former </w:t>
      </w:r>
      <w:r w:rsidR="00532FED">
        <w:t xml:space="preserve">status as a </w:t>
      </w:r>
      <w:r w:rsidR="00A13238">
        <w:t>party to the Maritime proceeding did not give him any right to grant of his FOIA request.</w:t>
      </w:r>
      <w:r>
        <w:rPr>
          <w:rStyle w:val="FootnoteReference"/>
        </w:rPr>
        <w:footnoteReference w:id="7"/>
      </w:r>
      <w:r w:rsidR="00A13238">
        <w:t xml:space="preserve">  </w:t>
      </w:r>
    </w:p>
    <w:p w:rsidR="00C17908" w:rsidP="00E206F3" w14:paraId="31BA49E8" w14:textId="56D01918">
      <w:pPr>
        <w:pStyle w:val="ParaNum"/>
        <w:tabs>
          <w:tab w:val="clear" w:pos="1080"/>
          <w:tab w:val="num" w:pos="1440"/>
        </w:tabs>
        <w:rPr>
          <w:color w:val="000000"/>
          <w:szCs w:val="22"/>
        </w:rPr>
      </w:pPr>
      <w:r w:rsidRPr="00C17908">
        <w:rPr>
          <w:szCs w:val="22"/>
        </w:rPr>
        <w:t xml:space="preserve">The Commission’s rules provide that a petition for reconsideration of an order denying an </w:t>
      </w:r>
      <w:r w:rsidRPr="00C17908">
        <w:rPr>
          <w:szCs w:val="22"/>
        </w:rPr>
        <w:t>application for review w</w:t>
      </w:r>
      <w:r w:rsidRPr="00C17908">
        <w:rPr>
          <w:szCs w:val="22"/>
        </w:rPr>
        <w:t>i</w:t>
      </w:r>
      <w:r w:rsidRPr="00C17908">
        <w:rPr>
          <w:szCs w:val="22"/>
        </w:rPr>
        <w:t>ll be entertained only under limited circumstances.</w:t>
      </w:r>
      <w:r>
        <w:rPr>
          <w:rStyle w:val="FootnoteReference"/>
          <w:szCs w:val="22"/>
        </w:rPr>
        <w:footnoteReference w:id="8"/>
      </w:r>
      <w:r w:rsidRPr="00C17908">
        <w:rPr>
          <w:szCs w:val="22"/>
        </w:rPr>
        <w:t xml:space="preserve">  </w:t>
      </w:r>
      <w:r w:rsidR="004371EF">
        <w:rPr>
          <w:szCs w:val="22"/>
        </w:rPr>
        <w:t>The rule provides that t</w:t>
      </w:r>
      <w:r w:rsidRPr="00C17908">
        <w:rPr>
          <w:szCs w:val="22"/>
        </w:rPr>
        <w:t xml:space="preserve">he </w:t>
      </w:r>
      <w:bookmarkStart w:id="0" w:name="_GoBack"/>
      <w:bookmarkEnd w:id="0"/>
      <w:r w:rsidRPr="00C17908">
        <w:rPr>
          <w:szCs w:val="22"/>
        </w:rPr>
        <w:t>petition must rely either</w:t>
      </w:r>
      <w:r w:rsidR="0005722C">
        <w:rPr>
          <w:szCs w:val="22"/>
        </w:rPr>
        <w:t xml:space="preserve"> on</w:t>
      </w:r>
      <w:r w:rsidRPr="00C17908">
        <w:rPr>
          <w:szCs w:val="22"/>
        </w:rPr>
        <w:t xml:space="preserve"> </w:t>
      </w:r>
      <w:r w:rsidRPr="00C17908">
        <w:rPr>
          <w:color w:val="000000"/>
          <w:szCs w:val="22"/>
        </w:rPr>
        <w:t xml:space="preserve">facts or arguments </w:t>
      </w:r>
      <w:r w:rsidR="00E206F3">
        <w:rPr>
          <w:color w:val="000000"/>
          <w:szCs w:val="22"/>
        </w:rPr>
        <w:t xml:space="preserve">that </w:t>
      </w:r>
      <w:r w:rsidRPr="00C17908">
        <w:rPr>
          <w:color w:val="000000"/>
          <w:szCs w:val="22"/>
        </w:rPr>
        <w:t>relate to events which have occurred or circumstances which have changed since the last opportunity to present such matters to the Commission</w:t>
      </w:r>
      <w:r w:rsidR="00E206F3">
        <w:rPr>
          <w:color w:val="000000"/>
          <w:szCs w:val="22"/>
        </w:rPr>
        <w:t>,</w:t>
      </w:r>
      <w:r w:rsidRPr="00C17908">
        <w:rPr>
          <w:color w:val="000000"/>
          <w:szCs w:val="22"/>
        </w:rPr>
        <w:t xml:space="preserve"> or</w:t>
      </w:r>
      <w:r>
        <w:rPr>
          <w:color w:val="000000"/>
          <w:szCs w:val="22"/>
        </w:rPr>
        <w:t xml:space="preserve"> </w:t>
      </w:r>
      <w:r w:rsidRPr="00C17908">
        <w:rPr>
          <w:color w:val="000000"/>
          <w:szCs w:val="22"/>
        </w:rPr>
        <w:t>on facts or arguments</w:t>
      </w:r>
      <w:r w:rsidR="0005722C">
        <w:rPr>
          <w:color w:val="000000"/>
          <w:szCs w:val="22"/>
        </w:rPr>
        <w:t xml:space="preserve"> that were</w:t>
      </w:r>
      <w:r w:rsidRPr="00C17908">
        <w:rPr>
          <w:color w:val="000000"/>
          <w:szCs w:val="22"/>
        </w:rPr>
        <w:t xml:space="preserve"> unknown </w:t>
      </w:r>
      <w:r w:rsidR="0005722C">
        <w:rPr>
          <w:color w:val="000000"/>
          <w:szCs w:val="22"/>
        </w:rPr>
        <w:t>to petitioner</w:t>
      </w:r>
      <w:r w:rsidRPr="00C17908">
        <w:rPr>
          <w:color w:val="000000"/>
          <w:szCs w:val="22"/>
        </w:rPr>
        <w:t xml:space="preserve"> until after </w:t>
      </w:r>
      <w:r w:rsidR="00E206F3">
        <w:rPr>
          <w:color w:val="000000"/>
          <w:szCs w:val="22"/>
        </w:rPr>
        <w:t xml:space="preserve">the </w:t>
      </w:r>
      <w:r w:rsidRPr="00C17908">
        <w:rPr>
          <w:color w:val="000000"/>
          <w:szCs w:val="22"/>
        </w:rPr>
        <w:t>last opportunity to present them to the Commission, and</w:t>
      </w:r>
      <w:r w:rsidR="00E206F3">
        <w:rPr>
          <w:color w:val="000000"/>
          <w:szCs w:val="22"/>
        </w:rPr>
        <w:t xml:space="preserve"> which </w:t>
      </w:r>
      <w:r w:rsidRPr="00C17908">
        <w:rPr>
          <w:color w:val="000000"/>
          <w:szCs w:val="22"/>
        </w:rPr>
        <w:t xml:space="preserve">could not through the exercise of ordinary diligence </w:t>
      </w:r>
      <w:r w:rsidR="00E206F3">
        <w:rPr>
          <w:color w:val="000000"/>
          <w:szCs w:val="22"/>
        </w:rPr>
        <w:t xml:space="preserve">have been learned </w:t>
      </w:r>
      <w:r w:rsidRPr="00C17908">
        <w:rPr>
          <w:color w:val="000000"/>
          <w:szCs w:val="22"/>
        </w:rPr>
        <w:t>prior to such opportunity.</w:t>
      </w:r>
    </w:p>
    <w:p w:rsidR="00E206F3" w:rsidRPr="00B90C8A" w:rsidP="005D0D85" w14:paraId="52B21C87" w14:textId="37141A27">
      <w:pPr>
        <w:pStyle w:val="ParaNum"/>
        <w:tabs>
          <w:tab w:val="clear" w:pos="1080"/>
          <w:tab w:val="num" w:pos="1440"/>
        </w:tabs>
        <w:rPr>
          <w:color w:val="000000"/>
          <w:szCs w:val="22"/>
        </w:rPr>
      </w:pPr>
      <w:r>
        <w:rPr>
          <w:szCs w:val="22"/>
        </w:rPr>
        <w:t>Havens’</w:t>
      </w:r>
      <w:r w:rsidR="004932BB">
        <w:rPr>
          <w:szCs w:val="22"/>
        </w:rPr>
        <w:t>s</w:t>
      </w:r>
      <w:r>
        <w:rPr>
          <w:szCs w:val="22"/>
        </w:rPr>
        <w:t xml:space="preserve"> Petition does not rely on new or newly discovered facts or circumstances.  </w:t>
      </w:r>
      <w:r w:rsidR="00B90C8A">
        <w:rPr>
          <w:szCs w:val="22"/>
        </w:rPr>
        <w:t xml:space="preserve">It is therefore subject to </w:t>
      </w:r>
      <w:r w:rsidRPr="006F274A" w:rsidR="00B90C8A">
        <w:t>dismissal</w:t>
      </w:r>
      <w:r w:rsidR="00B90C8A">
        <w:rPr>
          <w:szCs w:val="22"/>
        </w:rPr>
        <w:t xml:space="preserve"> by the staff as repetitious.</w:t>
      </w:r>
      <w:r>
        <w:rPr>
          <w:rStyle w:val="FootnoteReference"/>
          <w:szCs w:val="22"/>
        </w:rPr>
        <w:footnoteReference w:id="9"/>
      </w:r>
      <w:r w:rsidR="00B90C8A">
        <w:rPr>
          <w:szCs w:val="22"/>
        </w:rPr>
        <w:t xml:space="preserve">  </w:t>
      </w:r>
    </w:p>
    <w:p w:rsidR="00B90C8A" w:rsidP="00B90C8A" w14:paraId="15FD3951" w14:textId="77777777">
      <w:pPr>
        <w:pStyle w:val="Heading1"/>
      </w:pPr>
      <w:r>
        <w:t>ordering clause</w:t>
      </w:r>
    </w:p>
    <w:p w:rsidR="004932BB" w:rsidP="006F274A" w14:paraId="51B5ED89" w14:textId="7BECBBF8">
      <w:pPr>
        <w:pStyle w:val="ParaNum"/>
        <w:tabs>
          <w:tab w:val="clear" w:pos="1080"/>
          <w:tab w:val="num" w:pos="1440"/>
        </w:tabs>
      </w:pPr>
      <w:r>
        <w:t>Accordingly, IT IS ORDERED, pursuant to the authority delegated by 47 CFR § 0.251(b)(4), that the Protective Petition for Reconsideration of MO&amp;O, 18-154, Regarding FOIA Control No. 2014-664, filed November 30, 2</w:t>
      </w:r>
      <w:r w:rsidR="0005722C">
        <w:t>0</w:t>
      </w:r>
      <w:r>
        <w:t xml:space="preserve">18, by Warren Havens, IS DISMISSED as unauthorized. </w:t>
      </w:r>
    </w:p>
    <w:p w:rsidR="00B90C8A" w:rsidP="004932BB" w14:paraId="2E8C9CD6" w14:textId="524F928C">
      <w:pPr>
        <w:pStyle w:val="ParaNum"/>
        <w:numPr>
          <w:ilvl w:val="0"/>
          <w:numId w:val="0"/>
        </w:numPr>
        <w:ind w:left="720"/>
      </w:pPr>
      <w:r>
        <w:t xml:space="preserve"> </w:t>
      </w:r>
    </w:p>
    <w:p w:rsidR="00B90C8A" w:rsidP="0017296B" w14:paraId="6369915C" w14:textId="77777777">
      <w:r>
        <w:tab/>
      </w:r>
      <w:r>
        <w:tab/>
      </w:r>
      <w:r>
        <w:tab/>
      </w:r>
      <w:r>
        <w:tab/>
      </w:r>
      <w:r>
        <w:tab/>
      </w:r>
      <w:r>
        <w:tab/>
        <w:t>FEDERAL COMMUNICATIONS COMMISSION</w:t>
      </w:r>
    </w:p>
    <w:p w:rsidR="00B90C8A" w:rsidP="0017296B" w14:paraId="63FA6B88" w14:textId="77777777"/>
    <w:p w:rsidR="00B90C8A" w:rsidP="0017296B" w14:paraId="18FC3CF1" w14:textId="77777777"/>
    <w:p w:rsidR="00B90C8A" w:rsidP="0017296B" w14:paraId="1FBA98AF" w14:textId="77777777"/>
    <w:p w:rsidR="00B90C8A" w:rsidP="0017296B" w14:paraId="54802EB7" w14:textId="77777777"/>
    <w:p w:rsidR="00B90C8A" w:rsidP="0017296B" w14:paraId="548D04B6" w14:textId="77777777">
      <w:r>
        <w:tab/>
      </w:r>
      <w:r>
        <w:tab/>
      </w:r>
      <w:r>
        <w:tab/>
      </w:r>
      <w:r>
        <w:tab/>
      </w:r>
      <w:r>
        <w:tab/>
      </w:r>
      <w:r>
        <w:tab/>
        <w:t>Thomas M. Johnson, Jr.</w:t>
      </w:r>
    </w:p>
    <w:p w:rsidR="00B90C8A" w:rsidP="0017296B" w14:paraId="40FA98FA" w14:textId="77777777">
      <w:r>
        <w:tab/>
      </w:r>
      <w:r>
        <w:tab/>
      </w:r>
      <w:r>
        <w:tab/>
      </w:r>
      <w:r>
        <w:tab/>
      </w:r>
      <w:r>
        <w:tab/>
      </w:r>
      <w:r>
        <w:tab/>
        <w:t>General Counsel</w:t>
      </w:r>
    </w:p>
    <w:p w:rsidR="00B90C8A" w:rsidRPr="00B90C8A" w:rsidP="00B90C8A" w14:paraId="68CB8702" w14:textId="77777777">
      <w:pPr>
        <w:pStyle w:val="ParaNum"/>
        <w:numPr>
          <w:ilvl w:val="0"/>
          <w:numId w:val="0"/>
        </w:numPr>
      </w:pPr>
    </w:p>
    <w:p w:rsidR="00A13238" w:rsidRPr="00E173C4" w:rsidP="00E206F3" w14:paraId="63074FE9" w14:textId="77777777">
      <w:pPr>
        <w:pStyle w:val="ParaNum"/>
        <w:numPr>
          <w:ilvl w:val="0"/>
          <w:numId w:val="0"/>
        </w:numPr>
      </w:pPr>
    </w:p>
    <w:p w:rsidR="00412FC5" w:rsidRPr="0006437F" w:rsidP="0006437F" w14:paraId="2A9184F9" w14:textId="77777777">
      <w:pPr>
        <w:ind w:left="7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86A473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039C90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9B9FEF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F776F1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60AD4F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326DD" w14:paraId="2160E2A5" w14:textId="77777777">
      <w:r>
        <w:separator/>
      </w:r>
    </w:p>
  </w:footnote>
  <w:footnote w:type="continuationSeparator" w:id="1">
    <w:p w:rsidR="001326DD" w:rsidP="00C721AC" w14:paraId="6289661D" w14:textId="77777777">
      <w:pPr>
        <w:spacing w:before="120"/>
        <w:rPr>
          <w:sz w:val="20"/>
        </w:rPr>
      </w:pPr>
      <w:r>
        <w:rPr>
          <w:sz w:val="20"/>
        </w:rPr>
        <w:t xml:space="preserve">(Continued from previous page)  </w:t>
      </w:r>
      <w:r>
        <w:rPr>
          <w:sz w:val="20"/>
        </w:rPr>
        <w:separator/>
      </w:r>
    </w:p>
  </w:footnote>
  <w:footnote w:type="continuationNotice" w:id="2">
    <w:p w:rsidR="001326DD" w:rsidP="00C721AC" w14:paraId="6B0B99F6" w14:textId="77777777">
      <w:pPr>
        <w:jc w:val="right"/>
        <w:rPr>
          <w:sz w:val="20"/>
        </w:rPr>
      </w:pPr>
      <w:r>
        <w:rPr>
          <w:sz w:val="20"/>
        </w:rPr>
        <w:t>(continued….)</w:t>
      </w:r>
    </w:p>
  </w:footnote>
  <w:footnote w:id="3">
    <w:p w:rsidR="00E173C4" w14:paraId="241114E7" w14:textId="4F91ABA2">
      <w:pPr>
        <w:pStyle w:val="FootnoteText"/>
      </w:pPr>
      <w:r>
        <w:rPr>
          <w:rStyle w:val="FootnoteReference"/>
        </w:rPr>
        <w:footnoteRef/>
      </w:r>
      <w:r>
        <w:t xml:space="preserve"> </w:t>
      </w:r>
      <w:r w:rsidR="005C083D">
        <w:rPr>
          <w:i/>
        </w:rPr>
        <w:t xml:space="preserve">Warren Havens, </w:t>
      </w:r>
      <w:r w:rsidR="00BF210B">
        <w:t>Memorandum Opinion and Order, FCC 18-154 (Oct. 31, 2018)</w:t>
      </w:r>
      <w:r w:rsidR="00570451">
        <w:t xml:space="preserve"> (Commission Order).</w:t>
      </w:r>
    </w:p>
  </w:footnote>
  <w:footnote w:id="4">
    <w:p w:rsidR="008729F2" w14:paraId="3E5BA02F" w14:textId="77777777">
      <w:pPr>
        <w:pStyle w:val="FootnoteText"/>
      </w:pPr>
      <w:r>
        <w:rPr>
          <w:rStyle w:val="FootnoteReference"/>
        </w:rPr>
        <w:footnoteRef/>
      </w:r>
      <w:r>
        <w:t xml:space="preserve"> 5 U.S.C. § 552(b)(4).  The exemption covers “trade secrets and commercial or financial information obtained from a person and privileged or confidential.”</w:t>
      </w:r>
    </w:p>
  </w:footnote>
  <w:footnote w:id="5">
    <w:p w:rsidR="006F2446" w14:paraId="5C1D02BD" w14:textId="77777777">
      <w:pPr>
        <w:pStyle w:val="FootnoteText"/>
      </w:pPr>
      <w:r>
        <w:rPr>
          <w:rStyle w:val="FootnoteReference"/>
        </w:rPr>
        <w:footnoteRef/>
      </w:r>
      <w:r>
        <w:t xml:space="preserve"> Petition at 4, para. 2</w:t>
      </w:r>
    </w:p>
  </w:footnote>
  <w:footnote w:id="6">
    <w:p w:rsidR="006F2446" w:rsidRPr="006F2446" w14:paraId="5FFEFA6E" w14:textId="77777777">
      <w:pPr>
        <w:pStyle w:val="FootnoteText"/>
      </w:pPr>
      <w:r>
        <w:rPr>
          <w:rStyle w:val="FootnoteReference"/>
        </w:rPr>
        <w:footnoteRef/>
      </w:r>
      <w:r>
        <w:t xml:space="preserve"> </w:t>
      </w:r>
      <w:r>
        <w:rPr>
          <w:i/>
        </w:rPr>
        <w:t xml:space="preserve">Id. </w:t>
      </w:r>
      <w:r>
        <w:t>4, para. 3.</w:t>
      </w:r>
    </w:p>
  </w:footnote>
  <w:footnote w:id="7">
    <w:p w:rsidR="006F2446" w:rsidRPr="006F2446" w14:paraId="53DA2BC5" w14:textId="77777777">
      <w:pPr>
        <w:pStyle w:val="FootnoteText"/>
      </w:pPr>
      <w:r>
        <w:rPr>
          <w:rStyle w:val="FootnoteReference"/>
        </w:rPr>
        <w:footnoteRef/>
      </w:r>
      <w:r>
        <w:t xml:space="preserve"> </w:t>
      </w:r>
      <w:r>
        <w:rPr>
          <w:i/>
        </w:rPr>
        <w:t xml:space="preserve">Id. </w:t>
      </w:r>
      <w:r>
        <w:t>at 5, para. 4.</w:t>
      </w:r>
    </w:p>
  </w:footnote>
  <w:footnote w:id="8">
    <w:p w:rsidR="000A66BF" w14:paraId="73CE0E4A" w14:textId="77777777">
      <w:pPr>
        <w:pStyle w:val="FootnoteText"/>
      </w:pPr>
      <w:r>
        <w:rPr>
          <w:rStyle w:val="FootnoteReference"/>
        </w:rPr>
        <w:footnoteRef/>
      </w:r>
      <w:r>
        <w:t xml:space="preserve"> 47 CFR § 1.106(b)(2).</w:t>
      </w:r>
    </w:p>
  </w:footnote>
  <w:footnote w:id="9">
    <w:p w:rsidR="000A66BF" w14:paraId="43071209" w14:textId="77777777">
      <w:pPr>
        <w:pStyle w:val="FootnoteText"/>
      </w:pPr>
      <w:r>
        <w:rPr>
          <w:rStyle w:val="FootnoteReference"/>
        </w:rPr>
        <w:footnoteRef/>
      </w:r>
      <w:r w:rsidR="00122F00">
        <w:t xml:space="preserve"> 47 CFR § 1.106(b</w:t>
      </w:r>
      <w:r w:rsidR="004D03E0">
        <w:t>)</w:t>
      </w:r>
      <w:r w:rsidR="00122F00">
        <w:t xml:space="preserve">(3).  </w:t>
      </w:r>
      <w:r>
        <w:t xml:space="preserve"> Havens states that his Petition </w:t>
      </w:r>
      <w:r w:rsidR="00EE494D">
        <w:t xml:space="preserve">was </w:t>
      </w:r>
      <w:r>
        <w:t xml:space="preserve">filed on a “protective” basis.  </w:t>
      </w:r>
      <w:r w:rsidR="006F2446">
        <w:t xml:space="preserve">Petition at 1-3.  By this, he means that he is filing to preserve his right to file a further petition for reconsideration upon the completion of further proceedings involving his FOIA request.  However, the Commission’s Order does not provide for any further proceedings.  It merely directs the Enforcement Bureau to disclose non-exempt documents.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A4F2A32" w14:textId="125A69DC">
    <w:pPr>
      <w:pStyle w:val="Header"/>
      <w:rPr>
        <w:b w:val="0"/>
      </w:rPr>
    </w:pPr>
    <w:r>
      <w:tab/>
      <w:t>Federal Communications Commission</w:t>
    </w:r>
    <w:r>
      <w:tab/>
    </w:r>
    <w:r w:rsidR="000E5829">
      <w:t>DA 1</w:t>
    </w:r>
    <w:r w:rsidR="005C083D">
      <w:t>9</w:t>
    </w:r>
    <w:r w:rsidR="000E5829">
      <w:t>-</w:t>
    </w:r>
    <w:r w:rsidR="00925536">
      <w:t>215</w:t>
    </w:r>
  </w:p>
  <w:p w:rsidR="00D25FB5" w14:paraId="0A1288D9" w14:textId="5248185B">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418A7A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8D4163D" w14:textId="41DC6A5E">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06437F">
      <w:rPr>
        <w:spacing w:val="-2"/>
      </w:rPr>
      <w:t>DA 1</w:t>
    </w:r>
    <w:r w:rsidR="005C083D">
      <w:rPr>
        <w:spacing w:val="-2"/>
      </w:rPr>
      <w:t>9</w:t>
    </w:r>
    <w:r w:rsidR="0006437F">
      <w:rPr>
        <w:spacing w:val="-2"/>
      </w:rPr>
      <w:t>-</w:t>
    </w:r>
    <w:r w:rsidR="0049727B">
      <w:rPr>
        <w:spacing w:val="-2"/>
      </w:rPr>
      <w:t>215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37F"/>
    <w:rsid w:val="00026DF6"/>
    <w:rsid w:val="00036039"/>
    <w:rsid w:val="00037F90"/>
    <w:rsid w:val="000423D3"/>
    <w:rsid w:val="0005722C"/>
    <w:rsid w:val="0006437F"/>
    <w:rsid w:val="000875BF"/>
    <w:rsid w:val="00096D8C"/>
    <w:rsid w:val="000A66BF"/>
    <w:rsid w:val="000C0B65"/>
    <w:rsid w:val="000E05FE"/>
    <w:rsid w:val="000E3D42"/>
    <w:rsid w:val="000E5829"/>
    <w:rsid w:val="00122BD5"/>
    <w:rsid w:val="00122F00"/>
    <w:rsid w:val="001326DD"/>
    <w:rsid w:val="00133F79"/>
    <w:rsid w:val="0017296B"/>
    <w:rsid w:val="00194A66"/>
    <w:rsid w:val="001D6BCF"/>
    <w:rsid w:val="001E01CA"/>
    <w:rsid w:val="00253517"/>
    <w:rsid w:val="00267F0A"/>
    <w:rsid w:val="00275CF5"/>
    <w:rsid w:val="0028301F"/>
    <w:rsid w:val="00285017"/>
    <w:rsid w:val="002A2D2E"/>
    <w:rsid w:val="002A6E8C"/>
    <w:rsid w:val="002C00E8"/>
    <w:rsid w:val="003022C7"/>
    <w:rsid w:val="00306F77"/>
    <w:rsid w:val="00343749"/>
    <w:rsid w:val="003660ED"/>
    <w:rsid w:val="003B0550"/>
    <w:rsid w:val="003B694F"/>
    <w:rsid w:val="003F171C"/>
    <w:rsid w:val="00412FC5"/>
    <w:rsid w:val="00422276"/>
    <w:rsid w:val="004242F1"/>
    <w:rsid w:val="004371EF"/>
    <w:rsid w:val="00445A00"/>
    <w:rsid w:val="00451B0F"/>
    <w:rsid w:val="004932BB"/>
    <w:rsid w:val="0049727B"/>
    <w:rsid w:val="004B4573"/>
    <w:rsid w:val="004C2EE3"/>
    <w:rsid w:val="004D03E0"/>
    <w:rsid w:val="004D45CA"/>
    <w:rsid w:val="004E4A22"/>
    <w:rsid w:val="004E5E75"/>
    <w:rsid w:val="00511968"/>
    <w:rsid w:val="00532FED"/>
    <w:rsid w:val="0055614C"/>
    <w:rsid w:val="00566D06"/>
    <w:rsid w:val="00570451"/>
    <w:rsid w:val="005C083D"/>
    <w:rsid w:val="005D0D85"/>
    <w:rsid w:val="005E14C2"/>
    <w:rsid w:val="005E5BBC"/>
    <w:rsid w:val="00607BA5"/>
    <w:rsid w:val="0061180A"/>
    <w:rsid w:val="00626EB6"/>
    <w:rsid w:val="00655D03"/>
    <w:rsid w:val="00683388"/>
    <w:rsid w:val="00683F84"/>
    <w:rsid w:val="006A6A81"/>
    <w:rsid w:val="006D0826"/>
    <w:rsid w:val="006D614B"/>
    <w:rsid w:val="006F2446"/>
    <w:rsid w:val="006F274A"/>
    <w:rsid w:val="006F7393"/>
    <w:rsid w:val="0070224F"/>
    <w:rsid w:val="007115F7"/>
    <w:rsid w:val="00785689"/>
    <w:rsid w:val="0079754B"/>
    <w:rsid w:val="007A1E6D"/>
    <w:rsid w:val="007B0EB2"/>
    <w:rsid w:val="007E5DF7"/>
    <w:rsid w:val="00810B6F"/>
    <w:rsid w:val="00822CE0"/>
    <w:rsid w:val="00841AB1"/>
    <w:rsid w:val="008729F2"/>
    <w:rsid w:val="008C68F1"/>
    <w:rsid w:val="00921803"/>
    <w:rsid w:val="00925536"/>
    <w:rsid w:val="00926503"/>
    <w:rsid w:val="009726D8"/>
    <w:rsid w:val="009741C8"/>
    <w:rsid w:val="009D0999"/>
    <w:rsid w:val="009D7308"/>
    <w:rsid w:val="009F76DB"/>
    <w:rsid w:val="00A13238"/>
    <w:rsid w:val="00A32C3B"/>
    <w:rsid w:val="00A45F4F"/>
    <w:rsid w:val="00A600A9"/>
    <w:rsid w:val="00A930AD"/>
    <w:rsid w:val="00AA55B7"/>
    <w:rsid w:val="00AA5B9E"/>
    <w:rsid w:val="00AB2407"/>
    <w:rsid w:val="00AB53DF"/>
    <w:rsid w:val="00B07E5C"/>
    <w:rsid w:val="00B42E2F"/>
    <w:rsid w:val="00B73B7E"/>
    <w:rsid w:val="00B811F7"/>
    <w:rsid w:val="00B90C8A"/>
    <w:rsid w:val="00BA5DC6"/>
    <w:rsid w:val="00BA6196"/>
    <w:rsid w:val="00BB61EA"/>
    <w:rsid w:val="00BC6D8C"/>
    <w:rsid w:val="00BD231A"/>
    <w:rsid w:val="00BF210B"/>
    <w:rsid w:val="00C17908"/>
    <w:rsid w:val="00C34006"/>
    <w:rsid w:val="00C36B4C"/>
    <w:rsid w:val="00C426B1"/>
    <w:rsid w:val="00C46247"/>
    <w:rsid w:val="00C66160"/>
    <w:rsid w:val="00C721AC"/>
    <w:rsid w:val="00C90D6A"/>
    <w:rsid w:val="00CA247E"/>
    <w:rsid w:val="00CA6D21"/>
    <w:rsid w:val="00CC72B6"/>
    <w:rsid w:val="00D0218D"/>
    <w:rsid w:val="00D25FB5"/>
    <w:rsid w:val="00D40A51"/>
    <w:rsid w:val="00D44223"/>
    <w:rsid w:val="00DA2529"/>
    <w:rsid w:val="00DB130A"/>
    <w:rsid w:val="00DB2EBB"/>
    <w:rsid w:val="00DC10A1"/>
    <w:rsid w:val="00DC655F"/>
    <w:rsid w:val="00DD0B59"/>
    <w:rsid w:val="00DD7EBD"/>
    <w:rsid w:val="00DF62B6"/>
    <w:rsid w:val="00E07225"/>
    <w:rsid w:val="00E173C4"/>
    <w:rsid w:val="00E206F3"/>
    <w:rsid w:val="00E5409F"/>
    <w:rsid w:val="00ED1AB4"/>
    <w:rsid w:val="00EE494D"/>
    <w:rsid w:val="00EE6488"/>
    <w:rsid w:val="00F021FA"/>
    <w:rsid w:val="00F34AA5"/>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1B2C21A-7DAD-4FCF-8578-7CA4E148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37F"/>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06437F"/>
    <w:rPr>
      <w:rFonts w:ascii="Times New Roman Bold" w:hAnsi="Times New Roman Bold"/>
      <w:b/>
      <w:caps/>
      <w:snapToGrid w:val="0"/>
      <w:kern w:val="28"/>
      <w:sz w:val="22"/>
    </w:rPr>
  </w:style>
  <w:style w:type="paragraph" w:styleId="NormalWeb">
    <w:name w:val="Normal (Web)"/>
    <w:basedOn w:val="Normal"/>
    <w:uiPriority w:val="99"/>
    <w:unhideWhenUsed/>
    <w:rsid w:val="00C17908"/>
    <w:pPr>
      <w:widowControl/>
      <w:spacing w:before="100" w:beforeAutospacing="1" w:after="100" w:afterAutospacing="1"/>
    </w:pPr>
    <w:rPr>
      <w:snapToGrid/>
      <w:kern w:val="0"/>
      <w:sz w:val="24"/>
      <w:szCs w:val="24"/>
    </w:rPr>
  </w:style>
  <w:style w:type="character" w:styleId="CommentReference">
    <w:name w:val="annotation reference"/>
    <w:basedOn w:val="DefaultParagraphFont"/>
    <w:rsid w:val="000423D3"/>
    <w:rPr>
      <w:sz w:val="16"/>
      <w:szCs w:val="16"/>
    </w:rPr>
  </w:style>
  <w:style w:type="paragraph" w:styleId="CommentText">
    <w:name w:val="annotation text"/>
    <w:basedOn w:val="Normal"/>
    <w:link w:val="CommentTextChar"/>
    <w:rsid w:val="000423D3"/>
    <w:rPr>
      <w:sz w:val="20"/>
    </w:rPr>
  </w:style>
  <w:style w:type="character" w:customStyle="1" w:styleId="CommentTextChar">
    <w:name w:val="Comment Text Char"/>
    <w:basedOn w:val="DefaultParagraphFont"/>
    <w:link w:val="CommentText"/>
    <w:rsid w:val="000423D3"/>
    <w:rPr>
      <w:snapToGrid w:val="0"/>
      <w:kern w:val="28"/>
    </w:rPr>
  </w:style>
  <w:style w:type="paragraph" w:styleId="CommentSubject">
    <w:name w:val="annotation subject"/>
    <w:basedOn w:val="CommentText"/>
    <w:next w:val="CommentText"/>
    <w:link w:val="CommentSubjectChar"/>
    <w:rsid w:val="000423D3"/>
    <w:rPr>
      <w:b/>
      <w:bCs/>
    </w:rPr>
  </w:style>
  <w:style w:type="character" w:customStyle="1" w:styleId="CommentSubjectChar">
    <w:name w:val="Comment Subject Char"/>
    <w:basedOn w:val="CommentTextChar"/>
    <w:link w:val="CommentSubject"/>
    <w:rsid w:val="000423D3"/>
    <w:rPr>
      <w:b/>
      <w:bCs/>
      <w:snapToGrid w:val="0"/>
      <w:kern w:val="28"/>
    </w:rPr>
  </w:style>
  <w:style w:type="paragraph" w:styleId="BalloonText">
    <w:name w:val="Balloon Text"/>
    <w:basedOn w:val="Normal"/>
    <w:link w:val="BalloonTextChar"/>
    <w:rsid w:val="000423D3"/>
    <w:rPr>
      <w:rFonts w:ascii="Segoe UI" w:hAnsi="Segoe UI" w:cs="Segoe UI"/>
      <w:sz w:val="18"/>
      <w:szCs w:val="18"/>
    </w:rPr>
  </w:style>
  <w:style w:type="character" w:customStyle="1" w:styleId="BalloonTextChar">
    <w:name w:val="Balloon Text Char"/>
    <w:basedOn w:val="DefaultParagraphFont"/>
    <w:link w:val="BalloonText"/>
    <w:rsid w:val="000423D3"/>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