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19D024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6C7EEE" w14:textId="77777777">
      <w:pPr>
        <w:pStyle w:val="StyleBoldCentered"/>
      </w:pPr>
      <w:r>
        <w:t>F</w:t>
      </w:r>
      <w:r>
        <w:rPr>
          <w:caps w:val="0"/>
        </w:rPr>
        <w:t>ederal Communications Commission</w:t>
      </w:r>
    </w:p>
    <w:p w:rsidR="004C2EE3" w:rsidP="00096D8C" w14:paraId="304E7250" w14:textId="77777777">
      <w:pPr>
        <w:pStyle w:val="StyleBoldCentered"/>
      </w:pPr>
      <w:r>
        <w:rPr>
          <w:caps w:val="0"/>
        </w:rPr>
        <w:t>Washington, D.C. 20554</w:t>
      </w:r>
    </w:p>
    <w:p w:rsidR="004C2EE3" w:rsidP="0070224F" w14:paraId="4C8438A9" w14:textId="77777777"/>
    <w:p w:rsidR="004C2EE3" w:rsidP="0070224F" w14:paraId="077E7DD2" w14:textId="77777777"/>
    <w:tbl>
      <w:tblPr>
        <w:tblW w:w="0" w:type="auto"/>
        <w:tblLayout w:type="fixed"/>
        <w:tblLook w:val="0000"/>
      </w:tblPr>
      <w:tblGrid>
        <w:gridCol w:w="4698"/>
        <w:gridCol w:w="630"/>
        <w:gridCol w:w="4248"/>
      </w:tblGrid>
      <w:tr w14:paraId="17F99155" w14:textId="77777777">
        <w:tblPrEx>
          <w:tblW w:w="0" w:type="auto"/>
          <w:tblLayout w:type="fixed"/>
          <w:tblLook w:val="0000"/>
        </w:tblPrEx>
        <w:tc>
          <w:tcPr>
            <w:tcW w:w="4698" w:type="dxa"/>
          </w:tcPr>
          <w:p w:rsidR="00982D20" w:rsidP="00982D20" w14:paraId="1AAD8D46" w14:textId="77777777">
            <w:pPr>
              <w:tabs>
                <w:tab w:val="center" w:pos="4680"/>
              </w:tabs>
              <w:suppressAutoHyphens/>
              <w:rPr>
                <w:spacing w:val="-2"/>
              </w:rPr>
            </w:pPr>
            <w:r>
              <w:rPr>
                <w:spacing w:val="-2"/>
              </w:rPr>
              <w:t>In the Matter of</w:t>
            </w:r>
          </w:p>
          <w:p w:rsidR="00982D20" w:rsidP="00982D20" w14:paraId="0F1181D0" w14:textId="77777777">
            <w:pPr>
              <w:tabs>
                <w:tab w:val="center" w:pos="4680"/>
              </w:tabs>
              <w:suppressAutoHyphens/>
              <w:rPr>
                <w:spacing w:val="-2"/>
              </w:rPr>
            </w:pPr>
          </w:p>
          <w:p w:rsidR="00982D20" w:rsidRPr="00143B00" w:rsidP="00982D20" w14:paraId="2DADB1B3" w14:textId="77777777">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14:paraId="7B86EF26" w14:textId="77777777">
            <w:pPr>
              <w:tabs>
                <w:tab w:val="center" w:pos="4680"/>
              </w:tabs>
              <w:suppressAutoHyphens/>
              <w:rPr>
                <w:snapToGrid/>
                <w:spacing w:val="-2"/>
              </w:rPr>
            </w:pPr>
          </w:p>
          <w:p w:rsidR="00982D20" w:rsidRPr="007115F7" w:rsidP="00982D20" w14:paraId="02917DD1" w14:textId="77777777">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14:paraId="22947BE4" w14:textId="77777777">
            <w:pPr>
              <w:tabs>
                <w:tab w:val="center" w:pos="4680"/>
              </w:tabs>
              <w:suppressAutoHyphens/>
              <w:rPr>
                <w:b/>
                <w:spacing w:val="-2"/>
              </w:rPr>
            </w:pPr>
            <w:r>
              <w:rPr>
                <w:b/>
                <w:spacing w:val="-2"/>
              </w:rPr>
              <w:t>)</w:t>
            </w:r>
          </w:p>
          <w:p w:rsidR="00982D20" w:rsidP="00982D20" w14:paraId="35619FD1" w14:textId="77777777">
            <w:pPr>
              <w:tabs>
                <w:tab w:val="center" w:pos="4680"/>
              </w:tabs>
              <w:suppressAutoHyphens/>
              <w:rPr>
                <w:b/>
                <w:spacing w:val="-2"/>
              </w:rPr>
            </w:pPr>
            <w:r>
              <w:rPr>
                <w:b/>
                <w:spacing w:val="-2"/>
              </w:rPr>
              <w:t>)</w:t>
            </w:r>
          </w:p>
          <w:p w:rsidR="00982D20" w:rsidP="00982D20" w14:paraId="7D3CD210" w14:textId="77777777">
            <w:pPr>
              <w:tabs>
                <w:tab w:val="center" w:pos="4680"/>
              </w:tabs>
              <w:suppressAutoHyphens/>
              <w:rPr>
                <w:b/>
                <w:spacing w:val="-2"/>
              </w:rPr>
            </w:pPr>
            <w:r>
              <w:rPr>
                <w:b/>
                <w:spacing w:val="-2"/>
              </w:rPr>
              <w:t>)</w:t>
            </w:r>
          </w:p>
          <w:p w:rsidR="00982D20" w:rsidP="00982D20" w14:paraId="2153B869" w14:textId="77777777">
            <w:pPr>
              <w:tabs>
                <w:tab w:val="center" w:pos="4680"/>
              </w:tabs>
              <w:suppressAutoHyphens/>
              <w:rPr>
                <w:b/>
                <w:spacing w:val="-2"/>
              </w:rPr>
            </w:pPr>
            <w:r>
              <w:rPr>
                <w:b/>
                <w:spacing w:val="-2"/>
              </w:rPr>
              <w:t>)</w:t>
            </w:r>
          </w:p>
          <w:p w:rsidR="00982D20" w:rsidP="00982D20" w14:paraId="23D64CB8" w14:textId="77777777">
            <w:pPr>
              <w:tabs>
                <w:tab w:val="center" w:pos="4680"/>
              </w:tabs>
              <w:suppressAutoHyphens/>
              <w:rPr>
                <w:b/>
                <w:spacing w:val="-2"/>
              </w:rPr>
            </w:pPr>
            <w:r>
              <w:rPr>
                <w:b/>
                <w:spacing w:val="-2"/>
              </w:rPr>
              <w:t>)</w:t>
            </w:r>
          </w:p>
          <w:p w:rsidR="00982D20" w:rsidP="00982D20" w14:paraId="6F49E7A3" w14:textId="77777777">
            <w:pPr>
              <w:tabs>
                <w:tab w:val="center" w:pos="4680"/>
              </w:tabs>
              <w:suppressAutoHyphens/>
              <w:rPr>
                <w:b/>
                <w:spacing w:val="-2"/>
              </w:rPr>
            </w:pPr>
            <w:r>
              <w:rPr>
                <w:b/>
                <w:spacing w:val="-2"/>
              </w:rPr>
              <w:t>)</w:t>
            </w:r>
          </w:p>
          <w:p w:rsidR="00982D20" w:rsidP="00982D20" w14:paraId="01484C48" w14:textId="77777777">
            <w:pPr>
              <w:tabs>
                <w:tab w:val="center" w:pos="4680"/>
              </w:tabs>
              <w:suppressAutoHyphens/>
              <w:rPr>
                <w:b/>
                <w:spacing w:val="-2"/>
              </w:rPr>
            </w:pPr>
            <w:r>
              <w:rPr>
                <w:b/>
                <w:spacing w:val="-2"/>
              </w:rPr>
              <w:t>)</w:t>
            </w:r>
          </w:p>
          <w:p w:rsidR="00982D20" w:rsidP="00982D20" w14:paraId="4DA32791" w14:textId="77777777">
            <w:pPr>
              <w:tabs>
                <w:tab w:val="center" w:pos="4680"/>
              </w:tabs>
              <w:suppressAutoHyphens/>
              <w:rPr>
                <w:b/>
                <w:spacing w:val="-2"/>
              </w:rPr>
            </w:pPr>
            <w:r>
              <w:rPr>
                <w:b/>
                <w:spacing w:val="-2"/>
              </w:rPr>
              <w:t>)</w:t>
            </w:r>
          </w:p>
          <w:p w:rsidR="00982D20" w:rsidP="00982D20" w14:paraId="0731D579" w14:textId="77777777">
            <w:pPr>
              <w:tabs>
                <w:tab w:val="center" w:pos="4680"/>
              </w:tabs>
              <w:suppressAutoHyphens/>
              <w:rPr>
                <w:b/>
                <w:spacing w:val="-2"/>
              </w:rPr>
            </w:pPr>
            <w:r>
              <w:rPr>
                <w:b/>
                <w:spacing w:val="-2"/>
              </w:rPr>
              <w:t>)</w:t>
            </w:r>
          </w:p>
          <w:p w:rsidR="00982D20" w:rsidP="00982D20" w14:paraId="1DD74233" w14:textId="77777777">
            <w:pPr>
              <w:tabs>
                <w:tab w:val="center" w:pos="4680"/>
              </w:tabs>
              <w:suppressAutoHyphens/>
              <w:rPr>
                <w:spacing w:val="-2"/>
              </w:rPr>
            </w:pPr>
            <w:r>
              <w:rPr>
                <w:b/>
                <w:spacing w:val="-2"/>
              </w:rPr>
              <w:t>)</w:t>
            </w:r>
          </w:p>
        </w:tc>
        <w:tc>
          <w:tcPr>
            <w:tcW w:w="4248" w:type="dxa"/>
          </w:tcPr>
          <w:p w:rsidR="00982D20" w:rsidP="00982D20" w14:paraId="66135DB1" w14:textId="77777777">
            <w:pPr>
              <w:tabs>
                <w:tab w:val="center" w:pos="4680"/>
              </w:tabs>
              <w:suppressAutoHyphens/>
              <w:rPr>
                <w:spacing w:val="-2"/>
              </w:rPr>
            </w:pPr>
          </w:p>
          <w:p w:rsidR="00982D20" w:rsidP="00982D20" w14:paraId="0FFE2DDD" w14:textId="77777777">
            <w:pPr>
              <w:pStyle w:val="TOAHeading"/>
              <w:tabs>
                <w:tab w:val="center" w:pos="4680"/>
                <w:tab w:val="clear" w:pos="9360"/>
              </w:tabs>
              <w:rPr>
                <w:spacing w:val="-2"/>
              </w:rPr>
            </w:pPr>
          </w:p>
          <w:p w:rsidR="00982D20" w:rsidRPr="00143B00" w:rsidP="00982D20" w14:paraId="2532339B" w14:textId="77777777">
            <w:pPr>
              <w:tabs>
                <w:tab w:val="center" w:pos="4680"/>
              </w:tabs>
              <w:suppressAutoHyphens/>
              <w:rPr>
                <w:snapToGrid/>
                <w:spacing w:val="-2"/>
              </w:rPr>
            </w:pPr>
            <w:r w:rsidRPr="00143B00">
              <w:rPr>
                <w:snapToGrid/>
                <w:spacing w:val="-2"/>
              </w:rPr>
              <w:t>ET Docket No. 14-165</w:t>
            </w:r>
          </w:p>
          <w:p w:rsidR="00982D20" w:rsidRPr="00143B00" w:rsidP="00982D20" w14:paraId="11F27D41" w14:textId="77777777">
            <w:pPr>
              <w:tabs>
                <w:tab w:val="center" w:pos="4680"/>
              </w:tabs>
              <w:suppressAutoHyphens/>
              <w:rPr>
                <w:snapToGrid/>
                <w:spacing w:val="-2"/>
              </w:rPr>
            </w:pPr>
          </w:p>
          <w:p w:rsidR="00982D20" w:rsidRPr="00143B00" w:rsidP="00982D20" w14:paraId="1EBBE614" w14:textId="77777777">
            <w:pPr>
              <w:tabs>
                <w:tab w:val="center" w:pos="4680"/>
              </w:tabs>
              <w:suppressAutoHyphens/>
              <w:rPr>
                <w:snapToGrid/>
                <w:spacing w:val="-2"/>
              </w:rPr>
            </w:pPr>
          </w:p>
          <w:p w:rsidR="00982D20" w:rsidRPr="00143B00" w:rsidP="00982D20" w14:paraId="29766156" w14:textId="77777777">
            <w:pPr>
              <w:tabs>
                <w:tab w:val="center" w:pos="4680"/>
              </w:tabs>
              <w:suppressAutoHyphens/>
              <w:rPr>
                <w:snapToGrid/>
                <w:spacing w:val="-2"/>
              </w:rPr>
            </w:pPr>
          </w:p>
          <w:p w:rsidR="00982D20" w:rsidRPr="00143B00" w:rsidP="00982D20" w14:paraId="3D80F270" w14:textId="77777777">
            <w:pPr>
              <w:tabs>
                <w:tab w:val="center" w:pos="4680"/>
              </w:tabs>
              <w:suppressAutoHyphens/>
              <w:rPr>
                <w:snapToGrid/>
                <w:spacing w:val="-2"/>
              </w:rPr>
            </w:pPr>
          </w:p>
          <w:p w:rsidR="00982D20" w:rsidRPr="00143B00" w:rsidP="00982D20" w14:paraId="16E1967F" w14:textId="77777777">
            <w:pPr>
              <w:tabs>
                <w:tab w:val="center" w:pos="4680"/>
              </w:tabs>
              <w:suppressAutoHyphens/>
              <w:rPr>
                <w:snapToGrid/>
                <w:color w:val="000000"/>
                <w:spacing w:val="-2"/>
              </w:rPr>
            </w:pPr>
            <w:r w:rsidRPr="00143B00">
              <w:rPr>
                <w:snapToGrid/>
                <w:color w:val="000000"/>
                <w:spacing w:val="-2"/>
              </w:rPr>
              <w:t>GN Docket No. 12-268</w:t>
            </w:r>
          </w:p>
          <w:p w:rsidR="00982D20" w:rsidRPr="002D7125" w:rsidP="00982D20" w14:paraId="67573783" w14:textId="77777777">
            <w:pPr>
              <w:tabs>
                <w:tab w:val="center" w:pos="4680"/>
              </w:tabs>
              <w:suppressAutoHyphens/>
              <w:rPr>
                <w:snapToGrid/>
                <w:spacing w:val="-2"/>
              </w:rPr>
            </w:pPr>
          </w:p>
        </w:tc>
      </w:tr>
    </w:tbl>
    <w:p w:rsidR="004C2EE3" w:rsidP="0070224F" w14:paraId="5C491D34" w14:textId="77777777"/>
    <w:p w:rsidR="006404AA" w:rsidP="00F021FA" w14:paraId="7BF23DFC" w14:textId="77777777">
      <w:pPr>
        <w:pStyle w:val="StyleBoldCentered"/>
      </w:pPr>
    </w:p>
    <w:p w:rsidR="00841AB1" w:rsidP="00F021FA" w14:paraId="1740F48B" w14:textId="77777777">
      <w:pPr>
        <w:pStyle w:val="StyleBoldCentered"/>
      </w:pPr>
      <w:r>
        <w:t>ORDER</w:t>
      </w:r>
    </w:p>
    <w:p w:rsidR="004C2EE3" w14:paraId="31F2460C" w14:textId="77777777">
      <w:pPr>
        <w:tabs>
          <w:tab w:val="left" w:pos="-720"/>
        </w:tabs>
        <w:suppressAutoHyphens/>
        <w:spacing w:line="227" w:lineRule="auto"/>
        <w:rPr>
          <w:spacing w:val="-2"/>
        </w:rPr>
      </w:pPr>
    </w:p>
    <w:p w:rsidR="00426171" w:rsidP="00426171" w14:paraId="36761420" w14:textId="737F2761">
      <w:pPr>
        <w:tabs>
          <w:tab w:val="left" w:pos="720"/>
          <w:tab w:val="right" w:pos="9360"/>
        </w:tabs>
        <w:suppressAutoHyphens/>
        <w:spacing w:line="227" w:lineRule="auto"/>
        <w:rPr>
          <w:spacing w:val="-2"/>
        </w:rPr>
      </w:pPr>
      <w:r>
        <w:rPr>
          <w:b/>
          <w:spacing w:val="-2"/>
        </w:rPr>
        <w:t xml:space="preserve">Adopted:  </w:t>
      </w:r>
      <w:r w:rsidR="00EE4A16">
        <w:rPr>
          <w:b/>
          <w:spacing w:val="-2"/>
        </w:rPr>
        <w:t xml:space="preserve">March </w:t>
      </w:r>
      <w:r w:rsidR="00255925">
        <w:rPr>
          <w:b/>
          <w:spacing w:val="-2"/>
        </w:rPr>
        <w:t>27</w:t>
      </w:r>
      <w:r>
        <w:rPr>
          <w:b/>
          <w:spacing w:val="-2"/>
        </w:rPr>
        <w:t>, 201</w:t>
      </w:r>
      <w:r w:rsidR="00453064">
        <w:rPr>
          <w:b/>
          <w:spacing w:val="-2"/>
        </w:rPr>
        <w:t>9</w:t>
      </w:r>
      <w:r>
        <w:rPr>
          <w:b/>
          <w:spacing w:val="-2"/>
        </w:rPr>
        <w:tab/>
        <w:t xml:space="preserve">Released:  </w:t>
      </w:r>
      <w:r w:rsidR="00453064">
        <w:rPr>
          <w:b/>
          <w:spacing w:val="-2"/>
        </w:rPr>
        <w:t>Ma</w:t>
      </w:r>
      <w:r>
        <w:rPr>
          <w:b/>
          <w:spacing w:val="-2"/>
        </w:rPr>
        <w:t>r</w:t>
      </w:r>
      <w:r w:rsidR="00453064">
        <w:rPr>
          <w:b/>
          <w:spacing w:val="-2"/>
        </w:rPr>
        <w:t>ch</w:t>
      </w:r>
      <w:r>
        <w:rPr>
          <w:b/>
          <w:spacing w:val="-2"/>
        </w:rPr>
        <w:t xml:space="preserve"> </w:t>
      </w:r>
      <w:r w:rsidR="00255925">
        <w:rPr>
          <w:b/>
          <w:spacing w:val="-2"/>
        </w:rPr>
        <w:t>27</w:t>
      </w:r>
      <w:r>
        <w:rPr>
          <w:b/>
          <w:spacing w:val="-2"/>
        </w:rPr>
        <w:t>, 201</w:t>
      </w:r>
      <w:r w:rsidR="00453064">
        <w:rPr>
          <w:b/>
          <w:spacing w:val="-2"/>
        </w:rPr>
        <w:t>9</w:t>
      </w:r>
    </w:p>
    <w:p w:rsidR="00822CE0" w:rsidP="00426171" w14:paraId="6AEEDA54" w14:textId="77777777">
      <w:pPr>
        <w:tabs>
          <w:tab w:val="left" w:pos="720"/>
          <w:tab w:val="right" w:pos="9360"/>
        </w:tabs>
        <w:suppressAutoHyphens/>
        <w:spacing w:line="227" w:lineRule="auto"/>
      </w:pPr>
      <w:r>
        <w:rPr>
          <w:b/>
          <w:spacing w:val="-2"/>
        </w:rPr>
        <w:tab/>
      </w:r>
    </w:p>
    <w:p w:rsidR="004C2EE3" w14:paraId="683AA606" w14:textId="77777777">
      <w:pPr>
        <w:rPr>
          <w:spacing w:val="-2"/>
        </w:rPr>
      </w:pPr>
      <w:r>
        <w:t xml:space="preserve">By the </w:t>
      </w:r>
      <w:r>
        <w:rPr>
          <w:spacing w:val="-2"/>
        </w:rPr>
        <w:t>Chief, Office of Engineering and Technology:</w:t>
      </w:r>
    </w:p>
    <w:p w:rsidR="00412FC5" w:rsidP="00412FC5" w14:paraId="2D002865" w14:textId="77777777"/>
    <w:p w:rsidR="00156207" w:rsidP="006D7500" w14:paraId="7A1A79F6" w14:textId="347593F3">
      <w:pPr>
        <w:pStyle w:val="ParaNum"/>
      </w:pPr>
      <w:r w:rsidRPr="00F32309">
        <w:t xml:space="preserve">By this Order, we </w:t>
      </w:r>
      <w:r>
        <w:t xml:space="preserve">extend through </w:t>
      </w:r>
      <w:r w:rsidR="00453064">
        <w:t>September</w:t>
      </w:r>
      <w:r>
        <w:t xml:space="preserve"> 3</w:t>
      </w:r>
      <w:r w:rsidR="00453064">
        <w:t>0</w:t>
      </w:r>
      <w:r>
        <w:t xml:space="preserve">, 2019 a waiver of the push notification requirements in </w:t>
      </w:r>
      <w:r w:rsidR="00B31FE2">
        <w:t>s</w:t>
      </w:r>
      <w:r>
        <w:t>ections 15.37(j) and 15.711(</w:t>
      </w:r>
      <w:r>
        <w:t>i</w:t>
      </w:r>
      <w:r>
        <w:t>)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453064">
        <w:t>Ma</w:t>
      </w:r>
      <w:r>
        <w:t>r</w:t>
      </w:r>
      <w:r w:rsidR="00453064">
        <w:t>ch</w:t>
      </w:r>
      <w:r>
        <w:t xml:space="preserve"> 3</w:t>
      </w:r>
      <w:r w:rsidR="00453064">
        <w:t>1</w:t>
      </w:r>
      <w:r>
        <w:t>, 201</w:t>
      </w:r>
      <w:r w:rsidR="00453064">
        <w:t>9</w:t>
      </w:r>
      <w:r>
        <w:t>.</w:t>
      </w:r>
      <w:r>
        <w:rPr>
          <w:rStyle w:val="FootnoteReference"/>
        </w:rPr>
        <w:footnoteReference w:id="5"/>
      </w:r>
    </w:p>
    <w:p w:rsidR="00156207" w:rsidP="006D7500" w14:paraId="64C5D950" w14:textId="77777777">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 </w:t>
      </w:r>
    </w:p>
    <w:p w:rsidR="005E5F2D" w:rsidP="006D7500" w14:paraId="152EB126" w14:textId="77777777">
      <w:pPr>
        <w:pStyle w:val="ParaNum"/>
      </w:pPr>
      <w:r>
        <w:t xml:space="preserve">To prevent interference to protected services, including licensed wireless microphones, certain white space devices are required to check a database at least once a day to obtain a list of available </w:t>
      </w:r>
      <w:r>
        <w:t>channels at their operating location.</w:t>
      </w:r>
      <w:r>
        <w:rPr>
          <w:rStyle w:val="FootnoteReference"/>
        </w:rPr>
        <w:footnoteReference w:id="7"/>
      </w:r>
      <w:r>
        <w:t xml:space="preserve">  In the </w:t>
      </w:r>
      <w:r>
        <w:rPr>
          <w:i/>
        </w:rPr>
        <w:t xml:space="preserve">Part 15 Report and Order, </w:t>
      </w:r>
      <w:r>
        <w:t>the Commission retained this requirement and decided to also require that database administrators push information about changes in channel availability information to white space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14:paraId="3B4EC58A" w14:textId="5D80175D">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w:t>
      </w:r>
      <w:r>
        <w:t>i</w:t>
      </w:r>
      <w:r>
        <w:t>)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active consideration, the reasons supporting the original waiver remain valid and a further time extension is warranted.  This action is being taken without prejudice relative to the merits of these petitions.  </w:t>
      </w:r>
    </w:p>
    <w:p w:rsidR="00145F71" w:rsidRPr="003E194F" w:rsidP="00FD38A0" w14:paraId="57FD0497" w14:textId="77777777">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microphones will continue to receive interference protection from white space devices.</w:t>
      </w:r>
      <w:r>
        <w:rPr>
          <w:rStyle w:val="FootnoteReference"/>
        </w:rPr>
        <w:footnoteReference w:id="14"/>
      </w:r>
      <w:r>
        <w:t xml:space="preserve">  </w:t>
      </w:r>
    </w:p>
    <w:p w:rsidR="003F79FA" w:rsidP="000F2280" w14:paraId="20A5FD4F" w14:textId="160D412D">
      <w:pPr>
        <w:pStyle w:val="ParaNum"/>
        <w:widowControl/>
      </w:pPr>
      <w:bookmarkStart w:id="1" w:name="sp_999_2"/>
      <w:bookmarkStart w:id="2"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5"/>
      </w:r>
      <w:r>
        <w:t xml:space="preserve"> </w:t>
      </w:r>
      <w:r w:rsidRPr="00F32309">
        <w:t xml:space="preserve">and </w:t>
      </w:r>
      <w:r w:rsidR="00B31FE2">
        <w:t>s</w:t>
      </w:r>
      <w:r w:rsidRPr="00F32309">
        <w:t>ections 302,</w:t>
      </w:r>
      <w:r>
        <w:t xml:space="preserve"> </w:t>
      </w:r>
      <w:r w:rsidRPr="00F32309">
        <w:t>303(e), and 303(r) of the Communications Act of 1934, as amended</w:t>
      </w:r>
      <w:r>
        <w:rPr>
          <w:rStyle w:val="FootnoteReference"/>
        </w:rPr>
        <w:footnoteReference w:id="16"/>
      </w:r>
      <w:r w:rsidRPr="00F32309">
        <w:t xml:space="preserve">, IT IS ORDERED that </w:t>
      </w:r>
      <w:r w:rsidR="008E26EA">
        <w:t>s</w:t>
      </w:r>
      <w:r>
        <w:t>ections 15.37(j) and 15.711(</w:t>
      </w:r>
      <w:r>
        <w:t>i</w:t>
      </w:r>
      <w:r>
        <w:t xml:space="preserve">) of </w:t>
      </w:r>
      <w:r>
        <w:t>the Commission’s rules</w:t>
      </w:r>
      <w:r>
        <w:rPr>
          <w:rStyle w:val="FootnoteReference"/>
        </w:rPr>
        <w:footnoteReference w:id="17"/>
      </w:r>
      <w:r>
        <w:t>, ARE</w:t>
      </w:r>
      <w:r w:rsidRPr="00F32309">
        <w:t xml:space="preserve"> </w:t>
      </w:r>
      <w:r>
        <w:t>WAIVED</w:t>
      </w:r>
      <w:r w:rsidRPr="00F32309">
        <w:t xml:space="preserve"> </w:t>
      </w:r>
      <w:r>
        <w:t xml:space="preserve">until </w:t>
      </w:r>
      <w:r w:rsidR="00453064">
        <w:t>September</w:t>
      </w:r>
      <w:r>
        <w:t xml:space="preserve"> 3</w:t>
      </w:r>
      <w:r w:rsidR="00453064">
        <w:t>0</w:t>
      </w:r>
      <w:r>
        <w:t>, 2019 or until the Commission takes final action on the petitions for reconsideration in ET Docket No. 14-165 with respect to these rule sections, whichever comes earlier.</w:t>
      </w:r>
    </w:p>
    <w:p w:rsidR="00156207" w:rsidP="006D7500" w14:paraId="1AF37B1F" w14:textId="77777777">
      <w:pPr>
        <w:pStyle w:val="ParaNum"/>
      </w:pPr>
      <w:r>
        <w:t>IT IS FURTHER ORDERED that the effective date of this Order IS THE DATE upon which this Order is released by the Commission.</w:t>
      </w:r>
    </w:p>
    <w:p w:rsidR="00156207" w:rsidP="00156207" w14:paraId="09C70951" w14:textId="77777777">
      <w:pPr>
        <w:ind w:left="3600"/>
      </w:pPr>
    </w:p>
    <w:p w:rsidR="00156207" w:rsidRPr="00E003D7" w:rsidP="00156207" w14:paraId="33BD0C9E" w14:textId="77777777">
      <w:pPr>
        <w:ind w:left="3600"/>
      </w:pPr>
      <w:r w:rsidRPr="00E003D7">
        <w:t>FEDERAL COMMUNICATIONS COMMISSION</w:t>
      </w:r>
    </w:p>
    <w:p w:rsidR="00156207" w:rsidRPr="00E003D7" w:rsidP="00156207" w14:paraId="7699D8F8" w14:textId="77777777">
      <w:pPr>
        <w:ind w:left="3600"/>
      </w:pPr>
    </w:p>
    <w:p w:rsidR="00156207" w:rsidRPr="00E003D7" w:rsidP="00156207" w14:paraId="07259E8E" w14:textId="16E2ABD8">
      <w:pPr>
        <w:ind w:left="3600"/>
      </w:pPr>
      <w:r>
        <w:br/>
      </w:r>
      <w:bookmarkStart w:id="3" w:name="_GoBack"/>
      <w:bookmarkEnd w:id="3"/>
    </w:p>
    <w:p w:rsidR="00156207" w:rsidRPr="00E003D7" w:rsidP="00156207" w14:paraId="494055D2" w14:textId="77777777">
      <w:pPr>
        <w:ind w:left="3600"/>
      </w:pPr>
    </w:p>
    <w:bookmarkEnd w:id="1"/>
    <w:bookmarkEnd w:id="2"/>
    <w:p w:rsidR="00B55F60" w:rsidP="00156207" w14:paraId="442947E2" w14:textId="77777777">
      <w:pPr>
        <w:ind w:left="3600"/>
      </w:pPr>
      <w:r>
        <w:t>Julius P. Knapp</w:t>
      </w:r>
    </w:p>
    <w:p w:rsidR="00156207" w:rsidP="00156207" w14:paraId="7EB786D5" w14:textId="77777777">
      <w:pPr>
        <w:ind w:left="3600"/>
      </w:pPr>
      <w:r>
        <w:t xml:space="preserve">Chief, Office of Engineering and Technology </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D85C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6FB9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5EEB77"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14:paraId="6F7C07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447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14:paraId="0DADBF6D" w14:textId="77777777">
      <w:r>
        <w:separator/>
      </w:r>
    </w:p>
  </w:footnote>
  <w:footnote w:type="continuationSeparator" w:id="1">
    <w:p w:rsidR="005B6835" w:rsidP="00C721AC" w14:paraId="46D0588D" w14:textId="77777777">
      <w:pPr>
        <w:spacing w:before="120"/>
        <w:rPr>
          <w:sz w:val="20"/>
        </w:rPr>
      </w:pPr>
      <w:r>
        <w:rPr>
          <w:sz w:val="20"/>
        </w:rPr>
        <w:t xml:space="preserve">(Continued from previous page)  </w:t>
      </w:r>
      <w:r>
        <w:rPr>
          <w:sz w:val="20"/>
        </w:rPr>
        <w:separator/>
      </w:r>
    </w:p>
  </w:footnote>
  <w:footnote w:type="continuationNotice" w:id="2">
    <w:p w:rsidR="005B6835" w:rsidRPr="00960FF8" w:rsidP="00960FF8" w14:paraId="13C0A3CA" w14:textId="77777777">
      <w:pPr>
        <w:pStyle w:val="Footer"/>
      </w:pPr>
    </w:p>
  </w:footnote>
  <w:footnote w:id="3">
    <w:p w:rsidR="00B31FE2" w14:paraId="6D2E71B6" w14:textId="77777777">
      <w:pPr>
        <w:pStyle w:val="FootnoteText"/>
      </w:pPr>
      <w:r>
        <w:rPr>
          <w:rStyle w:val="FootnoteReference"/>
        </w:rPr>
        <w:footnoteRef/>
      </w:r>
      <w:r>
        <w:t xml:space="preserve"> 47 CFR §§ 15.37(j), 15.711(</w:t>
      </w:r>
      <w:r>
        <w:t>i</w:t>
      </w:r>
      <w:r>
        <w:t>).</w:t>
      </w:r>
    </w:p>
  </w:footnote>
  <w:footnote w:id="4">
    <w:p w:rsidR="00B13991" w:rsidRPr="00B13991" w14:paraId="29CD4EAD" w14:textId="24FD1D35">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Order, 31 FCC Rcd 13798 (2016) (</w:t>
      </w:r>
      <w:r w:rsidRPr="003C1F31">
        <w:rPr>
          <w:i/>
          <w:spacing w:val="-2"/>
        </w:rPr>
        <w:t>Push Notification Waiver Order</w:t>
      </w:r>
      <w:r>
        <w:rPr>
          <w:spacing w:val="-2"/>
        </w:rPr>
        <w:t xml:space="preserve">).  The waiver, originally due to expire on June 23, 2017, is currently valid until </w:t>
      </w:r>
      <w:r w:rsidR="00453064">
        <w:rPr>
          <w:spacing w:val="-2"/>
        </w:rPr>
        <w:t>March</w:t>
      </w:r>
      <w:r>
        <w:rPr>
          <w:spacing w:val="-2"/>
        </w:rPr>
        <w:t xml:space="preserve"> 3</w:t>
      </w:r>
      <w:r w:rsidR="00453064">
        <w:rPr>
          <w:spacing w:val="-2"/>
        </w:rPr>
        <w:t>1</w:t>
      </w:r>
      <w:r>
        <w:rPr>
          <w:spacing w:val="-2"/>
        </w:rPr>
        <w:t>, 201</w:t>
      </w:r>
      <w:r w:rsidR="00453064">
        <w:rPr>
          <w:spacing w:val="-2"/>
        </w:rPr>
        <w:t>9</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B31FE2">
        <w:rPr>
          <w:spacing w:val="-2"/>
        </w:rPr>
        <w:t xml:space="preserve">33 FCC </w:t>
      </w:r>
      <w:r w:rsidR="00B31FE2">
        <w:rPr>
          <w:spacing w:val="-2"/>
        </w:rPr>
        <w:t>Rcd</w:t>
      </w:r>
      <w:r w:rsidR="00B31FE2">
        <w:rPr>
          <w:spacing w:val="-2"/>
        </w:rPr>
        <w:t xml:space="preserve"> 8823</w:t>
      </w:r>
      <w:r w:rsidR="00E71996">
        <w:rPr>
          <w:spacing w:val="-2"/>
        </w:rPr>
        <w:t xml:space="preserve"> </w:t>
      </w:r>
      <w:r>
        <w:rPr>
          <w:spacing w:val="-2"/>
        </w:rPr>
        <w:t>(OET 2018).</w:t>
      </w:r>
    </w:p>
  </w:footnote>
  <w:footnote w:id="5">
    <w:p w:rsidR="00B13991" w:rsidP="00B13991" w14:paraId="44500A8E" w14:textId="77777777">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14:paraId="4DB1BCE8" w14:textId="77777777">
      <w:pPr>
        <w:pStyle w:val="FootnoteText"/>
      </w:pPr>
      <w:r w:rsidRPr="00525F18">
        <w:rPr>
          <w:rStyle w:val="FootnoteReference"/>
        </w:rPr>
        <w:footnoteRef/>
      </w:r>
      <w:r>
        <w:rPr>
          <w:spacing w:val="-2"/>
        </w:rPr>
        <w:t xml:space="preserv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t>, Report and Order, 30 FCC Rcd 9551 (2015) (</w:t>
      </w:r>
      <w:r w:rsidRPr="00341853">
        <w:rPr>
          <w:i/>
        </w:rPr>
        <w:t>Part 15 R</w:t>
      </w:r>
      <w:r>
        <w:rPr>
          <w:i/>
        </w:rPr>
        <w:t>eport and Order</w:t>
      </w:r>
      <w:r>
        <w:t>).</w:t>
      </w:r>
    </w:p>
  </w:footnote>
  <w:footnote w:id="7">
    <w:p w:rsidR="00123E90" w14:paraId="36A8E986" w14:textId="77777777">
      <w:pPr>
        <w:pStyle w:val="FootnoteText"/>
      </w:pPr>
      <w:r>
        <w:rPr>
          <w:rStyle w:val="FootnoteReference"/>
        </w:rPr>
        <w:footnoteRef/>
      </w:r>
      <w:r>
        <w:t xml:space="preserve"> 47 CFR §§ 15.711(c)(2)(iii), (d)(4).  This requirement applies to fixed and Mode II personal/portable white space devices.</w:t>
      </w:r>
    </w:p>
  </w:footnote>
  <w:footnote w:id="8">
    <w:p w:rsidR="005E5F2D" w:rsidP="005E5F2D" w14:paraId="091379F9" w14:textId="77777777">
      <w:pPr>
        <w:pStyle w:val="FootnoteText"/>
      </w:pPr>
      <w:r>
        <w:rPr>
          <w:rStyle w:val="FootnoteReference"/>
        </w:rPr>
        <w:footnoteRef/>
      </w:r>
      <w:r>
        <w:t xml:space="preserve"> </w:t>
      </w:r>
      <w:r>
        <w:rPr>
          <w:i/>
        </w:rPr>
        <w:t>Part 15 Report and Order</w:t>
      </w:r>
      <w:r>
        <w:t>, 30 FCC Rcd at 9662, para. 274.</w:t>
      </w:r>
    </w:p>
  </w:footnote>
  <w:footnote w:id="9">
    <w:p w:rsidR="00DF6227" w:rsidP="005A539B" w14:paraId="4B3AF317" w14:textId="1C5CB33E">
      <w:pPr>
        <w:pStyle w:val="FootnoteText"/>
      </w:pPr>
      <w:r>
        <w:rPr>
          <w:rStyle w:val="FootnoteReference"/>
        </w:rPr>
        <w:footnoteRef/>
      </w:r>
      <w:r>
        <w:t xml:space="preserve"> 47 CFR § 15.37(j).</w:t>
      </w:r>
    </w:p>
  </w:footnote>
  <w:footnote w:id="10">
    <w:p w:rsidR="00DF6227" w:rsidRPr="00DF6227" w14:paraId="2F8C8496" w14:textId="77777777">
      <w:pPr>
        <w:pStyle w:val="FootnoteText"/>
        <w:rPr>
          <w:i/>
        </w:rPr>
      </w:pPr>
      <w:r>
        <w:rPr>
          <w:rStyle w:val="FootnoteReference"/>
        </w:rPr>
        <w:footnoteRef/>
      </w:r>
      <w:r>
        <w:t xml:space="preserve"> </w:t>
      </w:r>
      <w:r>
        <w:rPr>
          <w:i/>
        </w:rPr>
        <w:t>Id.</w:t>
      </w:r>
      <w:r>
        <w:t xml:space="preserve">  </w:t>
      </w:r>
    </w:p>
  </w:footnote>
  <w:footnote w:id="11">
    <w:p w:rsidR="00DF6227" w14:paraId="3CC7300E" w14:textId="77777777">
      <w:pPr>
        <w:pStyle w:val="FootnoteText"/>
      </w:pPr>
      <w:r>
        <w:rPr>
          <w:rStyle w:val="FootnoteReference"/>
        </w:rPr>
        <w:footnoteRef/>
      </w:r>
      <w:r>
        <w:t xml:space="preserve"> 47 CFR § 15.711(i)(3).</w:t>
      </w:r>
    </w:p>
  </w:footnote>
  <w:footnote w:id="12">
    <w:p w:rsidR="00167ABB" w:rsidP="00B31799" w14:paraId="408B6074" w14:textId="77777777">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14:paraId="3E00140A" w14:textId="77777777">
      <w:pPr>
        <w:pStyle w:val="FootnoteText"/>
      </w:pPr>
      <w:r>
        <w:rPr>
          <w:rStyle w:val="FootnoteReference"/>
        </w:rPr>
        <w:footnoteRef/>
      </w:r>
      <w:r>
        <w:t xml:space="preserve"> </w:t>
      </w:r>
      <w:r w:rsidRPr="003C1F31">
        <w:rPr>
          <w:i/>
        </w:rPr>
        <w:t>Push Notification Waiver Order</w:t>
      </w:r>
      <w:r>
        <w:t xml:space="preserve">, 31 FCC Rcd at 13800, para. 5.  The waiver has subsequently been extended and is </w:t>
      </w:r>
      <w:r>
        <w:rPr>
          <w:spacing w:val="-2"/>
        </w:rPr>
        <w:t xml:space="preserve">currently valid until </w:t>
      </w:r>
      <w:r w:rsidR="00453064">
        <w:rPr>
          <w:spacing w:val="-2"/>
        </w:rPr>
        <w:t>March</w:t>
      </w:r>
      <w:r>
        <w:rPr>
          <w:spacing w:val="-2"/>
        </w:rPr>
        <w:t xml:space="preserve"> 3</w:t>
      </w:r>
      <w:r w:rsidR="00453064">
        <w:rPr>
          <w:spacing w:val="-2"/>
        </w:rPr>
        <w:t>1</w:t>
      </w:r>
      <w:r>
        <w:rPr>
          <w:spacing w:val="-2"/>
        </w:rPr>
        <w:t>, 201</w:t>
      </w:r>
      <w:r w:rsidR="00453064">
        <w:rPr>
          <w:spacing w:val="-2"/>
        </w:rPr>
        <w:t>9</w:t>
      </w:r>
      <w:r>
        <w:rPr>
          <w:spacing w:val="-2"/>
        </w:rPr>
        <w:t>.</w:t>
      </w:r>
      <w:r>
        <w:t xml:space="preserve">  </w:t>
      </w:r>
      <w:r>
        <w:rPr>
          <w:i/>
        </w:rPr>
        <w:t>S</w:t>
      </w:r>
      <w:r w:rsidRPr="00452F1C">
        <w:rPr>
          <w:i/>
        </w:rPr>
        <w:t>upra</w:t>
      </w:r>
      <w:r>
        <w:t xml:space="preserve"> note 1.</w:t>
      </w:r>
    </w:p>
  </w:footnote>
  <w:footnote w:id="14">
    <w:p w:rsidR="00040265" w:rsidRPr="00A83A61" w14:paraId="240D8B91" w14:textId="77777777">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 w:id="15">
    <w:p w:rsidR="00B31FE2" w:rsidRPr="00F05F43" w14:paraId="36AFFB8A" w14:textId="77777777">
      <w:pPr>
        <w:pStyle w:val="FootnoteText"/>
        <w:rPr>
          <w:lang w:val="es-ES"/>
        </w:rPr>
      </w:pPr>
      <w:r>
        <w:rPr>
          <w:rStyle w:val="FootnoteReference"/>
        </w:rPr>
        <w:footnoteRef/>
      </w:r>
      <w:r w:rsidRPr="00F05F43">
        <w:rPr>
          <w:lang w:val="es-ES"/>
        </w:rPr>
        <w:t xml:space="preserve"> 47 CFR § 0.241(a)(3).</w:t>
      </w:r>
    </w:p>
  </w:footnote>
  <w:footnote w:id="16">
    <w:p w:rsidR="00B31FE2" w:rsidRPr="00F05F43" w14:paraId="1851AA03" w14:textId="77777777">
      <w:pPr>
        <w:pStyle w:val="FootnoteText"/>
        <w:rPr>
          <w:lang w:val="es-ES"/>
        </w:rPr>
      </w:pPr>
      <w:r>
        <w:rPr>
          <w:rStyle w:val="FootnoteReference"/>
        </w:rPr>
        <w:footnoteRef/>
      </w:r>
      <w:r w:rsidRPr="00F05F43">
        <w:rPr>
          <w:lang w:val="es-ES"/>
        </w:rPr>
        <w:t xml:space="preserve"> 47 U.S.C. §§ 302a, 303(e), 303(r).</w:t>
      </w:r>
    </w:p>
  </w:footnote>
  <w:footnote w:id="17">
    <w:p w:rsidR="00B31FE2" w14:paraId="0FF3F681" w14:textId="77777777">
      <w:pPr>
        <w:pStyle w:val="FootnoteText"/>
      </w:pPr>
      <w:r>
        <w:rPr>
          <w:rStyle w:val="FootnoteReference"/>
        </w:rPr>
        <w:footnoteRef/>
      </w:r>
      <w:r>
        <w:t xml:space="preserve"> 47 CFR</w:t>
      </w:r>
      <w:r w:rsidRPr="00C72F22">
        <w:t xml:space="preserve"> </w:t>
      </w:r>
      <w:r w:rsidRPr="00F32309">
        <w:t>§</w:t>
      </w:r>
      <w:r>
        <w:t>§ 15.37(j), 15.711(</w:t>
      </w:r>
      <w:r>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F85BE0" w14:textId="49A31E03">
    <w:pPr>
      <w:pStyle w:val="Header"/>
      <w:rPr>
        <w:b w:val="0"/>
      </w:rPr>
    </w:pPr>
    <w:r>
      <w:tab/>
      <w:t>Federal Communications Commission</w:t>
    </w:r>
    <w:r>
      <w:tab/>
      <w:t>DA 1</w:t>
    </w:r>
    <w:r w:rsidR="00453064">
      <w:t>9</w:t>
    </w:r>
    <w:r>
      <w:t>-</w:t>
    </w:r>
    <w:r w:rsidR="00255925">
      <w:t>216</w:t>
    </w:r>
  </w:p>
  <w:p w:rsidR="00D25FB5" w14:paraId="0BE953C8"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113FCF8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BED538" w14:textId="6899C988">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255925">
      <w:t>19-216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1367C"/>
    <w:rsid w:val="00040265"/>
    <w:rsid w:val="00096D8C"/>
    <w:rsid w:val="000D3B88"/>
    <w:rsid w:val="000F2280"/>
    <w:rsid w:val="00123E90"/>
    <w:rsid w:val="00143B00"/>
    <w:rsid w:val="00145F71"/>
    <w:rsid w:val="00156207"/>
    <w:rsid w:val="00167ABB"/>
    <w:rsid w:val="00194033"/>
    <w:rsid w:val="002139F1"/>
    <w:rsid w:val="00255925"/>
    <w:rsid w:val="002D7125"/>
    <w:rsid w:val="00341853"/>
    <w:rsid w:val="003C1F31"/>
    <w:rsid w:val="003E194F"/>
    <w:rsid w:val="003F79FA"/>
    <w:rsid w:val="00412FC5"/>
    <w:rsid w:val="00426171"/>
    <w:rsid w:val="00452F1C"/>
    <w:rsid w:val="00453064"/>
    <w:rsid w:val="004C2EE3"/>
    <w:rsid w:val="00525F18"/>
    <w:rsid w:val="0055022E"/>
    <w:rsid w:val="0055614C"/>
    <w:rsid w:val="005A539B"/>
    <w:rsid w:val="005C211C"/>
    <w:rsid w:val="005E5F2D"/>
    <w:rsid w:val="005F5C9A"/>
    <w:rsid w:val="006404AA"/>
    <w:rsid w:val="006D28C7"/>
    <w:rsid w:val="006D7500"/>
    <w:rsid w:val="0070224F"/>
    <w:rsid w:val="007115F7"/>
    <w:rsid w:val="00763704"/>
    <w:rsid w:val="007C5527"/>
    <w:rsid w:val="00810B6F"/>
    <w:rsid w:val="00822CE0"/>
    <w:rsid w:val="00841AB1"/>
    <w:rsid w:val="008E26EA"/>
    <w:rsid w:val="00921803"/>
    <w:rsid w:val="00982D20"/>
    <w:rsid w:val="00A83A61"/>
    <w:rsid w:val="00B13991"/>
    <w:rsid w:val="00B31799"/>
    <w:rsid w:val="00B31FE2"/>
    <w:rsid w:val="00B55F60"/>
    <w:rsid w:val="00B86774"/>
    <w:rsid w:val="00C27515"/>
    <w:rsid w:val="00C72F22"/>
    <w:rsid w:val="00D25FB5"/>
    <w:rsid w:val="00DF6227"/>
    <w:rsid w:val="00E000C1"/>
    <w:rsid w:val="00E003D7"/>
    <w:rsid w:val="00E71996"/>
    <w:rsid w:val="00E9315B"/>
    <w:rsid w:val="00EE4A16"/>
    <w:rsid w:val="00F021FA"/>
    <w:rsid w:val="00F05F43"/>
    <w:rsid w:val="00F32309"/>
    <w:rsid w:val="00F74751"/>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25"/>
    <w:pPr>
      <w:widowControl w:val="0"/>
    </w:pPr>
    <w:rPr>
      <w:snapToGrid w:val="0"/>
      <w:kern w:val="28"/>
      <w:sz w:val="22"/>
    </w:rPr>
  </w:style>
  <w:style w:type="paragraph" w:styleId="Heading1">
    <w:name w:val="heading 1"/>
    <w:basedOn w:val="Normal"/>
    <w:next w:val="ParaNum"/>
    <w:qFormat/>
    <w:rsid w:val="002559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5925"/>
    <w:pPr>
      <w:keepNext/>
      <w:numPr>
        <w:ilvl w:val="1"/>
        <w:numId w:val="3"/>
      </w:numPr>
      <w:spacing w:after="120"/>
      <w:outlineLvl w:val="1"/>
    </w:pPr>
    <w:rPr>
      <w:b/>
    </w:rPr>
  </w:style>
  <w:style w:type="paragraph" w:styleId="Heading3">
    <w:name w:val="heading 3"/>
    <w:basedOn w:val="Normal"/>
    <w:next w:val="ParaNum"/>
    <w:qFormat/>
    <w:rsid w:val="00255925"/>
    <w:pPr>
      <w:keepNext/>
      <w:numPr>
        <w:ilvl w:val="2"/>
        <w:numId w:val="3"/>
      </w:numPr>
      <w:tabs>
        <w:tab w:val="left" w:pos="2160"/>
      </w:tabs>
      <w:spacing w:after="120"/>
      <w:outlineLvl w:val="2"/>
    </w:pPr>
    <w:rPr>
      <w:b/>
    </w:rPr>
  </w:style>
  <w:style w:type="paragraph" w:styleId="Heading4">
    <w:name w:val="heading 4"/>
    <w:basedOn w:val="Normal"/>
    <w:next w:val="ParaNum"/>
    <w:qFormat/>
    <w:rsid w:val="00255925"/>
    <w:pPr>
      <w:keepNext/>
      <w:numPr>
        <w:ilvl w:val="3"/>
        <w:numId w:val="3"/>
      </w:numPr>
      <w:tabs>
        <w:tab w:val="left" w:pos="2880"/>
      </w:tabs>
      <w:spacing w:after="120"/>
      <w:outlineLvl w:val="3"/>
    </w:pPr>
    <w:rPr>
      <w:b/>
    </w:rPr>
  </w:style>
  <w:style w:type="paragraph" w:styleId="Heading5">
    <w:name w:val="heading 5"/>
    <w:basedOn w:val="Normal"/>
    <w:next w:val="ParaNum"/>
    <w:qFormat/>
    <w:rsid w:val="002559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5925"/>
    <w:pPr>
      <w:numPr>
        <w:ilvl w:val="5"/>
        <w:numId w:val="3"/>
      </w:numPr>
      <w:tabs>
        <w:tab w:val="left" w:pos="4320"/>
      </w:tabs>
      <w:spacing w:after="120"/>
      <w:outlineLvl w:val="5"/>
    </w:pPr>
    <w:rPr>
      <w:b/>
    </w:rPr>
  </w:style>
  <w:style w:type="paragraph" w:styleId="Heading7">
    <w:name w:val="heading 7"/>
    <w:basedOn w:val="Normal"/>
    <w:next w:val="ParaNum"/>
    <w:qFormat/>
    <w:rsid w:val="002559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59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59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59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925"/>
  </w:style>
  <w:style w:type="paragraph" w:customStyle="1" w:styleId="ParaNum">
    <w:name w:val="ParaNum"/>
    <w:basedOn w:val="Normal"/>
    <w:rsid w:val="00255925"/>
    <w:pPr>
      <w:numPr>
        <w:numId w:val="2"/>
      </w:numPr>
      <w:tabs>
        <w:tab w:val="clear" w:pos="1080"/>
        <w:tab w:val="num" w:pos="1440"/>
      </w:tabs>
      <w:spacing w:after="120"/>
    </w:pPr>
  </w:style>
  <w:style w:type="paragraph" w:styleId="EndnoteText">
    <w:name w:val="endnote text"/>
    <w:basedOn w:val="Normal"/>
    <w:semiHidden/>
    <w:rsid w:val="00255925"/>
    <w:rPr>
      <w:sz w:val="20"/>
    </w:rPr>
  </w:style>
  <w:style w:type="character" w:styleId="EndnoteReference">
    <w:name w:val="endnote reference"/>
    <w:semiHidden/>
    <w:rsid w:val="00255925"/>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25592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255925"/>
    <w:rPr>
      <w:rFonts w:ascii="Times New Roman" w:hAnsi="Times New Roman"/>
      <w:dstrike w:val="0"/>
      <w:color w:val="auto"/>
      <w:sz w:val="20"/>
      <w:vertAlign w:val="superscript"/>
    </w:rPr>
  </w:style>
  <w:style w:type="paragraph" w:styleId="TOC1">
    <w:name w:val="toc 1"/>
    <w:basedOn w:val="Normal"/>
    <w:next w:val="Normal"/>
    <w:semiHidden/>
    <w:rsid w:val="002559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5925"/>
    <w:pPr>
      <w:tabs>
        <w:tab w:val="left" w:pos="720"/>
        <w:tab w:val="right" w:leader="dot" w:pos="9360"/>
      </w:tabs>
      <w:suppressAutoHyphens/>
      <w:ind w:left="720" w:right="720" w:hanging="360"/>
    </w:pPr>
    <w:rPr>
      <w:noProof/>
    </w:rPr>
  </w:style>
  <w:style w:type="paragraph" w:styleId="TOC3">
    <w:name w:val="toc 3"/>
    <w:basedOn w:val="Normal"/>
    <w:next w:val="Normal"/>
    <w:semiHidden/>
    <w:rsid w:val="002559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59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59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59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59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59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59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5925"/>
    <w:pPr>
      <w:tabs>
        <w:tab w:val="right" w:pos="9360"/>
      </w:tabs>
      <w:suppressAutoHyphens/>
    </w:pPr>
  </w:style>
  <w:style w:type="character" w:customStyle="1" w:styleId="EquationCaption">
    <w:name w:val="_Equation Caption"/>
    <w:rsid w:val="00255925"/>
  </w:style>
  <w:style w:type="paragraph" w:styleId="Header">
    <w:name w:val="header"/>
    <w:basedOn w:val="Normal"/>
    <w:autoRedefine/>
    <w:rsid w:val="00255925"/>
    <w:pPr>
      <w:tabs>
        <w:tab w:val="center" w:pos="4680"/>
        <w:tab w:val="right" w:pos="9360"/>
      </w:tabs>
    </w:pPr>
    <w:rPr>
      <w:b/>
    </w:rPr>
  </w:style>
  <w:style w:type="paragraph" w:styleId="Footer">
    <w:name w:val="footer"/>
    <w:basedOn w:val="Normal"/>
    <w:link w:val="FooterChar"/>
    <w:uiPriority w:val="99"/>
    <w:rsid w:val="00255925"/>
    <w:pPr>
      <w:tabs>
        <w:tab w:val="center" w:pos="4320"/>
        <w:tab w:val="right" w:pos="8640"/>
      </w:tabs>
    </w:pPr>
  </w:style>
  <w:style w:type="character" w:styleId="PageNumber">
    <w:name w:val="page number"/>
    <w:basedOn w:val="DefaultParagraphFont"/>
    <w:rsid w:val="00255925"/>
  </w:style>
  <w:style w:type="paragraph" w:styleId="BlockText">
    <w:name w:val="Block Text"/>
    <w:basedOn w:val="Normal"/>
    <w:rsid w:val="00255925"/>
    <w:pPr>
      <w:spacing w:after="240"/>
      <w:ind w:left="1440" w:right="1440"/>
    </w:pPr>
  </w:style>
  <w:style w:type="paragraph" w:customStyle="1" w:styleId="Paratitle">
    <w:name w:val="Para title"/>
    <w:basedOn w:val="Normal"/>
    <w:rsid w:val="00255925"/>
    <w:pPr>
      <w:tabs>
        <w:tab w:val="center" w:pos="9270"/>
      </w:tabs>
      <w:spacing w:after="240"/>
    </w:pPr>
    <w:rPr>
      <w:spacing w:val="-2"/>
    </w:rPr>
  </w:style>
  <w:style w:type="paragraph" w:customStyle="1" w:styleId="Bullet">
    <w:name w:val="Bullet"/>
    <w:basedOn w:val="Normal"/>
    <w:rsid w:val="00255925"/>
    <w:pPr>
      <w:tabs>
        <w:tab w:val="left" w:pos="2160"/>
      </w:tabs>
      <w:spacing w:after="220"/>
      <w:ind w:left="2160" w:hanging="720"/>
    </w:pPr>
  </w:style>
  <w:style w:type="paragraph" w:customStyle="1" w:styleId="TableFormat">
    <w:name w:val="TableFormat"/>
    <w:basedOn w:val="Bullet"/>
    <w:rsid w:val="00255925"/>
    <w:pPr>
      <w:tabs>
        <w:tab w:val="clear" w:pos="2160"/>
        <w:tab w:val="left" w:pos="5040"/>
      </w:tabs>
      <w:ind w:left="5040" w:hanging="3600"/>
    </w:pPr>
  </w:style>
  <w:style w:type="paragraph" w:customStyle="1" w:styleId="TOCTitle">
    <w:name w:val="TOC Title"/>
    <w:basedOn w:val="Normal"/>
    <w:rsid w:val="002559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5925"/>
    <w:pPr>
      <w:jc w:val="center"/>
    </w:pPr>
    <w:rPr>
      <w:rFonts w:ascii="Times New Roman Bold" w:hAnsi="Times New Roman Bold"/>
      <w:b/>
      <w:bCs/>
      <w:caps/>
      <w:szCs w:val="22"/>
    </w:rPr>
  </w:style>
  <w:style w:type="character" w:styleId="Hyperlink">
    <w:name w:val="Hyperlink"/>
    <w:rsid w:val="00255925"/>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25592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