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50F2C" w:rsidP="00150F2C" w14:paraId="5BB6BAA8" w14:textId="199B6845">
      <w:pPr>
        <w:spacing w:after="0"/>
        <w:jc w:val="right"/>
        <w:rPr>
          <w:b/>
          <w:sz w:val="24"/>
          <w:szCs w:val="24"/>
        </w:rPr>
      </w:pPr>
      <w:r w:rsidRPr="00511023">
        <w:t xml:space="preserve"> </w:t>
      </w:r>
      <w:r>
        <w:t xml:space="preserve">        </w:t>
      </w:r>
      <w:r w:rsidRPr="00511023">
        <w:rPr>
          <w:sz w:val="24"/>
          <w:szCs w:val="24"/>
        </w:rPr>
        <w:t xml:space="preserve"> </w:t>
      </w:r>
      <w:r w:rsidRPr="00511023">
        <w:rPr>
          <w:b/>
          <w:sz w:val="24"/>
          <w:szCs w:val="24"/>
        </w:rPr>
        <w:t xml:space="preserve">DA </w:t>
      </w:r>
      <w:r>
        <w:rPr>
          <w:b/>
          <w:sz w:val="24"/>
          <w:szCs w:val="24"/>
        </w:rPr>
        <w:t>19</w:t>
      </w:r>
      <w:r w:rsidRPr="00511023">
        <w:rPr>
          <w:b/>
          <w:sz w:val="24"/>
          <w:szCs w:val="24"/>
        </w:rPr>
        <w:t>-</w:t>
      </w:r>
      <w:r w:rsidR="00E82839">
        <w:rPr>
          <w:b/>
          <w:sz w:val="24"/>
          <w:szCs w:val="24"/>
        </w:rPr>
        <w:t>219</w:t>
      </w:r>
    </w:p>
    <w:p w:rsidR="00150F2C" w:rsidRPr="00511023" w:rsidP="00150F2C" w14:paraId="0C23B1FA" w14:textId="77777777">
      <w:pPr>
        <w:spacing w:after="0"/>
        <w:jc w:val="right"/>
        <w:rPr>
          <w:sz w:val="24"/>
          <w:szCs w:val="24"/>
        </w:rPr>
      </w:pPr>
    </w:p>
    <w:p w:rsidR="00150F2C" w:rsidRPr="00511023" w:rsidP="00150F2C" w14:paraId="506F695C" w14:textId="77777777">
      <w:pPr>
        <w:spacing w:after="0"/>
        <w:jc w:val="center"/>
        <w:rPr>
          <w:b/>
        </w:rPr>
      </w:pPr>
      <w:r w:rsidRPr="00511023">
        <w:rPr>
          <w:b/>
          <w:sz w:val="28"/>
          <w:szCs w:val="28"/>
        </w:rPr>
        <w:t>SMALL ENTITY COMPLIANCE GUIDE</w:t>
      </w:r>
    </w:p>
    <w:p w:rsidR="00150F2C" w:rsidRPr="001B7DFE" w:rsidP="00150F2C" w14:paraId="5D29C856" w14:textId="77777777">
      <w:pPr>
        <w:widowControl w:val="0"/>
        <w:spacing w:after="0" w:line="240" w:lineRule="auto"/>
        <w:ind w:right="-18"/>
        <w:jc w:val="center"/>
        <w:rPr>
          <w:rFonts w:eastAsia="Times New Roman"/>
          <w:b/>
          <w:snapToGrid w:val="0"/>
          <w:kern w:val="28"/>
        </w:rPr>
      </w:pPr>
      <w:r>
        <w:rPr>
          <w:rFonts w:eastAsia="Times New Roman"/>
          <w:b/>
          <w:snapToGrid w:val="0"/>
          <w:kern w:val="28"/>
          <w:szCs w:val="20"/>
        </w:rPr>
        <w:t>Electronic Delivery of MVPD Communications</w:t>
      </w:r>
    </w:p>
    <w:p w:rsidR="00150F2C" w:rsidRPr="00511023" w:rsidP="00150F2C" w14:paraId="26F763E2" w14:textId="77777777">
      <w:pPr>
        <w:spacing w:after="0"/>
        <w:ind w:hanging="90"/>
        <w:jc w:val="center"/>
        <w:rPr>
          <w:b/>
        </w:rPr>
      </w:pPr>
      <w:r w:rsidRPr="00511023">
        <w:rPr>
          <w:b/>
        </w:rPr>
        <w:t xml:space="preserve">FCC </w:t>
      </w:r>
      <w:r>
        <w:rPr>
          <w:b/>
        </w:rPr>
        <w:t>18-166</w:t>
      </w:r>
    </w:p>
    <w:p w:rsidR="00150F2C" w:rsidRPr="00511023" w:rsidP="00150F2C" w14:paraId="7BBFAA5E" w14:textId="77777777">
      <w:pPr>
        <w:spacing w:after="0"/>
        <w:jc w:val="center"/>
      </w:pPr>
      <w:r>
        <w:rPr>
          <w:b/>
        </w:rPr>
        <w:t>MB Docket No. 17-317</w:t>
      </w:r>
      <w:bookmarkStart w:id="0" w:name="_GoBack"/>
      <w:bookmarkEnd w:id="0"/>
    </w:p>
    <w:p w:rsidR="00150F2C" w:rsidRPr="00511023" w:rsidP="00150F2C" w14:paraId="02F7CD1E" w14:textId="77777777">
      <w:pPr>
        <w:spacing w:after="0"/>
        <w:jc w:val="center"/>
        <w:rPr>
          <w:b/>
        </w:rPr>
      </w:pPr>
      <w:r w:rsidRPr="00511023">
        <w:rPr>
          <w:b/>
        </w:rPr>
        <w:t xml:space="preserve">Released </w:t>
      </w:r>
      <w:r>
        <w:rPr>
          <w:b/>
        </w:rPr>
        <w:t>November 16, 2018</w:t>
      </w:r>
    </w:p>
    <w:p w:rsidR="00150F2C" w:rsidRPr="00511023" w:rsidP="00150F2C" w14:paraId="778499D7" w14:textId="77777777">
      <w:pPr>
        <w:spacing w:after="0"/>
        <w:jc w:val="center"/>
      </w:pPr>
    </w:p>
    <w:p w:rsidR="00150F2C" w:rsidRPr="00511023" w:rsidP="00150F2C" w14:paraId="350EB1D0" w14:textId="77777777">
      <w:pPr>
        <w:spacing w:after="0"/>
      </w:pPr>
    </w:p>
    <w:p w:rsidR="00150F2C" w:rsidRPr="00511023" w:rsidP="00150F2C" w14:paraId="0FC847EA" w14:textId="77777777">
      <w:pPr>
        <w:spacing w:after="0"/>
        <w:rPr>
          <w:b/>
        </w:rPr>
      </w:pPr>
    </w:p>
    <w:p w:rsidR="00150F2C" w:rsidRPr="00511023" w:rsidP="00150F2C" w14:paraId="117B9D33" w14:textId="5DF7D347">
      <w:pPr>
        <w:spacing w:after="0"/>
        <w:ind w:left="1080"/>
        <w:jc w:val="both"/>
        <w:rPr>
          <w:b/>
        </w:rPr>
      </w:pPr>
      <w:r w:rsidRPr="00B12C82">
        <w:rPr>
          <w:b/>
        </w:rPr>
        <w:t xml:space="preserve">This Guide is prepared in accordance with the requirements of </w:t>
      </w:r>
      <w:r w:rsidR="005B3EAC">
        <w:rPr>
          <w:b/>
        </w:rPr>
        <w:t>s</w:t>
      </w:r>
      <w:r w:rsidRPr="00B12C82">
        <w:rPr>
          <w:b/>
        </w:rPr>
        <w:t xml:space="preserve">ection 212 of the Small Business Regulatory Enforcement Fairness Act of 1996.  It is intended to help small entities—small businesses, small organizations (non-profits), and small governmental jurisdictions—comply with the </w:t>
      </w:r>
      <w:r w:rsidRPr="00E2092F">
        <w:rPr>
          <w:b/>
        </w:rPr>
        <w:t>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w:t>
      </w:r>
      <w:r w:rsidRPr="00511023">
        <w:rPr>
          <w:b/>
        </w:rPr>
        <w:t>.</w:t>
      </w:r>
    </w:p>
    <w:p w:rsidR="00150F2C" w:rsidRPr="00511023" w:rsidP="00150F2C" w14:paraId="4E4A620D" w14:textId="77777777">
      <w:pPr>
        <w:pStyle w:val="ListParagraph"/>
        <w:ind w:left="1080" w:hanging="1080"/>
        <w:jc w:val="both"/>
        <w:rPr>
          <w:b/>
        </w:rPr>
      </w:pPr>
    </w:p>
    <w:p w:rsidR="00150F2C" w:rsidRPr="00511023" w:rsidP="00150F2C" w14:paraId="16A0733A" w14:textId="77777777">
      <w:pPr>
        <w:pStyle w:val="ListParagraph"/>
        <w:ind w:left="1080"/>
        <w:jc w:val="both"/>
        <w:rPr>
          <w:b/>
        </w:rPr>
      </w:pPr>
      <w:r w:rsidRPr="00E2092F">
        <w:rPr>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w:t>
      </w:r>
      <w:r>
        <w:rPr>
          <w:b/>
        </w:rPr>
        <w:t>the Commission</w:t>
      </w:r>
      <w:r w:rsidRPr="00E2092F">
        <w:rPr>
          <w:b/>
        </w:rPr>
        <w:t xml:space="preserve"> comments and recommendations, or calls for further assistance, to the FCC’s Consumer Center</w:t>
      </w:r>
      <w:r w:rsidRPr="00511023">
        <w:rPr>
          <w:b/>
        </w:rPr>
        <w:t>:</w:t>
      </w:r>
    </w:p>
    <w:p w:rsidR="00150F2C" w:rsidRPr="00511023" w:rsidP="00150F2C" w14:paraId="24713E21" w14:textId="77777777">
      <w:pPr>
        <w:pStyle w:val="ListParagraph"/>
        <w:ind w:left="1080"/>
        <w:rPr>
          <w:b/>
        </w:rPr>
      </w:pPr>
    </w:p>
    <w:p w:rsidR="00150F2C" w:rsidRPr="00E2092F" w:rsidP="00150F2C" w14:paraId="27694B76" w14:textId="77777777">
      <w:pPr>
        <w:pStyle w:val="ListParagraph"/>
        <w:ind w:left="1080"/>
        <w:jc w:val="center"/>
        <w:rPr>
          <w:b/>
        </w:rPr>
      </w:pPr>
      <w:r w:rsidRPr="00E2092F">
        <w:rPr>
          <w:b/>
        </w:rPr>
        <w:t>1-888-CALL-FCC (1-888-225-5322)</w:t>
      </w:r>
    </w:p>
    <w:p w:rsidR="00150F2C" w:rsidRPr="00E2092F" w:rsidP="00150F2C" w14:paraId="0D80AEAF" w14:textId="77777777">
      <w:pPr>
        <w:pStyle w:val="ListParagraph"/>
        <w:ind w:left="1080"/>
        <w:jc w:val="center"/>
        <w:rPr>
          <w:b/>
        </w:rPr>
      </w:pPr>
      <w:r w:rsidRPr="00E2092F">
        <w:rPr>
          <w:b/>
        </w:rPr>
        <w:t>TTY: 1-888-TELL-FCC (1-888-835-5322)</w:t>
      </w:r>
    </w:p>
    <w:p w:rsidR="00150F2C" w:rsidRPr="00E2092F" w:rsidP="00150F2C" w14:paraId="1CBA27A0" w14:textId="77777777">
      <w:pPr>
        <w:pStyle w:val="ListParagraph"/>
        <w:ind w:left="1080"/>
        <w:jc w:val="center"/>
        <w:rPr>
          <w:b/>
        </w:rPr>
      </w:pPr>
      <w:r w:rsidRPr="00E2092F">
        <w:rPr>
          <w:b/>
        </w:rPr>
        <w:t>Videophone: 1-844-4-FCC-ASL (1-844-432-2275)</w:t>
      </w:r>
    </w:p>
    <w:p w:rsidR="00150F2C" w:rsidRPr="00E2092F" w:rsidP="00150F2C" w14:paraId="2C8ED382" w14:textId="77777777">
      <w:pPr>
        <w:pStyle w:val="ListParagraph"/>
        <w:ind w:left="1080"/>
        <w:jc w:val="center"/>
        <w:rPr>
          <w:b/>
        </w:rPr>
        <w:sectPr w:rsidSect="00152909">
          <w:headerReference w:type="default" r:id="rId5"/>
          <w:footerReference w:type="default" r:id="rId6"/>
          <w:pgSz w:w="12240" w:h="15840"/>
          <w:pgMar w:top="1440" w:right="1440" w:bottom="1008" w:left="1440" w:header="720" w:footer="187" w:gutter="0"/>
          <w:cols w:space="720"/>
          <w:docGrid w:linePitch="360"/>
        </w:sectPr>
      </w:pPr>
      <w:r w:rsidRPr="00E2092F">
        <w:rPr>
          <w:b/>
        </w:rPr>
        <w:t>Fax: 1-866-418-0232</w:t>
      </w:r>
    </w:p>
    <w:p w:rsidR="00150F2C" w:rsidP="00150F2C" w14:paraId="7E54E668" w14:textId="77777777">
      <w:pPr>
        <w:tabs>
          <w:tab w:val="left" w:pos="720"/>
        </w:tabs>
        <w:rPr>
          <w:b/>
        </w:rPr>
      </w:pPr>
      <w:r>
        <w:rPr>
          <w:b/>
        </w:rPr>
        <w:t>I.           BACKGROUND INFORMATION</w:t>
      </w:r>
    </w:p>
    <w:p w:rsidR="00D641D3" w:rsidP="00150F2C" w14:paraId="1A182F3A" w14:textId="3783B982">
      <w:pPr>
        <w:ind w:firstLine="720"/>
      </w:pPr>
      <w:r>
        <w:t xml:space="preserve">Cable operators and other </w:t>
      </w:r>
      <w:r w:rsidR="005B3EAC">
        <w:t>multichannel video programming distributors (</w:t>
      </w:r>
      <w:r>
        <w:t>MVPDs</w:t>
      </w:r>
      <w:r w:rsidR="005B3EAC">
        <w:t>)</w:t>
      </w:r>
      <w:r>
        <w:t xml:space="preserve"> are required to provide a wide variety of notices to subscribers in writing.</w:t>
      </w:r>
      <w:r w:rsidRPr="00AA2FAC">
        <w:t xml:space="preserve">  The rules at issue in this </w:t>
      </w:r>
      <w:r>
        <w:t>guide</w:t>
      </w:r>
      <w:r w:rsidRPr="00AA2FAC">
        <w:t xml:space="preserve"> are set forth in Subpart T of Part 76</w:t>
      </w:r>
      <w:r>
        <w:rPr>
          <w:rStyle w:val="FootnoteReference"/>
        </w:rPr>
        <w:footnoteReference w:id="2"/>
      </w:r>
      <w:r>
        <w:t xml:space="preserve"> and</w:t>
      </w:r>
      <w:r w:rsidRPr="00AA2FAC">
        <w:t xml:space="preserve"> were </w:t>
      </w:r>
      <w:r>
        <w:t xml:space="preserve">largely </w:t>
      </w:r>
      <w:r w:rsidRPr="00AA2FAC">
        <w:t>adopted to implement Congress’s directive, in the Cable Television Consumer Protection and Competition Act of 1992 (1992 Cable Act), that the Commission adopt customer service standards for cable operators.</w:t>
      </w:r>
      <w:r>
        <w:rPr>
          <w:vertAlign w:val="superscript"/>
        </w:rPr>
        <w:footnoteReference w:id="3"/>
      </w:r>
      <w:r>
        <w:t xml:space="preserve">  </w:t>
      </w:r>
      <w:r w:rsidRPr="00150F2C">
        <w:t>In June 2017, the Commission issued a Declaratory Ruling (2017 Declaratory Ruling) that interpreted the written communications requirement of one section of Subpart T to be satisfied by electronic delivery of written material to subscribers</w:t>
      </w:r>
      <w:r w:rsidR="00851DC7">
        <w:t>.</w:t>
      </w:r>
      <w:r>
        <w:rPr>
          <w:rStyle w:val="FootnoteReference"/>
        </w:rPr>
        <w:footnoteReference w:id="4"/>
      </w:r>
      <w:r>
        <w:t xml:space="preserve">  </w:t>
      </w:r>
      <w:r w:rsidRPr="00851DC7" w:rsidR="00851DC7">
        <w:t xml:space="preserve">In the wake of this Declaratory Ruling, a number of commenters in the </w:t>
      </w:r>
      <w:r w:rsidRPr="006D1137" w:rsidR="005B3EAC">
        <w:rPr>
          <w:i/>
        </w:rPr>
        <w:t>Modernization of Media Regulatory Initiative</w:t>
      </w:r>
      <w:r w:rsidRPr="006D1137" w:rsidR="00851DC7">
        <w:rPr>
          <w:i/>
        </w:rPr>
        <w:t xml:space="preserve"> </w:t>
      </w:r>
      <w:r w:rsidRPr="00851DC7" w:rsidR="00851DC7">
        <w:t>proceeding asked the Commission to consider permitting electronic delivery of the information required to be provided to cable subscribers in other Subpart T rules, as well as to consider other changes to the rules in Subpart T.</w:t>
      </w:r>
      <w:r w:rsidR="00851DC7">
        <w:t xml:space="preserve">  </w:t>
      </w:r>
      <w:bookmarkStart w:id="3" w:name="_Hlk3542642"/>
      <w:r w:rsidRPr="00851DC7" w:rsidR="00851DC7">
        <w:t xml:space="preserve">In response to </w:t>
      </w:r>
      <w:r w:rsidR="005B3EAC">
        <w:t xml:space="preserve">those </w:t>
      </w:r>
      <w:r w:rsidRPr="00851DC7" w:rsidR="00851DC7">
        <w:t>proposals, the Commission adopted the Notice of Proposed Rulemaking in this proceeding in December 2017.</w:t>
      </w:r>
      <w:bookmarkEnd w:id="3"/>
      <w:r>
        <w:rPr>
          <w:rStyle w:val="FootnoteReference"/>
        </w:rPr>
        <w:footnoteReference w:id="5"/>
      </w:r>
    </w:p>
    <w:p w:rsidR="00852099" w:rsidP="00AB7EE7" w14:paraId="2CD878E5" w14:textId="15F2F2FD">
      <w:pPr>
        <w:ind w:firstLine="720"/>
      </w:pPr>
      <w:r w:rsidRPr="00851DC7">
        <w:t>This Guide concerns the</w:t>
      </w:r>
      <w:r>
        <w:t xml:space="preserve"> subsequent </w:t>
      </w:r>
      <w:r w:rsidR="005B3EAC">
        <w:rPr>
          <w:i/>
        </w:rPr>
        <w:t xml:space="preserve">Report and </w:t>
      </w:r>
      <w:r w:rsidRPr="006D1137">
        <w:rPr>
          <w:i/>
        </w:rPr>
        <w:t>Order</w:t>
      </w:r>
      <w:r>
        <w:t xml:space="preserve"> adopted in November of 2018.</w:t>
      </w:r>
      <w:r>
        <w:rPr>
          <w:rStyle w:val="FootnoteReference"/>
        </w:rPr>
        <w:footnoteReference w:id="6"/>
      </w:r>
      <w:r>
        <w:t xml:space="preserve">  In that </w:t>
      </w:r>
      <w:r w:rsidR="005B3EAC">
        <w:rPr>
          <w:i/>
        </w:rPr>
        <w:t>Report and Order</w:t>
      </w:r>
      <w:r>
        <w:t xml:space="preserve">, </w:t>
      </w:r>
      <w:r w:rsidR="00AB7EE7">
        <w:t>t</w:t>
      </w:r>
      <w:r w:rsidRPr="00851DC7" w:rsidR="00AB7EE7">
        <w:t xml:space="preserve">he </w:t>
      </w:r>
      <w:r w:rsidR="00AB7EE7">
        <w:t xml:space="preserve">Subpart T </w:t>
      </w:r>
      <w:r w:rsidRPr="00851DC7" w:rsidR="00AB7EE7">
        <w:t>rules are extended to</w:t>
      </w:r>
      <w:r>
        <w:t xml:space="preserve"> permit </w:t>
      </w:r>
      <w:r w:rsidR="00AB7EE7">
        <w:t>certain</w:t>
      </w:r>
      <w:r>
        <w:t xml:space="preserve"> notices to be provided </w:t>
      </w:r>
      <w:bookmarkStart w:id="4" w:name="_Hlk521662843"/>
      <w:r>
        <w:t>electronically via verified e-mail, so long as the cable operator complies with certain consumer safeguards.</w:t>
      </w:r>
      <w:r>
        <w:rPr>
          <w:rStyle w:val="FootnoteReference"/>
        </w:rPr>
        <w:footnoteReference w:id="7"/>
      </w:r>
      <w:r>
        <w:t xml:space="preserve">  </w:t>
      </w:r>
      <w:bookmarkEnd w:id="4"/>
      <w:r w:rsidR="00AB7EE7">
        <w:t>It</w:t>
      </w:r>
      <w:r>
        <w:t xml:space="preserve"> also permit</w:t>
      </w:r>
      <w:r w:rsidR="00AB7EE7">
        <w:t>s</w:t>
      </w:r>
      <w:r>
        <w:t xml:space="preserve"> </w:t>
      </w:r>
      <w:r w:rsidR="005C355A">
        <w:t xml:space="preserve">similar </w:t>
      </w:r>
      <w:r>
        <w:t>electronic delivery of privacy information that cable operators and other MVPDs are required to provide</w:t>
      </w:r>
      <w:r w:rsidR="005C355A">
        <w:t xml:space="preserve"> to subscribers</w:t>
      </w:r>
      <w:r>
        <w:t xml:space="preserve">.  </w:t>
      </w:r>
      <w:r w:rsidR="00AB7EE7">
        <w:t>Finally, the Order</w:t>
      </w:r>
      <w:r>
        <w:t xml:space="preserve"> authorize</w:t>
      </w:r>
      <w:r w:rsidR="00AB7EE7">
        <w:t>s</w:t>
      </w:r>
      <w:r>
        <w:t xml:space="preserve"> cable operators to respond to consumer requests and complaints via e-mail </w:t>
      </w:r>
      <w:r w:rsidR="005C355A">
        <w:t>if the consumer used e-mail to make the request or complaint or if the consumer specifies e-mail as the preferred delivery method in the request or complaint</w:t>
      </w:r>
      <w:r>
        <w:t xml:space="preserve">, and </w:t>
      </w:r>
      <w:r w:rsidRPr="00B669C7">
        <w:t>eliminate</w:t>
      </w:r>
      <w:r w:rsidR="00AB7EE7">
        <w:t>s</w:t>
      </w:r>
      <w:r>
        <w:t xml:space="preserve"> </w:t>
      </w:r>
      <w:r w:rsidR="005B3EAC">
        <w:t>s</w:t>
      </w:r>
      <w:r>
        <w:t xml:space="preserve">ections 76.1621 and 76.1622 of our rules.  </w:t>
      </w:r>
    </w:p>
    <w:p w:rsidR="00AB7EE7" w:rsidP="00AB7EE7" w14:paraId="07A2C535" w14:textId="77777777">
      <w:pPr>
        <w:tabs>
          <w:tab w:val="left" w:pos="720"/>
        </w:tabs>
        <w:rPr>
          <w:b/>
        </w:rPr>
      </w:pPr>
      <w:r w:rsidRPr="00511023">
        <w:rPr>
          <w:b/>
        </w:rPr>
        <w:t>I</w:t>
      </w:r>
      <w:r>
        <w:rPr>
          <w:b/>
        </w:rPr>
        <w:t>I</w:t>
      </w:r>
      <w:r w:rsidRPr="00511023">
        <w:rPr>
          <w:b/>
        </w:rPr>
        <w:t xml:space="preserve">. </w:t>
      </w:r>
      <w:r>
        <w:rPr>
          <w:b/>
        </w:rPr>
        <w:tab/>
        <w:t>KEY DEFINITION</w:t>
      </w:r>
    </w:p>
    <w:p w:rsidR="00852099" w:rsidP="00AB7EE7" w14:paraId="0A7437D5" w14:textId="77777777">
      <w:pPr>
        <w:tabs>
          <w:tab w:val="left" w:pos="720"/>
        </w:tabs>
      </w:pPr>
      <w:r>
        <w:rPr>
          <w:b/>
        </w:rPr>
        <w:tab/>
        <w:t xml:space="preserve">Verified Email Address: </w:t>
      </w:r>
      <w:r>
        <w:t>An</w:t>
      </w:r>
      <w:r w:rsidRPr="00F02624">
        <w:t xml:space="preserve"> e-mail address </w:t>
      </w:r>
      <w:r>
        <w:t>that is</w:t>
      </w:r>
      <w:r w:rsidRPr="00F02624">
        <w:t xml:space="preserve">: (1) one that the subscriber has provided to the cable operator (and not </w:t>
      </w:r>
      <w:r w:rsidRPr="00F02624">
        <w:rPr>
          <w:i/>
        </w:rPr>
        <w:t>vice versa</w:t>
      </w:r>
      <w:r w:rsidRPr="00F02624">
        <w:t xml:space="preserve">) for purposes of receiving communication, (2) one that the </w:t>
      </w:r>
      <w:r w:rsidRPr="00F02624">
        <w:t xml:space="preserve">subscriber regularly uses to communicate with the cable operator, </w:t>
      </w:r>
      <w:r>
        <w:t>and/</w:t>
      </w:r>
      <w:r w:rsidRPr="00F02624">
        <w:t>or (3) one that has been confirmed by the subscriber as an appropriate vehicle for the delivery of notices</w:t>
      </w:r>
      <w:r w:rsidRPr="003B5377">
        <w:t>.</w:t>
      </w:r>
      <w:r>
        <w:rPr>
          <w:rStyle w:val="FootnoteReference"/>
        </w:rPr>
        <w:footnoteReference w:id="8"/>
      </w:r>
    </w:p>
    <w:p w:rsidR="00AB7EE7" w:rsidRPr="00AB7EE7" w:rsidP="00AB7EE7" w14:paraId="23F660A3" w14:textId="77777777">
      <w:pPr>
        <w:tabs>
          <w:tab w:val="left" w:pos="720"/>
        </w:tabs>
        <w:rPr>
          <w:b/>
        </w:rPr>
      </w:pPr>
      <w:r>
        <w:rPr>
          <w:b/>
        </w:rPr>
        <w:t>III.</w:t>
      </w:r>
      <w:r>
        <w:rPr>
          <w:b/>
        </w:rPr>
        <w:tab/>
      </w:r>
      <w:r w:rsidRPr="00AB7EE7">
        <w:rPr>
          <w:b/>
        </w:rPr>
        <w:t>COMPLIANCE REQUIREMENTS</w:t>
      </w:r>
    </w:p>
    <w:p w:rsidR="00AB7EE7" w:rsidP="00AB7EE7" w14:paraId="3DE625EE" w14:textId="77777777">
      <w:pPr>
        <w:spacing w:after="0"/>
        <w:rPr>
          <w:b/>
          <w:i/>
        </w:rPr>
      </w:pPr>
      <w:r>
        <w:rPr>
          <w:b/>
          <w:i/>
        </w:rPr>
        <w:t xml:space="preserve">Electronic Distribution of </w:t>
      </w:r>
      <w:r w:rsidR="00924825">
        <w:rPr>
          <w:b/>
          <w:i/>
        </w:rPr>
        <w:t xml:space="preserve">Cable </w:t>
      </w:r>
      <w:r>
        <w:rPr>
          <w:b/>
          <w:i/>
        </w:rPr>
        <w:t xml:space="preserve">Notices to Subscribers </w:t>
      </w:r>
    </w:p>
    <w:p w:rsidR="00AB7EE7" w:rsidP="00AB7EE7" w14:paraId="4149F7B3" w14:textId="77777777">
      <w:pPr>
        <w:spacing w:after="0"/>
        <w:rPr>
          <w:b/>
          <w:i/>
        </w:rPr>
      </w:pPr>
    </w:p>
    <w:p w:rsidR="00AB7EE7" w:rsidRPr="00511023" w:rsidP="00AB7EE7" w14:paraId="4DB05881" w14:textId="776B1624">
      <w:pPr>
        <w:spacing w:after="120" w:line="240" w:lineRule="auto"/>
      </w:pPr>
      <w:r>
        <w:t xml:space="preserve">With respect to </w:t>
      </w:r>
      <w:r w:rsidR="005C355A">
        <w:t xml:space="preserve">subscriber </w:t>
      </w:r>
      <w:r>
        <w:t xml:space="preserve">notices required </w:t>
      </w:r>
      <w:r w:rsidR="00924825">
        <w:t xml:space="preserve">by sections </w:t>
      </w:r>
      <w:r w:rsidRPr="00924825" w:rsidR="00924825">
        <w:t>76.1601, 76.1602, 76.1603, 76.1604, 76.1618, 76.1620</w:t>
      </w:r>
      <w:r w:rsidR="00924825">
        <w:t xml:space="preserve"> of the Commission’s rules, c</w:t>
      </w:r>
      <w:r>
        <w:t xml:space="preserve">able operators may </w:t>
      </w:r>
      <w:r w:rsidR="00924825">
        <w:t>send them electronically via email if</w:t>
      </w:r>
      <w:r>
        <w:t>:</w:t>
      </w:r>
    </w:p>
    <w:p w:rsidR="00AB7EE7" w:rsidP="00AB7EE7" w14:paraId="01403BD6" w14:textId="77777777">
      <w:pPr>
        <w:pStyle w:val="ListParagraph"/>
        <w:numPr>
          <w:ilvl w:val="0"/>
          <w:numId w:val="3"/>
        </w:numPr>
        <w:spacing w:after="120" w:line="240" w:lineRule="auto"/>
        <w:contextualSpacing w:val="0"/>
      </w:pPr>
      <w:r>
        <w:t>The email</w:t>
      </w:r>
      <w:r w:rsidR="00924825">
        <w:t xml:space="preserve"> address</w:t>
      </w:r>
      <w:r>
        <w:t xml:space="preserve"> is verified, and</w:t>
      </w:r>
    </w:p>
    <w:p w:rsidR="00AB7EE7" w:rsidP="00AB7EE7" w14:paraId="18443498" w14:textId="77777777">
      <w:pPr>
        <w:pStyle w:val="ListParagraph"/>
        <w:numPr>
          <w:ilvl w:val="0"/>
          <w:numId w:val="3"/>
        </w:numPr>
        <w:spacing w:after="120" w:line="240" w:lineRule="auto"/>
        <w:contextualSpacing w:val="0"/>
      </w:pPr>
      <w:r>
        <w:t>S</w:t>
      </w:r>
      <w:r w:rsidRPr="00463DF8">
        <w:t xml:space="preserve">ubscribers </w:t>
      </w:r>
      <w:r>
        <w:t>can</w:t>
      </w:r>
      <w:r w:rsidRPr="00463DF8">
        <w:t xml:space="preserve"> opt for paper delivery at any time</w:t>
      </w:r>
      <w:r w:rsidR="00924825">
        <w:t>.</w:t>
      </w:r>
    </w:p>
    <w:p w:rsidR="00AB7EE7" w:rsidP="00AB7EE7" w14:paraId="0BA27960" w14:textId="77777777">
      <w:pPr>
        <w:spacing w:after="120" w:line="240" w:lineRule="auto"/>
      </w:pPr>
      <w:r>
        <w:t xml:space="preserve">The email may include the notices in the body of the email itself or a weblink to the notice. </w:t>
      </w:r>
    </w:p>
    <w:p w:rsidR="00AB7EE7" w:rsidRPr="00463DF8" w:rsidP="00924825" w14:paraId="731701CB" w14:textId="207C077B">
      <w:pPr>
        <w:spacing w:after="240" w:line="240" w:lineRule="auto"/>
      </w:pPr>
      <w:r>
        <w:t>W</w:t>
      </w:r>
      <w:r w:rsidRPr="00463DF8">
        <w:t xml:space="preserve">ith respect to the rate and channel listing elements of the </w:t>
      </w:r>
      <w:r w:rsidR="005B3EAC">
        <w:t xml:space="preserve">section </w:t>
      </w:r>
      <w:r>
        <w:t xml:space="preserve">76.1602 </w:t>
      </w:r>
      <w:r w:rsidRPr="00463DF8">
        <w:t>annual notice</w:t>
      </w:r>
      <w:r>
        <w:t>,</w:t>
      </w:r>
      <w:r>
        <w:rPr>
          <w:vertAlign w:val="superscript"/>
        </w:rPr>
        <w:footnoteReference w:id="9"/>
      </w:r>
      <w:r>
        <w:t xml:space="preserve"> </w:t>
      </w:r>
      <w:r>
        <w:t>c</w:t>
      </w:r>
      <w:r w:rsidRPr="00463DF8">
        <w:t>able operators</w:t>
      </w:r>
      <w:r>
        <w:t xml:space="preserve"> </w:t>
      </w:r>
      <w:r>
        <w:t>may</w:t>
      </w:r>
      <w:r w:rsidRPr="00463DF8">
        <w:t xml:space="preserve"> provide a weblink to the subscriber, whether the notice is delivered by paper or in a verified e-mail</w:t>
      </w:r>
      <w:r>
        <w:t>.</w:t>
      </w:r>
      <w:r w:rsidRPr="00463DF8">
        <w:t xml:space="preserve">  </w:t>
      </w:r>
      <w:r>
        <w:t>I</w:t>
      </w:r>
      <w:r>
        <w:t xml:space="preserve">f they </w:t>
      </w:r>
      <w:r>
        <w:t>provide only a weblink in a paper annual notice</w:t>
      </w:r>
      <w:r>
        <w:t xml:space="preserve">, they </w:t>
      </w:r>
      <w:r>
        <w:t>must</w:t>
      </w:r>
      <w:r w:rsidRPr="00463DF8">
        <w:t xml:space="preserve"> display prominently, on the front or first page of </w:t>
      </w:r>
      <w:r>
        <w:t>the</w:t>
      </w:r>
      <w:r w:rsidRPr="00463DF8">
        <w:t xml:space="preserve"> printed annual notice, website links in a form that is short, simple, and easy to remember, such as “www.[homepage].com/Rates” or “www.[homepage].com/Channels</w:t>
      </w:r>
      <w:r>
        <w:t>,</w:t>
      </w:r>
      <w:r w:rsidRPr="00463DF8">
        <w:t xml:space="preserve">”  </w:t>
      </w:r>
      <w:r>
        <w:t>as well as</w:t>
      </w:r>
      <w:r w:rsidRPr="00463DF8">
        <w:t xml:space="preserve"> a single phone number </w:t>
      </w:r>
      <w:r>
        <w:t xml:space="preserve">that is available to the subscriber </w:t>
      </w:r>
      <w:r w:rsidRPr="00463DF8">
        <w:t>to opt for a paper version of all information available via weblink.</w:t>
      </w:r>
      <w:r>
        <w:t xml:space="preserve">  </w:t>
      </w:r>
      <w:r w:rsidRPr="00924825">
        <w:t xml:space="preserve">Any subscriber who opts for paper delivery of </w:t>
      </w:r>
      <w:r w:rsidR="005B3EAC">
        <w:t>s</w:t>
      </w:r>
      <w:r w:rsidRPr="00924825">
        <w:t xml:space="preserve">ection 76.1602 annual notices after receiving the entire notice electronically must be provided with the entire notice on paper.  An operator </w:t>
      </w:r>
      <w:r>
        <w:t>is</w:t>
      </w:r>
      <w:r w:rsidRPr="00924825">
        <w:t xml:space="preserve"> not be permitted to merely send printed rate and channel weblinks to such a subscriber, who has already demonstrated a clear preference for printed annual notice information. </w:t>
      </w:r>
      <w:r w:rsidRPr="00463DF8">
        <w:t xml:space="preserve">    </w:t>
      </w:r>
    </w:p>
    <w:p w:rsidR="00AB7EE7" w:rsidP="00AB7EE7" w14:paraId="54ACCDDB" w14:textId="77777777">
      <w:pPr>
        <w:spacing w:after="0"/>
        <w:rPr>
          <w:b/>
          <w:i/>
        </w:rPr>
      </w:pPr>
      <w:r w:rsidRPr="00D17C26">
        <w:rPr>
          <w:b/>
          <w:i/>
        </w:rPr>
        <w:t xml:space="preserve">Privacy Notifications </w:t>
      </w:r>
    </w:p>
    <w:p w:rsidR="00AB7EE7" w:rsidRPr="00D17C26" w:rsidP="00AB7EE7" w14:paraId="04622B98" w14:textId="77777777">
      <w:pPr>
        <w:spacing w:after="0"/>
        <w:rPr>
          <w:b/>
          <w:i/>
        </w:rPr>
      </w:pPr>
    </w:p>
    <w:p w:rsidR="00924825" w:rsidP="00924825" w14:paraId="452F2250" w14:textId="77777777">
      <w:pPr>
        <w:spacing w:after="240" w:line="240" w:lineRule="auto"/>
      </w:pPr>
      <w:r>
        <w:t xml:space="preserve">With respect to written privacy notices that must be provided by </w:t>
      </w:r>
      <w:r w:rsidRPr="00170A3C">
        <w:t>cable operators, satellite providers, and Open Video System providers</w:t>
      </w:r>
      <w:r w:rsidR="007446F7">
        <w:t xml:space="preserve"> pursuant to </w:t>
      </w:r>
      <w:r w:rsidRPr="007446F7" w:rsidR="007446F7">
        <w:t>47 U.S.C. §§ 551(a)(1), 338(</w:t>
      </w:r>
      <w:r w:rsidRPr="007446F7" w:rsidR="007446F7">
        <w:t>i</w:t>
      </w:r>
      <w:r w:rsidRPr="007446F7" w:rsidR="007446F7">
        <w:t xml:space="preserve">), </w:t>
      </w:r>
      <w:r w:rsidR="007446F7">
        <w:t xml:space="preserve">and </w:t>
      </w:r>
      <w:r w:rsidRPr="007446F7" w:rsidR="007446F7">
        <w:t>573(c)(1)(a)</w:t>
      </w:r>
      <w:r>
        <w:t>, such notices may now be delivered via verified e-mail to the subscriber provided that the cable operator complies with the necessary safeguards required of the other Subpart T notices described above.</w:t>
      </w:r>
    </w:p>
    <w:p w:rsidR="00AB7EE7" w:rsidP="00AB7EE7" w14:paraId="3C442477" w14:textId="77777777">
      <w:pPr>
        <w:spacing w:after="0"/>
        <w:rPr>
          <w:b/>
          <w:i/>
        </w:rPr>
      </w:pPr>
      <w:r>
        <w:rPr>
          <w:b/>
          <w:i/>
        </w:rPr>
        <w:t>Responses to Consumer Requests or Complaints by E-mail</w:t>
      </w:r>
    </w:p>
    <w:p w:rsidR="00AB7EE7" w:rsidP="00AB7EE7" w14:paraId="1D37B50F" w14:textId="77777777">
      <w:pPr>
        <w:spacing w:after="0"/>
      </w:pPr>
    </w:p>
    <w:p w:rsidR="00AB7EE7" w:rsidP="007446F7" w14:paraId="7D29D364" w14:textId="5137CAD5">
      <w:pPr>
        <w:pStyle w:val="ParaNum"/>
        <w:numPr>
          <w:ilvl w:val="0"/>
          <w:numId w:val="0"/>
        </w:numPr>
        <w:spacing w:after="240"/>
      </w:pPr>
      <w:r>
        <w:t>C</w:t>
      </w:r>
      <w:r w:rsidRPr="00EF5B3E">
        <w:t xml:space="preserve">able operators </w:t>
      </w:r>
      <w:r>
        <w:t>may</w:t>
      </w:r>
      <w:r w:rsidRPr="00EF5B3E">
        <w:t xml:space="preserve"> respond to consumer requests or billing dispute complaints</w:t>
      </w:r>
      <w:r>
        <w:t xml:space="preserve"> under </w:t>
      </w:r>
      <w:r w:rsidR="005B3EAC">
        <w:t>s</w:t>
      </w:r>
      <w:r>
        <w:t>ections 76.1614 and 76.1619</w:t>
      </w:r>
      <w:r w:rsidRPr="00EF5B3E">
        <w:t xml:space="preserve"> by e-mail, if the consumer used e-mail to make the request or complaint or if the consumer specifies e-mail as the preferred response method. </w:t>
      </w:r>
    </w:p>
    <w:p w:rsidR="00AB7EE7" w:rsidRPr="001B4646" w:rsidP="00AB7EE7" w14:paraId="489FA674" w14:textId="77777777">
      <w:pPr>
        <w:spacing w:after="0"/>
        <w:rPr>
          <w:b/>
          <w:i/>
        </w:rPr>
      </w:pPr>
      <w:r>
        <w:rPr>
          <w:b/>
          <w:i/>
        </w:rPr>
        <w:t xml:space="preserve">Elimination of </w:t>
      </w:r>
      <w:r>
        <w:rPr>
          <w:b/>
          <w:i/>
        </w:rPr>
        <w:t>47 CFR 76.1621, 47 CFR 76.1622</w:t>
      </w:r>
    </w:p>
    <w:p w:rsidR="00AB7EE7" w:rsidP="00AB7EE7" w14:paraId="2FC18530" w14:textId="77777777">
      <w:pPr>
        <w:spacing w:after="0"/>
        <w:jc w:val="both"/>
      </w:pPr>
    </w:p>
    <w:p w:rsidR="00AB7EE7" w:rsidRPr="00370655" w:rsidP="00AB7EE7" w14:paraId="2E1F3C22" w14:textId="646D27DA">
      <w:pPr>
        <w:pStyle w:val="ParaNum"/>
        <w:numPr>
          <w:ilvl w:val="0"/>
          <w:numId w:val="0"/>
        </w:numPr>
        <w:rPr>
          <w:color w:val="010101"/>
        </w:rPr>
      </w:pPr>
      <w:r>
        <w:t xml:space="preserve">The </w:t>
      </w:r>
      <w:r w:rsidR="005B3EAC">
        <w:rPr>
          <w:i/>
        </w:rPr>
        <w:t xml:space="preserve">Report and </w:t>
      </w:r>
      <w:r>
        <w:rPr>
          <w:i/>
        </w:rPr>
        <w:t>Order</w:t>
      </w:r>
      <w:r>
        <w:t xml:space="preserve"> </w:t>
      </w:r>
      <w:r w:rsidRPr="00BA0238">
        <w:rPr>
          <w:color w:val="010101"/>
        </w:rPr>
        <w:t>eliminate</w:t>
      </w:r>
      <w:r w:rsidR="007446F7">
        <w:rPr>
          <w:color w:val="010101"/>
        </w:rPr>
        <w:t>d</w:t>
      </w:r>
      <w:r w:rsidRPr="00BA0238">
        <w:rPr>
          <w:color w:val="010101"/>
        </w:rPr>
        <w:t xml:space="preserve"> </w:t>
      </w:r>
      <w:r w:rsidR="005B3EAC">
        <w:rPr>
          <w:color w:val="010101"/>
        </w:rPr>
        <w:t>s</w:t>
      </w:r>
      <w:r w:rsidRPr="00BA0238">
        <w:rPr>
          <w:color w:val="010101"/>
        </w:rPr>
        <w:t xml:space="preserve">ections 76.1621 and 76.1622 of </w:t>
      </w:r>
      <w:r>
        <w:rPr>
          <w:color w:val="010101"/>
        </w:rPr>
        <w:t>the Commission</w:t>
      </w:r>
      <w:r w:rsidRPr="00BA0238">
        <w:rPr>
          <w:color w:val="010101"/>
        </w:rPr>
        <w:t xml:space="preserve"> </w:t>
      </w:r>
      <w:r w:rsidRPr="0004736C">
        <w:t>rules</w:t>
      </w:r>
      <w:r w:rsidR="005C355A">
        <w:t>, finding that digital technology</w:t>
      </w:r>
      <w:r w:rsidR="0004736C">
        <w:t xml:space="preserve"> makes </w:t>
      </w:r>
      <w:r w:rsidR="005C355A">
        <w:t xml:space="preserve">it </w:t>
      </w:r>
      <w:r w:rsidR="0004736C">
        <w:t>un</w:t>
      </w:r>
      <w:r w:rsidR="005C355A">
        <w:t xml:space="preserve">necessary to promote the “special equipment” referred to in 76.1621, and that </w:t>
      </w:r>
      <w:r w:rsidR="0004736C">
        <w:t xml:space="preserve">general </w:t>
      </w:r>
      <w:r w:rsidR="005C355A">
        <w:t xml:space="preserve">changes in technology and </w:t>
      </w:r>
      <w:r w:rsidR="0004736C">
        <w:t xml:space="preserve">increasing </w:t>
      </w:r>
      <w:r w:rsidR="005C355A">
        <w:t>consumer awareness have rendered 76.1622</w:t>
      </w:r>
      <w:r w:rsidR="0004736C">
        <w:t>’s consumer education requirements</w:t>
      </w:r>
      <w:r w:rsidR="005C355A">
        <w:t xml:space="preserve"> unnecessary</w:t>
      </w:r>
      <w:r w:rsidRPr="0004736C">
        <w:t xml:space="preserve">.  </w:t>
      </w:r>
      <w:r w:rsidR="005C355A">
        <w:t xml:space="preserve">  </w:t>
      </w:r>
    </w:p>
    <w:p w:rsidR="007446F7" w:rsidP="00AB7EE7" w14:paraId="7F52B8F1" w14:textId="77777777">
      <w:pPr>
        <w:pStyle w:val="ParaNum"/>
        <w:numPr>
          <w:ilvl w:val="0"/>
          <w:numId w:val="0"/>
        </w:numPr>
        <w:rPr>
          <w:color w:val="010101"/>
        </w:rPr>
      </w:pPr>
      <w:r w:rsidRPr="00EF5B3E">
        <w:rPr>
          <w:color w:val="010101"/>
        </w:rPr>
        <w:t xml:space="preserve">Section 76.1621 </w:t>
      </w:r>
      <w:r>
        <w:rPr>
          <w:color w:val="010101"/>
        </w:rPr>
        <w:t>r</w:t>
      </w:r>
      <w:r w:rsidRPr="007446F7">
        <w:rPr>
          <w:color w:val="010101"/>
        </w:rPr>
        <w:t>equire</w:t>
      </w:r>
      <w:r>
        <w:rPr>
          <w:color w:val="010101"/>
        </w:rPr>
        <w:t>d</w:t>
      </w:r>
      <w:r w:rsidRPr="007446F7">
        <w:rPr>
          <w:color w:val="010101"/>
        </w:rPr>
        <w:t xml:space="preserve"> cable system operators that use scrambling, encryption, or similar technologies in conjunction with cable system terminal devices that may affect subscribers’ reception of signals to </w:t>
      </w:r>
      <w:r w:rsidRPr="007446F7">
        <w:rPr>
          <w:color w:val="010101"/>
        </w:rPr>
        <w:t>offer to supply each subscriber with special equipment that will enable the simultaneous reception of multiple signals.</w:t>
      </w:r>
    </w:p>
    <w:p w:rsidR="00AB7EE7" w:rsidRPr="007446F7" w:rsidP="007446F7" w14:paraId="238DF887" w14:textId="77777777">
      <w:pPr>
        <w:pStyle w:val="ParaNum"/>
        <w:numPr>
          <w:ilvl w:val="0"/>
          <w:numId w:val="0"/>
        </w:numPr>
        <w:spacing w:after="240"/>
        <w:rPr>
          <w:color w:val="010101"/>
        </w:rPr>
      </w:pPr>
      <w:r w:rsidRPr="00EF5B3E">
        <w:rPr>
          <w:color w:val="010101"/>
        </w:rPr>
        <w:t>Section 76.1622</w:t>
      </w:r>
      <w:r>
        <w:rPr>
          <w:color w:val="010101"/>
        </w:rPr>
        <w:t xml:space="preserve"> </w:t>
      </w:r>
      <w:r w:rsidRPr="00EF5B3E">
        <w:rPr>
          <w:color w:val="010101"/>
        </w:rPr>
        <w:t>require</w:t>
      </w:r>
      <w:r w:rsidR="007446F7">
        <w:rPr>
          <w:color w:val="010101"/>
        </w:rPr>
        <w:t xml:space="preserve">d </w:t>
      </w:r>
      <w:r w:rsidRPr="007446F7" w:rsidR="007446F7">
        <w:rPr>
          <w:color w:val="010101"/>
        </w:rPr>
        <w:t>cable system operators to provide a consumer education program on compatibility matters to their subscribers in writing that includes certain information, such as notice that certain models of television receivers and videocassette recorders may not be able to receive all of the channels offered by the cable system when connected directly to the system, as well as an explanation of the types of channel compatibility problems that could occur if the device is connected directly to the system and suggestions to resolve such problems; notice that subscribers may not be able to use special features and functions of their television receivers and videocassette recorders where service is received through a cable system terminal device; and notice that remote control units compatible with cable system terminal devices and other customer premises equipment provided to subscribers may be obtained from other sources, such as retail outlets, as well as a representative list of remote control models that are compatible with deployed customer premises equipment.</w:t>
      </w:r>
    </w:p>
    <w:p w:rsidR="00AB7EE7" w:rsidRPr="00511023" w:rsidP="00AB7EE7" w14:paraId="18841A01" w14:textId="77777777">
      <w:pPr>
        <w:tabs>
          <w:tab w:val="left" w:pos="720"/>
        </w:tabs>
        <w:spacing w:after="0"/>
        <w:rPr>
          <w:b/>
        </w:rPr>
      </w:pPr>
      <w:r>
        <w:rPr>
          <w:b/>
        </w:rPr>
        <w:t>I</w:t>
      </w:r>
      <w:r w:rsidRPr="00511023">
        <w:rPr>
          <w:b/>
        </w:rPr>
        <w:t xml:space="preserve">V. </w:t>
      </w:r>
      <w:r>
        <w:rPr>
          <w:b/>
        </w:rPr>
        <w:tab/>
      </w:r>
      <w:r w:rsidRPr="00511023">
        <w:rPr>
          <w:b/>
        </w:rPr>
        <w:t>IMPLEMENTATION</w:t>
      </w:r>
      <w:r>
        <w:rPr>
          <w:b/>
        </w:rPr>
        <w:t xml:space="preserve"> DATE</w:t>
      </w:r>
    </w:p>
    <w:p w:rsidR="00AB7EE7" w:rsidP="00AB7EE7" w14:paraId="1EE64C5E" w14:textId="77777777">
      <w:pPr>
        <w:spacing w:after="0"/>
        <w:rPr>
          <w:b/>
        </w:rPr>
      </w:pPr>
    </w:p>
    <w:p w:rsidR="00AB7EE7" w:rsidP="00AB7EE7" w14:paraId="040C67E0" w14:textId="1C6E9C94">
      <w:pPr>
        <w:pStyle w:val="ParaNum"/>
        <w:numPr>
          <w:ilvl w:val="0"/>
          <w:numId w:val="0"/>
        </w:numPr>
      </w:pPr>
      <w:r w:rsidRPr="00511023">
        <w:t>T</w:t>
      </w:r>
      <w:r>
        <w:t xml:space="preserve">he rules in the </w:t>
      </w:r>
      <w:r w:rsidRPr="00511023">
        <w:rPr>
          <w:i/>
        </w:rPr>
        <w:t>Report and Order</w:t>
      </w:r>
      <w:r>
        <w:t xml:space="preserve"> became </w:t>
      </w:r>
      <w:r w:rsidRPr="0084392B">
        <w:t xml:space="preserve">effective </w:t>
      </w:r>
      <w:r>
        <w:t xml:space="preserve">January 25, 2019, </w:t>
      </w:r>
      <w:r w:rsidRPr="004936F0">
        <w:t xml:space="preserve">except for new </w:t>
      </w:r>
      <w:r w:rsidR="005B3EAC">
        <w:t>s</w:t>
      </w:r>
      <w:r w:rsidRPr="004936F0">
        <w:t>ec</w:t>
      </w:r>
      <w:r w:rsidR="005B3EAC">
        <w:t>tion</w:t>
      </w:r>
      <w:r w:rsidRPr="004936F0">
        <w:t xml:space="preserve"> 76.1600 and the amendments to </w:t>
      </w:r>
      <w:r w:rsidR="005B3EAC">
        <w:t>s</w:t>
      </w:r>
      <w:r w:rsidRPr="004936F0">
        <w:t>ec</w:t>
      </w:r>
      <w:r w:rsidR="005B3EAC">
        <w:t>tions</w:t>
      </w:r>
      <w:r w:rsidRPr="004936F0">
        <w:t xml:space="preserve"> 76.1614 and 76.1619, which are delayed</w:t>
      </w:r>
      <w:r w:rsidR="007446F7">
        <w:t xml:space="preserve"> pending </w:t>
      </w:r>
      <w:r w:rsidR="005B3EAC">
        <w:t xml:space="preserve">Paperwork Reduction Act </w:t>
      </w:r>
      <w:r w:rsidR="007446F7">
        <w:t>approval</w:t>
      </w:r>
      <w:r>
        <w:t>.</w:t>
      </w:r>
    </w:p>
    <w:p w:rsidR="00AB7EE7" w:rsidRPr="00511023" w:rsidP="00AB7EE7" w14:paraId="6AF9B8EA" w14:textId="77777777">
      <w:pPr>
        <w:spacing w:after="0"/>
        <w:rPr>
          <w:b/>
        </w:rPr>
      </w:pPr>
    </w:p>
    <w:p w:rsidR="00AB7EE7" w:rsidRPr="00511023" w:rsidP="00AB7EE7" w14:paraId="0937E039" w14:textId="77777777">
      <w:pPr>
        <w:tabs>
          <w:tab w:val="left" w:pos="720"/>
        </w:tabs>
        <w:spacing w:after="0"/>
        <w:rPr>
          <w:b/>
        </w:rPr>
      </w:pPr>
      <w:r>
        <w:rPr>
          <w:b/>
        </w:rPr>
        <w:t>V.</w:t>
      </w:r>
      <w:r>
        <w:rPr>
          <w:b/>
        </w:rPr>
        <w:tab/>
      </w:r>
      <w:r w:rsidRPr="00511023">
        <w:rPr>
          <w:b/>
        </w:rPr>
        <w:t>INTERNET LINKS</w:t>
      </w:r>
    </w:p>
    <w:p w:rsidR="00AB7EE7" w:rsidP="00AB7EE7" w14:paraId="3FA19DE2" w14:textId="77777777">
      <w:pPr>
        <w:spacing w:after="0"/>
        <w:rPr>
          <w:b/>
        </w:rPr>
      </w:pPr>
    </w:p>
    <w:p w:rsidR="00AB7EE7" w:rsidP="00AB7EE7" w14:paraId="3632C344" w14:textId="77777777">
      <w:pPr>
        <w:rPr>
          <w:color w:val="000000"/>
          <w:sz w:val="24"/>
          <w:szCs w:val="24"/>
        </w:rPr>
      </w:pPr>
      <w:r>
        <w:rPr>
          <w:b/>
        </w:rPr>
        <w:t>A</w:t>
      </w:r>
      <w:r w:rsidRPr="00511023">
        <w:rPr>
          <w:b/>
        </w:rPr>
        <w:t xml:space="preserve"> copy of the </w:t>
      </w:r>
      <w:r>
        <w:rPr>
          <w:b/>
          <w:i/>
        </w:rPr>
        <w:t xml:space="preserve">Report and </w:t>
      </w:r>
      <w:r w:rsidRPr="00511023">
        <w:rPr>
          <w:b/>
          <w:i/>
        </w:rPr>
        <w:t>Order</w:t>
      </w:r>
      <w:r>
        <w:rPr>
          <w:b/>
          <w:i/>
        </w:rPr>
        <w:t xml:space="preserve"> and Further Notice of Proposed Rulemaking </w:t>
      </w:r>
      <w:r w:rsidRPr="00511023">
        <w:rPr>
          <w:b/>
        </w:rPr>
        <w:t>is available at:</w:t>
      </w:r>
      <w:r>
        <w:rPr>
          <w:b/>
        </w:rPr>
        <w:br/>
      </w:r>
      <w:hyperlink r:id="rId7" w:history="1">
        <w:r w:rsidRPr="00BC76BA">
          <w:rPr>
            <w:rStyle w:val="Hyperlink"/>
            <w:sz w:val="24"/>
            <w:szCs w:val="24"/>
          </w:rPr>
          <w:t>https://docs.fcc.gov/public/attachments/FCC-18-166A1.pdf</w:t>
        </w:r>
      </w:hyperlink>
      <w:r>
        <w:rPr>
          <w:color w:val="000000"/>
          <w:sz w:val="24"/>
          <w:szCs w:val="24"/>
        </w:rPr>
        <w:t xml:space="preserve"> </w:t>
      </w:r>
    </w:p>
    <w:p w:rsidR="00AB7EE7" w:rsidRPr="00511023" w:rsidP="00AB7EE7" w14:paraId="5479CB36" w14:textId="614745BF">
      <w:pPr>
        <w:spacing w:after="0"/>
        <w:rPr>
          <w:b/>
        </w:rPr>
      </w:pPr>
      <w:r w:rsidRPr="00511023">
        <w:rPr>
          <w:b/>
        </w:rPr>
        <w:t xml:space="preserve">A copy of the Federal Register Summary of the </w:t>
      </w:r>
      <w:r w:rsidR="0038142A">
        <w:rPr>
          <w:b/>
          <w:i/>
        </w:rPr>
        <w:t xml:space="preserve">Report and </w:t>
      </w:r>
      <w:r w:rsidRPr="0004736C" w:rsidR="0004736C">
        <w:rPr>
          <w:b/>
          <w:i/>
        </w:rPr>
        <w:t>O</w:t>
      </w:r>
      <w:r w:rsidRPr="00511023">
        <w:rPr>
          <w:b/>
          <w:i/>
        </w:rPr>
        <w:t>rder</w:t>
      </w:r>
      <w:r>
        <w:rPr>
          <w:b/>
          <w:i/>
        </w:rPr>
        <w:t xml:space="preserve"> </w:t>
      </w:r>
      <w:r>
        <w:rPr>
          <w:b/>
        </w:rPr>
        <w:t>portion of this item</w:t>
      </w:r>
      <w:r w:rsidRPr="00511023">
        <w:rPr>
          <w:b/>
        </w:rPr>
        <w:t xml:space="preserve"> is available at: </w:t>
      </w:r>
    </w:p>
    <w:p w:rsidR="00AB7EE7" w:rsidP="00AB7EE7" w14:paraId="5F75C9B5" w14:textId="77777777">
      <w:hyperlink r:id="rId8" w:history="1">
        <w:r w:rsidRPr="004936F0">
          <w:rPr>
            <w:rStyle w:val="Hyperlink"/>
          </w:rPr>
          <w:t>https://www.govinfo.gov/content/pkg/FR-2018-12-26/pdf/2018-27601.pdf</w:t>
        </w:r>
      </w:hyperlink>
    </w:p>
    <w:p w:rsidR="00AB7EE7" w:rsidP="00AB7EE7" w14:paraId="44C7FE98" w14:textId="77777777"/>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F2C" w:rsidRPr="00511023" w14:paraId="5D69E6D4" w14:textId="77777777">
    <w:pPr>
      <w:pStyle w:val="Footer"/>
      <w:jc w:val="center"/>
    </w:pPr>
  </w:p>
  <w:p w:rsidR="00150F2C" w14:paraId="42C92C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0F2C" w:rsidP="00150F2C" w14:paraId="3D77E4E5" w14:textId="77777777">
      <w:pPr>
        <w:spacing w:after="0" w:line="240" w:lineRule="auto"/>
      </w:pPr>
      <w:r>
        <w:separator/>
      </w:r>
    </w:p>
  </w:footnote>
  <w:footnote w:type="continuationSeparator" w:id="1">
    <w:p w:rsidR="00150F2C" w:rsidP="00150F2C" w14:paraId="5E0E6751" w14:textId="77777777">
      <w:pPr>
        <w:spacing w:after="0" w:line="240" w:lineRule="auto"/>
      </w:pPr>
      <w:r>
        <w:continuationSeparator/>
      </w:r>
    </w:p>
  </w:footnote>
  <w:footnote w:id="2">
    <w:p w:rsidR="00150F2C" w:rsidRPr="00851DC7" w:rsidP="006D1137" w14:paraId="386576E4" w14:textId="77777777">
      <w:pPr>
        <w:pStyle w:val="FootnoteText"/>
        <w:spacing w:after="120"/>
      </w:pPr>
      <w:r w:rsidRPr="00851DC7">
        <w:rPr>
          <w:rStyle w:val="FootnoteReference"/>
        </w:rPr>
        <w:footnoteRef/>
      </w:r>
      <w:r w:rsidRPr="00851DC7">
        <w:t xml:space="preserve"> Specifically, 47 CFR §§ 76.1601, 76.1602, 76.1603, 76.1604, 76.1618, 76.1620, 76.1621, and 76.1622.</w:t>
      </w:r>
    </w:p>
  </w:footnote>
  <w:footnote w:id="3">
    <w:p w:rsidR="00150F2C" w:rsidRPr="00851DC7" w:rsidP="006D1137" w14:paraId="278EE943" w14:textId="77777777">
      <w:pPr>
        <w:pStyle w:val="FootnoteText"/>
        <w:spacing w:after="120"/>
      </w:pPr>
      <w:r w:rsidRPr="00851DC7">
        <w:rPr>
          <w:rStyle w:val="FootnoteReference"/>
        </w:rPr>
        <w:footnoteRef/>
      </w:r>
      <w:r w:rsidRPr="00851DC7">
        <w:t xml:space="preserve"> Pub. L. No. 102-385, 106 Stat. 1460 (1992) (</w:t>
      </w:r>
      <w:r w:rsidRPr="00851DC7">
        <w:rPr>
          <w:i/>
        </w:rPr>
        <w:t>1992 Cable Act</w:t>
      </w:r>
      <w:r w:rsidRPr="00851DC7">
        <w:t>), codified in relevant part at 47 U.S.C. § 552.</w:t>
      </w:r>
    </w:p>
  </w:footnote>
  <w:footnote w:id="4">
    <w:p w:rsidR="00851DC7" w:rsidP="006D1137" w14:paraId="3097806A" w14:textId="77777777">
      <w:pPr>
        <w:pStyle w:val="FootnoteText"/>
        <w:spacing w:after="120"/>
      </w:pPr>
      <w:r>
        <w:rPr>
          <w:rStyle w:val="FootnoteReference"/>
        </w:rPr>
        <w:footnoteRef/>
      </w:r>
      <w:r>
        <w:t xml:space="preserve"> </w:t>
      </w:r>
      <w:r w:rsidRPr="00851DC7">
        <w:rPr>
          <w:i/>
        </w:rPr>
        <w:t>See National Cable &amp; Telecommunications Association and American Cable Association, Petition for Declaratory Ruling</w:t>
      </w:r>
      <w:r w:rsidRPr="00851DC7">
        <w:t>, Declaratory Ruling, 32 FCC Rcd 5269 (2017) (</w:t>
      </w:r>
      <w:r w:rsidRPr="00851DC7">
        <w:rPr>
          <w:i/>
        </w:rPr>
        <w:t>2017 Declaratory Ruling</w:t>
      </w:r>
      <w:r w:rsidRPr="00851DC7">
        <w:t xml:space="preserve">).  The Declaratory Ruling granted a petition for declaratory ruling filed by NCTA – The Internet and Television Association (NCTA) and the American Cable Association (ACA).  </w:t>
      </w:r>
      <w:r w:rsidRPr="00851DC7">
        <w:rPr>
          <w:i/>
        </w:rPr>
        <w:t>See</w:t>
      </w:r>
      <w:r w:rsidRPr="00851DC7">
        <w:t xml:space="preserve"> Petition for Declaratory Ruling of National Cable &amp; Telecommunications Association and American Cable Association, MB Docket No. 16-126 (filed Mar. 7, 2016) (requesting clarification that the written information that cable operators must provide to their subscribers pursuant to Section 76.1602(b) of the Commission’s rules may be provided via electronic distribution).</w:t>
      </w:r>
    </w:p>
  </w:footnote>
  <w:footnote w:id="5">
    <w:p w:rsidR="00851DC7" w:rsidP="006D1137" w14:paraId="3F262A84" w14:textId="7629171E">
      <w:pPr>
        <w:pStyle w:val="FootnoteText"/>
        <w:spacing w:after="120"/>
      </w:pPr>
      <w:r>
        <w:rPr>
          <w:rStyle w:val="FootnoteReference"/>
        </w:rPr>
        <w:footnoteRef/>
      </w:r>
      <w:r>
        <w:t xml:space="preserve"> </w:t>
      </w:r>
      <w:r w:rsidRPr="00851DC7">
        <w:rPr>
          <w:i/>
        </w:rPr>
        <w:t>Electronic Delivery of MVPD Communications</w:t>
      </w:r>
      <w:r w:rsidRPr="00851DC7">
        <w:t xml:space="preserve">, </w:t>
      </w:r>
      <w:r w:rsidRPr="00851DC7">
        <w:rPr>
          <w:i/>
        </w:rPr>
        <w:t>Modernization of Media Regulation Initiative</w:t>
      </w:r>
      <w:r w:rsidRPr="00851DC7">
        <w:t xml:space="preserve">, </w:t>
      </w:r>
      <w:r w:rsidR="00852099">
        <w:t xml:space="preserve">MB Docket Nos. 17-317 and 17-105, </w:t>
      </w:r>
      <w:r w:rsidRPr="00851DC7">
        <w:t>Notice of Proposed Rulemaking, 32 FCC Rcd 10755 (2017)</w:t>
      </w:r>
      <w:r>
        <w:t>.</w:t>
      </w:r>
    </w:p>
  </w:footnote>
  <w:footnote w:id="6">
    <w:p w:rsidR="00851DC7" w:rsidP="006D1137" w14:paraId="3639D2C9" w14:textId="3245A760">
      <w:pPr>
        <w:pStyle w:val="FootnoteText"/>
        <w:spacing w:after="120"/>
      </w:pPr>
      <w:r>
        <w:rPr>
          <w:rStyle w:val="FootnoteReference"/>
        </w:rPr>
        <w:footnoteRef/>
      </w:r>
      <w:r>
        <w:t xml:space="preserve"> </w:t>
      </w:r>
      <w:r w:rsidRPr="00851DC7" w:rsidR="00852099">
        <w:rPr>
          <w:i/>
        </w:rPr>
        <w:t>Electronic Delivery of MVPD Communications</w:t>
      </w:r>
      <w:r w:rsidRPr="00851DC7" w:rsidR="00852099">
        <w:t xml:space="preserve">, </w:t>
      </w:r>
      <w:r w:rsidRPr="00851DC7" w:rsidR="00852099">
        <w:rPr>
          <w:i/>
        </w:rPr>
        <w:t>Modernization of Media Regulation Initiative</w:t>
      </w:r>
      <w:r w:rsidRPr="00851DC7" w:rsidR="00852099">
        <w:t xml:space="preserve">, </w:t>
      </w:r>
      <w:r w:rsidR="00852099">
        <w:t xml:space="preserve">MB Docket Nos. 17-317 and 17-105, Report and Order and Further Notice of Proposed Rulemaking, FCC 18-166, </w:t>
      </w:r>
      <w:r w:rsidRPr="00852099" w:rsidR="00852099">
        <w:t>2018 WL 6061286</w:t>
      </w:r>
      <w:r w:rsidR="00852099">
        <w:t xml:space="preserve"> (rel. Nov. 16, 2018) (</w:t>
      </w:r>
      <w:r w:rsidR="005B3EAC">
        <w:rPr>
          <w:i/>
        </w:rPr>
        <w:t xml:space="preserve">Report and </w:t>
      </w:r>
      <w:r w:rsidRPr="00852099" w:rsidR="00852099">
        <w:rPr>
          <w:i/>
        </w:rPr>
        <w:t>Order</w:t>
      </w:r>
      <w:r w:rsidR="00852099">
        <w:t>).</w:t>
      </w:r>
    </w:p>
  </w:footnote>
  <w:footnote w:id="7">
    <w:p w:rsidR="00852099" w:rsidP="006D1137" w14:paraId="635831C6" w14:textId="77777777">
      <w:pPr>
        <w:pStyle w:val="FootnoteText"/>
        <w:spacing w:after="120"/>
      </w:pPr>
      <w:r>
        <w:rPr>
          <w:rStyle w:val="FootnoteReference"/>
        </w:rPr>
        <w:footnoteRef/>
      </w:r>
      <w:r>
        <w:t xml:space="preserve"> </w:t>
      </w:r>
      <w:r w:rsidR="00AB7EE7">
        <w:t>A</w:t>
      </w:r>
      <w:r w:rsidRPr="0014577C">
        <w:t xml:space="preserve">ny notice sent by verified </w:t>
      </w:r>
      <w:r>
        <w:t>e-mail</w:t>
      </w:r>
      <w:r w:rsidRPr="0014577C">
        <w:t xml:space="preserve"> </w:t>
      </w:r>
      <w:r w:rsidR="00AB7EE7">
        <w:t>may</w:t>
      </w:r>
      <w:r w:rsidRPr="0014577C">
        <w:t xml:space="preserve"> be provided to subscribers via a weblink contained in the text of the </w:t>
      </w:r>
      <w:r>
        <w:t>e-mail</w:t>
      </w:r>
      <w:r w:rsidRPr="0014577C">
        <w:t>.  In</w:t>
      </w:r>
      <w:r>
        <w:t xml:space="preserve"> addition, information about rates and channel line-ups contained in paper-delivered annual notices </w:t>
      </w:r>
      <w:r w:rsidR="00AB7EE7">
        <w:t>may</w:t>
      </w:r>
      <w:r>
        <w:t xml:space="preserve"> contain the full text or list a website address that contains such information.</w:t>
      </w:r>
    </w:p>
  </w:footnote>
  <w:footnote w:id="8">
    <w:p w:rsidR="00AB7EE7" w:rsidP="006D1137" w14:paraId="497A6114" w14:textId="432F5B2A">
      <w:pPr>
        <w:pStyle w:val="FootnoteText"/>
        <w:spacing w:after="120"/>
      </w:pPr>
      <w:r>
        <w:rPr>
          <w:rStyle w:val="FootnoteReference"/>
        </w:rPr>
        <w:footnoteRef/>
      </w:r>
      <w:r>
        <w:t xml:space="preserve"> </w:t>
      </w:r>
      <w:r w:rsidR="0038142A">
        <w:rPr>
          <w:i/>
        </w:rPr>
        <w:t xml:space="preserve">Report and </w:t>
      </w:r>
      <w:r w:rsidRPr="00AB7EE7">
        <w:rPr>
          <w:i/>
        </w:rPr>
        <w:t>Order</w:t>
      </w:r>
      <w:r>
        <w:t xml:space="preserve"> at para. 11.</w:t>
      </w:r>
    </w:p>
  </w:footnote>
  <w:footnote w:id="9">
    <w:p w:rsidR="00AB7EE7" w:rsidRPr="0072396C" w:rsidP="006D1137" w14:paraId="76EB2889" w14:textId="77777777">
      <w:pPr>
        <w:pStyle w:val="FootnoteText"/>
        <w:spacing w:after="120"/>
      </w:pPr>
      <w:r w:rsidRPr="0072396C">
        <w:rPr>
          <w:rStyle w:val="FootnoteReference"/>
        </w:rPr>
        <w:footnoteRef/>
      </w:r>
      <w:r w:rsidRPr="0072396C">
        <w:t xml:space="preserve"> 47 CFR §§ 76.1602(b)(2), (5), (7), and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F2C" w:rsidP="00121A4A" w14:paraId="1BB3B720" w14:textId="77777777">
    <w:pPr>
      <w:pStyle w:val="Header"/>
      <w:spacing w:before="360" w:line="228" w:lineRule="auto"/>
      <w:jc w:val="center"/>
    </w:pPr>
    <w:bookmarkStart w:id="1" w:name="_Hlk3542383"/>
    <w:bookmarkStart w:id="2" w:name="_Hlk3542384"/>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5207803" r:id="rId2"/>
      </w:pict>
    </w:r>
    <w:r>
      <w:rPr>
        <w:rFonts w:ascii="CG Times (W1)" w:hAnsi="CG Times (W1)"/>
        <w:sz w:val="28"/>
      </w:rPr>
      <w:t>Federal Communications Commission</w:t>
    </w:r>
  </w:p>
  <w:p w:rsidR="00150F2C" w:rsidP="00121A4A" w14:paraId="5884FD52" w14:textId="77777777">
    <w:pPr>
      <w:jc w:val="center"/>
      <w:rPr>
        <w:rFonts w:ascii="CG Times (W1)" w:hAnsi="CG Times (W1)"/>
        <w:sz w:val="28"/>
      </w:rPr>
    </w:pPr>
    <w:r>
      <w:rPr>
        <w:rFonts w:ascii="CG Times (W1)" w:hAnsi="CG Times (W1)"/>
        <w:sz w:val="28"/>
      </w:rPr>
      <w:t>Washington, D.C. 20554</w:t>
    </w:r>
  </w:p>
  <w:p w:rsidR="00150F2C" w:rsidRPr="003172B5" w:rsidP="00511023" w14:paraId="00F7238F" w14:textId="09010153">
    <w:pPr>
      <w:jc w:val="center"/>
      <w:rPr>
        <w:sz w:val="24"/>
        <w:szCs w:val="24"/>
      </w:rPr>
    </w:pPr>
    <w:r>
      <w:rPr>
        <w:rFonts w:ascii="CG Times (W1)" w:hAnsi="CG Times (W1)"/>
        <w:sz w:val="24"/>
        <w:szCs w:val="24"/>
      </w:rPr>
      <w:t>March 27</w:t>
    </w:r>
    <w:r>
      <w:rPr>
        <w:rFonts w:ascii="CG Times (W1)" w:hAnsi="CG Times (W1)"/>
        <w:sz w:val="24"/>
        <w:szCs w:val="24"/>
      </w:rPr>
      <w:t>, 2019</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F2C" w14:paraId="4F39E9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F4D72"/>
    <w:multiLevelType w:val="hybridMultilevel"/>
    <w:tmpl w:val="85F81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F623FC"/>
    <w:multiLevelType w:val="hybridMultilevel"/>
    <w:tmpl w:val="9E7C990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4634F48"/>
    <w:multiLevelType w:val="hybridMultilevel"/>
    <w:tmpl w:val="7980B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881508E"/>
    <w:multiLevelType w:val="hybridMultilevel"/>
    <w:tmpl w:val="4D6A4DF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2C"/>
    <w:rsid w:val="0004736C"/>
    <w:rsid w:val="00121A4A"/>
    <w:rsid w:val="0014577C"/>
    <w:rsid w:val="00150F2C"/>
    <w:rsid w:val="00170A3C"/>
    <w:rsid w:val="001B4646"/>
    <w:rsid w:val="001B7DFE"/>
    <w:rsid w:val="00314DB7"/>
    <w:rsid w:val="003172B5"/>
    <w:rsid w:val="00370655"/>
    <w:rsid w:val="0038142A"/>
    <w:rsid w:val="003B5377"/>
    <w:rsid w:val="00463DF8"/>
    <w:rsid w:val="004936F0"/>
    <w:rsid w:val="00511023"/>
    <w:rsid w:val="005B3EAC"/>
    <w:rsid w:val="005C355A"/>
    <w:rsid w:val="005C3FE7"/>
    <w:rsid w:val="006071E3"/>
    <w:rsid w:val="006D1137"/>
    <w:rsid w:val="0072396C"/>
    <w:rsid w:val="007446F7"/>
    <w:rsid w:val="0084392B"/>
    <w:rsid w:val="00851DC7"/>
    <w:rsid w:val="00852099"/>
    <w:rsid w:val="00924825"/>
    <w:rsid w:val="00930AD4"/>
    <w:rsid w:val="009F5B2E"/>
    <w:rsid w:val="00AA2FAC"/>
    <w:rsid w:val="00AB7EE7"/>
    <w:rsid w:val="00B12C82"/>
    <w:rsid w:val="00B669C7"/>
    <w:rsid w:val="00BA0238"/>
    <w:rsid w:val="00BC76BA"/>
    <w:rsid w:val="00D17C26"/>
    <w:rsid w:val="00D641D3"/>
    <w:rsid w:val="00DB0494"/>
    <w:rsid w:val="00DF6441"/>
    <w:rsid w:val="00E00835"/>
    <w:rsid w:val="00E2092F"/>
    <w:rsid w:val="00E82839"/>
    <w:rsid w:val="00EB41F5"/>
    <w:rsid w:val="00EF5B3E"/>
    <w:rsid w:val="00F02624"/>
    <w:rsid w:val="00F86116"/>
    <w:rsid w:val="00FA6E08"/>
    <w:rsid w:val="00FC15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EA96A7D-3CC8-46D3-9926-029C7C30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2C"/>
  </w:style>
  <w:style w:type="paragraph" w:styleId="Footer">
    <w:name w:val="footer"/>
    <w:basedOn w:val="Normal"/>
    <w:link w:val="FooterChar"/>
    <w:uiPriority w:val="99"/>
    <w:unhideWhenUsed/>
    <w:rsid w:val="0015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2C"/>
  </w:style>
  <w:style w:type="paragraph" w:styleId="ListParagraph">
    <w:name w:val="List Paragraph"/>
    <w:basedOn w:val="Normal"/>
    <w:uiPriority w:val="34"/>
    <w:qFormat/>
    <w:rsid w:val="00150F2C"/>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150F2C"/>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150F2C"/>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150F2C"/>
    <w:rPr>
      <w:vertAlign w:val="superscript"/>
    </w:rPr>
  </w:style>
  <w:style w:type="character" w:styleId="Hyperlink">
    <w:name w:val="Hyperlink"/>
    <w:basedOn w:val="DefaultParagraphFont"/>
    <w:uiPriority w:val="99"/>
    <w:unhideWhenUsed/>
    <w:rsid w:val="00AB7EE7"/>
    <w:rPr>
      <w:color w:val="0563C1" w:themeColor="hyperlink"/>
      <w:u w:val="single"/>
    </w:rPr>
  </w:style>
  <w:style w:type="paragraph" w:customStyle="1" w:styleId="ParaNum">
    <w:name w:val="ParaNum"/>
    <w:basedOn w:val="Normal"/>
    <w:link w:val="ParaNumChar"/>
    <w:rsid w:val="00AB7EE7"/>
    <w:pPr>
      <w:widowControl w:val="0"/>
      <w:numPr>
        <w:numId w:val="1"/>
      </w:numPr>
      <w:spacing w:after="120" w:line="240" w:lineRule="auto"/>
    </w:pPr>
    <w:rPr>
      <w:rFonts w:eastAsia="Times New Roman"/>
      <w:snapToGrid w:val="0"/>
      <w:kern w:val="28"/>
      <w:szCs w:val="20"/>
    </w:rPr>
  </w:style>
  <w:style w:type="character" w:customStyle="1" w:styleId="ParaNumChar">
    <w:name w:val="ParaNum Char"/>
    <w:basedOn w:val="DefaultParagraphFont"/>
    <w:link w:val="ParaNum"/>
    <w:rsid w:val="00AB7EE7"/>
    <w:rPr>
      <w:rFonts w:eastAsia="Times New Roman"/>
      <w:snapToGrid w:val="0"/>
      <w:kern w:val="28"/>
      <w:szCs w:val="20"/>
    </w:rPr>
  </w:style>
  <w:style w:type="character" w:styleId="CommentReference">
    <w:name w:val="annotation reference"/>
    <w:basedOn w:val="DefaultParagraphFont"/>
    <w:uiPriority w:val="99"/>
    <w:semiHidden/>
    <w:unhideWhenUsed/>
    <w:rsid w:val="00930AD4"/>
    <w:rPr>
      <w:sz w:val="16"/>
      <w:szCs w:val="16"/>
    </w:rPr>
  </w:style>
  <w:style w:type="paragraph" w:styleId="CommentText">
    <w:name w:val="annotation text"/>
    <w:basedOn w:val="Normal"/>
    <w:link w:val="CommentTextChar"/>
    <w:uiPriority w:val="99"/>
    <w:semiHidden/>
    <w:unhideWhenUsed/>
    <w:rsid w:val="00930AD4"/>
    <w:pPr>
      <w:spacing w:line="240" w:lineRule="auto"/>
    </w:pPr>
    <w:rPr>
      <w:sz w:val="20"/>
      <w:szCs w:val="20"/>
    </w:rPr>
  </w:style>
  <w:style w:type="character" w:customStyle="1" w:styleId="CommentTextChar">
    <w:name w:val="Comment Text Char"/>
    <w:basedOn w:val="DefaultParagraphFont"/>
    <w:link w:val="CommentText"/>
    <w:uiPriority w:val="99"/>
    <w:semiHidden/>
    <w:rsid w:val="00930AD4"/>
    <w:rPr>
      <w:sz w:val="20"/>
      <w:szCs w:val="20"/>
    </w:rPr>
  </w:style>
  <w:style w:type="paragraph" w:styleId="CommentSubject">
    <w:name w:val="annotation subject"/>
    <w:basedOn w:val="CommentText"/>
    <w:next w:val="CommentText"/>
    <w:link w:val="CommentSubjectChar"/>
    <w:uiPriority w:val="99"/>
    <w:semiHidden/>
    <w:unhideWhenUsed/>
    <w:rsid w:val="00930AD4"/>
    <w:rPr>
      <w:b/>
      <w:bCs/>
    </w:rPr>
  </w:style>
  <w:style w:type="character" w:customStyle="1" w:styleId="CommentSubjectChar">
    <w:name w:val="Comment Subject Char"/>
    <w:basedOn w:val="CommentTextChar"/>
    <w:link w:val="CommentSubject"/>
    <w:uiPriority w:val="99"/>
    <w:semiHidden/>
    <w:rsid w:val="00930AD4"/>
    <w:rPr>
      <w:b/>
      <w:bCs/>
      <w:sz w:val="20"/>
      <w:szCs w:val="20"/>
    </w:rPr>
  </w:style>
  <w:style w:type="paragraph" w:styleId="BalloonText">
    <w:name w:val="Balloon Text"/>
    <w:basedOn w:val="Normal"/>
    <w:link w:val="BalloonTextChar"/>
    <w:uiPriority w:val="99"/>
    <w:semiHidden/>
    <w:unhideWhenUsed/>
    <w:rsid w:val="0093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D4"/>
    <w:rPr>
      <w:rFonts w:ascii="Segoe UI" w:hAnsi="Segoe UI" w:cs="Segoe UI"/>
      <w:sz w:val="18"/>
      <w:szCs w:val="18"/>
    </w:rPr>
  </w:style>
  <w:style w:type="character" w:styleId="FollowedHyperlink">
    <w:name w:val="FollowedHyperlink"/>
    <w:basedOn w:val="DefaultParagraphFont"/>
    <w:uiPriority w:val="99"/>
    <w:semiHidden/>
    <w:unhideWhenUsed/>
    <w:rsid w:val="00381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docs.fcc.gov/public/attachments/FCC-18-166A1.pdf" TargetMode="External" /><Relationship Id="rId8" Type="http://schemas.openxmlformats.org/officeDocument/2006/relationships/hyperlink" Target="https://www.govinfo.gov/content/pkg/FR-2018-12-26/pdf/2018-27601.pdf"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