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4158" w:rsidRPr="006D4158" w:rsidP="00C82B6B" w14:paraId="1C3EA9CD" w14:textId="77777777">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6D4158" w:rsidRPr="00DB0929" w:rsidP="006D4158" w14:paraId="2B04CEDA" w14:textId="77777777">
      <w:pPr>
        <w:jc w:val="right"/>
        <w:rPr>
          <w:b/>
          <w:szCs w:val="22"/>
        </w:rPr>
      </w:pPr>
      <w:r w:rsidRPr="00DB0929">
        <w:rPr>
          <w:b/>
          <w:szCs w:val="22"/>
        </w:rPr>
        <w:t>DA 1</w:t>
      </w:r>
      <w:r>
        <w:rPr>
          <w:b/>
          <w:szCs w:val="22"/>
        </w:rPr>
        <w:t>9</w:t>
      </w:r>
      <w:r w:rsidRPr="00DB0929">
        <w:rPr>
          <w:b/>
          <w:szCs w:val="22"/>
        </w:rPr>
        <w:t>-</w:t>
      </w:r>
      <w:r>
        <w:rPr>
          <w:b/>
          <w:szCs w:val="22"/>
        </w:rPr>
        <w:t>21</w:t>
      </w:r>
    </w:p>
    <w:p w:rsidR="006D4158" w:rsidRPr="00DB0929" w:rsidP="006D4158" w14:paraId="72804F91" w14:textId="77777777">
      <w:pPr>
        <w:jc w:val="right"/>
        <w:rPr>
          <w:b/>
          <w:szCs w:val="22"/>
        </w:rPr>
      </w:pPr>
      <w:r w:rsidRPr="00DB0929">
        <w:rPr>
          <w:b/>
          <w:szCs w:val="22"/>
        </w:rPr>
        <w:t xml:space="preserve">Released: </w:t>
      </w:r>
      <w:r>
        <w:rPr>
          <w:b/>
          <w:szCs w:val="22"/>
        </w:rPr>
        <w:t xml:space="preserve">January </w:t>
      </w:r>
      <w:r w:rsidRPr="00F91997">
        <w:rPr>
          <w:b/>
          <w:szCs w:val="22"/>
        </w:rPr>
        <w:t>28</w:t>
      </w:r>
      <w:r>
        <w:rPr>
          <w:b/>
          <w:szCs w:val="22"/>
        </w:rPr>
        <w:t>, 2019</w:t>
      </w:r>
    </w:p>
    <w:p w:rsidR="006D4158" w:rsidRPr="00DB0929" w:rsidP="006D4158" w14:paraId="3F796DBB" w14:textId="77777777">
      <w:pPr>
        <w:rPr>
          <w:szCs w:val="22"/>
        </w:rPr>
      </w:pPr>
    </w:p>
    <w:p w:rsidR="006D4158" w:rsidRPr="00DB0929" w:rsidP="006D4158" w14:paraId="307362BF" w14:textId="77777777">
      <w:pPr>
        <w:spacing w:after="200"/>
        <w:jc w:val="center"/>
        <w:rPr>
          <w:b/>
          <w:szCs w:val="22"/>
        </w:rPr>
      </w:pPr>
      <w:r w:rsidRPr="00DB0929">
        <w:rPr>
          <w:b/>
          <w:szCs w:val="22"/>
        </w:rPr>
        <w:t xml:space="preserve">WIRELINE COMPETITION BUREAU SEEKS COMMENT ON </w:t>
      </w:r>
      <w:r w:rsidRPr="006F5878">
        <w:rPr>
          <w:b/>
          <w:szCs w:val="22"/>
        </w:rPr>
        <w:t>BLOOSURF, LLC</w:t>
      </w:r>
      <w:r>
        <w:rPr>
          <w:b/>
          <w:szCs w:val="22"/>
        </w:rPr>
        <w:t>’s PETITION</w:t>
      </w:r>
      <w:r w:rsidRPr="00DB0929">
        <w:rPr>
          <w:b/>
          <w:szCs w:val="22"/>
        </w:rPr>
        <w:t xml:space="preserve"> FOR DESIGNATION AS AN ELIGIBLE TELECOMMUNICATIONS CARRIER FOR THE PURPOSE OF BECOMING ELIGIBLE TO RECEIVE CONNECT AMERICA FUND PHASE II AUCTION SUPPORT</w:t>
      </w:r>
    </w:p>
    <w:p w:rsidR="006D4158" w:rsidRPr="00DB0929" w:rsidP="006D4158" w14:paraId="559FFB9F" w14:textId="77777777">
      <w:pPr>
        <w:spacing w:after="200"/>
        <w:jc w:val="center"/>
        <w:rPr>
          <w:b/>
          <w:szCs w:val="22"/>
        </w:rPr>
      </w:pPr>
      <w:r w:rsidRPr="00DB0929">
        <w:rPr>
          <w:b/>
          <w:szCs w:val="22"/>
        </w:rPr>
        <w:t>WC Docket No. 09-197</w:t>
      </w:r>
    </w:p>
    <w:p w:rsidR="006D4158" w:rsidRPr="00926FE7" w:rsidP="006D4158" w14:paraId="7584F27A" w14:textId="7591F4B7">
      <w:pPr>
        <w:rPr>
          <w:b/>
          <w:color w:val="000000"/>
          <w:szCs w:val="22"/>
        </w:rPr>
      </w:pPr>
      <w:r w:rsidRPr="00926FE7">
        <w:rPr>
          <w:b/>
          <w:color w:val="000000"/>
          <w:szCs w:val="22"/>
        </w:rPr>
        <w:t>Comments Due: February 11, 201</w:t>
      </w:r>
      <w:r w:rsidR="00F35DCA">
        <w:rPr>
          <w:b/>
          <w:color w:val="000000"/>
          <w:szCs w:val="22"/>
        </w:rPr>
        <w:t>9</w:t>
      </w:r>
    </w:p>
    <w:p w:rsidR="006D4158" w:rsidRPr="00926FE7" w:rsidP="006D4158" w14:paraId="08572BDC" w14:textId="12FFF954">
      <w:pPr>
        <w:spacing w:after="200"/>
        <w:rPr>
          <w:b/>
          <w:color w:val="000000"/>
          <w:szCs w:val="22"/>
        </w:rPr>
      </w:pPr>
      <w:r w:rsidRPr="00926FE7">
        <w:rPr>
          <w:b/>
          <w:color w:val="000000"/>
          <w:szCs w:val="22"/>
        </w:rPr>
        <w:t>Replies Due:</w:t>
      </w:r>
      <w:r>
        <w:rPr>
          <w:b/>
          <w:color w:val="000000"/>
          <w:szCs w:val="22"/>
        </w:rPr>
        <w:t xml:space="preserve"> February 19</w:t>
      </w:r>
      <w:r w:rsidRPr="00926FE7">
        <w:rPr>
          <w:b/>
          <w:color w:val="000000"/>
          <w:szCs w:val="22"/>
        </w:rPr>
        <w:t>, 201</w:t>
      </w:r>
      <w:r w:rsidR="00F35DCA">
        <w:rPr>
          <w:b/>
          <w:color w:val="000000"/>
          <w:szCs w:val="22"/>
        </w:rPr>
        <w:t>9</w:t>
      </w:r>
      <w:bookmarkStart w:id="1" w:name="_GoBack"/>
      <w:bookmarkEnd w:id="1"/>
    </w:p>
    <w:p w:rsidR="006D4158" w:rsidRPr="00926FE7" w:rsidP="006D4158" w14:paraId="133A3C04" w14:textId="77777777">
      <w:pPr>
        <w:spacing w:after="120"/>
        <w:ind w:firstLine="720"/>
        <w:rPr>
          <w:color w:val="000000"/>
          <w:szCs w:val="22"/>
        </w:rPr>
      </w:pPr>
      <w:r w:rsidRPr="00DB0929">
        <w:rPr>
          <w:szCs w:val="22"/>
        </w:rPr>
        <w:t xml:space="preserve">The Wireline Competition Bureau seeks comment on </w:t>
      </w:r>
      <w:r>
        <w:rPr>
          <w:szCs w:val="22"/>
        </w:rPr>
        <w:t>the petition</w:t>
      </w:r>
      <w:r w:rsidRPr="00DB0929">
        <w:rPr>
          <w:szCs w:val="22"/>
        </w:rPr>
        <w:t xml:space="preserve"> for designation as an Eligible Telecommunications Carrier (ETC),</w:t>
      </w:r>
      <w:r>
        <w:rPr>
          <w:szCs w:val="22"/>
        </w:rPr>
        <w:t xml:space="preserve"> filed by Bloosurf, LLC and described </w:t>
      </w:r>
      <w:r w:rsidRPr="00DB0929">
        <w:rPr>
          <w:szCs w:val="22"/>
        </w:rPr>
        <w:t xml:space="preserve">in the Attachment to this Public Notice.  </w:t>
      </w:r>
      <w:r>
        <w:rPr>
          <w:szCs w:val="22"/>
        </w:rPr>
        <w:t xml:space="preserve">Bloosurf, LLC is </w:t>
      </w:r>
      <w:r w:rsidRPr="00DB0929">
        <w:rPr>
          <w:szCs w:val="22"/>
        </w:rPr>
        <w:t xml:space="preserve">a winning bidder of Connect America support through the Connect </w:t>
      </w:r>
      <w:r w:rsidRPr="00926FE7">
        <w:rPr>
          <w:color w:val="000000"/>
          <w:szCs w:val="22"/>
        </w:rPr>
        <w:t>America Fund (CAF) Phase II auction (Auction 903).</w:t>
      </w:r>
      <w:r>
        <w:rPr>
          <w:rStyle w:val="FootnoteReference"/>
          <w:color w:val="000000"/>
          <w:szCs w:val="22"/>
        </w:rPr>
        <w:footnoteReference w:id="3"/>
      </w:r>
      <w:r w:rsidRPr="00926FE7">
        <w:rPr>
          <w:color w:val="000000"/>
          <w:szCs w:val="22"/>
        </w:rPr>
        <w:t xml:space="preserve">  </w:t>
      </w:r>
    </w:p>
    <w:p w:rsidR="006D4158" w:rsidRPr="00DB0929" w:rsidP="006D4158" w14:paraId="3C1D158F" w14:textId="77777777">
      <w:pPr>
        <w:spacing w:after="120"/>
        <w:ind w:firstLine="720"/>
        <w:rPr>
          <w:szCs w:val="22"/>
        </w:rPr>
      </w:pPr>
      <w:r w:rsidRPr="00926FE7">
        <w:rPr>
          <w:color w:val="000000"/>
          <w:szCs w:val="22"/>
        </w:rPr>
        <w:t xml:space="preserve">Interested parties may file </w:t>
      </w:r>
      <w:r w:rsidRPr="00926FE7">
        <w:rPr>
          <w:b/>
          <w:color w:val="000000"/>
          <w:szCs w:val="22"/>
        </w:rPr>
        <w:t>comments on or before February 11, 2018</w:t>
      </w:r>
      <w:r w:rsidRPr="00926FE7">
        <w:rPr>
          <w:color w:val="000000"/>
          <w:szCs w:val="22"/>
        </w:rPr>
        <w:t xml:space="preserve"> and </w:t>
      </w:r>
      <w:r w:rsidRPr="00926FE7">
        <w:rPr>
          <w:b/>
          <w:color w:val="000000"/>
          <w:szCs w:val="22"/>
        </w:rPr>
        <w:t xml:space="preserve">replies on or before February </w:t>
      </w:r>
      <w:r>
        <w:rPr>
          <w:b/>
          <w:color w:val="000000"/>
          <w:szCs w:val="22"/>
        </w:rPr>
        <w:t>19</w:t>
      </w:r>
      <w:r w:rsidRPr="00926FE7">
        <w:rPr>
          <w:b/>
          <w:color w:val="000000"/>
          <w:szCs w:val="22"/>
        </w:rPr>
        <w:t>, 2019</w:t>
      </w:r>
      <w:r w:rsidRPr="00926FE7">
        <w:rPr>
          <w:color w:val="000000"/>
          <w:szCs w:val="22"/>
        </w:rPr>
        <w:t>.</w:t>
      </w:r>
      <w:r w:rsidRPr="00DB0929">
        <w:rPr>
          <w:szCs w:val="22"/>
        </w:rPr>
        <w:t xml:space="preserve">  All pleadings must reference </w:t>
      </w:r>
      <w:r w:rsidRPr="00DB0929">
        <w:rPr>
          <w:b/>
          <w:szCs w:val="22"/>
        </w:rPr>
        <w:t>WC Docket No. 09-197</w:t>
      </w:r>
      <w:r w:rsidRPr="00DB0929">
        <w:rPr>
          <w:szCs w:val="22"/>
        </w:rPr>
        <w:t>.</w:t>
      </w:r>
      <w:r w:rsidRPr="00DB0929">
        <w:rPr>
          <w:b/>
          <w:szCs w:val="22"/>
        </w:rPr>
        <w:t xml:space="preserve">  </w:t>
      </w:r>
      <w:r w:rsidRPr="00DB0929">
        <w:rPr>
          <w:szCs w:val="22"/>
        </w:rPr>
        <w:t>Comments may be filed using the Commission’s Electronic Comment Filing System (ECFS) or by filing paper copies.</w:t>
      </w:r>
      <w:r>
        <w:rPr>
          <w:szCs w:val="22"/>
          <w:vertAlign w:val="superscript"/>
        </w:rPr>
        <w:footnoteReference w:id="4"/>
      </w:r>
      <w:r w:rsidRPr="00DB0929">
        <w:rPr>
          <w:szCs w:val="22"/>
        </w:rPr>
        <w:t xml:space="preserve">  </w:t>
      </w:r>
    </w:p>
    <w:p w:rsidR="006D4158" w:rsidRPr="00DB0929" w:rsidP="006D4158" w14:paraId="42D0D9F4" w14:textId="692F5817">
      <w:pPr>
        <w:spacing w:after="120"/>
        <w:ind w:firstLine="720"/>
        <w:rPr>
          <w:szCs w:val="22"/>
        </w:rPr>
      </w:pPr>
      <w:r w:rsidRPr="00DB0929">
        <w:rPr>
          <w:i/>
          <w:szCs w:val="22"/>
        </w:rPr>
        <w:t>Electronic Filers</w:t>
      </w:r>
      <w:r w:rsidRPr="00DB0929">
        <w:rPr>
          <w:szCs w:val="22"/>
        </w:rPr>
        <w:t xml:space="preserve">: Comments may be filed electronically using the Internet by accessing the ECFS:  </w:t>
      </w:r>
      <w:hyperlink r:id="rId10" w:history="1">
        <w:r w:rsidRPr="0095634C" w:rsidR="00C46996">
          <w:rPr>
            <w:rStyle w:val="Hyperlink"/>
            <w:szCs w:val="22"/>
          </w:rPr>
          <w:t>https://www.fcc.gov/ecfs/filings</w:t>
        </w:r>
      </w:hyperlink>
      <w:r w:rsidRPr="00DB0929">
        <w:rPr>
          <w:szCs w:val="22"/>
        </w:rPr>
        <w:t xml:space="preserve">.  </w:t>
      </w:r>
    </w:p>
    <w:p w:rsidR="006D4158" w:rsidRPr="00DB0929" w:rsidP="006D4158" w14:paraId="614638A9" w14:textId="77777777">
      <w:pPr>
        <w:spacing w:after="120"/>
        <w:ind w:firstLine="720"/>
        <w:rPr>
          <w:szCs w:val="22"/>
        </w:rPr>
      </w:pPr>
      <w:r w:rsidRPr="00DB0929">
        <w:rPr>
          <w:i/>
          <w:szCs w:val="22"/>
        </w:rPr>
        <w:t>Paper Filings</w:t>
      </w:r>
      <w:r w:rsidRPr="00DB0929">
        <w:rPr>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6D4158" w:rsidRPr="00DB0929" w:rsidP="006D4158" w14:paraId="5DF88F1F" w14:textId="77777777">
      <w:pPr>
        <w:numPr>
          <w:ilvl w:val="0"/>
          <w:numId w:val="7"/>
        </w:numPr>
        <w:spacing w:after="120"/>
        <w:rPr>
          <w:szCs w:val="22"/>
        </w:rPr>
      </w:pPr>
      <w:r w:rsidRPr="00DB0929">
        <w:rPr>
          <w:i/>
          <w:szCs w:val="22"/>
        </w:rPr>
        <w:t>Hand or Messenger Delivery</w:t>
      </w:r>
      <w:r w:rsidRPr="00DB0929">
        <w:rPr>
          <w:szCs w:val="22"/>
        </w:rPr>
        <w:t xml:space="preserve">.  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DB0929">
        <w:rPr>
          <w:szCs w:val="22"/>
          <w:u w:val="single"/>
        </w:rPr>
        <w:t>before</w:t>
      </w:r>
      <w:r w:rsidRPr="00DB0929">
        <w:rPr>
          <w:szCs w:val="22"/>
        </w:rPr>
        <w:t xml:space="preserve"> entering the building.  </w:t>
      </w:r>
    </w:p>
    <w:p w:rsidR="006D4158" w:rsidRPr="00DB0929" w:rsidP="006D4158" w14:paraId="23978F66" w14:textId="77777777">
      <w:pPr>
        <w:numPr>
          <w:ilvl w:val="0"/>
          <w:numId w:val="7"/>
        </w:numPr>
        <w:spacing w:after="120"/>
        <w:rPr>
          <w:szCs w:val="22"/>
        </w:rPr>
      </w:pPr>
      <w:r w:rsidRPr="00DB0929">
        <w:rPr>
          <w:i/>
          <w:szCs w:val="22"/>
        </w:rPr>
        <w:t>Commercial Overnight Mail</w:t>
      </w:r>
      <w:r w:rsidRPr="00DB0929">
        <w:rPr>
          <w:szCs w:val="22"/>
        </w:rPr>
        <w:t xml:space="preserve">.  Commercial overnight mail (other than U.S. Postal Service Express Mail and Priority Mail) must be sent to 9050 Junction Drive, Annapolis Junction, MD 20701. </w:t>
      </w:r>
    </w:p>
    <w:p w:rsidR="006D4158" w:rsidRPr="00DB0929" w:rsidP="006D4158" w14:paraId="08650E8E" w14:textId="77777777">
      <w:pPr>
        <w:numPr>
          <w:ilvl w:val="0"/>
          <w:numId w:val="7"/>
        </w:numPr>
        <w:spacing w:after="120"/>
        <w:rPr>
          <w:szCs w:val="22"/>
        </w:rPr>
      </w:pPr>
      <w:r w:rsidRPr="00DB0929">
        <w:rPr>
          <w:i/>
          <w:szCs w:val="22"/>
        </w:rPr>
        <w:t>U.S. Postal Service first-class, Express, and Priority mail</w:t>
      </w:r>
      <w:r w:rsidRPr="00DB0929">
        <w:rPr>
          <w:szCs w:val="22"/>
        </w:rPr>
        <w:t>.  US postal service mail must be addressed to 445 12th Street, SW, Washington D.C. 20554.</w:t>
      </w:r>
    </w:p>
    <w:p w:rsidR="006D4158" w:rsidRPr="00DB0929" w:rsidP="006D4158" w14:paraId="27EC108A" w14:textId="77777777">
      <w:pPr>
        <w:spacing w:after="120"/>
        <w:ind w:firstLine="720"/>
        <w:rPr>
          <w:szCs w:val="22"/>
        </w:rPr>
      </w:pPr>
      <w:r w:rsidRPr="00DB0929">
        <w:rPr>
          <w:i/>
          <w:szCs w:val="22"/>
        </w:rPr>
        <w:t>Additional Copies</w:t>
      </w:r>
      <w:r w:rsidRPr="00DB0929">
        <w:rPr>
          <w:szCs w:val="22"/>
        </w:rPr>
        <w:t xml:space="preserve">.  Parties should send a copy of their filings to Nissa Laughner, Telecommunications Access Policy Division, Wireline Competition Bureau, 445 12th Street, SW, Room 5-B444, Washington D.C. 20554, or by e-mail to </w:t>
      </w:r>
      <w:hyperlink r:id="rId11" w:history="1">
        <w:r w:rsidRPr="00DB0929">
          <w:rPr>
            <w:rStyle w:val="Hyperlink"/>
            <w:szCs w:val="22"/>
          </w:rPr>
          <w:t>Nissa.Laughner@fcc.gov</w:t>
        </w:r>
      </w:hyperlink>
      <w:r w:rsidRPr="00DB0929">
        <w:rPr>
          <w:szCs w:val="22"/>
        </w:rPr>
        <w:t xml:space="preserve">.  </w:t>
      </w:r>
    </w:p>
    <w:p w:rsidR="006D4158" w:rsidRPr="00DB0929" w:rsidP="006D4158" w14:paraId="26434564" w14:textId="77777777">
      <w:pPr>
        <w:spacing w:after="120"/>
        <w:ind w:firstLine="720"/>
        <w:rPr>
          <w:szCs w:val="22"/>
        </w:rPr>
      </w:pPr>
      <w:r w:rsidRPr="00DB0929">
        <w:rPr>
          <w:i/>
          <w:szCs w:val="22"/>
        </w:rPr>
        <w:t>People with Disabilities</w:t>
      </w:r>
      <w:r w:rsidRPr="00DB0929">
        <w:rPr>
          <w:szCs w:val="22"/>
        </w:rPr>
        <w:t xml:space="preserve">: To request materials in accessible formats (Braille, large print, electronic files, audio format) for people with disabilities, send an e-mail to </w:t>
      </w:r>
      <w:hyperlink r:id="rId12" w:history="1">
        <w:r w:rsidRPr="00DB0929">
          <w:rPr>
            <w:rStyle w:val="Hyperlink"/>
            <w:szCs w:val="22"/>
          </w:rPr>
          <w:t>fcc504@fcc.gov</w:t>
        </w:r>
      </w:hyperlink>
      <w:r w:rsidRPr="00DB0929">
        <w:rPr>
          <w:szCs w:val="22"/>
        </w:rPr>
        <w:t xml:space="preserve"> or call the Consumer and Governmental Affairs Bureau at (202) 418-0530 or (202) 418-0432 (TTY).</w:t>
      </w:r>
    </w:p>
    <w:p w:rsidR="006D4158" w:rsidRPr="00DB0929" w:rsidP="006D4158" w14:paraId="7DC9DD33" w14:textId="77777777">
      <w:pPr>
        <w:spacing w:after="120"/>
        <w:ind w:firstLine="720"/>
        <w:rPr>
          <w:szCs w:val="22"/>
        </w:rPr>
      </w:pPr>
      <w:r w:rsidRPr="00DB0929">
        <w:rPr>
          <w:i/>
          <w:iCs/>
          <w:szCs w:val="22"/>
        </w:rPr>
        <w:t>Permit but Disclose Ex Parte Communications.</w:t>
      </w:r>
      <w:r w:rsidRPr="00DB0929">
        <w:rPr>
          <w:szCs w:val="22"/>
        </w:rPr>
        <w:t xml:space="preserve">  For the purposes of the Commission’s </w:t>
      </w:r>
      <w:r w:rsidRPr="00DB0929">
        <w:rPr>
          <w:i/>
          <w:szCs w:val="22"/>
        </w:rPr>
        <w:t>ex parte</w:t>
      </w:r>
      <w:r w:rsidRPr="00DB0929">
        <w:rPr>
          <w:szCs w:val="22"/>
        </w:rPr>
        <w:t xml:space="preserve"> rules, each petition submitted pursuant to section 214(e)(6) will be treated as initiating a permit-but-disclose proceeding under the Commission’s rules.</w:t>
      </w:r>
      <w:r>
        <w:rPr>
          <w:szCs w:val="22"/>
          <w:vertAlign w:val="superscript"/>
        </w:rPr>
        <w:footnoteReference w:id="5"/>
      </w:r>
      <w:r w:rsidRPr="00DB0929">
        <w:rPr>
          <w:szCs w:val="22"/>
        </w:rPr>
        <w:t xml:space="preserve">  Persons making </w:t>
      </w:r>
      <w:r w:rsidRPr="00DB0929">
        <w:rPr>
          <w:i/>
          <w:szCs w:val="22"/>
        </w:rPr>
        <w:t>ex 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6"/>
      </w:r>
      <w:r w:rsidRPr="00DB0929">
        <w:rPr>
          <w:szCs w:val="22"/>
        </w:rPr>
        <w:t xml:space="preserve">  Persons making oral </w:t>
      </w:r>
      <w:r w:rsidRPr="00DB0929">
        <w:rPr>
          <w:i/>
          <w:szCs w:val="22"/>
        </w:rPr>
        <w:t>ex 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ex parte</w:t>
      </w:r>
      <w:r w:rsidRPr="00DB0929">
        <w:rPr>
          <w:szCs w:val="22"/>
        </w:rPr>
        <w:t xml:space="preserve"> presentation was made, and (2) summarize all data presented and arguments made during the presentation.</w:t>
      </w:r>
      <w:r>
        <w:rPr>
          <w:szCs w:val="22"/>
          <w:vertAlign w:val="superscript"/>
        </w:rPr>
        <w:footnoteReference w:id="7"/>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8"/>
      </w:r>
      <w:r w:rsidRPr="00DB0929">
        <w:rPr>
          <w:szCs w:val="22"/>
        </w:rPr>
        <w:t xml:space="preserve">  Documents shown or given to Commission staff during </w:t>
      </w:r>
      <w:r w:rsidRPr="00DB0929">
        <w:rPr>
          <w:i/>
          <w:szCs w:val="22"/>
        </w:rPr>
        <w:t>ex parte</w:t>
      </w:r>
      <w:r w:rsidRPr="00DB0929">
        <w:rPr>
          <w:szCs w:val="22"/>
        </w:rPr>
        <w:t xml:space="preserve"> meetings are deemed to be written </w:t>
      </w:r>
      <w:r w:rsidRPr="00DB0929">
        <w:rPr>
          <w:i/>
          <w:szCs w:val="22"/>
        </w:rPr>
        <w:t>ex parte</w:t>
      </w:r>
      <w:r w:rsidRPr="00DB0929">
        <w:rPr>
          <w:szCs w:val="22"/>
        </w:rPr>
        <w:t xml:space="preserve"> presentations and must be filed consistent with rule 1.1206(b).</w:t>
      </w:r>
      <w:r>
        <w:rPr>
          <w:szCs w:val="22"/>
          <w:vertAlign w:val="superscript"/>
        </w:rPr>
        <w:footnoteReference w:id="9"/>
      </w:r>
      <w:r w:rsidRPr="00DB0929">
        <w:rPr>
          <w:szCs w:val="22"/>
        </w:rPr>
        <w:t xml:space="preserve">  In proceedings governed by rule 1.49(f) or for which the Commission has made available a method of electronic filing, written </w:t>
      </w:r>
      <w:r w:rsidRPr="00DB0929">
        <w:rPr>
          <w:i/>
          <w:szCs w:val="22"/>
        </w:rPr>
        <w:t>ex parte</w:t>
      </w:r>
      <w:r w:rsidRPr="00DB0929">
        <w:rPr>
          <w:szCs w:val="22"/>
        </w:rPr>
        <w:t xml:space="preserve"> presentations and memoranda summarizing oral </w:t>
      </w:r>
      <w:r w:rsidRPr="00DB0929">
        <w:rPr>
          <w:i/>
          <w:szCs w:val="22"/>
        </w:rPr>
        <w:t>ex 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0"/>
      </w:r>
      <w:r w:rsidRPr="00DB0929">
        <w:rPr>
          <w:szCs w:val="22"/>
        </w:rPr>
        <w:t xml:space="preserve">  Participants in this proceeding should familiarize themselves with the Commission’s </w:t>
      </w:r>
      <w:r w:rsidRPr="00DB0929">
        <w:rPr>
          <w:i/>
          <w:szCs w:val="22"/>
        </w:rPr>
        <w:t>ex parte</w:t>
      </w:r>
      <w:r w:rsidRPr="00DB0929">
        <w:rPr>
          <w:szCs w:val="22"/>
        </w:rPr>
        <w:t xml:space="preserve"> rules.</w:t>
      </w:r>
    </w:p>
    <w:p w:rsidR="006D4158" w:rsidRPr="00DB0929" w:rsidP="006D4158" w14:paraId="4437DF7E" w14:textId="77777777">
      <w:pPr>
        <w:spacing w:after="120"/>
        <w:ind w:firstLine="720"/>
        <w:rPr>
          <w:szCs w:val="22"/>
        </w:rPr>
      </w:pPr>
      <w:r w:rsidRPr="00DB0929">
        <w:rPr>
          <w:szCs w:val="22"/>
        </w:rPr>
        <w:t>For additional information on this proceeding, please contact Nissa Laughner (</w:t>
      </w:r>
      <w:hyperlink r:id="rId11" w:history="1">
        <w:r w:rsidRPr="00DB0929">
          <w:rPr>
            <w:rStyle w:val="Hyperlink"/>
            <w:szCs w:val="22"/>
          </w:rPr>
          <w:t>Nissa.Laughner@fcc.gov</w:t>
        </w:r>
      </w:hyperlink>
      <w:r w:rsidRPr="00DB0929">
        <w:rPr>
          <w:szCs w:val="22"/>
        </w:rPr>
        <w:t>) of the Wireline Competition Bureau, Telecommunications Access Policy Division, (202) 418-7400.</w:t>
      </w:r>
    </w:p>
    <w:p w:rsidR="002151AE" w:rsidP="006D4158" w14:paraId="66C75230" w14:textId="77777777">
      <w:pPr>
        <w:spacing w:after="120"/>
        <w:jc w:val="center"/>
        <w:rPr>
          <w:b/>
          <w:szCs w:val="22"/>
        </w:rPr>
        <w:sectPr w:rsidSect="006D4158">
          <w:footnotePr>
            <w:numRestart w:val="eachSect"/>
          </w:footnotePr>
          <w:endnotePr>
            <w:numFmt w:val="decimal"/>
          </w:endnotePr>
          <w:type w:val="continuous"/>
          <w:pgSz w:w="12240" w:h="15840"/>
          <w:pgMar w:top="1440" w:right="1440" w:bottom="720" w:left="1440" w:header="630" w:footer="720" w:gutter="0"/>
          <w:cols w:space="720"/>
          <w:noEndnote/>
          <w:docGrid w:linePitch="299"/>
        </w:sectPr>
      </w:pPr>
      <w:r w:rsidRPr="00DB0929">
        <w:rPr>
          <w:b/>
          <w:szCs w:val="22"/>
        </w:rPr>
        <w:t>– FCC –</w:t>
      </w:r>
    </w:p>
    <w:p w:rsidR="006D4158" w:rsidRPr="00DB0929" w:rsidP="006D4158" w14:paraId="0DC2DB9F" w14:textId="77777777">
      <w:pPr>
        <w:spacing w:after="240"/>
        <w:jc w:val="center"/>
        <w:rPr>
          <w:b/>
          <w:szCs w:val="22"/>
        </w:rPr>
      </w:pPr>
      <w:r w:rsidRPr="00DB0929">
        <w:rPr>
          <w:b/>
          <w:szCs w:val="22"/>
        </w:rPr>
        <w:t>ATTACHMENT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1185"/>
        <w:gridCol w:w="1185"/>
        <w:gridCol w:w="1863"/>
        <w:gridCol w:w="2830"/>
      </w:tblGrid>
      <w:tr w14:paraId="54189474" w14:textId="77777777" w:rsidTr="00455D5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5"/>
        </w:trPr>
        <w:tc>
          <w:tcPr>
            <w:tcW w:w="1223" w:type="pct"/>
            <w:shd w:val="clear" w:color="auto" w:fill="auto"/>
          </w:tcPr>
          <w:p w:rsidR="006D4158" w:rsidRPr="008C050F" w:rsidP="00455D53" w14:paraId="07701977" w14:textId="77777777">
            <w:pPr>
              <w:spacing w:after="120"/>
              <w:rPr>
                <w:b/>
                <w:szCs w:val="22"/>
              </w:rPr>
            </w:pPr>
            <w:r w:rsidRPr="008C050F">
              <w:rPr>
                <w:b/>
                <w:kern w:val="28"/>
                <w:szCs w:val="22"/>
              </w:rPr>
              <w:t xml:space="preserve">Winning Bidder </w:t>
            </w:r>
          </w:p>
        </w:tc>
        <w:tc>
          <w:tcPr>
            <w:tcW w:w="634" w:type="pct"/>
          </w:tcPr>
          <w:p w:rsidR="006D4158" w:rsidRPr="008C050F" w:rsidP="00455D53" w14:paraId="728D8E45" w14:textId="77777777">
            <w:pPr>
              <w:spacing w:after="120"/>
              <w:rPr>
                <w:b/>
                <w:snapToGrid w:val="0"/>
                <w:kern w:val="28"/>
                <w:szCs w:val="22"/>
              </w:rPr>
            </w:pPr>
            <w:r w:rsidRPr="008C050F">
              <w:rPr>
                <w:b/>
                <w:snapToGrid w:val="0"/>
                <w:kern w:val="28"/>
                <w:szCs w:val="22"/>
              </w:rPr>
              <w:t>Date Filed</w:t>
            </w:r>
          </w:p>
        </w:tc>
        <w:tc>
          <w:tcPr>
            <w:tcW w:w="634" w:type="pct"/>
            <w:shd w:val="clear" w:color="auto" w:fill="auto"/>
          </w:tcPr>
          <w:p w:rsidR="006D4158" w:rsidRPr="008C050F" w:rsidP="00455D53" w14:paraId="3B97D511" w14:textId="77777777">
            <w:pPr>
              <w:spacing w:after="120"/>
              <w:rPr>
                <w:b/>
                <w:kern w:val="28"/>
                <w:szCs w:val="22"/>
              </w:rPr>
            </w:pPr>
            <w:r w:rsidRPr="008C050F">
              <w:rPr>
                <w:b/>
                <w:kern w:val="28"/>
                <w:szCs w:val="22"/>
              </w:rPr>
              <w:t>State</w:t>
            </w:r>
            <w:r w:rsidRPr="008C050F">
              <w:rPr>
                <w:b/>
                <w:snapToGrid w:val="0"/>
                <w:kern w:val="28"/>
                <w:szCs w:val="22"/>
              </w:rPr>
              <w:t>(s)</w:t>
            </w:r>
          </w:p>
        </w:tc>
        <w:tc>
          <w:tcPr>
            <w:tcW w:w="996" w:type="pct"/>
            <w:shd w:val="clear" w:color="auto" w:fill="auto"/>
          </w:tcPr>
          <w:p w:rsidR="006D4158" w:rsidRPr="008C050F" w:rsidP="00455D53" w14:paraId="4AD5CB83" w14:textId="77777777">
            <w:pPr>
              <w:spacing w:after="120"/>
              <w:rPr>
                <w:b/>
                <w:kern w:val="28"/>
                <w:szCs w:val="22"/>
              </w:rPr>
            </w:pPr>
            <w:r w:rsidRPr="008C050F">
              <w:rPr>
                <w:b/>
                <w:kern w:val="28"/>
                <w:szCs w:val="22"/>
              </w:rPr>
              <w:t>Number of Census Blocks</w:t>
            </w:r>
            <w:r>
              <w:rPr>
                <w:rStyle w:val="FootnoteReference"/>
                <w:b/>
                <w:kern w:val="28"/>
                <w:szCs w:val="22"/>
              </w:rPr>
              <w:footnoteReference w:id="11"/>
            </w:r>
          </w:p>
        </w:tc>
        <w:tc>
          <w:tcPr>
            <w:tcW w:w="1513" w:type="pct"/>
            <w:shd w:val="clear" w:color="auto" w:fill="auto"/>
          </w:tcPr>
          <w:p w:rsidR="006D4158" w:rsidRPr="008C050F" w:rsidP="00455D53" w14:paraId="06ED2E5F" w14:textId="77777777">
            <w:pPr>
              <w:spacing w:after="120"/>
              <w:rPr>
                <w:b/>
                <w:kern w:val="28"/>
                <w:szCs w:val="22"/>
              </w:rPr>
            </w:pPr>
            <w:r w:rsidRPr="008C050F">
              <w:rPr>
                <w:b/>
                <w:kern w:val="28"/>
                <w:szCs w:val="22"/>
              </w:rPr>
              <w:t>Number of Supported Locations</w:t>
            </w:r>
          </w:p>
        </w:tc>
      </w:tr>
      <w:tr w14:paraId="409229CF" w14:textId="77777777" w:rsidTr="00455D53">
        <w:tblPrEx>
          <w:tblW w:w="5000" w:type="pct"/>
          <w:tblLook w:val="04A0"/>
        </w:tblPrEx>
        <w:trPr>
          <w:trHeight w:val="260"/>
        </w:trPr>
        <w:tc>
          <w:tcPr>
            <w:tcW w:w="1223" w:type="pct"/>
            <w:shd w:val="clear" w:color="auto" w:fill="auto"/>
          </w:tcPr>
          <w:p w:rsidR="006D4158" w:rsidRPr="008C050F" w:rsidP="00455D53" w14:paraId="4E040AD8" w14:textId="77777777">
            <w:pPr>
              <w:spacing w:after="120"/>
              <w:rPr>
                <w:szCs w:val="22"/>
              </w:rPr>
            </w:pPr>
            <w:r>
              <w:rPr>
                <w:snapToGrid w:val="0"/>
                <w:kern w:val="28"/>
                <w:szCs w:val="22"/>
              </w:rPr>
              <w:t>Bloosurf, LLC</w:t>
            </w:r>
          </w:p>
        </w:tc>
        <w:tc>
          <w:tcPr>
            <w:tcW w:w="634" w:type="pct"/>
          </w:tcPr>
          <w:p w:rsidR="006D4158" w:rsidRPr="00722468" w:rsidP="00455D53" w14:paraId="0C20DF1B" w14:textId="77777777">
            <w:pPr>
              <w:spacing w:after="120"/>
              <w:rPr>
                <w:snapToGrid w:val="0"/>
                <w:kern w:val="28"/>
                <w:szCs w:val="22"/>
              </w:rPr>
            </w:pPr>
            <w:r w:rsidRPr="00722468">
              <w:rPr>
                <w:snapToGrid w:val="0"/>
                <w:kern w:val="28"/>
                <w:szCs w:val="22"/>
              </w:rPr>
              <w:t>1/</w:t>
            </w:r>
            <w:r w:rsidRPr="00F91997">
              <w:rPr>
                <w:snapToGrid w:val="0"/>
                <w:kern w:val="28"/>
                <w:szCs w:val="22"/>
              </w:rPr>
              <w:t>2</w:t>
            </w:r>
            <w:r w:rsidRPr="00722468">
              <w:rPr>
                <w:snapToGrid w:val="0"/>
                <w:kern w:val="28"/>
                <w:szCs w:val="22"/>
              </w:rPr>
              <w:t>/2019</w:t>
            </w:r>
          </w:p>
        </w:tc>
        <w:tc>
          <w:tcPr>
            <w:tcW w:w="634" w:type="pct"/>
            <w:shd w:val="clear" w:color="auto" w:fill="auto"/>
          </w:tcPr>
          <w:p w:rsidR="006D4158" w:rsidRPr="00722468" w:rsidP="00455D53" w14:paraId="641BD218" w14:textId="77777777">
            <w:pPr>
              <w:spacing w:after="120"/>
              <w:rPr>
                <w:snapToGrid w:val="0"/>
                <w:kern w:val="28"/>
                <w:szCs w:val="22"/>
              </w:rPr>
            </w:pPr>
            <w:r w:rsidRPr="00722468">
              <w:rPr>
                <w:snapToGrid w:val="0"/>
                <w:kern w:val="28"/>
                <w:szCs w:val="22"/>
              </w:rPr>
              <w:t>DE, MD</w:t>
            </w:r>
          </w:p>
        </w:tc>
        <w:tc>
          <w:tcPr>
            <w:tcW w:w="996" w:type="pct"/>
            <w:shd w:val="clear" w:color="auto" w:fill="auto"/>
          </w:tcPr>
          <w:p w:rsidR="006D4158" w:rsidRPr="00722468" w:rsidP="00455D53" w14:paraId="1A57C0E8" w14:textId="77777777">
            <w:pPr>
              <w:rPr>
                <w:snapToGrid w:val="0"/>
                <w:kern w:val="28"/>
                <w:szCs w:val="22"/>
              </w:rPr>
            </w:pPr>
            <w:r w:rsidRPr="00722468">
              <w:rPr>
                <w:snapToGrid w:val="0"/>
                <w:kern w:val="28"/>
                <w:szCs w:val="22"/>
              </w:rPr>
              <w:t>1,273</w:t>
            </w:r>
          </w:p>
        </w:tc>
        <w:tc>
          <w:tcPr>
            <w:tcW w:w="1513" w:type="pct"/>
            <w:shd w:val="clear" w:color="auto" w:fill="auto"/>
          </w:tcPr>
          <w:p w:rsidR="006D4158" w:rsidRPr="008C050F" w:rsidP="00455D53" w14:paraId="3390441F" w14:textId="77777777">
            <w:pPr>
              <w:spacing w:after="120"/>
              <w:rPr>
                <w:szCs w:val="22"/>
              </w:rPr>
            </w:pPr>
            <w:r>
              <w:rPr>
                <w:szCs w:val="22"/>
              </w:rPr>
              <w:t>5,091</w:t>
            </w:r>
          </w:p>
        </w:tc>
      </w:tr>
    </w:tbl>
    <w:p w:rsidR="00013A8B" w:rsidP="006D4158" w14:paraId="425ACE27" w14:textId="77777777"/>
    <w:sectPr w:rsidSect="002151AE">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29B4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2087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AA6B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9661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158" w14:paraId="6448FA98" w14:textId="77777777">
      <w:r>
        <w:separator/>
      </w:r>
    </w:p>
  </w:footnote>
  <w:footnote w:type="continuationSeparator" w:id="1">
    <w:p w:rsidR="006D4158" w14:paraId="68D8492C" w14:textId="77777777">
      <w:pPr>
        <w:rPr>
          <w:sz w:val="20"/>
        </w:rPr>
      </w:pPr>
      <w:r>
        <w:rPr>
          <w:sz w:val="20"/>
        </w:rPr>
        <w:t xml:space="preserve">(Continued from previous page)  </w:t>
      </w:r>
      <w:r>
        <w:rPr>
          <w:sz w:val="20"/>
        </w:rPr>
        <w:separator/>
      </w:r>
    </w:p>
  </w:footnote>
  <w:footnote w:type="continuationNotice" w:id="2">
    <w:p w:rsidR="006D4158" w:rsidP="00910F12" w14:paraId="506FEC7F" w14:textId="77777777">
      <w:pPr>
        <w:jc w:val="right"/>
        <w:rPr>
          <w:sz w:val="20"/>
        </w:rPr>
      </w:pPr>
      <w:r>
        <w:rPr>
          <w:sz w:val="20"/>
        </w:rPr>
        <w:t>(continued….)</w:t>
      </w:r>
    </w:p>
  </w:footnote>
  <w:footnote w:id="3">
    <w:p w:rsidR="006D4158" w:rsidRPr="00DF3D92" w:rsidP="006D4158" w14:paraId="294C43A9" w14:textId="77777777">
      <w:pPr>
        <w:pStyle w:val="FootnoteText"/>
      </w:pPr>
      <w:r w:rsidRPr="00DF3D92">
        <w:rPr>
          <w:rStyle w:val="FootnoteReference"/>
        </w:rPr>
        <w:footnoteRef/>
      </w:r>
      <w:r w:rsidRPr="00DF3D92">
        <w:t xml:space="preserve"> </w:t>
      </w:r>
      <w:r w:rsidRPr="00DF3D92">
        <w:rPr>
          <w:i/>
        </w:rPr>
        <w:t>See Connect America Fund Phase II Auction (Auction 903) Closes; Winning Bidders Announced; FCC Form 683 Due October 15, 2018</w:t>
      </w:r>
      <w:r w:rsidRPr="00DF3D92">
        <w:t>, AU Docket No. 17-182, WC Docket No. 10-90, Public Notice, DA 18-887 (RBATF, WTB, and WCB rel. Aug. 28, 2018) (</w:t>
      </w:r>
      <w:r w:rsidRPr="00DF3D92">
        <w:rPr>
          <w:i/>
        </w:rPr>
        <w:t>Auction 903 Closing Public Notice</w:t>
      </w:r>
      <w:r w:rsidRPr="00DF3D92">
        <w:t xml:space="preserve">); </w:t>
      </w:r>
      <w:r w:rsidRPr="00DF3D92">
        <w:rPr>
          <w:i/>
        </w:rPr>
        <w:t>see also Connect America Fund et al</w:t>
      </w:r>
      <w:r w:rsidRPr="00DF3D92">
        <w:t>., Report and Order and Further Notice of Proposed Rulemaking, 31 FCC Rcd 5949 (2016).</w:t>
      </w:r>
    </w:p>
  </w:footnote>
  <w:footnote w:id="4">
    <w:p w:rsidR="006D4158" w:rsidRPr="00DF3D92" w:rsidP="006D4158" w14:paraId="6DCC6297" w14:textId="77777777">
      <w:pPr>
        <w:pStyle w:val="FootnoteText"/>
      </w:pPr>
      <w:r w:rsidRPr="00DF3D92">
        <w:rPr>
          <w:rStyle w:val="FootnoteReference"/>
        </w:rPr>
        <w:footnoteRef/>
      </w:r>
      <w:r w:rsidRPr="00DF3D92">
        <w:t xml:space="preserve"> </w:t>
      </w:r>
      <w:r w:rsidRPr="00DF3D92">
        <w:rPr>
          <w:rStyle w:val="Emphasis"/>
        </w:rPr>
        <w:t xml:space="preserve">See </w:t>
      </w:r>
      <w:r w:rsidRPr="00DF3D92">
        <w:rPr>
          <w:i/>
        </w:rPr>
        <w:t>Electronic</w:t>
      </w:r>
      <w:r w:rsidRPr="00DF3D92">
        <w:rPr>
          <w:rStyle w:val="Emphasis"/>
        </w:rPr>
        <w:t xml:space="preserve"> </w:t>
      </w:r>
      <w:r w:rsidRPr="00DF3D92">
        <w:rPr>
          <w:i/>
        </w:rPr>
        <w:t>Filing</w:t>
      </w:r>
      <w:r w:rsidRPr="00DF3D92">
        <w:rPr>
          <w:rStyle w:val="Emphasis"/>
        </w:rPr>
        <w:t xml:space="preserve"> of </w:t>
      </w:r>
      <w:r w:rsidRPr="00DF3D92">
        <w:rPr>
          <w:i/>
        </w:rPr>
        <w:t>Documents</w:t>
      </w:r>
      <w:r w:rsidRPr="00DF3D92">
        <w:rPr>
          <w:rStyle w:val="Emphasis"/>
        </w:rPr>
        <w:t xml:space="preserve"> in Rulemaking Proceedings</w:t>
      </w:r>
      <w:r w:rsidRPr="00DF3D92">
        <w:t>, GC Docket No. 97-113, Report and Order, 13 FCC Rcd 11322 (1998).</w:t>
      </w:r>
    </w:p>
  </w:footnote>
  <w:footnote w:id="5">
    <w:p w:rsidR="006D4158" w:rsidRPr="00DF3D92" w:rsidP="006D4158" w14:paraId="54EF1D89" w14:textId="77777777">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6">
    <w:p w:rsidR="006D4158" w:rsidRPr="00DF3D92" w:rsidP="006D4158" w14:paraId="744CF326" w14:textId="77777777">
      <w:pPr>
        <w:pStyle w:val="FootnoteText"/>
      </w:pPr>
      <w:r w:rsidRPr="00DF3D92">
        <w:rPr>
          <w:rStyle w:val="FootnoteReference"/>
        </w:rPr>
        <w:footnoteRef/>
      </w:r>
      <w:r w:rsidRPr="00DF3D92">
        <w:t xml:space="preserve"> </w:t>
      </w:r>
      <w:r w:rsidRPr="00DF3D92">
        <w:rPr>
          <w:i/>
        </w:rPr>
        <w:t>Id</w:t>
      </w:r>
      <w:r w:rsidRPr="00DF3D92">
        <w:t>. § 1.2016(b)(2)(iii).</w:t>
      </w:r>
    </w:p>
  </w:footnote>
  <w:footnote w:id="7">
    <w:p w:rsidR="006D4158" w:rsidRPr="00DF3D92" w:rsidP="006D4158" w14:paraId="4718E59A" w14:textId="77777777">
      <w:pPr>
        <w:pStyle w:val="FootnoteText"/>
      </w:pPr>
      <w:r w:rsidRPr="00DF3D92">
        <w:rPr>
          <w:rStyle w:val="FootnoteReference"/>
        </w:rPr>
        <w:footnoteRef/>
      </w:r>
      <w:r w:rsidRPr="00DF3D92">
        <w:t xml:space="preserve"> </w:t>
      </w:r>
      <w:r w:rsidRPr="00DF3D92">
        <w:rPr>
          <w:i/>
        </w:rPr>
        <w:t>Id</w:t>
      </w:r>
      <w:r w:rsidRPr="00DF3D92">
        <w:t>. § 1.206(b)(1).</w:t>
      </w:r>
    </w:p>
  </w:footnote>
  <w:footnote w:id="8">
    <w:p w:rsidR="006D4158" w:rsidRPr="00DF3D92" w:rsidP="006D4158" w14:paraId="212D14E5" w14:textId="77777777">
      <w:pPr>
        <w:pStyle w:val="FootnoteText"/>
      </w:pPr>
      <w:r w:rsidRPr="00DF3D92">
        <w:rPr>
          <w:rStyle w:val="FootnoteReference"/>
        </w:rPr>
        <w:footnoteRef/>
      </w:r>
      <w:r w:rsidRPr="00DF3D92">
        <w:t xml:space="preserve"> </w:t>
      </w:r>
      <w:r w:rsidRPr="00DF3D92">
        <w:rPr>
          <w:i/>
        </w:rPr>
        <w:t>Id</w:t>
      </w:r>
      <w:r w:rsidRPr="00DF3D92">
        <w:t>.</w:t>
      </w:r>
    </w:p>
  </w:footnote>
  <w:footnote w:id="9">
    <w:p w:rsidR="006D4158" w:rsidRPr="00DF3D92" w:rsidP="006D4158" w14:paraId="598767C3" w14:textId="77777777">
      <w:pPr>
        <w:pStyle w:val="FootnoteText"/>
      </w:pPr>
      <w:r w:rsidRPr="00DF3D92">
        <w:rPr>
          <w:rStyle w:val="FootnoteReference"/>
        </w:rPr>
        <w:footnoteRef/>
      </w:r>
      <w:r w:rsidRPr="00DF3D92">
        <w:t xml:space="preserve"> </w:t>
      </w:r>
      <w:r w:rsidRPr="00DF3D92">
        <w:rPr>
          <w:i/>
        </w:rPr>
        <w:t>Id</w:t>
      </w:r>
      <w:r w:rsidRPr="00DF3D92">
        <w:t>. § 1.1206(b)(2).</w:t>
      </w:r>
    </w:p>
  </w:footnote>
  <w:footnote w:id="10">
    <w:p w:rsidR="006D4158" w:rsidRPr="00DF3D92" w:rsidP="006D4158" w14:paraId="3AA48420" w14:textId="77777777">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 w:id="11">
    <w:p w:rsidR="006D4158" w:rsidRPr="00DF3D92" w:rsidP="006D4158" w14:paraId="546D82C3" w14:textId="77777777">
      <w:pPr>
        <w:pStyle w:val="FootnoteText"/>
      </w:pPr>
      <w:r w:rsidRPr="00DF3D92">
        <w:rPr>
          <w:rStyle w:val="FootnoteReference"/>
        </w:rPr>
        <w:footnoteRef/>
      </w:r>
      <w:r>
        <w:t xml:space="preserve"> </w:t>
      </w:r>
      <w:r w:rsidRPr="00DF3D92">
        <w:t xml:space="preserve">Consistent with the requirements specified for completion of the long-form application, we define the designated service area for the bid area based on the published list of CAF-eligible census blocks associated with the individual petitioner’s winning bids, thus superseding any discrepancies in the petitions’ descriptions of such areas.  </w:t>
      </w:r>
      <w:r w:rsidRPr="00DF3D92">
        <w:rPr>
          <w:i/>
        </w:rPr>
        <w:t>See</w:t>
      </w:r>
      <w:r w:rsidRPr="00DF3D92">
        <w:t xml:space="preserve"> Connect America Fund Phase II: Assignments - Assigned Census Blocks</w:t>
      </w:r>
      <w:hyperlink r:id="rId1" w:history="1">
        <w:r w:rsidRPr="00985656">
          <w:rPr>
            <w:rStyle w:val="Hyperlink"/>
          </w:rPr>
          <w:t>, https://auctiondata.fcc.gov/public/ projects/auction903/reports/all_assigned_census_blocks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365C7C" w14:textId="77777777">
    <w:pPr>
      <w:tabs>
        <w:tab w:val="center" w:pos="4680"/>
        <w:tab w:val="right" w:pos="9360"/>
      </w:tabs>
    </w:pPr>
    <w:r w:rsidRPr="009838BC">
      <w:rPr>
        <w:b/>
      </w:rPr>
      <w:tab/>
      <w:t>Federal Communications Commission</w:t>
    </w:r>
    <w:r w:rsidRPr="009838BC">
      <w:rPr>
        <w:b/>
      </w:rPr>
      <w:tab/>
    </w:r>
    <w:r w:rsidR="006D4158">
      <w:rPr>
        <w:b/>
      </w:rPr>
      <w:t>DA 19-21</w:t>
    </w:r>
  </w:p>
  <w:p w:rsidR="009838BC" w:rsidRPr="009838BC" w:rsidP="009838BC" w14:paraId="3886D8F0" w14:textId="1CB754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83D4B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BD04C5" w14:textId="03FCD0E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7A0916F" w14:textId="77777777">
                    <w:pPr>
                      <w:rPr>
                        <w:rFonts w:ascii="Arial" w:hAnsi="Arial"/>
                        <w:b/>
                      </w:rPr>
                    </w:pPr>
                    <w:r>
                      <w:rPr>
                        <w:rFonts w:ascii="Arial" w:hAnsi="Arial"/>
                        <w:b/>
                      </w:rPr>
                      <w:t>Federal Communications Commission</w:t>
                    </w:r>
                  </w:p>
                  <w:p w:rsidR="009838BC" w:rsidP="009838BC" w14:paraId="45F8457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08E910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0771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A6CB79B" w14:textId="695268EE">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87B4611" w14:textId="77777777">
                    <w:pPr>
                      <w:spacing w:before="40"/>
                      <w:jc w:val="right"/>
                      <w:rPr>
                        <w:rFonts w:ascii="Arial" w:hAnsi="Arial"/>
                        <w:b/>
                        <w:sz w:val="16"/>
                      </w:rPr>
                    </w:pPr>
                    <w:r>
                      <w:rPr>
                        <w:rFonts w:ascii="Arial" w:hAnsi="Arial"/>
                        <w:b/>
                        <w:sz w:val="16"/>
                      </w:rPr>
                      <w:t>News Media Information 202 / 418-0500</w:t>
                    </w:r>
                  </w:p>
                  <w:p w:rsidR="009838BC" w:rsidP="009838BC" w14:paraId="0C3BD17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DDFB385" w14:textId="77777777">
                    <w:pPr>
                      <w:jc w:val="right"/>
                    </w:pPr>
                    <w:r>
                      <w:rPr>
                        <w:rFonts w:ascii="Arial" w:hAnsi="Arial"/>
                        <w:b/>
                        <w:sz w:val="16"/>
                      </w:rPr>
                      <w:t>TTY: 1-888-835-5322</w:t>
                    </w:r>
                  </w:p>
                </w:txbxContent>
              </v:textbox>
            </v:shape>
          </w:pict>
        </mc:Fallback>
      </mc:AlternateContent>
    </w:r>
  </w:p>
  <w:p w:rsidR="006F7393" w:rsidRPr="006D4158" w:rsidP="009838BC" w14:paraId="47CC9E6F"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58"/>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151AE"/>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55D53"/>
    <w:rsid w:val="0046125F"/>
    <w:rsid w:val="00487524"/>
    <w:rsid w:val="00496106"/>
    <w:rsid w:val="004C12D0"/>
    <w:rsid w:val="004C2EE3"/>
    <w:rsid w:val="004E4A22"/>
    <w:rsid w:val="00511968"/>
    <w:rsid w:val="0055614C"/>
    <w:rsid w:val="005B26F2"/>
    <w:rsid w:val="00607BA5"/>
    <w:rsid w:val="00626EB6"/>
    <w:rsid w:val="006353A3"/>
    <w:rsid w:val="00655D03"/>
    <w:rsid w:val="00683F84"/>
    <w:rsid w:val="006A6A81"/>
    <w:rsid w:val="006D4158"/>
    <w:rsid w:val="006E26AF"/>
    <w:rsid w:val="006F5878"/>
    <w:rsid w:val="006F7393"/>
    <w:rsid w:val="0070224F"/>
    <w:rsid w:val="007115F7"/>
    <w:rsid w:val="00722468"/>
    <w:rsid w:val="00785689"/>
    <w:rsid w:val="0079754B"/>
    <w:rsid w:val="007A1E6D"/>
    <w:rsid w:val="00822CE0"/>
    <w:rsid w:val="00837C62"/>
    <w:rsid w:val="00841AB1"/>
    <w:rsid w:val="008C050F"/>
    <w:rsid w:val="008C22FD"/>
    <w:rsid w:val="00910F12"/>
    <w:rsid w:val="00926503"/>
    <w:rsid w:val="00926FE7"/>
    <w:rsid w:val="00930ECF"/>
    <w:rsid w:val="0095634C"/>
    <w:rsid w:val="009838BC"/>
    <w:rsid w:val="00985656"/>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46996"/>
    <w:rsid w:val="00C82B6B"/>
    <w:rsid w:val="00C90D6A"/>
    <w:rsid w:val="00CC72B6"/>
    <w:rsid w:val="00D0218D"/>
    <w:rsid w:val="00D216CD"/>
    <w:rsid w:val="00DA2529"/>
    <w:rsid w:val="00DB0929"/>
    <w:rsid w:val="00DB130A"/>
    <w:rsid w:val="00DC10A1"/>
    <w:rsid w:val="00DC655F"/>
    <w:rsid w:val="00DD7EBD"/>
    <w:rsid w:val="00DF3D92"/>
    <w:rsid w:val="00DF62B6"/>
    <w:rsid w:val="00E07225"/>
    <w:rsid w:val="00E155B7"/>
    <w:rsid w:val="00E5409F"/>
    <w:rsid w:val="00EC0185"/>
    <w:rsid w:val="00F021FA"/>
    <w:rsid w:val="00F35DCA"/>
    <w:rsid w:val="00F57ACA"/>
    <w:rsid w:val="00F62E97"/>
    <w:rsid w:val="00F64209"/>
    <w:rsid w:val="00F9199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EEC2D8-A749-4339-918A-3DE5E574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5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6D4158"/>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6D4158"/>
  </w:style>
  <w:style w:type="character" w:styleId="FollowedHyperlink">
    <w:name w:val="FollowedHyperlink"/>
    <w:basedOn w:val="DefaultParagraphFont"/>
    <w:uiPriority w:val="99"/>
    <w:semiHidden/>
    <w:unhideWhenUsed/>
    <w:rsid w:val="005B26F2"/>
    <w:rPr>
      <w:color w:val="954F72" w:themeColor="followedHyperlink"/>
      <w:u w:val="single"/>
    </w:rPr>
  </w:style>
  <w:style w:type="character" w:customStyle="1" w:styleId="UnresolvedMention">
    <w:name w:val="Unresolved Mention"/>
    <w:basedOn w:val="DefaultParagraphFont"/>
    <w:uiPriority w:val="99"/>
    <w:semiHidden/>
    <w:unhideWhenUsed/>
    <w:rsid w:val="00C469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filings" TargetMode="External" /><Relationship Id="rId11" Type="http://schemas.openxmlformats.org/officeDocument/2006/relationships/hyperlink" Target="mailto:Nissa.Laughner@fcc.gov" TargetMode="External" /><Relationship Id="rId12" Type="http://schemas.openxmlformats.org/officeDocument/2006/relationships/hyperlink" Target="mailto:fcc504@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903/reports/all_assigned_census_block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