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0C2B28" w:rsidP="006D7FF5">
      <w:pPr>
        <w:spacing w:before="120"/>
        <w:jc w:val="right"/>
        <w:rPr>
          <w:b/>
          <w:szCs w:val="22"/>
        </w:rPr>
      </w:pPr>
      <w:r w:rsidRPr="000C2B28">
        <w:rPr>
          <w:b/>
          <w:szCs w:val="22"/>
        </w:rPr>
        <w:t>DA 1</w:t>
      </w:r>
      <w:r w:rsidRPr="000C2B28" w:rsidR="009E2AA7">
        <w:rPr>
          <w:b/>
          <w:szCs w:val="22"/>
        </w:rPr>
        <w:t>9</w:t>
      </w:r>
      <w:r w:rsidRPr="000C2B28">
        <w:rPr>
          <w:b/>
          <w:szCs w:val="22"/>
        </w:rPr>
        <w:t>-</w:t>
      </w:r>
      <w:r w:rsidR="00760B91">
        <w:rPr>
          <w:b/>
          <w:szCs w:val="22"/>
        </w:rPr>
        <w:t>227</w:t>
      </w:r>
    </w:p>
    <w:p w:rsidR="00013A8B" w:rsidRPr="000C2B28" w:rsidP="00013A8B">
      <w:pPr>
        <w:spacing w:before="60"/>
        <w:jc w:val="right"/>
        <w:rPr>
          <w:b/>
          <w:szCs w:val="22"/>
        </w:rPr>
      </w:pPr>
      <w:r w:rsidRPr="000C2B28">
        <w:rPr>
          <w:b/>
          <w:szCs w:val="22"/>
        </w:rPr>
        <w:t>Released:</w:t>
      </w:r>
      <w:r w:rsidR="003364FD">
        <w:rPr>
          <w:b/>
          <w:szCs w:val="22"/>
        </w:rPr>
        <w:t xml:space="preserve">  March 28</w:t>
      </w:r>
      <w:r w:rsidRPr="000C2B28" w:rsidR="009E2AA7">
        <w:rPr>
          <w:b/>
          <w:szCs w:val="22"/>
        </w:rPr>
        <w:t>, 2019</w:t>
      </w:r>
    </w:p>
    <w:p w:rsidR="00013A8B" w:rsidRPr="000C2B28" w:rsidP="00013A8B">
      <w:pPr>
        <w:jc w:val="right"/>
        <w:rPr>
          <w:szCs w:val="22"/>
        </w:rPr>
      </w:pPr>
    </w:p>
    <w:p w:rsidR="009E2AA7" w:rsidRPr="000C2B28" w:rsidP="00DA0A0F">
      <w:pPr>
        <w:pStyle w:val="Default"/>
        <w:jc w:val="center"/>
        <w:rPr>
          <w:sz w:val="22"/>
          <w:szCs w:val="22"/>
        </w:rPr>
      </w:pPr>
      <w:r w:rsidRPr="000C2B28">
        <w:rPr>
          <w:b/>
          <w:caps/>
          <w:sz w:val="22"/>
          <w:szCs w:val="22"/>
        </w:rPr>
        <w:t>Office of Engineering and technology SEEKS COMMENT ON</w:t>
      </w:r>
    </w:p>
    <w:p w:rsidR="00013A8B" w:rsidRPr="000C2B28" w:rsidP="009E2AA7">
      <w:pPr>
        <w:spacing w:after="240"/>
        <w:jc w:val="center"/>
        <w:rPr>
          <w:b/>
          <w:caps/>
          <w:szCs w:val="22"/>
        </w:rPr>
      </w:pPr>
      <w:r w:rsidRPr="000C2B28">
        <w:rPr>
          <w:szCs w:val="22"/>
        </w:rPr>
        <w:t xml:space="preserve"> </w:t>
      </w:r>
      <w:r w:rsidRPr="000C2B28">
        <w:rPr>
          <w:b/>
          <w:szCs w:val="22"/>
        </w:rPr>
        <w:t>ROHDE &amp; SCHWARZ USA, INC.</w:t>
      </w:r>
      <w:r w:rsidRPr="000C2B28">
        <w:rPr>
          <w:szCs w:val="22"/>
        </w:rPr>
        <w:t xml:space="preserve"> </w:t>
      </w:r>
      <w:r w:rsidRPr="000C2B28">
        <w:rPr>
          <w:b/>
          <w:szCs w:val="22"/>
        </w:rPr>
        <w:t xml:space="preserve"> </w:t>
      </w:r>
      <w:r w:rsidRPr="000C2B28" w:rsidR="0053244B">
        <w:rPr>
          <w:b/>
          <w:caps/>
          <w:szCs w:val="22"/>
        </w:rPr>
        <w:t xml:space="preserve">request for waiver of PART 15 </w:t>
      </w:r>
      <w:r w:rsidRPr="000C2B28" w:rsidR="00711231">
        <w:rPr>
          <w:b/>
          <w:caps/>
          <w:szCs w:val="22"/>
        </w:rPr>
        <w:t>PERIODIC OPERATION AND RESTRICTE</w:t>
      </w:r>
      <w:r w:rsidRPr="000C2B28" w:rsidR="00FB5A02">
        <w:rPr>
          <w:b/>
          <w:caps/>
          <w:szCs w:val="22"/>
        </w:rPr>
        <w:t>D</w:t>
      </w:r>
      <w:r w:rsidRPr="000C2B28" w:rsidR="00711231">
        <w:rPr>
          <w:b/>
          <w:caps/>
          <w:szCs w:val="22"/>
        </w:rPr>
        <w:t xml:space="preserve"> BAND</w:t>
      </w:r>
      <w:r w:rsidRPr="000C2B28" w:rsidR="00C76A6C">
        <w:rPr>
          <w:b/>
          <w:caps/>
          <w:szCs w:val="22"/>
        </w:rPr>
        <w:t>S</w:t>
      </w:r>
      <w:r w:rsidRPr="000C2B28" w:rsidR="00711231">
        <w:rPr>
          <w:b/>
          <w:caps/>
          <w:szCs w:val="22"/>
        </w:rPr>
        <w:t xml:space="preserve"> </w:t>
      </w:r>
      <w:r w:rsidRPr="000C2B28" w:rsidR="0053244B">
        <w:rPr>
          <w:b/>
          <w:caps/>
          <w:szCs w:val="22"/>
        </w:rPr>
        <w:t xml:space="preserve">RULES </w:t>
      </w:r>
      <w:r w:rsidRPr="000C2B28" w:rsidR="00530BF3">
        <w:rPr>
          <w:b/>
          <w:caps/>
          <w:szCs w:val="22"/>
        </w:rPr>
        <w:t xml:space="preserve">for </w:t>
      </w:r>
      <w:r w:rsidRPr="000C2B28" w:rsidR="0053244B">
        <w:rPr>
          <w:b/>
          <w:caps/>
          <w:szCs w:val="22"/>
        </w:rPr>
        <w:t xml:space="preserve">A </w:t>
      </w:r>
      <w:r w:rsidRPr="000C2B28" w:rsidR="00DA0A0F">
        <w:rPr>
          <w:b/>
          <w:caps/>
          <w:szCs w:val="22"/>
        </w:rPr>
        <w:t>70</w:t>
      </w:r>
      <w:r w:rsidRPr="000C2B28" w:rsidR="00DA0A0F">
        <w:rPr>
          <w:b/>
          <w:caps/>
          <w:szCs w:val="22"/>
        </w:rPr>
        <w:noBreakHyphen/>
        <w:t xml:space="preserve">80 GHz </w:t>
      </w:r>
      <w:r w:rsidRPr="000C2B28">
        <w:rPr>
          <w:b/>
          <w:caps/>
          <w:szCs w:val="22"/>
        </w:rPr>
        <w:t>person</w:t>
      </w:r>
      <w:r w:rsidRPr="000C2B28" w:rsidR="00B01C85">
        <w:rPr>
          <w:b/>
          <w:caps/>
          <w:szCs w:val="22"/>
        </w:rPr>
        <w:t>N</w:t>
      </w:r>
      <w:r w:rsidRPr="000C2B28" w:rsidR="00711231">
        <w:rPr>
          <w:b/>
          <w:caps/>
          <w:szCs w:val="22"/>
        </w:rPr>
        <w:t>e</w:t>
      </w:r>
      <w:r w:rsidRPr="000C2B28">
        <w:rPr>
          <w:b/>
          <w:caps/>
          <w:szCs w:val="22"/>
        </w:rPr>
        <w:t xml:space="preserve">l security scanner </w:t>
      </w:r>
      <w:r w:rsidRPr="000C2B28" w:rsidR="0053244B">
        <w:rPr>
          <w:b/>
          <w:caps/>
          <w:szCs w:val="22"/>
        </w:rPr>
        <w:t xml:space="preserve">SYSTEM </w:t>
      </w:r>
    </w:p>
    <w:p w:rsidR="00013A8B" w:rsidRPr="000C2B28" w:rsidP="00013A8B">
      <w:pPr>
        <w:jc w:val="center"/>
        <w:rPr>
          <w:b/>
          <w:szCs w:val="22"/>
        </w:rPr>
      </w:pPr>
      <w:r w:rsidRPr="000C2B28">
        <w:rPr>
          <w:b/>
          <w:szCs w:val="22"/>
        </w:rPr>
        <w:t xml:space="preserve">ET Docket No. </w:t>
      </w:r>
      <w:r w:rsidRPr="000C2B28" w:rsidR="00DA0A0F">
        <w:rPr>
          <w:b/>
          <w:szCs w:val="22"/>
        </w:rPr>
        <w:t>19-</w:t>
      </w:r>
      <w:r w:rsidR="003364FD">
        <w:rPr>
          <w:b/>
          <w:szCs w:val="22"/>
        </w:rPr>
        <w:t>88</w:t>
      </w:r>
    </w:p>
    <w:p w:rsidR="00DA0A0F" w:rsidRPr="000C2B28" w:rsidP="00013A8B">
      <w:pPr>
        <w:jc w:val="center"/>
        <w:rPr>
          <w:b/>
          <w:szCs w:val="22"/>
        </w:rPr>
      </w:pPr>
    </w:p>
    <w:p w:rsidR="00F96F63" w:rsidRPr="000C2B28" w:rsidP="00F96F63">
      <w:pPr>
        <w:rPr>
          <w:b/>
          <w:szCs w:val="22"/>
        </w:rPr>
      </w:pPr>
      <w:bookmarkStart w:id="0" w:name="TOChere"/>
      <w:r w:rsidRPr="000C2B28">
        <w:rPr>
          <w:b/>
          <w:szCs w:val="22"/>
        </w:rPr>
        <w:t>Comment Date:</w:t>
      </w:r>
      <w:r w:rsidR="003364FD">
        <w:rPr>
          <w:b/>
          <w:szCs w:val="22"/>
        </w:rPr>
        <w:t xml:space="preserve"> </w:t>
      </w:r>
      <w:r w:rsidRPr="000C2B28">
        <w:rPr>
          <w:b/>
          <w:szCs w:val="22"/>
        </w:rPr>
        <w:t xml:space="preserve"> </w:t>
      </w:r>
      <w:r w:rsidR="003364FD">
        <w:rPr>
          <w:b/>
          <w:szCs w:val="22"/>
        </w:rPr>
        <w:t>April 29</w:t>
      </w:r>
      <w:r w:rsidRPr="000C2B28">
        <w:rPr>
          <w:b/>
          <w:szCs w:val="22"/>
        </w:rPr>
        <w:t>, 201</w:t>
      </w:r>
      <w:r w:rsidRPr="000C2B28" w:rsidR="00DA0A0F">
        <w:rPr>
          <w:b/>
          <w:szCs w:val="22"/>
        </w:rPr>
        <w:t>9</w:t>
      </w:r>
    </w:p>
    <w:p w:rsidR="005A42C3" w:rsidRPr="000C2B28" w:rsidP="00F96F63">
      <w:pPr>
        <w:rPr>
          <w:b/>
          <w:szCs w:val="22"/>
        </w:rPr>
      </w:pPr>
      <w:r w:rsidRPr="000C2B28">
        <w:rPr>
          <w:b/>
          <w:szCs w:val="22"/>
        </w:rPr>
        <w:t>Reply Comment Date:</w:t>
      </w:r>
      <w:r w:rsidR="003364FD">
        <w:rPr>
          <w:b/>
          <w:szCs w:val="22"/>
        </w:rPr>
        <w:t xml:space="preserve">  May 14</w:t>
      </w:r>
      <w:r w:rsidRPr="000C2B28">
        <w:rPr>
          <w:b/>
          <w:szCs w:val="22"/>
        </w:rPr>
        <w:t>, 201</w:t>
      </w:r>
      <w:r w:rsidRPr="000C2B28" w:rsidR="00DA0A0F">
        <w:rPr>
          <w:b/>
          <w:szCs w:val="22"/>
        </w:rPr>
        <w:t>9</w:t>
      </w:r>
    </w:p>
    <w:p w:rsidR="005B02C3" w:rsidRPr="000C2B28" w:rsidP="00F96F63">
      <w:pPr>
        <w:rPr>
          <w:szCs w:val="22"/>
        </w:rPr>
      </w:pPr>
    </w:p>
    <w:p w:rsidR="001373E4" w:rsidRPr="000C2B28" w:rsidP="00E5255A">
      <w:pPr>
        <w:pStyle w:val="Default"/>
        <w:ind w:firstLine="720"/>
        <w:rPr>
          <w:sz w:val="22"/>
          <w:szCs w:val="22"/>
        </w:rPr>
      </w:pPr>
      <w:r w:rsidRPr="000C2B28">
        <w:rPr>
          <w:color w:val="010101"/>
          <w:sz w:val="22"/>
          <w:szCs w:val="22"/>
        </w:rPr>
        <w:t xml:space="preserve">On </w:t>
      </w:r>
      <w:r w:rsidRPr="000C2B28" w:rsidR="00DA0A0F">
        <w:rPr>
          <w:color w:val="010101"/>
          <w:sz w:val="22"/>
          <w:szCs w:val="22"/>
        </w:rPr>
        <w:t>December</w:t>
      </w:r>
      <w:r w:rsidRPr="000C2B28">
        <w:rPr>
          <w:color w:val="010101"/>
          <w:sz w:val="22"/>
          <w:szCs w:val="22"/>
        </w:rPr>
        <w:t xml:space="preserve"> 4, 2018, </w:t>
      </w:r>
      <w:r w:rsidRPr="000C2B28" w:rsidR="00DA0A0F">
        <w:rPr>
          <w:sz w:val="22"/>
          <w:szCs w:val="22"/>
        </w:rPr>
        <w:t xml:space="preserve">Rohde &amp; Schwarz USA, Inc. (Rohde &amp; Schwarz) </w:t>
      </w:r>
      <w:r w:rsidRPr="000C2B28">
        <w:rPr>
          <w:color w:val="010101"/>
          <w:sz w:val="22"/>
          <w:szCs w:val="22"/>
        </w:rPr>
        <w:t>filed a request for waiver of Sections 15.</w:t>
      </w:r>
      <w:r w:rsidRPr="000C2B28" w:rsidR="00DA0A0F">
        <w:rPr>
          <w:color w:val="010101"/>
          <w:sz w:val="22"/>
          <w:szCs w:val="22"/>
        </w:rPr>
        <w:t>205</w:t>
      </w:r>
      <w:r w:rsidRPr="000C2B28">
        <w:rPr>
          <w:color w:val="010101"/>
          <w:sz w:val="22"/>
          <w:szCs w:val="22"/>
        </w:rPr>
        <w:t xml:space="preserve"> and 15.</w:t>
      </w:r>
      <w:r w:rsidRPr="000C2B28" w:rsidR="00DA0A0F">
        <w:rPr>
          <w:color w:val="010101"/>
          <w:sz w:val="22"/>
          <w:szCs w:val="22"/>
        </w:rPr>
        <w:t>231</w:t>
      </w:r>
      <w:r w:rsidRPr="000C2B28">
        <w:rPr>
          <w:color w:val="010101"/>
          <w:sz w:val="22"/>
          <w:szCs w:val="22"/>
        </w:rPr>
        <w:t xml:space="preserve"> of the Commission’s rules</w:t>
      </w:r>
      <w:r w:rsidRPr="000C2B28" w:rsidR="000E5324">
        <w:rPr>
          <w:color w:val="010101"/>
          <w:sz w:val="22"/>
          <w:szCs w:val="22"/>
        </w:rPr>
        <w:t>,</w:t>
      </w:r>
      <w:r w:rsidRPr="000C2B28">
        <w:rPr>
          <w:color w:val="010101"/>
          <w:sz w:val="22"/>
          <w:szCs w:val="22"/>
        </w:rPr>
        <w:t xml:space="preserve"> to allow </w:t>
      </w:r>
      <w:r w:rsidRPr="000C2B28" w:rsidR="00017395">
        <w:rPr>
          <w:sz w:val="22"/>
          <w:szCs w:val="22"/>
        </w:rPr>
        <w:t>Rohde &amp; Schwarz</w:t>
      </w:r>
      <w:r w:rsidRPr="000C2B28">
        <w:rPr>
          <w:color w:val="010101"/>
          <w:sz w:val="22"/>
          <w:szCs w:val="22"/>
        </w:rPr>
        <w:t xml:space="preserve"> to obtain a grant of equipment authorization for the </w:t>
      </w:r>
      <w:r w:rsidR="004F5DA5">
        <w:rPr>
          <w:color w:val="010101"/>
          <w:sz w:val="22"/>
          <w:szCs w:val="22"/>
        </w:rPr>
        <w:t xml:space="preserve">marketing and </w:t>
      </w:r>
      <w:r w:rsidRPr="000C2B28">
        <w:rPr>
          <w:color w:val="010101"/>
          <w:sz w:val="22"/>
          <w:szCs w:val="22"/>
        </w:rPr>
        <w:t xml:space="preserve">operation of </w:t>
      </w:r>
      <w:r w:rsidRPr="000C2B28" w:rsidR="004428E6">
        <w:rPr>
          <w:color w:val="010101"/>
          <w:sz w:val="22"/>
          <w:szCs w:val="22"/>
        </w:rPr>
        <w:t>its QPS 201</w:t>
      </w:r>
      <w:r w:rsidRPr="000C2B28" w:rsidR="00017395">
        <w:rPr>
          <w:color w:val="010101"/>
          <w:sz w:val="22"/>
          <w:szCs w:val="22"/>
        </w:rPr>
        <w:t xml:space="preserve"> Person</w:t>
      </w:r>
      <w:r w:rsidRPr="000C2B28" w:rsidR="00C51E1C">
        <w:rPr>
          <w:color w:val="010101"/>
          <w:sz w:val="22"/>
          <w:szCs w:val="22"/>
        </w:rPr>
        <w:t>n</w:t>
      </w:r>
      <w:r w:rsidRPr="000C2B28" w:rsidR="00C12BC0">
        <w:rPr>
          <w:color w:val="010101"/>
          <w:sz w:val="22"/>
          <w:szCs w:val="22"/>
        </w:rPr>
        <w:t>e</w:t>
      </w:r>
      <w:r w:rsidRPr="000C2B28" w:rsidR="00017395">
        <w:rPr>
          <w:color w:val="010101"/>
          <w:sz w:val="22"/>
          <w:szCs w:val="22"/>
        </w:rPr>
        <w:t xml:space="preserve">l Security Scanner </w:t>
      </w:r>
      <w:r w:rsidRPr="000C2B28">
        <w:rPr>
          <w:color w:val="010101"/>
          <w:sz w:val="22"/>
          <w:szCs w:val="22"/>
        </w:rPr>
        <w:t>system</w:t>
      </w:r>
      <w:r w:rsidRPr="000C2B28" w:rsidR="004428E6">
        <w:rPr>
          <w:color w:val="010101"/>
          <w:sz w:val="22"/>
          <w:szCs w:val="22"/>
        </w:rPr>
        <w:t xml:space="preserve"> (“</w:t>
      </w:r>
      <w:r w:rsidRPr="000C2B28" w:rsidR="00017395">
        <w:rPr>
          <w:color w:val="010101"/>
          <w:sz w:val="22"/>
          <w:szCs w:val="22"/>
        </w:rPr>
        <w:t>QPS 201</w:t>
      </w:r>
      <w:r w:rsidRPr="000C2B28" w:rsidR="004428E6">
        <w:rPr>
          <w:color w:val="010101"/>
          <w:sz w:val="22"/>
          <w:szCs w:val="22"/>
        </w:rPr>
        <w:t>” or “system”)</w:t>
      </w:r>
      <w:r w:rsidRPr="000C2B28" w:rsidR="00017395">
        <w:rPr>
          <w:color w:val="010101"/>
          <w:sz w:val="22"/>
          <w:szCs w:val="22"/>
        </w:rPr>
        <w:t xml:space="preserve"> </w:t>
      </w:r>
      <w:r w:rsidRPr="000C2B28">
        <w:rPr>
          <w:color w:val="010101"/>
          <w:sz w:val="22"/>
          <w:szCs w:val="22"/>
        </w:rPr>
        <w:t xml:space="preserve">in the </w:t>
      </w:r>
      <w:r w:rsidRPr="000C2B28" w:rsidR="00017395">
        <w:rPr>
          <w:color w:val="010101"/>
          <w:sz w:val="22"/>
          <w:szCs w:val="22"/>
        </w:rPr>
        <w:t>70-80 </w:t>
      </w:r>
      <w:r w:rsidRPr="000C2B28">
        <w:rPr>
          <w:color w:val="010101"/>
          <w:sz w:val="22"/>
          <w:szCs w:val="22"/>
        </w:rPr>
        <w:t>GHz band</w:t>
      </w:r>
      <w:r w:rsidRPr="000C2B28" w:rsidR="00F915F8">
        <w:rPr>
          <w:color w:val="010101"/>
          <w:sz w:val="22"/>
          <w:szCs w:val="22"/>
        </w:rPr>
        <w:t>.</w:t>
      </w:r>
      <w:r w:rsidRPr="000C2B28" w:rsidR="000E5324">
        <w:rPr>
          <w:color w:val="010101"/>
          <w:sz w:val="22"/>
          <w:szCs w:val="22"/>
        </w:rPr>
        <w:t xml:space="preserve">  </w:t>
      </w:r>
      <w:r w:rsidRPr="000C2B28" w:rsidR="000E5324">
        <w:rPr>
          <w:sz w:val="22"/>
          <w:szCs w:val="22"/>
        </w:rPr>
        <w:t>T</w:t>
      </w:r>
      <w:r w:rsidRPr="000C2B28" w:rsidR="004428E6">
        <w:rPr>
          <w:sz w:val="22"/>
          <w:szCs w:val="22"/>
        </w:rPr>
        <w:t>he QPS 201</w:t>
      </w:r>
      <w:r w:rsidRPr="000C2B28">
        <w:rPr>
          <w:sz w:val="22"/>
          <w:szCs w:val="22"/>
        </w:rPr>
        <w:t xml:space="preserve"> is designed to detect the presence of concealed metallic and non-metallic </w:t>
      </w:r>
      <w:r w:rsidRPr="00B5014D" w:rsidR="00B26D50">
        <w:rPr>
          <w:sz w:val="22"/>
          <w:szCs w:val="22"/>
        </w:rPr>
        <w:t>threats</w:t>
      </w:r>
      <w:r w:rsidRPr="00761711" w:rsidR="00F03E9E">
        <w:rPr>
          <w:sz w:val="22"/>
          <w:szCs w:val="22"/>
        </w:rPr>
        <w:t xml:space="preserve"> that may be carried </w:t>
      </w:r>
      <w:r w:rsidRPr="000C2B28" w:rsidR="00B26D50">
        <w:rPr>
          <w:sz w:val="22"/>
          <w:szCs w:val="22"/>
        </w:rPr>
        <w:t>in or underneath the clothing</w:t>
      </w:r>
      <w:r w:rsidRPr="000C2B28">
        <w:rPr>
          <w:sz w:val="22"/>
          <w:szCs w:val="22"/>
        </w:rPr>
        <w:t xml:space="preserve"> o</w:t>
      </w:r>
      <w:r w:rsidRPr="000C2B28" w:rsidR="00B26D50">
        <w:rPr>
          <w:sz w:val="22"/>
          <w:szCs w:val="22"/>
        </w:rPr>
        <w:t>f</w:t>
      </w:r>
      <w:r w:rsidRPr="000C2B28">
        <w:rPr>
          <w:sz w:val="22"/>
          <w:szCs w:val="22"/>
        </w:rPr>
        <w:t xml:space="preserve"> persons entering locations where the </w:t>
      </w:r>
      <w:r w:rsidRPr="000C2B28" w:rsidR="004428E6">
        <w:rPr>
          <w:sz w:val="22"/>
          <w:szCs w:val="22"/>
        </w:rPr>
        <w:t>device</w:t>
      </w:r>
      <w:r w:rsidRPr="000C2B28">
        <w:rPr>
          <w:sz w:val="22"/>
          <w:szCs w:val="22"/>
        </w:rPr>
        <w:t xml:space="preserve"> has been deployed.</w:t>
      </w:r>
      <w:r w:rsidRPr="000C2B28" w:rsidR="00F915F8">
        <w:rPr>
          <w:sz w:val="22"/>
          <w:szCs w:val="22"/>
        </w:rPr>
        <w:t xml:space="preserve"> </w:t>
      </w:r>
      <w:r w:rsidRPr="000C2B28" w:rsidR="000E5324">
        <w:rPr>
          <w:sz w:val="22"/>
          <w:szCs w:val="22"/>
        </w:rPr>
        <w:t>Rohde &amp;Schwarz claim</w:t>
      </w:r>
      <w:r w:rsidR="006651B4">
        <w:rPr>
          <w:sz w:val="22"/>
          <w:szCs w:val="22"/>
        </w:rPr>
        <w:t>s</w:t>
      </w:r>
      <w:r w:rsidRPr="000C2B28" w:rsidR="000E5324">
        <w:rPr>
          <w:sz w:val="22"/>
          <w:szCs w:val="22"/>
        </w:rPr>
        <w:t xml:space="preserve"> </w:t>
      </w:r>
      <w:r w:rsidRPr="000C2B28" w:rsidR="00F915F8">
        <w:rPr>
          <w:sz w:val="22"/>
          <w:szCs w:val="22"/>
        </w:rPr>
        <w:t>that the QPS 201 will serve a valuable national security function that cannot be comparably replicated by currently available equipment.</w:t>
      </w:r>
      <w:r w:rsidRPr="000C2B28" w:rsidR="00F915F8">
        <w:rPr>
          <w:color w:val="010101"/>
          <w:sz w:val="22"/>
          <w:szCs w:val="22"/>
        </w:rPr>
        <w:t xml:space="preserve">     </w:t>
      </w:r>
    </w:p>
    <w:p w:rsidR="004428E6" w:rsidRPr="000C2B28" w:rsidP="00E5255A">
      <w:pPr>
        <w:pStyle w:val="Default"/>
        <w:ind w:firstLine="720"/>
        <w:rPr>
          <w:sz w:val="22"/>
          <w:szCs w:val="22"/>
        </w:rPr>
      </w:pPr>
    </w:p>
    <w:p w:rsidR="000E5324" w:rsidRPr="000C2B28" w:rsidP="00E5255A">
      <w:pPr>
        <w:pStyle w:val="Default"/>
        <w:ind w:firstLine="720"/>
        <w:rPr>
          <w:sz w:val="22"/>
          <w:szCs w:val="22"/>
        </w:rPr>
      </w:pPr>
      <w:r w:rsidRPr="000C2B28">
        <w:rPr>
          <w:sz w:val="22"/>
          <w:szCs w:val="22"/>
        </w:rPr>
        <w:t>Rohde &amp; Schwarz</w:t>
      </w:r>
      <w:r w:rsidRPr="000C2B28">
        <w:rPr>
          <w:color w:val="010101"/>
          <w:sz w:val="22"/>
          <w:szCs w:val="22"/>
        </w:rPr>
        <w:t xml:space="preserve"> seek</w:t>
      </w:r>
      <w:r w:rsidR="006651B4">
        <w:rPr>
          <w:color w:val="010101"/>
          <w:sz w:val="22"/>
          <w:szCs w:val="22"/>
        </w:rPr>
        <w:t>s</w:t>
      </w:r>
      <w:r w:rsidRPr="000C2B28">
        <w:rPr>
          <w:color w:val="010101"/>
          <w:sz w:val="22"/>
          <w:szCs w:val="22"/>
        </w:rPr>
        <w:t xml:space="preserve"> a waiver of Section 15.205(a) to permit operation of the QPS 201 in the 70</w:t>
      </w:r>
      <w:r w:rsidRPr="000C2B28">
        <w:rPr>
          <w:color w:val="010101"/>
          <w:sz w:val="22"/>
          <w:szCs w:val="22"/>
        </w:rPr>
        <w:noBreakHyphen/>
        <w:t xml:space="preserve">80 GHz band.  </w:t>
      </w:r>
      <w:r w:rsidRPr="000C2B28">
        <w:rPr>
          <w:sz w:val="22"/>
          <w:szCs w:val="22"/>
        </w:rPr>
        <w:t>Section 15.205(a) of the Commission’s rules identifies certain frequency bands, referred to as “restricted bands,” where unlicensed Part 15 devices are not allowed to intentionally radiate energy and only spurious emissions are allowed from Part 15 devices.</w:t>
      </w:r>
      <w:r>
        <w:rPr>
          <w:rStyle w:val="FootnoteReference"/>
          <w:szCs w:val="22"/>
        </w:rPr>
        <w:footnoteReference w:id="2"/>
      </w:r>
      <w:r w:rsidRPr="000C2B28">
        <w:rPr>
          <w:sz w:val="22"/>
          <w:szCs w:val="22"/>
        </w:rPr>
        <w:t xml:space="preserve">  All frequencies above 38.6 GHz are classified as “restricted,” except for a few bands where the Commission has permitted unlicensed operations, such as the 57</w:t>
      </w:r>
      <w:r w:rsidRPr="000C2B28">
        <w:rPr>
          <w:sz w:val="22"/>
          <w:szCs w:val="22"/>
        </w:rPr>
        <w:noBreakHyphen/>
        <w:t>71 GHz, 75</w:t>
      </w:r>
      <w:r w:rsidRPr="000C2B28">
        <w:rPr>
          <w:sz w:val="22"/>
          <w:szCs w:val="22"/>
        </w:rPr>
        <w:noBreakHyphen/>
        <w:t>85 GHz, and 92-95 GHz frequency bands.</w:t>
      </w:r>
      <w:r>
        <w:rPr>
          <w:rStyle w:val="FootnoteReference"/>
          <w:szCs w:val="22"/>
        </w:rPr>
        <w:footnoteReference w:id="3"/>
      </w:r>
    </w:p>
    <w:p w:rsidR="000E5324" w:rsidRPr="00B5014D" w:rsidP="004428E6">
      <w:pPr>
        <w:autoSpaceDE w:val="0"/>
        <w:autoSpaceDN w:val="0"/>
        <w:adjustRightInd w:val="0"/>
        <w:ind w:firstLine="720"/>
        <w:rPr>
          <w:szCs w:val="22"/>
        </w:rPr>
      </w:pPr>
    </w:p>
    <w:p w:rsidR="000E5324" w:rsidRPr="000C2B28" w:rsidP="004428E6">
      <w:pPr>
        <w:autoSpaceDE w:val="0"/>
        <w:autoSpaceDN w:val="0"/>
        <w:adjustRightInd w:val="0"/>
        <w:ind w:firstLine="720"/>
        <w:rPr>
          <w:szCs w:val="22"/>
        </w:rPr>
      </w:pPr>
      <w:r w:rsidRPr="000C2B28">
        <w:rPr>
          <w:szCs w:val="22"/>
        </w:rPr>
        <w:t>Rohde &amp; Schwarz</w:t>
      </w:r>
      <w:r w:rsidRPr="000C2B28">
        <w:rPr>
          <w:color w:val="010101"/>
          <w:szCs w:val="22"/>
        </w:rPr>
        <w:t xml:space="preserve"> also seek</w:t>
      </w:r>
      <w:r w:rsidR="006651B4">
        <w:rPr>
          <w:color w:val="010101"/>
          <w:szCs w:val="22"/>
        </w:rPr>
        <w:t>s</w:t>
      </w:r>
      <w:r w:rsidRPr="000C2B28">
        <w:rPr>
          <w:color w:val="010101"/>
          <w:szCs w:val="22"/>
        </w:rPr>
        <w:t xml:space="preserve"> a waiver of Section 15.231(b) of the Commission’s rules, which </w:t>
      </w:r>
      <w:r w:rsidRPr="000C2B28">
        <w:rPr>
          <w:szCs w:val="22"/>
        </w:rPr>
        <w:t>limits the field strength of emissions from unlicensed intentional radiators operating in frequencies above 470 MHz to 12,500 µV/m measured at a distance of 3 meters.</w:t>
      </w:r>
      <w:r>
        <w:rPr>
          <w:rStyle w:val="FootnoteReference"/>
          <w:rFonts w:eastAsia="Calibri"/>
          <w:szCs w:val="22"/>
        </w:rPr>
        <w:footnoteReference w:id="4"/>
      </w:r>
      <w:r w:rsidRPr="000C2B28">
        <w:rPr>
          <w:szCs w:val="22"/>
        </w:rPr>
        <w:t xml:space="preserve">  Rohde &amp; Schwarz</w:t>
      </w:r>
      <w:r w:rsidRPr="000C2B28">
        <w:rPr>
          <w:color w:val="010101"/>
          <w:szCs w:val="22"/>
        </w:rPr>
        <w:t xml:space="preserve"> request a waiver to operate at </w:t>
      </w:r>
      <w:r w:rsidRPr="000C2B28">
        <w:rPr>
          <w:szCs w:val="22"/>
        </w:rPr>
        <w:t xml:space="preserve">31,405 µV/m at 3 meters (8 dB higher than the 12,500 µV/m limit of Section 15.231(b)), </w:t>
      </w:r>
      <w:r w:rsidRPr="000C2B28">
        <w:rPr>
          <w:color w:val="010101"/>
          <w:szCs w:val="22"/>
        </w:rPr>
        <w:t xml:space="preserve">to allow the QPS 201 to adequately perform its security scanning functions without increase the potential for harmful interference to authorized users.  </w:t>
      </w:r>
    </w:p>
    <w:p w:rsidR="000E5324" w:rsidRPr="00B5014D" w:rsidP="004428E6">
      <w:pPr>
        <w:autoSpaceDE w:val="0"/>
        <w:autoSpaceDN w:val="0"/>
        <w:adjustRightInd w:val="0"/>
        <w:ind w:firstLine="720"/>
        <w:rPr>
          <w:szCs w:val="22"/>
        </w:rPr>
      </w:pPr>
    </w:p>
    <w:p w:rsidR="004428E6" w:rsidRPr="000C2B28" w:rsidP="004428E6">
      <w:pPr>
        <w:autoSpaceDE w:val="0"/>
        <w:autoSpaceDN w:val="0"/>
        <w:adjustRightInd w:val="0"/>
        <w:ind w:firstLine="720"/>
        <w:rPr>
          <w:color w:val="010101"/>
          <w:szCs w:val="22"/>
        </w:rPr>
      </w:pPr>
      <w:r w:rsidRPr="000C2B28">
        <w:rPr>
          <w:szCs w:val="22"/>
        </w:rPr>
        <w:t>The Office of Engineering and Technology (OET) seeks comment on this waiver request.</w:t>
      </w:r>
    </w:p>
    <w:p w:rsidR="000E5324" w:rsidRPr="000C2B28" w:rsidP="004428E6">
      <w:pPr>
        <w:widowControl/>
        <w:ind w:firstLine="720"/>
        <w:rPr>
          <w:szCs w:val="22"/>
        </w:rPr>
      </w:pPr>
    </w:p>
    <w:p w:rsidR="004428E6" w:rsidRPr="000C2B28" w:rsidP="004428E6">
      <w:pPr>
        <w:widowControl/>
        <w:ind w:firstLine="720"/>
        <w:rPr>
          <w:snapToGrid/>
          <w:szCs w:val="22"/>
        </w:rPr>
      </w:pPr>
      <w:r w:rsidRPr="00B5014D">
        <w:rPr>
          <w:szCs w:val="22"/>
        </w:rPr>
        <w:t xml:space="preserve">Rohde &amp; Schwarz submitted its waiver request electronically through the Commission’s Electronic Comment Filing System (ECFS) as a non-docketed filing in FCC INBOX-PART 15 (Petition </w:t>
      </w:r>
      <w:r w:rsidRPr="00B5014D">
        <w:rPr>
          <w:szCs w:val="22"/>
        </w:rPr>
        <w:t>for Waiver of Part 15).  In conjunction with the opening of ET Docket 19-</w:t>
      </w:r>
      <w:r w:rsidR="003364FD">
        <w:rPr>
          <w:szCs w:val="22"/>
        </w:rPr>
        <w:t>88</w:t>
      </w:r>
      <w:r w:rsidRPr="00B5014D">
        <w:rPr>
          <w:szCs w:val="22"/>
        </w:rPr>
        <w:t>, the Commiss</w:t>
      </w:r>
      <w:r w:rsidRPr="006651B4">
        <w:rPr>
          <w:szCs w:val="22"/>
        </w:rPr>
        <w:t>ion moved the filing into th</w:t>
      </w:r>
      <w:r w:rsidRPr="006651B4" w:rsidR="00B025E6">
        <w:rPr>
          <w:szCs w:val="22"/>
        </w:rPr>
        <w:t>is</w:t>
      </w:r>
      <w:r w:rsidRPr="006651B4">
        <w:rPr>
          <w:szCs w:val="22"/>
        </w:rPr>
        <w:t xml:space="preserve"> docket.</w:t>
      </w:r>
      <w:r>
        <w:rPr>
          <w:rStyle w:val="FootnoteReference"/>
          <w:szCs w:val="22"/>
        </w:rPr>
        <w:footnoteReference w:id="5"/>
      </w:r>
      <w:r w:rsidRPr="000C2B28">
        <w:rPr>
          <w:szCs w:val="22"/>
        </w:rPr>
        <w:t xml:space="preserve">  Parties should file all comments and reply comments in ET Docket 19-</w:t>
      </w:r>
      <w:r w:rsidR="003364FD">
        <w:rPr>
          <w:szCs w:val="22"/>
        </w:rPr>
        <w:t>88</w:t>
      </w:r>
      <w:r w:rsidR="00206590">
        <w:rPr>
          <w:szCs w:val="22"/>
        </w:rPr>
        <w:t>.</w:t>
      </w:r>
      <w:r w:rsidRPr="000C2B28">
        <w:rPr>
          <w:szCs w:val="22"/>
        </w:rPr>
        <w:t xml:space="preserve"> </w:t>
      </w:r>
    </w:p>
    <w:p w:rsidR="004428E6" w:rsidRPr="000C2B28" w:rsidP="004428E6">
      <w:pPr>
        <w:pStyle w:val="Default"/>
        <w:ind w:firstLine="720"/>
        <w:rPr>
          <w:color w:val="010101"/>
          <w:sz w:val="22"/>
          <w:szCs w:val="22"/>
        </w:rPr>
      </w:pPr>
    </w:p>
    <w:p w:rsidR="00215D0A" w:rsidRPr="000C2B28" w:rsidP="005B02C3">
      <w:pPr>
        <w:autoSpaceDE w:val="0"/>
        <w:autoSpaceDN w:val="0"/>
        <w:adjustRightInd w:val="0"/>
        <w:ind w:firstLine="720"/>
        <w:rPr>
          <w:color w:val="010101"/>
          <w:szCs w:val="22"/>
        </w:rPr>
      </w:pPr>
      <w:r w:rsidRPr="000C2B28">
        <w:rPr>
          <w:color w:val="010101"/>
          <w:szCs w:val="22"/>
        </w:rPr>
        <w:t xml:space="preserve">OET has concluded that, to develop a complete record on the issues presented by this request, this proceeding will be treated, for </w:t>
      </w:r>
      <w:r w:rsidRPr="000C2B28">
        <w:rPr>
          <w:i/>
          <w:color w:val="010101"/>
          <w:szCs w:val="22"/>
        </w:rPr>
        <w:t>ex parte</w:t>
      </w:r>
      <w:r w:rsidRPr="000C2B28">
        <w:rPr>
          <w:color w:val="010101"/>
          <w:szCs w:val="22"/>
        </w:rPr>
        <w:t xml:space="preserve"> purposes, as a “permit-but-disclose” in accordance with Section 1.1200(a) of the Commission’s rules, subject to the requirements under Section 1.1206(b).</w:t>
      </w:r>
    </w:p>
    <w:p w:rsidR="005B02C3" w:rsidRPr="000C2B28" w:rsidP="005B02C3">
      <w:pPr>
        <w:autoSpaceDE w:val="0"/>
        <w:autoSpaceDN w:val="0"/>
        <w:adjustRightInd w:val="0"/>
        <w:rPr>
          <w:color w:val="010101"/>
          <w:szCs w:val="22"/>
        </w:rPr>
      </w:pPr>
    </w:p>
    <w:p w:rsidR="0040572D" w:rsidRPr="006651B4" w:rsidP="0040572D">
      <w:pPr>
        <w:ind w:firstLine="360"/>
        <w:rPr>
          <w:szCs w:val="22"/>
        </w:rPr>
      </w:pPr>
      <w:r w:rsidRPr="000C2B28">
        <w:rPr>
          <w:szCs w:val="22"/>
        </w:rPr>
        <w:t>Pursuant to sections 1.415 and 1.419 of the Commission’s rules, 47 CFR §§ 1.415, 1.419, interested pa</w:t>
      </w:r>
      <w:r w:rsidRPr="00B5014D">
        <w:rPr>
          <w:szCs w:val="22"/>
        </w:rPr>
        <w:t xml:space="preserve">rties may file comments and reply comments on or before the dates indicated on the first page of this document.  Comments may be filed using the Commission’s Electronic Comment Filing System (ECFS).  </w:t>
      </w:r>
      <w:r w:rsidRPr="006651B4">
        <w:rPr>
          <w:i/>
          <w:szCs w:val="22"/>
        </w:rPr>
        <w:t>See Electronic Filing of Documents in Rulemaking Proceedings</w:t>
      </w:r>
      <w:r w:rsidRPr="006651B4">
        <w:rPr>
          <w:szCs w:val="22"/>
        </w:rPr>
        <w:t>, 63 FR 24121 (1998).</w:t>
      </w:r>
    </w:p>
    <w:p w:rsidR="0040572D" w:rsidRPr="007F0D21" w:rsidP="0040572D">
      <w:pPr>
        <w:rPr>
          <w:szCs w:val="22"/>
        </w:rPr>
      </w:pPr>
    </w:p>
    <w:p w:rsidR="0040572D" w:rsidRPr="000C2B28" w:rsidP="0040572D">
      <w:pPr>
        <w:widowControl/>
        <w:numPr>
          <w:ilvl w:val="0"/>
          <w:numId w:val="9"/>
        </w:numPr>
        <w:rPr>
          <w:szCs w:val="22"/>
        </w:rPr>
      </w:pPr>
      <w:r w:rsidRPr="007F0D21">
        <w:rPr>
          <w:szCs w:val="22"/>
        </w:rPr>
        <w:t xml:space="preserve">Electronic Filers:  Comments may be filed electronically using the Internet by accessing the ECFS:  </w:t>
      </w:r>
      <w:hyperlink r:id="rId5" w:history="1">
        <w:r w:rsidRPr="000C2B28">
          <w:rPr>
            <w:color w:val="0000FF"/>
            <w:szCs w:val="22"/>
            <w:u w:val="single"/>
          </w:rPr>
          <w:t>http://apps.fcc.gov/ecfs/</w:t>
        </w:r>
      </w:hyperlink>
      <w:r w:rsidRPr="000C2B28">
        <w:rPr>
          <w:szCs w:val="22"/>
        </w:rPr>
        <w:t xml:space="preserve">.  </w:t>
      </w:r>
    </w:p>
    <w:p w:rsidR="0040572D" w:rsidRPr="00B5014D" w:rsidP="0040572D">
      <w:pPr>
        <w:rPr>
          <w:szCs w:val="22"/>
        </w:rPr>
      </w:pPr>
    </w:p>
    <w:p w:rsidR="0040572D" w:rsidRPr="006651B4" w:rsidP="0040572D">
      <w:pPr>
        <w:widowControl/>
        <w:numPr>
          <w:ilvl w:val="0"/>
          <w:numId w:val="8"/>
        </w:numPr>
        <w:rPr>
          <w:szCs w:val="22"/>
        </w:rPr>
      </w:pPr>
      <w:r w:rsidRPr="006651B4">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40572D" w:rsidRPr="007F0D21" w:rsidP="0040572D">
      <w:pPr>
        <w:rPr>
          <w:szCs w:val="22"/>
        </w:rPr>
      </w:pPr>
    </w:p>
    <w:p w:rsidR="0040572D" w:rsidRPr="007F0D21" w:rsidP="0040572D">
      <w:pPr>
        <w:ind w:left="720"/>
        <w:rPr>
          <w:szCs w:val="22"/>
        </w:rPr>
      </w:pPr>
      <w:r w:rsidRPr="007F0D21">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40572D" w:rsidRPr="007F0D21" w:rsidP="0040572D">
      <w:pPr>
        <w:rPr>
          <w:szCs w:val="22"/>
        </w:rPr>
      </w:pPr>
    </w:p>
    <w:p w:rsidR="0040572D" w:rsidRPr="007F0D21" w:rsidP="0040572D">
      <w:pPr>
        <w:widowControl/>
        <w:numPr>
          <w:ilvl w:val="0"/>
          <w:numId w:val="7"/>
        </w:numPr>
        <w:tabs>
          <w:tab w:val="clear" w:pos="1350"/>
          <w:tab w:val="num" w:pos="1440"/>
        </w:tabs>
        <w:ind w:left="1440"/>
        <w:rPr>
          <w:szCs w:val="22"/>
        </w:rPr>
      </w:pPr>
      <w:r w:rsidRPr="007F0D21">
        <w:rPr>
          <w:szCs w:val="22"/>
        </w:rPr>
        <w:t>All hand-delivered or messenger-delivered paper filings for the Commission’s Secretary must be delivered to FCC Headquarters at 445 12</w:t>
      </w:r>
      <w:r w:rsidRPr="007F0D21">
        <w:rPr>
          <w:szCs w:val="22"/>
          <w:vertAlign w:val="superscript"/>
        </w:rPr>
        <w:t>th</w:t>
      </w:r>
      <w:r w:rsidRPr="007F0D21">
        <w:rPr>
          <w:szCs w:val="22"/>
        </w:rPr>
        <w:t xml:space="preserve"> St., SW, Room TW-A325, Washington, DC 20554.  The filing hours are 8:00 a.m. to 7:00 p.m.   All hand deliveries must be held together with rubber bands or fasteners.  Any envelopes and boxes must be disposed of </w:t>
      </w:r>
      <w:r w:rsidRPr="007F0D21">
        <w:rPr>
          <w:szCs w:val="22"/>
          <w:u w:val="single"/>
        </w:rPr>
        <w:t>before</w:t>
      </w:r>
      <w:r w:rsidRPr="007F0D21">
        <w:rPr>
          <w:szCs w:val="22"/>
        </w:rPr>
        <w:t xml:space="preserve"> entering the building.  </w:t>
      </w:r>
    </w:p>
    <w:p w:rsidR="0040572D" w:rsidRPr="007F0D21" w:rsidP="0040572D">
      <w:pPr>
        <w:ind w:left="1080"/>
        <w:rPr>
          <w:szCs w:val="22"/>
        </w:rPr>
      </w:pPr>
    </w:p>
    <w:p w:rsidR="0040572D" w:rsidRPr="007F0D21" w:rsidP="0040572D">
      <w:pPr>
        <w:widowControl/>
        <w:numPr>
          <w:ilvl w:val="0"/>
          <w:numId w:val="7"/>
        </w:numPr>
        <w:tabs>
          <w:tab w:val="clear" w:pos="1350"/>
          <w:tab w:val="num" w:pos="1440"/>
        </w:tabs>
        <w:ind w:left="1440"/>
        <w:rPr>
          <w:szCs w:val="22"/>
        </w:rPr>
      </w:pPr>
      <w:r w:rsidRPr="007F0D21">
        <w:rPr>
          <w:szCs w:val="22"/>
        </w:rPr>
        <w:t>Commercial overnight mail (other than U.S. Postal Service Express Mail and Priority Mail) must be sent to 9050 Junction Drive, Annapolis Junction, MD 20701.</w:t>
      </w:r>
    </w:p>
    <w:p w:rsidR="0040572D" w:rsidRPr="007F0D21" w:rsidP="0040572D">
      <w:pPr>
        <w:rPr>
          <w:szCs w:val="22"/>
        </w:rPr>
      </w:pPr>
    </w:p>
    <w:p w:rsidR="0040572D" w:rsidRPr="007F0D21" w:rsidP="0040572D">
      <w:pPr>
        <w:widowControl/>
        <w:numPr>
          <w:ilvl w:val="0"/>
          <w:numId w:val="7"/>
        </w:numPr>
        <w:tabs>
          <w:tab w:val="clear" w:pos="1350"/>
          <w:tab w:val="num" w:pos="1440"/>
        </w:tabs>
        <w:ind w:left="1440"/>
        <w:rPr>
          <w:szCs w:val="22"/>
        </w:rPr>
      </w:pPr>
      <w:r w:rsidRPr="007F0D21">
        <w:rPr>
          <w:szCs w:val="22"/>
        </w:rPr>
        <w:t>U.S. Postal Service first-class, Express, and Priority mail must be addressed to 445 12</w:t>
      </w:r>
      <w:r w:rsidRPr="007F0D21">
        <w:rPr>
          <w:szCs w:val="22"/>
          <w:vertAlign w:val="superscript"/>
        </w:rPr>
        <w:t>th</w:t>
      </w:r>
      <w:r w:rsidRPr="007F0D21">
        <w:rPr>
          <w:szCs w:val="22"/>
        </w:rPr>
        <w:t xml:space="preserve"> Street, SW, Washington DC  20554.</w:t>
      </w:r>
    </w:p>
    <w:p w:rsidR="0040572D" w:rsidRPr="007F0D21" w:rsidP="0040572D">
      <w:pPr>
        <w:rPr>
          <w:szCs w:val="22"/>
        </w:rPr>
      </w:pPr>
    </w:p>
    <w:p w:rsidR="005B02C3" w:rsidRPr="000C2B28" w:rsidP="0040572D">
      <w:pPr>
        <w:autoSpaceDE w:val="0"/>
        <w:autoSpaceDN w:val="0"/>
        <w:adjustRightInd w:val="0"/>
        <w:ind w:firstLine="720"/>
        <w:rPr>
          <w:color w:val="010101"/>
          <w:szCs w:val="22"/>
        </w:rPr>
      </w:pPr>
      <w:r w:rsidRPr="007F0D21">
        <w:rPr>
          <w:szCs w:val="22"/>
        </w:rPr>
        <w:t xml:space="preserve">People with Disabilities:  To request materials in accessible formats for people with disabilities (braille, large print, electronic files, audio format), send an e-mail to </w:t>
      </w:r>
      <w:hyperlink r:id="rId6" w:history="1">
        <w:r w:rsidRPr="000C2B28">
          <w:rPr>
            <w:color w:val="0000FF"/>
            <w:szCs w:val="22"/>
            <w:u w:val="single"/>
          </w:rPr>
          <w:t>fcc504@fcc.gov</w:t>
        </w:r>
      </w:hyperlink>
      <w:r w:rsidRPr="000C2B28">
        <w:rPr>
          <w:szCs w:val="22"/>
        </w:rPr>
        <w:t xml:space="preserve"> or call the Consumer &amp; Governmental Affairs Bureau at 202-418-0530 (voice), 202-418-0432 </w:t>
      </w:r>
      <w:bookmarkStart w:id="1" w:name="_GoBack"/>
      <w:bookmarkEnd w:id="1"/>
      <w:r w:rsidRPr="000C2B28">
        <w:rPr>
          <w:szCs w:val="22"/>
        </w:rPr>
        <w:t>(tty).</w:t>
      </w:r>
    </w:p>
    <w:p w:rsidR="005B02C3" w:rsidRPr="000C2B28" w:rsidP="005B02C3">
      <w:pPr>
        <w:autoSpaceDE w:val="0"/>
        <w:autoSpaceDN w:val="0"/>
        <w:adjustRightInd w:val="0"/>
        <w:rPr>
          <w:color w:val="010101"/>
          <w:szCs w:val="22"/>
        </w:rPr>
      </w:pPr>
    </w:p>
    <w:p w:rsidR="005B02C3" w:rsidRPr="000C2B28" w:rsidP="003855AD">
      <w:pPr>
        <w:autoSpaceDE w:val="0"/>
        <w:autoSpaceDN w:val="0"/>
        <w:adjustRightInd w:val="0"/>
        <w:ind w:firstLine="720"/>
        <w:rPr>
          <w:color w:val="010101"/>
          <w:szCs w:val="22"/>
        </w:rPr>
      </w:pPr>
      <w:r w:rsidRPr="000C2B28">
        <w:rPr>
          <w:color w:val="010101"/>
          <w:szCs w:val="22"/>
        </w:rPr>
        <w:t xml:space="preserve">Parties should also send a copy of their filings to </w:t>
      </w:r>
      <w:r w:rsidRPr="000C2B28" w:rsidR="00A477C4">
        <w:rPr>
          <w:color w:val="010101"/>
          <w:szCs w:val="22"/>
        </w:rPr>
        <w:t>Anh Wride</w:t>
      </w:r>
      <w:r w:rsidRPr="000C2B28">
        <w:rPr>
          <w:color w:val="010101"/>
          <w:szCs w:val="22"/>
        </w:rPr>
        <w:t>, Office of Engineering and Technology, Federal Communications Commission, Room 7-A</w:t>
      </w:r>
      <w:r w:rsidRPr="000C2B28" w:rsidR="00A477C4">
        <w:rPr>
          <w:color w:val="010101"/>
          <w:szCs w:val="22"/>
        </w:rPr>
        <w:t>363</w:t>
      </w:r>
      <w:r w:rsidRPr="000C2B28">
        <w:rPr>
          <w:color w:val="010101"/>
          <w:szCs w:val="22"/>
        </w:rPr>
        <w:t xml:space="preserve">, 445 12th Street, SW, Washington, DC 20554, or by e-mail to </w:t>
      </w:r>
      <w:hyperlink r:id="rId7" w:history="1">
        <w:r w:rsidRPr="000C2B28" w:rsidR="00A477C4">
          <w:rPr>
            <w:rStyle w:val="Hyperlink"/>
            <w:szCs w:val="22"/>
          </w:rPr>
          <w:t>anh.wride@fcc.gov</w:t>
        </w:r>
      </w:hyperlink>
      <w:r w:rsidRPr="000C2B28">
        <w:rPr>
          <w:color w:val="010101"/>
          <w:szCs w:val="22"/>
        </w:rPr>
        <w:t>.</w:t>
      </w:r>
    </w:p>
    <w:p w:rsidR="005B02C3" w:rsidRPr="000C2B28" w:rsidP="005B02C3">
      <w:pPr>
        <w:autoSpaceDE w:val="0"/>
        <w:autoSpaceDN w:val="0"/>
        <w:adjustRightInd w:val="0"/>
        <w:rPr>
          <w:color w:val="010101"/>
          <w:szCs w:val="22"/>
        </w:rPr>
      </w:pPr>
    </w:p>
    <w:p w:rsidR="005A42C3" w:rsidP="00413180">
      <w:pPr>
        <w:keepNext/>
        <w:widowControl/>
        <w:autoSpaceDE w:val="0"/>
        <w:autoSpaceDN w:val="0"/>
        <w:adjustRightInd w:val="0"/>
        <w:ind w:firstLine="720"/>
        <w:rPr>
          <w:color w:val="010101"/>
          <w:szCs w:val="22"/>
        </w:rPr>
      </w:pPr>
      <w:r w:rsidRPr="000C2B28">
        <w:rPr>
          <w:color w:val="010101"/>
          <w:szCs w:val="22"/>
        </w:rPr>
        <w:t xml:space="preserve">Documents are available for viewing on ECFS, </w:t>
      </w:r>
      <w:r w:rsidRPr="000C2B28">
        <w:rPr>
          <w:color w:val="0101FF"/>
          <w:szCs w:val="22"/>
        </w:rPr>
        <w:t>http://www/fcc/gov/cgb/ecfs</w:t>
      </w:r>
      <w:r w:rsidRPr="000C2B28">
        <w:rPr>
          <w:color w:val="010101"/>
          <w:szCs w:val="22"/>
        </w:rPr>
        <w:t xml:space="preserve">, by entering the docket number. These documents are available for public inspection and copying during business hours at </w:t>
      </w:r>
      <w:r w:rsidRPr="000C2B28">
        <w:rPr>
          <w:color w:val="010101"/>
          <w:szCs w:val="22"/>
        </w:rPr>
        <w:t>the FCC Reference Information Center, Portals II, 445 12th Street, SW, Room CY-A257, Washington, DC 20554.</w:t>
      </w:r>
    </w:p>
    <w:p w:rsidR="00413180" w:rsidRPr="000C2B28" w:rsidP="00413180">
      <w:pPr>
        <w:keepNext/>
        <w:widowControl/>
        <w:autoSpaceDE w:val="0"/>
        <w:autoSpaceDN w:val="0"/>
        <w:adjustRightInd w:val="0"/>
        <w:ind w:firstLine="720"/>
        <w:rPr>
          <w:color w:val="010101"/>
          <w:szCs w:val="22"/>
        </w:rPr>
      </w:pPr>
    </w:p>
    <w:p w:rsidR="005A42C3" w:rsidRPr="000C2B28" w:rsidP="00413180">
      <w:pPr>
        <w:keepNext/>
        <w:widowControl/>
        <w:autoSpaceDE w:val="0"/>
        <w:autoSpaceDN w:val="0"/>
        <w:adjustRightInd w:val="0"/>
        <w:rPr>
          <w:color w:val="010101"/>
          <w:szCs w:val="22"/>
        </w:rPr>
      </w:pPr>
      <w:r w:rsidRPr="000C2B28">
        <w:rPr>
          <w:color w:val="010101"/>
          <w:szCs w:val="22"/>
        </w:rPr>
        <w:t>By the Chief, Office of Engineering and Technology</w:t>
      </w:r>
    </w:p>
    <w:p w:rsidR="0040572D" w:rsidRPr="000C2B28" w:rsidP="005B02C3">
      <w:pPr>
        <w:rPr>
          <w:color w:val="010101"/>
          <w:szCs w:val="22"/>
        </w:rPr>
      </w:pPr>
    </w:p>
    <w:p w:rsidR="005B02C3" w:rsidRPr="000C2B28" w:rsidP="005B02C3">
      <w:pPr>
        <w:rPr>
          <w:color w:val="010101"/>
          <w:szCs w:val="22"/>
        </w:rPr>
      </w:pPr>
      <w:r w:rsidRPr="000C2B28">
        <w:rPr>
          <w:color w:val="010101"/>
          <w:szCs w:val="22"/>
        </w:rPr>
        <w:t xml:space="preserve">                                                                                    -FCC-</w:t>
      </w:r>
    </w:p>
    <w:bookmarkEnd w:id="0"/>
    <w:sectPr w:rsidSect="000E5884">
      <w:headerReference w:type="default" r:id="rId8"/>
      <w:footerReference w:type="even" r:id="rId9"/>
      <w:footerReference w:type="default" r:id="rId10"/>
      <w:headerReference w:type="first" r:id="rId11"/>
      <w:footerReference w:type="first" r:id="rId12"/>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84C6B">
      <w:r>
        <w:separator/>
      </w:r>
    </w:p>
  </w:footnote>
  <w:footnote w:type="continuationSeparator" w:id="1">
    <w:p w:rsidR="00684C6B">
      <w:r>
        <w:continuationSeparator/>
      </w:r>
    </w:p>
  </w:footnote>
  <w:footnote w:id="2">
    <w:p w:rsidR="000E5324" w:rsidP="000E5324">
      <w:pPr>
        <w:pStyle w:val="FootnoteText"/>
      </w:pPr>
      <w:r>
        <w:rPr>
          <w:rStyle w:val="FootnoteReference"/>
        </w:rPr>
        <w:footnoteRef/>
      </w:r>
      <w:r>
        <w:t xml:space="preserve"> 47 CFR </w:t>
      </w:r>
      <w:r w:rsidR="000C2B28">
        <w:t xml:space="preserve">§ </w:t>
      </w:r>
      <w:r>
        <w:t>15.205(a).</w:t>
      </w:r>
    </w:p>
  </w:footnote>
  <w:footnote w:id="3">
    <w:p w:rsidR="000E5324" w:rsidP="000E5324">
      <w:pPr>
        <w:pStyle w:val="FootnoteText"/>
      </w:pPr>
      <w:r>
        <w:rPr>
          <w:rStyle w:val="FootnoteReference"/>
        </w:rPr>
        <w:footnoteRef/>
      </w:r>
      <w:r>
        <w:t xml:space="preserve"> </w:t>
      </w:r>
      <w:r>
        <w:rPr>
          <w:i/>
        </w:rPr>
        <w:t xml:space="preserve">See </w:t>
      </w:r>
      <w:r>
        <w:t>47 CFR §§ 15.255, 15.256 and 15.257.</w:t>
      </w:r>
    </w:p>
  </w:footnote>
  <w:footnote w:id="4">
    <w:p w:rsidR="000E5324" w:rsidRPr="003266EE" w:rsidP="000E5324">
      <w:pPr>
        <w:pStyle w:val="FootnoteText"/>
      </w:pPr>
      <w:r w:rsidRPr="003266EE">
        <w:rPr>
          <w:rStyle w:val="FootnoteReference"/>
        </w:rPr>
        <w:footnoteRef/>
      </w:r>
      <w:r w:rsidRPr="003266EE">
        <w:t xml:space="preserve"> </w:t>
      </w:r>
      <w:r>
        <w:t xml:space="preserve">47 CFR </w:t>
      </w:r>
      <w:r w:rsidR="000C2B28">
        <w:t xml:space="preserve">§ </w:t>
      </w:r>
      <w:r>
        <w:t>15.231(b).</w:t>
      </w:r>
    </w:p>
  </w:footnote>
  <w:footnote w:id="5">
    <w:p w:rsidR="004428E6">
      <w:pPr>
        <w:pStyle w:val="FootnoteText"/>
      </w:pPr>
      <w:r>
        <w:rPr>
          <w:rStyle w:val="FootnoteReference"/>
        </w:rPr>
        <w:footnoteRef/>
      </w:r>
      <w:r>
        <w:t xml:space="preserve"> </w:t>
      </w:r>
      <w:r w:rsidR="00F915F8">
        <w:t>Rhode &amp; Schwarz requested confidential treatment of certain exhibits included in its application</w:t>
      </w:r>
      <w:r w:rsidR="000D6929">
        <w:t>.  T</w:t>
      </w:r>
      <w:r w:rsidR="00F915F8">
        <w:t xml:space="preserve">he public version filed in ECFS and </w:t>
      </w:r>
      <w:r w:rsidR="000D6929">
        <w:t>included in the docket notes those places where information has been provided to the Commission under separate cover.</w:t>
      </w:r>
      <w:r w:rsidR="00F915F8">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800451">
    <w:pPr>
      <w:tabs>
        <w:tab w:val="center" w:pos="4680"/>
        <w:tab w:val="right" w:pos="9360"/>
      </w:tabs>
      <w:rPr>
        <w:rFonts w:ascii="Arial" w:hAnsi="Arial" w:cs="Arial"/>
        <w:b/>
        <w:sz w:val="20"/>
      </w:rPr>
    </w:pPr>
    <w:r w:rsidRPr="009838BC">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931266"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7F0406EE"/>
    <w:multiLevelType w:val="hybridMultilevel"/>
    <w:tmpl w:val="749E4CE6"/>
    <w:lvl w:ilvl="0">
      <w:start w:val="1"/>
      <w:numFmt w:val="bullet"/>
      <w:lvlText w:val=""/>
      <w:lvlJc w:val="left"/>
      <w:pPr>
        <w:tabs>
          <w:tab w:val="num" w:pos="1350"/>
        </w:tabs>
        <w:ind w:left="1350" w:hanging="360"/>
      </w:pPr>
      <w:rPr>
        <w:rFonts w:ascii="Wingdings" w:hAnsi="Wingdings" w:hint="default"/>
      </w:rPr>
    </w:lvl>
    <w:lvl w:ilvl="1">
      <w:start w:val="1"/>
      <w:numFmt w:val="decimal"/>
      <w:lvlText w:val="(%2)"/>
      <w:lvlJc w:val="left"/>
      <w:pPr>
        <w:tabs>
          <w:tab w:val="num" w:pos="2070"/>
        </w:tabs>
        <w:ind w:left="2070" w:hanging="360"/>
      </w:pPr>
      <w:rPr>
        <w:rFonts w:hint="default"/>
      </w:rPr>
    </w:lvl>
    <w:lvl w:ilvl="2">
      <w:start w:val="1"/>
      <w:numFmt w:val="lowerRoman"/>
      <w:lvlText w:val="%3."/>
      <w:lvlJc w:val="right"/>
      <w:pPr>
        <w:tabs>
          <w:tab w:val="num" w:pos="2790"/>
        </w:tabs>
        <w:ind w:left="2790" w:hanging="180"/>
      </w:pPr>
    </w:lvl>
    <w:lvl w:ilvl="3">
      <w:start w:val="0"/>
      <w:numFmt w:val="bullet"/>
      <w:lvlText w:val="-"/>
      <w:lvlJc w:val="left"/>
      <w:pPr>
        <w:tabs>
          <w:tab w:val="num" w:pos="1350"/>
        </w:tabs>
        <w:ind w:left="1350" w:hanging="360"/>
      </w:pPr>
      <w:rPr>
        <w:rFonts w:ascii="Times New Roman" w:eastAsia="Times New Roman" w:hAnsi="Times New Roman" w:cs="Times New Roman" w:hint="default"/>
      </w:rPr>
    </w:lvl>
    <w:lvl w:ilvl="4">
      <w:start w:val="1"/>
      <w:numFmt w:val="lowerLetter"/>
      <w:lvlText w:val="%5."/>
      <w:lvlJc w:val="left"/>
      <w:pPr>
        <w:tabs>
          <w:tab w:val="num" w:pos="4230"/>
        </w:tabs>
        <w:ind w:left="4230" w:hanging="360"/>
      </w:pPr>
    </w:lvl>
    <w:lvl w:ilvl="5" w:tentative="1">
      <w:start w:val="1"/>
      <w:numFmt w:val="lowerRoman"/>
      <w:lvlText w:val="%6."/>
      <w:lvlJc w:val="right"/>
      <w:pPr>
        <w:tabs>
          <w:tab w:val="num" w:pos="4950"/>
        </w:tabs>
        <w:ind w:left="4950" w:hanging="180"/>
      </w:pPr>
    </w:lvl>
    <w:lvl w:ilvl="6" w:tentative="1">
      <w:start w:val="1"/>
      <w:numFmt w:val="decimal"/>
      <w:lvlText w:val="%7."/>
      <w:lvlJc w:val="left"/>
      <w:pPr>
        <w:tabs>
          <w:tab w:val="num" w:pos="5670"/>
        </w:tabs>
        <w:ind w:left="5670" w:hanging="360"/>
      </w:pPr>
    </w:lvl>
    <w:lvl w:ilvl="7" w:tentative="1">
      <w:start w:val="1"/>
      <w:numFmt w:val="lowerLetter"/>
      <w:lvlText w:val="%8."/>
      <w:lvlJc w:val="left"/>
      <w:pPr>
        <w:tabs>
          <w:tab w:val="num" w:pos="6390"/>
        </w:tabs>
        <w:ind w:left="6390" w:hanging="360"/>
      </w:pPr>
    </w:lvl>
    <w:lvl w:ilvl="8" w:tentative="1">
      <w:start w:val="1"/>
      <w:numFmt w:val="lowerRoman"/>
      <w:lvlText w:val="%9."/>
      <w:lvlJc w:val="right"/>
      <w:pPr>
        <w:tabs>
          <w:tab w:val="num" w:pos="7110"/>
        </w:tabs>
        <w:ind w:left="7110" w:hanging="18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51A"/>
    <w:rsid w:val="00013A8B"/>
    <w:rsid w:val="00017395"/>
    <w:rsid w:val="0006476B"/>
    <w:rsid w:val="0009394F"/>
    <w:rsid w:val="000A2867"/>
    <w:rsid w:val="000C2B28"/>
    <w:rsid w:val="000D6929"/>
    <w:rsid w:val="000E5324"/>
    <w:rsid w:val="000F27F8"/>
    <w:rsid w:val="001373E4"/>
    <w:rsid w:val="00202324"/>
    <w:rsid w:val="00206590"/>
    <w:rsid w:val="002129B1"/>
    <w:rsid w:val="00215D0A"/>
    <w:rsid w:val="002D78F0"/>
    <w:rsid w:val="003266EE"/>
    <w:rsid w:val="003364FD"/>
    <w:rsid w:val="00344523"/>
    <w:rsid w:val="00357D50"/>
    <w:rsid w:val="003855AD"/>
    <w:rsid w:val="003D3DB5"/>
    <w:rsid w:val="0040572D"/>
    <w:rsid w:val="00413180"/>
    <w:rsid w:val="00426D88"/>
    <w:rsid w:val="004428E6"/>
    <w:rsid w:val="004B3C7B"/>
    <w:rsid w:val="004F5DA5"/>
    <w:rsid w:val="00530BF3"/>
    <w:rsid w:val="0053244B"/>
    <w:rsid w:val="0055614C"/>
    <w:rsid w:val="005632B4"/>
    <w:rsid w:val="005639E4"/>
    <w:rsid w:val="005A42C3"/>
    <w:rsid w:val="005B02C3"/>
    <w:rsid w:val="005C15B9"/>
    <w:rsid w:val="006651B4"/>
    <w:rsid w:val="00684C6B"/>
    <w:rsid w:val="006A76FC"/>
    <w:rsid w:val="006D7FF5"/>
    <w:rsid w:val="006F7393"/>
    <w:rsid w:val="00701609"/>
    <w:rsid w:val="00711231"/>
    <w:rsid w:val="0073111F"/>
    <w:rsid w:val="00743F66"/>
    <w:rsid w:val="00760B91"/>
    <w:rsid w:val="00761711"/>
    <w:rsid w:val="007C7384"/>
    <w:rsid w:val="007F0D21"/>
    <w:rsid w:val="007F773C"/>
    <w:rsid w:val="00800451"/>
    <w:rsid w:val="00866F53"/>
    <w:rsid w:val="009043CF"/>
    <w:rsid w:val="00910F12"/>
    <w:rsid w:val="0092351A"/>
    <w:rsid w:val="009549FD"/>
    <w:rsid w:val="009838BC"/>
    <w:rsid w:val="009E2AA7"/>
    <w:rsid w:val="00A477C4"/>
    <w:rsid w:val="00A866AC"/>
    <w:rsid w:val="00B001BB"/>
    <w:rsid w:val="00B01C85"/>
    <w:rsid w:val="00B025E6"/>
    <w:rsid w:val="00B26D50"/>
    <w:rsid w:val="00B473E5"/>
    <w:rsid w:val="00B5014D"/>
    <w:rsid w:val="00BA2DC1"/>
    <w:rsid w:val="00BC1F1F"/>
    <w:rsid w:val="00C12BC0"/>
    <w:rsid w:val="00C2696F"/>
    <w:rsid w:val="00C51E1C"/>
    <w:rsid w:val="00C76A6C"/>
    <w:rsid w:val="00CC4D6D"/>
    <w:rsid w:val="00CD6582"/>
    <w:rsid w:val="00D216CD"/>
    <w:rsid w:val="00D90628"/>
    <w:rsid w:val="00DA0A0F"/>
    <w:rsid w:val="00DB1C76"/>
    <w:rsid w:val="00DB5CAC"/>
    <w:rsid w:val="00DD0B05"/>
    <w:rsid w:val="00E32DDF"/>
    <w:rsid w:val="00E5255A"/>
    <w:rsid w:val="00E9179A"/>
    <w:rsid w:val="00F03E9E"/>
    <w:rsid w:val="00F915F8"/>
    <w:rsid w:val="00F96F63"/>
    <w:rsid w:val="00FB5A02"/>
    <w:rsid w:val="00FC0872"/>
    <w:rsid w:val="00FF7A3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99EB8FFD-E5BC-457F-BE51-74D9FC001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ALTS FOOTNOTE,Footnote Text Char Char Char Char,Footnote Text Char1,Footnote Text Char1 Char Char,Footnote Text Char1 Char Char Char Char Char Char,Footnote Text Char1 Char2 Char Char Char,Footnote Text Char2 Char,Styl,f,fn"/>
    <w:link w:val="FootnoteTextChar"/>
    <w:uiPriority w:val="99"/>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UnresolvedMention1">
    <w:name w:val="Unresolved Mention1"/>
    <w:basedOn w:val="DefaultParagraphFont"/>
    <w:uiPriority w:val="99"/>
    <w:semiHidden/>
    <w:unhideWhenUsed/>
    <w:rsid w:val="005B02C3"/>
    <w:rPr>
      <w:color w:val="808080"/>
      <w:shd w:val="clear" w:color="auto" w:fill="E6E6E6"/>
    </w:rPr>
  </w:style>
  <w:style w:type="paragraph" w:styleId="BalloonText">
    <w:name w:val="Balloon Text"/>
    <w:basedOn w:val="Normal"/>
    <w:link w:val="BalloonTextChar"/>
    <w:uiPriority w:val="99"/>
    <w:semiHidden/>
    <w:unhideWhenUsed/>
    <w:rsid w:val="005A42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2C3"/>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B9558B"/>
    <w:rPr>
      <w:sz w:val="16"/>
      <w:szCs w:val="16"/>
    </w:rPr>
  </w:style>
  <w:style w:type="paragraph" w:styleId="CommentText">
    <w:name w:val="annotation text"/>
    <w:basedOn w:val="Normal"/>
    <w:link w:val="CommentTextChar"/>
    <w:uiPriority w:val="99"/>
    <w:semiHidden/>
    <w:unhideWhenUsed/>
    <w:rsid w:val="00B9558B"/>
    <w:rPr>
      <w:sz w:val="20"/>
    </w:rPr>
  </w:style>
  <w:style w:type="character" w:customStyle="1" w:styleId="CommentTextChar">
    <w:name w:val="Comment Text Char"/>
    <w:basedOn w:val="DefaultParagraphFont"/>
    <w:link w:val="CommentText"/>
    <w:uiPriority w:val="99"/>
    <w:semiHidden/>
    <w:rsid w:val="00B9558B"/>
    <w:rPr>
      <w:snapToGrid w:val="0"/>
      <w:kern w:val="28"/>
    </w:rPr>
  </w:style>
  <w:style w:type="paragraph" w:styleId="CommentSubject">
    <w:name w:val="annotation subject"/>
    <w:basedOn w:val="CommentText"/>
    <w:next w:val="CommentText"/>
    <w:link w:val="CommentSubjectChar"/>
    <w:uiPriority w:val="99"/>
    <w:semiHidden/>
    <w:unhideWhenUsed/>
    <w:rsid w:val="00B9558B"/>
    <w:rPr>
      <w:b/>
      <w:bCs/>
    </w:rPr>
  </w:style>
  <w:style w:type="character" w:customStyle="1" w:styleId="CommentSubjectChar">
    <w:name w:val="Comment Subject Char"/>
    <w:basedOn w:val="CommentTextChar"/>
    <w:link w:val="CommentSubject"/>
    <w:uiPriority w:val="99"/>
    <w:semiHidden/>
    <w:rsid w:val="00B9558B"/>
    <w:rPr>
      <w:b/>
      <w:bCs/>
      <w:snapToGrid w:val="0"/>
      <w:kern w:val="28"/>
    </w:rPr>
  </w:style>
  <w:style w:type="paragraph" w:styleId="Revision">
    <w:name w:val="Revision"/>
    <w:hidden/>
    <w:uiPriority w:val="99"/>
    <w:semiHidden/>
    <w:rsid w:val="00B9558B"/>
    <w:rPr>
      <w:snapToGrid w:val="0"/>
      <w:kern w:val="28"/>
      <w:sz w:val="22"/>
    </w:rPr>
  </w:style>
  <w:style w:type="paragraph" w:customStyle="1" w:styleId="Default">
    <w:name w:val="Default"/>
    <w:rsid w:val="009E2AA7"/>
    <w:pPr>
      <w:autoSpaceDE w:val="0"/>
      <w:autoSpaceDN w:val="0"/>
      <w:adjustRightInd w:val="0"/>
    </w:pPr>
    <w:rPr>
      <w:color w:val="000000"/>
      <w:sz w:val="24"/>
      <w:szCs w:val="24"/>
    </w:rPr>
  </w:style>
  <w:style w:type="character" w:customStyle="1" w:styleId="FootnoteTextChar">
    <w:name w:val="Footnote Text Char"/>
    <w:aliases w:val="ALTS FOOTNOTE Char,Footnote Text Char Char Char Char Char,Footnote Text Char1 Char Char Char,Footnote Text Char1 Char Char Char Char Char Char Char,Footnote Text Char1 Char2 Char Char Char Char,Footnote Text Char2 Char Char,fn Char"/>
    <w:link w:val="FootnoteText"/>
    <w:uiPriority w:val="99"/>
    <w:rsid w:val="00FC0872"/>
  </w:style>
  <w:style w:type="character" w:customStyle="1" w:styleId="UnresolvedMention">
    <w:name w:val="Unresolved Mention"/>
    <w:basedOn w:val="DefaultParagraphFont"/>
    <w:uiPriority w:val="99"/>
    <w:rsid w:val="00A477C4"/>
    <w:rPr>
      <w:color w:val="605E5C"/>
      <w:shd w:val="clear" w:color="auto" w:fill="E1DFDD"/>
    </w:rPr>
  </w:style>
  <w:style w:type="character" w:styleId="FollowedHyperlink">
    <w:name w:val="FollowedHyperlink"/>
    <w:basedOn w:val="DefaultParagraphFont"/>
    <w:uiPriority w:val="99"/>
    <w:semiHidden/>
    <w:unhideWhenUsed/>
    <w:rsid w:val="00B473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mailto:anh.wride@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