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43B246B3" w14:textId="77777777">
      <w:pPr>
        <w:jc w:val="right"/>
        <w:rPr>
          <w:sz w:val="24"/>
        </w:rPr>
      </w:pPr>
      <w:bookmarkStart w:id="0" w:name="_GoBack"/>
      <w:bookmarkEnd w:id="0"/>
    </w:p>
    <w:p w:rsidR="00013A8B" w:rsidRPr="00B20363" w:rsidP="00013A8B" w14:paraId="294F0ECE" w14:textId="6457FB79">
      <w:pPr>
        <w:jc w:val="right"/>
        <w:rPr>
          <w:b/>
          <w:sz w:val="24"/>
        </w:rPr>
      </w:pPr>
      <w:r>
        <w:rPr>
          <w:b/>
          <w:sz w:val="24"/>
        </w:rPr>
        <w:t xml:space="preserve">DA </w:t>
      </w:r>
      <w:r w:rsidR="00336428">
        <w:rPr>
          <w:b/>
          <w:sz w:val="24"/>
        </w:rPr>
        <w:t>19-230</w:t>
      </w:r>
    </w:p>
    <w:p w:rsidR="00013A8B" w:rsidRPr="00B20363" w:rsidP="00013A8B" w14:paraId="58F7BD24" w14:textId="671CFE28">
      <w:pPr>
        <w:spacing w:before="60"/>
        <w:jc w:val="right"/>
        <w:rPr>
          <w:b/>
          <w:sz w:val="24"/>
        </w:rPr>
      </w:pPr>
      <w:r>
        <w:rPr>
          <w:b/>
          <w:sz w:val="24"/>
        </w:rPr>
        <w:t xml:space="preserve">Released:  </w:t>
      </w:r>
      <w:r w:rsidR="0041122B">
        <w:rPr>
          <w:b/>
          <w:sz w:val="24"/>
        </w:rPr>
        <w:t>March</w:t>
      </w:r>
      <w:r w:rsidR="001358F7">
        <w:rPr>
          <w:b/>
          <w:sz w:val="24"/>
        </w:rPr>
        <w:t xml:space="preserve"> </w:t>
      </w:r>
      <w:r w:rsidR="003473CD">
        <w:rPr>
          <w:b/>
          <w:sz w:val="24"/>
        </w:rPr>
        <w:t>29</w:t>
      </w:r>
      <w:r>
        <w:rPr>
          <w:b/>
          <w:sz w:val="24"/>
        </w:rPr>
        <w:t>, 201</w:t>
      </w:r>
      <w:r w:rsidR="0005094D">
        <w:rPr>
          <w:b/>
          <w:sz w:val="24"/>
        </w:rPr>
        <w:t>9</w:t>
      </w:r>
    </w:p>
    <w:p w:rsidR="00013A8B" w:rsidP="00013A8B" w14:paraId="331FF2C8" w14:textId="77777777">
      <w:pPr>
        <w:jc w:val="right"/>
        <w:rPr>
          <w:sz w:val="24"/>
        </w:rPr>
      </w:pPr>
    </w:p>
    <w:p w:rsidR="00013A8B" w:rsidRPr="00B20363" w:rsidP="00013A8B" w14:paraId="6BB1C14A" w14:textId="49385210">
      <w:pPr>
        <w:spacing w:after="240"/>
        <w:jc w:val="center"/>
        <w:rPr>
          <w:rFonts w:ascii="Times New Roman Bold" w:hAnsi="Times New Roman Bold"/>
          <w:b/>
          <w:caps/>
          <w:sz w:val="24"/>
        </w:rPr>
      </w:pPr>
      <w:r>
        <w:rPr>
          <w:rFonts w:ascii="Times New Roman Bold" w:hAnsi="Times New Roman Bold"/>
          <w:b/>
          <w:caps/>
          <w:sz w:val="24"/>
        </w:rPr>
        <w:t xml:space="preserve">Office of Engineering and technology SEEKS COMMENT ON </w:t>
      </w:r>
      <w:r w:rsidR="0005094D">
        <w:rPr>
          <w:rFonts w:ascii="Times New Roman Bold" w:hAnsi="Times New Roman Bold"/>
          <w:b/>
          <w:caps/>
          <w:sz w:val="24"/>
        </w:rPr>
        <w:t xml:space="preserve">MASSACHUSETTS INSTITUTE </w:t>
      </w:r>
      <w:r w:rsidR="00336428">
        <w:rPr>
          <w:rFonts w:ascii="Times New Roman Bold" w:hAnsi="Times New Roman Bold"/>
          <w:b/>
          <w:caps/>
          <w:sz w:val="24"/>
        </w:rPr>
        <w:t>O</w:t>
      </w:r>
      <w:r w:rsidR="0005094D">
        <w:rPr>
          <w:rFonts w:ascii="Times New Roman Bold" w:hAnsi="Times New Roman Bold"/>
          <w:b/>
          <w:caps/>
          <w:sz w:val="24"/>
        </w:rPr>
        <w:t xml:space="preserve">F TECHNOLOGY </w:t>
      </w:r>
      <w:r>
        <w:rPr>
          <w:rFonts w:ascii="Times New Roman Bold" w:hAnsi="Times New Roman Bold"/>
          <w:b/>
          <w:caps/>
          <w:sz w:val="24"/>
        </w:rPr>
        <w:t xml:space="preserve">request for waiver of PART 15 ULTRa-WIDEBAND RULES FOR </w:t>
      </w:r>
      <w:r w:rsidR="0005094D">
        <w:rPr>
          <w:rFonts w:ascii="Times New Roman Bold" w:hAnsi="Times New Roman Bold"/>
          <w:b/>
          <w:caps/>
          <w:sz w:val="24"/>
        </w:rPr>
        <w:t>WiTrack Medical Device</w:t>
      </w:r>
    </w:p>
    <w:p w:rsidR="00013A8B" w:rsidP="00013A8B" w14:paraId="1D511D89" w14:textId="10CDDFE0">
      <w:pPr>
        <w:jc w:val="center"/>
        <w:rPr>
          <w:b/>
          <w:sz w:val="24"/>
        </w:rPr>
      </w:pPr>
      <w:r>
        <w:rPr>
          <w:b/>
          <w:szCs w:val="22"/>
        </w:rPr>
        <w:t xml:space="preserve">ET Docket No. </w:t>
      </w:r>
      <w:r w:rsidR="00A21B33">
        <w:rPr>
          <w:b/>
          <w:szCs w:val="22"/>
        </w:rPr>
        <w:t>19-89</w:t>
      </w:r>
      <w:r>
        <w:rPr>
          <w:b/>
          <w:sz w:val="24"/>
        </w:rPr>
        <w:br/>
      </w:r>
    </w:p>
    <w:p w:rsidR="00F96F63" w:rsidRPr="005A42C3" w:rsidP="00F96F63" w14:paraId="4BE6C8BE" w14:textId="1E3E3DD0">
      <w:pPr>
        <w:rPr>
          <w:b/>
          <w:sz w:val="24"/>
        </w:rPr>
      </w:pPr>
      <w:bookmarkStart w:id="1" w:name="TOChere"/>
      <w:r w:rsidRPr="005A42C3">
        <w:rPr>
          <w:b/>
          <w:sz w:val="24"/>
        </w:rPr>
        <w:t>Comment Date:</w:t>
      </w:r>
      <w:r w:rsidR="00B70A96">
        <w:rPr>
          <w:b/>
          <w:sz w:val="24"/>
        </w:rPr>
        <w:t xml:space="preserve"> </w:t>
      </w:r>
      <w:r w:rsidR="003473CD">
        <w:rPr>
          <w:b/>
          <w:sz w:val="24"/>
        </w:rPr>
        <w:t>April 18</w:t>
      </w:r>
      <w:r>
        <w:rPr>
          <w:b/>
          <w:sz w:val="24"/>
        </w:rPr>
        <w:t>, 201</w:t>
      </w:r>
      <w:r w:rsidR="0041122B">
        <w:rPr>
          <w:b/>
          <w:sz w:val="24"/>
        </w:rPr>
        <w:t>9</w:t>
      </w:r>
    </w:p>
    <w:p w:rsidR="005A42C3" w:rsidRPr="005A42C3" w:rsidP="00F96F63" w14:paraId="6FAFEECC" w14:textId="36A07FC5">
      <w:pPr>
        <w:rPr>
          <w:b/>
          <w:sz w:val="24"/>
        </w:rPr>
      </w:pPr>
      <w:r w:rsidRPr="005A42C3">
        <w:rPr>
          <w:b/>
          <w:sz w:val="24"/>
        </w:rPr>
        <w:t>Reply Comment Date:</w:t>
      </w:r>
      <w:r w:rsidR="0005094D">
        <w:rPr>
          <w:b/>
          <w:sz w:val="24"/>
        </w:rPr>
        <w:t xml:space="preserve"> </w:t>
      </w:r>
      <w:r w:rsidR="003473CD">
        <w:rPr>
          <w:b/>
          <w:sz w:val="24"/>
        </w:rPr>
        <w:t>May 3</w:t>
      </w:r>
      <w:r>
        <w:rPr>
          <w:b/>
          <w:sz w:val="24"/>
        </w:rPr>
        <w:t>, 201</w:t>
      </w:r>
      <w:r w:rsidR="0005094D">
        <w:rPr>
          <w:b/>
          <w:sz w:val="24"/>
        </w:rPr>
        <w:t>9</w:t>
      </w:r>
    </w:p>
    <w:p w:rsidR="005B02C3" w:rsidP="00F96F63" w14:paraId="4B68F6C7" w14:textId="77777777">
      <w:pPr>
        <w:rPr>
          <w:sz w:val="24"/>
        </w:rPr>
      </w:pPr>
    </w:p>
    <w:p w:rsidR="00F822B8" w:rsidP="005B02C3" w14:paraId="161D8FDF" w14:textId="0287D724">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On </w:t>
      </w:r>
      <w:r w:rsidR="0005094D">
        <w:rPr>
          <w:rFonts w:ascii="TimesNewRoman" w:hAnsi="TimesNewRoman" w:cs="TimesNewRoman"/>
          <w:color w:val="010101"/>
        </w:rPr>
        <w:t>December</w:t>
      </w:r>
      <w:r>
        <w:rPr>
          <w:rFonts w:ascii="TimesNewRoman" w:hAnsi="TimesNewRoman" w:cs="TimesNewRoman"/>
          <w:color w:val="010101"/>
        </w:rPr>
        <w:t xml:space="preserve"> </w:t>
      </w:r>
      <w:r w:rsidR="0005094D">
        <w:rPr>
          <w:rFonts w:ascii="TimesNewRoman" w:hAnsi="TimesNewRoman" w:cs="TimesNewRoman"/>
          <w:color w:val="010101"/>
        </w:rPr>
        <w:t>27</w:t>
      </w:r>
      <w:r>
        <w:rPr>
          <w:rFonts w:ascii="TimesNewRoman" w:hAnsi="TimesNewRoman" w:cs="TimesNewRoman"/>
          <w:color w:val="010101"/>
        </w:rPr>
        <w:t xml:space="preserve">, 2018, </w:t>
      </w:r>
      <w:r w:rsidR="0005094D">
        <w:rPr>
          <w:rFonts w:ascii="TimesNewRoman" w:hAnsi="TimesNewRoman" w:cs="TimesNewRoman"/>
          <w:color w:val="010101"/>
        </w:rPr>
        <w:t>Massachusetts Institute of Technology</w:t>
      </w:r>
      <w:r>
        <w:rPr>
          <w:rFonts w:ascii="TimesNewRoman" w:hAnsi="TimesNewRoman" w:cs="TimesNewRoman"/>
          <w:color w:val="010101"/>
        </w:rPr>
        <w:t xml:space="preserve"> (M</w:t>
      </w:r>
      <w:r w:rsidR="0005094D">
        <w:rPr>
          <w:rFonts w:ascii="TimesNewRoman" w:hAnsi="TimesNewRoman" w:cs="TimesNewRoman"/>
          <w:color w:val="010101"/>
        </w:rPr>
        <w:t>IT</w:t>
      </w:r>
      <w:r>
        <w:rPr>
          <w:rFonts w:ascii="TimesNewRoman" w:hAnsi="TimesNewRoman" w:cs="TimesNewRoman"/>
          <w:color w:val="010101"/>
        </w:rPr>
        <w:t>) filed a request for waiver of Sections 15.5</w:t>
      </w:r>
      <w:r w:rsidR="0005094D">
        <w:rPr>
          <w:rFonts w:ascii="TimesNewRoman" w:hAnsi="TimesNewRoman" w:cs="TimesNewRoman"/>
          <w:color w:val="010101"/>
        </w:rPr>
        <w:t>03</w:t>
      </w:r>
      <w:r>
        <w:rPr>
          <w:rFonts w:ascii="TimesNewRoman" w:hAnsi="TimesNewRoman" w:cs="TimesNewRoman"/>
          <w:color w:val="010101"/>
        </w:rPr>
        <w:t>(</w:t>
      </w:r>
      <w:r w:rsidR="0005094D">
        <w:rPr>
          <w:rFonts w:ascii="TimesNewRoman" w:hAnsi="TimesNewRoman" w:cs="TimesNewRoman"/>
          <w:color w:val="010101"/>
        </w:rPr>
        <w:t>d</w:t>
      </w:r>
      <w:r>
        <w:rPr>
          <w:rFonts w:ascii="TimesNewRoman" w:hAnsi="TimesNewRoman" w:cs="TimesNewRoman"/>
          <w:color w:val="010101"/>
        </w:rPr>
        <w:t>)</w:t>
      </w:r>
      <w:r w:rsidR="0005094D">
        <w:rPr>
          <w:rFonts w:ascii="TimesNewRoman" w:hAnsi="TimesNewRoman" w:cs="TimesNewRoman"/>
          <w:color w:val="010101"/>
        </w:rPr>
        <w:t xml:space="preserve">, </w:t>
      </w:r>
      <w:r>
        <w:rPr>
          <w:rFonts w:ascii="TimesNewRoman" w:hAnsi="TimesNewRoman" w:cs="TimesNewRoman"/>
          <w:color w:val="010101"/>
        </w:rPr>
        <w:t>15.</w:t>
      </w:r>
      <w:r w:rsidR="0005094D">
        <w:rPr>
          <w:rFonts w:ascii="TimesNewRoman" w:hAnsi="TimesNewRoman" w:cs="TimesNewRoman"/>
          <w:color w:val="010101"/>
        </w:rPr>
        <w:t>31</w:t>
      </w:r>
      <w:r>
        <w:rPr>
          <w:rFonts w:ascii="TimesNewRoman" w:hAnsi="TimesNewRoman" w:cs="TimesNewRoman"/>
          <w:color w:val="010101"/>
        </w:rPr>
        <w:t>(c)</w:t>
      </w:r>
      <w:r w:rsidR="0005094D">
        <w:rPr>
          <w:rFonts w:ascii="TimesNewRoman" w:hAnsi="TimesNewRoman" w:cs="TimesNewRoman"/>
          <w:color w:val="010101"/>
        </w:rPr>
        <w:t>, and 15.521(d)</w:t>
      </w:r>
      <w:r>
        <w:rPr>
          <w:rFonts w:ascii="TimesNewRoman" w:hAnsi="TimesNewRoman" w:cs="TimesNewRoman"/>
          <w:color w:val="010101"/>
        </w:rPr>
        <w:t xml:space="preserve"> of the Commission’s rules to allow M</w:t>
      </w:r>
      <w:r w:rsidR="0005094D">
        <w:rPr>
          <w:rFonts w:ascii="TimesNewRoman" w:hAnsi="TimesNewRoman" w:cs="TimesNewRoman"/>
          <w:color w:val="010101"/>
        </w:rPr>
        <w:t>IT</w:t>
      </w:r>
      <w:r>
        <w:rPr>
          <w:rFonts w:ascii="TimesNewRoman" w:hAnsi="TimesNewRoman" w:cs="TimesNewRoman"/>
          <w:color w:val="010101"/>
        </w:rPr>
        <w:t xml:space="preserve"> to obtain</w:t>
      </w:r>
      <w:r w:rsidR="00BC0AB3">
        <w:rPr>
          <w:rFonts w:ascii="TimesNewRoman" w:hAnsi="TimesNewRoman" w:cs="TimesNewRoman"/>
          <w:color w:val="010101"/>
        </w:rPr>
        <w:t xml:space="preserve"> </w:t>
      </w:r>
      <w:r w:rsidR="00B51C14">
        <w:rPr>
          <w:rFonts w:ascii="TimesNewRoman" w:hAnsi="TimesNewRoman" w:cs="TimesNewRoman"/>
          <w:color w:val="010101"/>
        </w:rPr>
        <w:t xml:space="preserve">certification </w:t>
      </w:r>
      <w:r w:rsidR="00386E39">
        <w:rPr>
          <w:rFonts w:ascii="TimesNewRoman" w:hAnsi="TimesNewRoman" w:cs="TimesNewRoman"/>
          <w:color w:val="010101"/>
        </w:rPr>
        <w:t xml:space="preserve">of </w:t>
      </w:r>
      <w:r w:rsidR="00675010">
        <w:rPr>
          <w:rFonts w:ascii="TimesNewRoman" w:hAnsi="TimesNewRoman" w:cs="TimesNewRoman"/>
          <w:color w:val="010101"/>
        </w:rPr>
        <w:t xml:space="preserve">its </w:t>
      </w:r>
      <w:r w:rsidR="00675010">
        <w:rPr>
          <w:rFonts w:ascii="TimesNewRoman" w:hAnsi="TimesNewRoman" w:cs="TimesNewRoman"/>
          <w:color w:val="010101"/>
        </w:rPr>
        <w:t>WiTrack</w:t>
      </w:r>
      <w:r w:rsidR="00675010">
        <w:rPr>
          <w:rFonts w:ascii="TimesNewRoman" w:hAnsi="TimesNewRoman" w:cs="TimesNewRoman"/>
          <w:color w:val="010101"/>
        </w:rPr>
        <w:t xml:space="preserve"> System, </w:t>
      </w:r>
      <w:r w:rsidR="00E063B5">
        <w:rPr>
          <w:rFonts w:ascii="TimesNewRoman" w:hAnsi="TimesNewRoman" w:cs="TimesNewRoman"/>
          <w:color w:val="010101"/>
        </w:rPr>
        <w:t>a</w:t>
      </w:r>
      <w:r w:rsidR="00E23B00">
        <w:rPr>
          <w:rFonts w:ascii="TimesNewRoman" w:hAnsi="TimesNewRoman" w:cs="TimesNewRoman"/>
          <w:color w:val="010101"/>
        </w:rPr>
        <w:t xml:space="preserve"> swept-frequency </w:t>
      </w:r>
      <w:r w:rsidR="00386E39">
        <w:rPr>
          <w:rFonts w:ascii="TimesNewRoman" w:hAnsi="TimesNewRoman" w:cs="TimesNewRoman"/>
          <w:color w:val="010101"/>
        </w:rPr>
        <w:t>ultra-wide band (</w:t>
      </w:r>
      <w:r w:rsidR="00BC0AB3">
        <w:rPr>
          <w:rFonts w:ascii="TimesNewRoman" w:hAnsi="TimesNewRoman" w:cs="TimesNewRoman"/>
          <w:color w:val="010101"/>
        </w:rPr>
        <w:t>UWB</w:t>
      </w:r>
      <w:r w:rsidR="00386E39">
        <w:rPr>
          <w:rFonts w:ascii="TimesNewRoman" w:hAnsi="TimesNewRoman" w:cs="TimesNewRoman"/>
          <w:color w:val="010101"/>
        </w:rPr>
        <w:t>)</w:t>
      </w:r>
      <w:r w:rsidR="00BC0AB3">
        <w:rPr>
          <w:rFonts w:ascii="TimesNewRoman" w:hAnsi="TimesNewRoman" w:cs="TimesNewRoman"/>
          <w:color w:val="010101"/>
        </w:rPr>
        <w:t xml:space="preserve"> indoor </w:t>
      </w:r>
      <w:r w:rsidR="00BD5F81">
        <w:rPr>
          <w:rFonts w:ascii="TimesNewRoman" w:hAnsi="TimesNewRoman" w:cs="TimesNewRoman"/>
          <w:color w:val="010101"/>
        </w:rPr>
        <w:t xml:space="preserve">medical </w:t>
      </w:r>
      <w:r w:rsidR="00BC0AB3">
        <w:rPr>
          <w:rFonts w:ascii="TimesNewRoman" w:hAnsi="TimesNewRoman" w:cs="TimesNewRoman"/>
          <w:color w:val="010101"/>
        </w:rPr>
        <w:t>monitoring device</w:t>
      </w:r>
      <w:r w:rsidR="00133EFF">
        <w:rPr>
          <w:rFonts w:ascii="TimesNewRoman" w:hAnsi="TimesNewRoman" w:cs="TimesNewRoman"/>
          <w:color w:val="010101"/>
        </w:rPr>
        <w:t>.</w:t>
      </w:r>
      <w:r>
        <w:rPr>
          <w:rStyle w:val="FootnoteReference"/>
        </w:rPr>
        <w:footnoteReference w:id="3"/>
      </w:r>
      <w:r w:rsidR="007B583B">
        <w:t xml:space="preserve"> </w:t>
      </w:r>
      <w:r w:rsidR="00E23B00">
        <w:rPr>
          <w:rFonts w:ascii="TimesNewRoman" w:hAnsi="TimesNewRoman" w:cs="TimesNewRoman"/>
          <w:color w:val="010101"/>
        </w:rPr>
        <w:t xml:space="preserve"> </w:t>
      </w:r>
      <w:r w:rsidR="00F864E9">
        <w:rPr>
          <w:rFonts w:ascii="TimesNewRoman" w:hAnsi="TimesNewRoman" w:cs="TimesNewRoman"/>
          <w:color w:val="010101"/>
        </w:rPr>
        <w:t xml:space="preserve"> </w:t>
      </w:r>
      <w:r w:rsidR="00133EFF">
        <w:rPr>
          <w:rFonts w:ascii="TimesNewRoman" w:hAnsi="TimesNewRoman" w:cs="TimesNewRoman"/>
          <w:color w:val="010101"/>
        </w:rPr>
        <w:t xml:space="preserve">MIT states that the </w:t>
      </w:r>
      <w:r w:rsidR="00E23B00">
        <w:rPr>
          <w:rFonts w:ascii="TimesNewRoman" w:hAnsi="TimesNewRoman" w:cs="TimesNewRoman"/>
          <w:color w:val="010101"/>
        </w:rPr>
        <w:t>WiTrack</w:t>
      </w:r>
      <w:r w:rsidR="00E23B00">
        <w:rPr>
          <w:rFonts w:ascii="TimesNewRoman" w:hAnsi="TimesNewRoman" w:cs="TimesNewRoman"/>
          <w:color w:val="010101"/>
        </w:rPr>
        <w:t xml:space="preserve"> System uses indoor swept </w:t>
      </w:r>
      <w:r w:rsidR="00E063B5">
        <w:rPr>
          <w:rFonts w:ascii="TimesNewRoman" w:hAnsi="TimesNewRoman" w:cs="TimesNewRoman"/>
          <w:color w:val="010101"/>
        </w:rPr>
        <w:t>signal</w:t>
      </w:r>
      <w:r w:rsidR="00E23B00">
        <w:rPr>
          <w:rFonts w:ascii="TimesNewRoman" w:hAnsi="TimesNewRoman" w:cs="TimesNewRoman"/>
          <w:color w:val="010101"/>
        </w:rPr>
        <w:t xml:space="preserve"> of up to 2.5 GHz in the 6</w:t>
      </w:r>
      <w:r w:rsidR="00133EFF">
        <w:rPr>
          <w:rFonts w:ascii="TimesNewRoman" w:hAnsi="TimesNewRoman" w:cs="TimesNewRoman"/>
          <w:color w:val="010101"/>
        </w:rPr>
        <w:t xml:space="preserve"> to </w:t>
      </w:r>
      <w:r w:rsidR="00E23B00">
        <w:rPr>
          <w:rFonts w:ascii="TimesNewRoman" w:hAnsi="TimesNewRoman" w:cs="TimesNewRoman"/>
          <w:color w:val="010101"/>
        </w:rPr>
        <w:t>8.5 GHz</w:t>
      </w:r>
      <w:r w:rsidR="00E063B5">
        <w:rPr>
          <w:rFonts w:ascii="TimesNewRoman" w:hAnsi="TimesNewRoman" w:cs="TimesNewRoman"/>
          <w:color w:val="010101"/>
        </w:rPr>
        <w:t xml:space="preserve"> band</w:t>
      </w:r>
      <w:r w:rsidR="00133EFF">
        <w:rPr>
          <w:rFonts w:ascii="TimesNewRoman" w:hAnsi="TimesNewRoman" w:cs="TimesNewRoman"/>
          <w:color w:val="010101"/>
        </w:rPr>
        <w:t xml:space="preserve"> to </w:t>
      </w:r>
      <w:r w:rsidR="00E461D3">
        <w:rPr>
          <w:rFonts w:ascii="TimesNewRoman" w:hAnsi="TimesNewRoman" w:cs="TimesNewRoman"/>
          <w:color w:val="010101"/>
        </w:rPr>
        <w:t>passively</w:t>
      </w:r>
      <w:r w:rsidR="00E063B5">
        <w:rPr>
          <w:rFonts w:ascii="TimesNewRoman" w:hAnsi="TimesNewRoman" w:cs="TimesNewRoman"/>
          <w:color w:val="010101"/>
        </w:rPr>
        <w:t xml:space="preserve"> monitor </w:t>
      </w:r>
      <w:r w:rsidR="00E461D3">
        <w:rPr>
          <w:rFonts w:ascii="TimesNewRoman" w:hAnsi="TimesNewRoman" w:cs="TimesNewRoman"/>
          <w:color w:val="010101"/>
        </w:rPr>
        <w:t xml:space="preserve">mobility, </w:t>
      </w:r>
      <w:r w:rsidR="005A0567">
        <w:rPr>
          <w:rFonts w:ascii="TimesNewRoman" w:hAnsi="TimesNewRoman" w:cs="TimesNewRoman"/>
          <w:color w:val="010101"/>
        </w:rPr>
        <w:t>breathing</w:t>
      </w:r>
      <w:r w:rsidR="00E461D3">
        <w:rPr>
          <w:rFonts w:ascii="TimesNewRoman" w:hAnsi="TimesNewRoman" w:cs="TimesNewRoman"/>
          <w:color w:val="010101"/>
        </w:rPr>
        <w:t xml:space="preserve">, </w:t>
      </w:r>
      <w:r w:rsidR="00133EFF">
        <w:rPr>
          <w:rFonts w:ascii="TimesNewRoman" w:hAnsi="TimesNewRoman" w:cs="TimesNewRoman"/>
          <w:color w:val="010101"/>
        </w:rPr>
        <w:t>and other physiological signals in patients and senior adults. Because t</w:t>
      </w:r>
      <w:r>
        <w:rPr>
          <w:rFonts w:ascii="TimesNewRoman" w:hAnsi="TimesNewRoman" w:cs="TimesNewRoman"/>
          <w:color w:val="010101"/>
        </w:rPr>
        <w:t xml:space="preserve">he system would </w:t>
      </w:r>
      <w:r w:rsidR="00E461D3">
        <w:rPr>
          <w:rFonts w:ascii="TimesNewRoman" w:hAnsi="TimesNewRoman" w:cs="TimesNewRoman"/>
          <w:color w:val="010101"/>
        </w:rPr>
        <w:t xml:space="preserve">transmit a </w:t>
      </w:r>
      <w:r w:rsidR="00386E39">
        <w:rPr>
          <w:rFonts w:ascii="TimesNewRoman" w:hAnsi="TimesNewRoman" w:cs="TimesNewRoman"/>
          <w:color w:val="010101"/>
        </w:rPr>
        <w:t xml:space="preserve">radiofrequency </w:t>
      </w:r>
      <w:r w:rsidR="00E461D3">
        <w:rPr>
          <w:rFonts w:ascii="TimesNewRoman" w:hAnsi="TimesNewRoman" w:cs="TimesNewRoman"/>
          <w:color w:val="010101"/>
        </w:rPr>
        <w:t>signal and receive its reflection from the environment</w:t>
      </w:r>
      <w:r w:rsidR="00133EFF">
        <w:rPr>
          <w:rFonts w:ascii="TimesNewRoman" w:hAnsi="TimesNewRoman" w:cs="TimesNewRoman"/>
          <w:color w:val="010101"/>
        </w:rPr>
        <w:t>,</w:t>
      </w:r>
      <w:r>
        <w:rPr>
          <w:rFonts w:ascii="TimesNewRoman" w:hAnsi="TimesNewRoman" w:cs="TimesNewRoman"/>
          <w:color w:val="010101"/>
        </w:rPr>
        <w:t xml:space="preserve"> it would not require the use of body-worn sensors.  MIT has indicated that d</w:t>
      </w:r>
      <w:r w:rsidR="00B953AA">
        <w:rPr>
          <w:rFonts w:ascii="TimesNewRoman" w:hAnsi="TimesNewRoman" w:cs="TimesNewRoman"/>
          <w:color w:val="010101"/>
        </w:rPr>
        <w:t xml:space="preserve">ifferent versions of the </w:t>
      </w:r>
      <w:r w:rsidR="00817E81">
        <w:rPr>
          <w:rFonts w:ascii="TimesNewRoman" w:hAnsi="TimesNewRoman" w:cs="TimesNewRoman"/>
          <w:color w:val="010101"/>
        </w:rPr>
        <w:t>devices</w:t>
      </w:r>
      <w:r w:rsidR="00B953AA">
        <w:rPr>
          <w:rFonts w:ascii="TimesNewRoman" w:hAnsi="TimesNewRoman" w:cs="TimesNewRoman"/>
          <w:color w:val="010101"/>
        </w:rPr>
        <w:t xml:space="preserve"> would sweep slightly different frequenci</w:t>
      </w:r>
      <w:r>
        <w:rPr>
          <w:rFonts w:ascii="TimesNewRoman" w:hAnsi="TimesNewRoman" w:cs="TimesNewRoman"/>
          <w:color w:val="010101"/>
        </w:rPr>
        <w:t>es</w:t>
      </w:r>
      <w:r w:rsidR="00B953AA">
        <w:rPr>
          <w:rFonts w:ascii="TimesNewRoman" w:hAnsi="TimesNewRoman" w:cs="TimesNewRoman"/>
          <w:color w:val="010101"/>
        </w:rPr>
        <w:t xml:space="preserve"> within the 6-8.5 GHz range.</w:t>
      </w:r>
    </w:p>
    <w:p w:rsidR="00DE5C90" w:rsidRPr="007B583B" w:rsidP="007B583B" w14:paraId="2B8BECF9" w14:textId="77777777">
      <w:pPr>
        <w:widowControl/>
        <w:ind w:firstLine="720"/>
      </w:pPr>
    </w:p>
    <w:p w:rsidR="00BA5B6A" w:rsidP="00817E81" w14:paraId="1917E0CF" w14:textId="4C985297">
      <w:pPr>
        <w:widowControl/>
        <w:ind w:firstLine="720"/>
      </w:pPr>
      <w:r>
        <w:t>Section 15.503(d) of the Commission’s rules defines an ultra-wideband transmitter as an intentional radiator that, at any point in time, has a fractional bandwidth equal to or greater than 0.20 or has a UWB bandwidth equal to or greater than 500 MHz, regardless of the fractional bandwidth.</w:t>
      </w:r>
      <w:r>
        <w:rPr>
          <w:rStyle w:val="FootnoteReference"/>
        </w:rPr>
        <w:footnoteReference w:id="4"/>
      </w:r>
      <w:r>
        <w:t xml:space="preserve"> </w:t>
      </w:r>
      <w:r w:rsidR="00F864E9">
        <w:t xml:space="preserve"> </w:t>
      </w:r>
      <w:r>
        <w:t xml:space="preserve">MIT states that its </w:t>
      </w:r>
      <w:r>
        <w:t>WiTrack</w:t>
      </w:r>
      <w:r>
        <w:t xml:space="preserve"> </w:t>
      </w:r>
      <w:r w:rsidR="00F864E9">
        <w:t>S</w:t>
      </w:r>
      <w:r>
        <w:t xml:space="preserve">ystem would not satisfy this definition </w:t>
      </w:r>
      <w:r w:rsidR="00F822B8">
        <w:t xml:space="preserve">because </w:t>
      </w:r>
      <w:r>
        <w:t xml:space="preserve">each frequency step is less than 500 MHz in bandwidth “at any point in time” even though the total bandwidth needed for optimal performance exceeds 500 </w:t>
      </w:r>
      <w:r w:rsidR="00334915">
        <w:t>MHz</w:t>
      </w:r>
      <w:r w:rsidR="007B583B">
        <w:t>.</w:t>
      </w:r>
      <w:r>
        <w:rPr>
          <w:rStyle w:val="FootnoteReference"/>
        </w:rPr>
        <w:footnoteReference w:id="5"/>
      </w:r>
    </w:p>
    <w:p w:rsidR="00BA5B6A" w:rsidP="00817E81" w14:paraId="44278B74" w14:textId="77777777">
      <w:pPr>
        <w:widowControl/>
        <w:ind w:firstLine="720"/>
      </w:pPr>
    </w:p>
    <w:p w:rsidR="00817E81" w:rsidP="00817E81" w14:paraId="611EA5A7" w14:textId="4EDB8971">
      <w:pPr>
        <w:widowControl/>
        <w:ind w:firstLine="720"/>
      </w:pPr>
      <w:r>
        <w:t>Section 15.31(c) defines the measurement standards for unlicensed devices to demonstrate compliance with applicable emission limits and requires that swept frequency equipment measurements be made with the frequency sweep stopped.</w:t>
      </w:r>
      <w:r>
        <w:rPr>
          <w:rStyle w:val="FootnoteReference"/>
        </w:rPr>
        <w:footnoteReference w:id="6"/>
      </w:r>
      <w:r w:rsidR="00F864E9">
        <w:t xml:space="preserve"> </w:t>
      </w:r>
      <w:r>
        <w:t xml:space="preserve"> Section 15.521(d) defines the measurement procedure to </w:t>
      </w:r>
      <w:r w:rsidR="00F822B8">
        <w:t xml:space="preserve">be used to </w:t>
      </w:r>
      <w:r>
        <w:t xml:space="preserve">demonstrate </w:t>
      </w:r>
      <w:r w:rsidR="00F822B8">
        <w:t>compliance with the technical rules</w:t>
      </w:r>
      <w:r w:rsidR="00FD1000">
        <w:t>.</w:t>
      </w:r>
      <w:r>
        <w:rPr>
          <w:rStyle w:val="FootnoteReference"/>
        </w:rPr>
        <w:footnoteReference w:id="7"/>
      </w:r>
      <w:r w:rsidR="005C3E67">
        <w:t xml:space="preserve"> </w:t>
      </w:r>
      <w:r w:rsidR="007B583B">
        <w:t xml:space="preserve"> </w:t>
      </w:r>
      <w:r>
        <w:t xml:space="preserve">MIT states that the </w:t>
      </w:r>
      <w:r w:rsidR="00F822B8">
        <w:t>waiver it seeks</w:t>
      </w:r>
      <w:r>
        <w:t xml:space="preserve"> is similar to </w:t>
      </w:r>
      <w:r w:rsidR="00334915">
        <w:t>those</w:t>
      </w:r>
      <w:r>
        <w:t xml:space="preserve"> previously granted by the Commission</w:t>
      </w:r>
      <w:r w:rsidR="00F822B8">
        <w:t xml:space="preserve">, and that </w:t>
      </w:r>
      <w:r w:rsidR="00B22D17">
        <w:t xml:space="preserve">grant of </w:t>
      </w:r>
      <w:r w:rsidR="00EA7E63">
        <w:t xml:space="preserve">a </w:t>
      </w:r>
      <w:r w:rsidR="00B22D17">
        <w:t>waiver</w:t>
      </w:r>
      <w:r w:rsidR="00EA7E63">
        <w:t xml:space="preserve"> for the </w:t>
      </w:r>
      <w:r w:rsidR="00EA7E63">
        <w:t>WiTrack</w:t>
      </w:r>
      <w:r w:rsidR="00EA7E63">
        <w:t xml:space="preserve"> System would be</w:t>
      </w:r>
      <w:r w:rsidR="00B22D17">
        <w:t xml:space="preserve"> in </w:t>
      </w:r>
      <w:r w:rsidR="00EA7E63">
        <w:t xml:space="preserve">the </w:t>
      </w:r>
      <w:r w:rsidR="00B22D17">
        <w:t>public interest.</w:t>
      </w:r>
      <w:r>
        <w:rPr>
          <w:rStyle w:val="FootnoteReference"/>
        </w:rPr>
        <w:footnoteReference w:id="8"/>
      </w:r>
    </w:p>
    <w:p w:rsidR="00EA7E63" w:rsidP="00817E81" w14:paraId="0BB6938A" w14:textId="7646DC63">
      <w:pPr>
        <w:widowControl/>
        <w:ind w:firstLine="720"/>
      </w:pPr>
    </w:p>
    <w:p w:rsidR="00386E39" w:rsidP="00386E39" w14:paraId="3D152B07" w14:textId="77777777">
      <w:pPr>
        <w:autoSpaceDE w:val="0"/>
        <w:autoSpaceDN w:val="0"/>
        <w:adjustRightInd w:val="0"/>
        <w:ind w:firstLine="720"/>
        <w:rPr>
          <w:rFonts w:ascii="TimesNewRoman" w:hAnsi="TimesNewRoman" w:cs="TimesNewRoman"/>
          <w:color w:val="010101"/>
        </w:rPr>
      </w:pPr>
      <w:r>
        <w:rPr>
          <w:szCs w:val="22"/>
        </w:rPr>
        <w:t>The Commission’s Office of Engineering and Technology (OET) seeks comment on MIT’s waiver request.</w:t>
      </w:r>
    </w:p>
    <w:p w:rsidR="00386E39" w:rsidP="00817E81" w14:paraId="3F62312C" w14:textId="77777777">
      <w:pPr>
        <w:widowControl/>
        <w:ind w:firstLine="720"/>
      </w:pPr>
    </w:p>
    <w:p w:rsidR="00EA7E63" w:rsidP="00817E81" w14:paraId="1781B834" w14:textId="6A1EF2C1">
      <w:pPr>
        <w:widowControl/>
        <w:ind w:firstLine="720"/>
      </w:pPr>
      <w:r>
        <w:t xml:space="preserve">MIT submitted its waiver request electronically through the Commission’s Electronic Comment Filing System (ECFS) as a non-docketed filing in FCC INBOX-PART 15 (Petition for Waiver of Part 15).  In conjunction with the opening of ET Docket </w:t>
      </w:r>
      <w:r w:rsidR="003473CD">
        <w:t>19-89</w:t>
      </w:r>
      <w:r>
        <w:t>, the Commission moved</w:t>
      </w:r>
      <w:r w:rsidR="000B3405">
        <w:t xml:space="preserve"> </w:t>
      </w:r>
      <w:r>
        <w:t>the filing into th</w:t>
      </w:r>
      <w:r w:rsidR="000B3405">
        <w:t>is</w:t>
      </w:r>
      <w:r>
        <w:t xml:space="preserve"> docket.  Parties should file all comments and reply comments in ET Docket </w:t>
      </w:r>
      <w:r w:rsidR="003473CD">
        <w:t>19-89.</w:t>
      </w:r>
      <w:r>
        <w:t xml:space="preserve"> </w:t>
      </w:r>
    </w:p>
    <w:p w:rsidR="00817E81" w:rsidP="00817E81" w14:paraId="5BED0A02" w14:textId="77777777">
      <w:pPr>
        <w:widowControl/>
        <w:ind w:firstLine="720"/>
        <w:rPr>
          <w:snapToGrid/>
          <w:kern w:val="0"/>
          <w:sz w:val="24"/>
        </w:rPr>
      </w:pPr>
    </w:p>
    <w:p w:rsidR="00215D0A" w:rsidRPr="00215D0A" w:rsidP="00817E81" w14:paraId="49DF3C1E" w14:textId="67E081BA">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OET has concluded that, to develop a complete record on the issues presented by this request, this proceeding will be treated, for </w:t>
      </w:r>
      <w:r>
        <w:rPr>
          <w:rFonts w:ascii="TimesNewRoman" w:hAnsi="TimesNewRoman" w:cs="TimesNewRoman"/>
          <w:i/>
          <w:color w:val="010101"/>
        </w:rPr>
        <w:t>ex parte</w:t>
      </w:r>
      <w:r>
        <w:rPr>
          <w:rFonts w:ascii="TimesNewRoman" w:hAnsi="TimesNewRoman" w:cs="TimesNewRoman"/>
          <w:color w:val="010101"/>
        </w:rPr>
        <w:t xml:space="preserve"> purposes, as a “permit-but-disclose” in accordance with Section 1.1200(a) of the Commission’s rules, subject to the requirements under Section 1.1206(b).</w:t>
      </w:r>
    </w:p>
    <w:p w:rsidR="005B02C3" w:rsidP="005B02C3" w14:paraId="14121EF9" w14:textId="77777777">
      <w:pPr>
        <w:autoSpaceDE w:val="0"/>
        <w:autoSpaceDN w:val="0"/>
        <w:adjustRightInd w:val="0"/>
        <w:rPr>
          <w:rFonts w:ascii="TimesNewRoman" w:hAnsi="TimesNewRoman" w:cs="TimesNewRoman"/>
          <w:color w:val="010101"/>
        </w:rPr>
      </w:pPr>
    </w:p>
    <w:p w:rsidR="005B02C3" w:rsidP="005B02C3" w14:paraId="163AE24B" w14:textId="77777777">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Pursuant to sections 1.415 and 1.419 of the Commission’s rules, 47 CFR §§ 1.415, 1.419, interested parties may file comments and reply comments on or before the dates indicated on the first page of this document. Comments may be filed by using the Commission’s Electronic Comment Filing System (ECFS). </w:t>
      </w:r>
      <w:r>
        <w:rPr>
          <w:rFonts w:ascii="TimesNewRoman,Italic" w:hAnsi="TimesNewRoman,Italic" w:cs="TimesNewRoman,Italic"/>
          <w:i/>
          <w:iCs/>
          <w:color w:val="010101"/>
        </w:rPr>
        <w:t>See Electronic Filing of Documents in Rulemaking Proceedings</w:t>
      </w:r>
      <w:r>
        <w:rPr>
          <w:rFonts w:ascii="TimesNewRoman" w:hAnsi="TimesNewRoman" w:cs="TimesNewRoman"/>
          <w:color w:val="010101"/>
        </w:rPr>
        <w:t>, 63 FR 24121 (1998).</w:t>
      </w:r>
    </w:p>
    <w:p w:rsidR="005B02C3" w:rsidP="005B02C3" w14:paraId="6C0814AF" w14:textId="77777777">
      <w:pPr>
        <w:autoSpaceDE w:val="0"/>
        <w:autoSpaceDN w:val="0"/>
        <w:adjustRightInd w:val="0"/>
        <w:rPr>
          <w:rFonts w:ascii="TimesNewRoman" w:hAnsi="TimesNewRoman" w:cs="TimesNewRoman"/>
          <w:color w:val="010101"/>
        </w:rPr>
      </w:pPr>
    </w:p>
    <w:p w:rsidR="005B02C3" w:rsidP="00800451" w14:paraId="0D0E7BAF" w14:textId="77777777">
      <w:pPr>
        <w:keepNext/>
        <w:widowControl/>
        <w:autoSpaceDE w:val="0"/>
        <w:autoSpaceDN w:val="0"/>
        <w:adjustRightInd w:val="0"/>
        <w:ind w:firstLine="72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Electronic Filers: Comments may be filed electronically using the Internet by accessing the</w:t>
      </w:r>
    </w:p>
    <w:p w:rsidR="005B02C3" w14:paraId="7FAB90A8" w14:textId="77777777">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ECFS: </w:t>
      </w:r>
      <w:r>
        <w:rPr>
          <w:rFonts w:ascii="TimesNewRoman" w:hAnsi="TimesNewRoman" w:cs="TimesNewRoman"/>
          <w:color w:val="0101FF"/>
        </w:rPr>
        <w:t>http://fjallfoss.fcc.gov/ecfs2</w:t>
      </w:r>
    </w:p>
    <w:p w:rsidR="005B02C3" w:rsidP="005B02C3" w14:paraId="73D9840D" w14:textId="77777777">
      <w:pPr>
        <w:autoSpaceDE w:val="0"/>
        <w:autoSpaceDN w:val="0"/>
        <w:adjustRightInd w:val="0"/>
        <w:rPr>
          <w:rFonts w:ascii="TimesNewRoman" w:hAnsi="TimesNewRoman" w:cs="TimesNewRoman"/>
          <w:color w:val="010101"/>
        </w:rPr>
      </w:pPr>
    </w:p>
    <w:p w:rsidR="005B02C3" w:rsidP="005B02C3" w14:paraId="7AABCCD9" w14:textId="77777777">
      <w:pPr>
        <w:autoSpaceDE w:val="0"/>
        <w:autoSpaceDN w:val="0"/>
        <w:adjustRightInd w:val="0"/>
        <w:ind w:left="72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5B02C3" w:rsidP="005B02C3" w14:paraId="2BDE90DA" w14:textId="77777777">
      <w:pPr>
        <w:autoSpaceDE w:val="0"/>
        <w:autoSpaceDN w:val="0"/>
        <w:adjustRightInd w:val="0"/>
        <w:rPr>
          <w:rFonts w:ascii="TimesNewRoman" w:hAnsi="TimesNewRoman" w:cs="TimesNewRoman"/>
          <w:color w:val="010101"/>
        </w:rPr>
      </w:pPr>
    </w:p>
    <w:p w:rsidR="005B02C3" w:rsidP="005B02C3" w14:paraId="1467C3F4" w14:textId="77777777">
      <w:pPr>
        <w:autoSpaceDE w:val="0"/>
        <w:autoSpaceDN w:val="0"/>
        <w:adjustRightInd w:val="0"/>
        <w:ind w:left="720"/>
        <w:rPr>
          <w:rFonts w:ascii="TimesNewRoman" w:hAnsi="TimesNewRoman" w:cs="TimesNewRoman"/>
          <w:color w:val="010101"/>
        </w:rPr>
      </w:pPr>
      <w:r>
        <w:rPr>
          <w:rFonts w:ascii="TimesNewRoman" w:hAnsi="TimesNewRoman" w:cs="TimesNewRoman"/>
          <w:color w:val="010101"/>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B02C3" w:rsidP="005B02C3" w14:paraId="6BD5296D" w14:textId="77777777">
      <w:pPr>
        <w:autoSpaceDE w:val="0"/>
        <w:autoSpaceDN w:val="0"/>
        <w:adjustRightInd w:val="0"/>
        <w:rPr>
          <w:rFonts w:ascii="TimesNewRoman" w:hAnsi="TimesNewRoman" w:cs="TimesNewRoman"/>
          <w:color w:val="010101"/>
        </w:rPr>
      </w:pPr>
    </w:p>
    <w:p w:rsidR="005B02C3" w:rsidP="005B02C3" w14:paraId="6BA326DE" w14:textId="77777777">
      <w:pPr>
        <w:autoSpaceDE w:val="0"/>
        <w:autoSpaceDN w:val="0"/>
        <w:adjustRightInd w:val="0"/>
        <w:ind w:left="144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All hand-delivered or messenger-delivered paper filings for the Commission’s Secretary must be delivered to FCC Headquarters at 445 12</w:t>
      </w:r>
      <w:r>
        <w:rPr>
          <w:rFonts w:ascii="TimesNewRoman" w:hAnsi="TimesNewRoman" w:cs="TimesNewRoman"/>
          <w:color w:val="010101"/>
          <w:sz w:val="14"/>
          <w:szCs w:val="14"/>
        </w:rPr>
        <w:t xml:space="preserve">th </w:t>
      </w:r>
      <w:r>
        <w:rPr>
          <w:rFonts w:ascii="TimesNewRoman" w:hAnsi="TimesNewRoman" w:cs="TimesNewRoman"/>
          <w:color w:val="010101"/>
        </w:rPr>
        <w:t>St., SW, Room TW-A325,</w:t>
      </w:r>
    </w:p>
    <w:p w:rsidR="005B02C3" w:rsidP="005B02C3" w14:paraId="6D16FE9E" w14:textId="77777777">
      <w:pPr>
        <w:autoSpaceDE w:val="0"/>
        <w:autoSpaceDN w:val="0"/>
        <w:adjustRightInd w:val="0"/>
        <w:ind w:left="720" w:firstLine="720"/>
        <w:rPr>
          <w:rFonts w:ascii="TimesNewRoman" w:hAnsi="TimesNewRoman" w:cs="TimesNewRoman"/>
          <w:color w:val="010101"/>
        </w:rPr>
      </w:pPr>
      <w:r>
        <w:rPr>
          <w:rFonts w:ascii="TimesNewRoman" w:hAnsi="TimesNewRoman" w:cs="TimesNewRoman"/>
          <w:color w:val="010101"/>
        </w:rPr>
        <w:t>Washington, DC 20554. The filing hours are 8:00 a.m. to 7:00 p.m. All hand deliveries</w:t>
      </w:r>
    </w:p>
    <w:p w:rsidR="005B02C3" w:rsidP="005B02C3" w14:paraId="2632E9DD" w14:textId="77777777">
      <w:pPr>
        <w:autoSpaceDE w:val="0"/>
        <w:autoSpaceDN w:val="0"/>
        <w:adjustRightInd w:val="0"/>
        <w:ind w:left="720" w:firstLine="720"/>
        <w:rPr>
          <w:rFonts w:ascii="TimesNewRoman" w:hAnsi="TimesNewRoman" w:cs="TimesNewRoman"/>
          <w:color w:val="010101"/>
        </w:rPr>
      </w:pPr>
      <w:r>
        <w:rPr>
          <w:rFonts w:ascii="TimesNewRoman" w:hAnsi="TimesNewRoman" w:cs="TimesNewRoman"/>
          <w:color w:val="010101"/>
        </w:rPr>
        <w:t>must be held together with rubber bands or fasteners. Any envelopes must be disposed of</w:t>
      </w:r>
    </w:p>
    <w:p w:rsidR="005B02C3" w:rsidP="005B02C3" w14:paraId="0A427D82" w14:textId="77777777">
      <w:pPr>
        <w:autoSpaceDE w:val="0"/>
        <w:autoSpaceDN w:val="0"/>
        <w:adjustRightInd w:val="0"/>
        <w:ind w:left="720" w:firstLine="720"/>
        <w:rPr>
          <w:rFonts w:ascii="TimesNewRoman" w:hAnsi="TimesNewRoman" w:cs="TimesNewRoman"/>
          <w:color w:val="010101"/>
        </w:rPr>
      </w:pPr>
      <w:r>
        <w:rPr>
          <w:rFonts w:ascii="TimesNewRoman" w:hAnsi="TimesNewRoman" w:cs="TimesNewRoman"/>
          <w:color w:val="010101"/>
        </w:rPr>
        <w:t>before entering the building.</w:t>
      </w:r>
    </w:p>
    <w:p w:rsidR="005B02C3" w:rsidP="005B02C3" w14:paraId="33D59CE0" w14:textId="77777777">
      <w:pPr>
        <w:autoSpaceDE w:val="0"/>
        <w:autoSpaceDN w:val="0"/>
        <w:adjustRightInd w:val="0"/>
        <w:rPr>
          <w:rFonts w:ascii="TimesNewRoman" w:hAnsi="TimesNewRoman" w:cs="TimesNewRoman"/>
          <w:color w:val="010101"/>
        </w:rPr>
      </w:pPr>
    </w:p>
    <w:p w:rsidR="005B02C3" w:rsidP="005B02C3" w14:paraId="24EFFD24" w14:textId="77777777">
      <w:pPr>
        <w:autoSpaceDE w:val="0"/>
        <w:autoSpaceDN w:val="0"/>
        <w:adjustRightInd w:val="0"/>
        <w:ind w:left="720" w:firstLine="72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Commercial overnight mail (other than U.S. Postal Service Express Mail and Priority</w:t>
      </w:r>
    </w:p>
    <w:p w:rsidR="005B02C3" w:rsidP="005B02C3" w14:paraId="25CF17A9" w14:textId="77777777">
      <w:pPr>
        <w:autoSpaceDE w:val="0"/>
        <w:autoSpaceDN w:val="0"/>
        <w:adjustRightInd w:val="0"/>
        <w:ind w:left="720" w:firstLine="720"/>
        <w:rPr>
          <w:rFonts w:ascii="TimesNewRoman" w:hAnsi="TimesNewRoman" w:cs="TimesNewRoman"/>
          <w:color w:val="010101"/>
        </w:rPr>
      </w:pPr>
      <w:r>
        <w:rPr>
          <w:rFonts w:ascii="TimesNewRoman" w:hAnsi="TimesNewRoman" w:cs="TimesNewRoman"/>
          <w:color w:val="010101"/>
        </w:rPr>
        <w:t>Mail) must be sent to 9300 East Hampton Drive, Capitol Heights, MD 20743.</w:t>
      </w:r>
    </w:p>
    <w:p w:rsidR="005B02C3" w:rsidP="005B02C3" w14:paraId="14CB701C" w14:textId="77777777">
      <w:pPr>
        <w:autoSpaceDE w:val="0"/>
        <w:autoSpaceDN w:val="0"/>
        <w:adjustRightInd w:val="0"/>
        <w:ind w:firstLine="720"/>
        <w:rPr>
          <w:rFonts w:ascii="Wingdings" w:hAnsi="Wingdings" w:cs="Wingdings"/>
          <w:color w:val="010101"/>
        </w:rPr>
      </w:pPr>
    </w:p>
    <w:p w:rsidR="005B02C3" w:rsidP="005B02C3" w14:paraId="5B98A11C" w14:textId="77777777">
      <w:pPr>
        <w:autoSpaceDE w:val="0"/>
        <w:autoSpaceDN w:val="0"/>
        <w:adjustRightInd w:val="0"/>
        <w:ind w:left="144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U.S. Postal Service first-class, Express, and Priority mail must be addressed to 445 12</w:t>
      </w:r>
      <w:r w:rsidRPr="005B02C3">
        <w:rPr>
          <w:rFonts w:ascii="TimesNewRoman" w:hAnsi="TimesNewRoman" w:cs="TimesNewRoman"/>
          <w:color w:val="010101"/>
          <w:sz w:val="14"/>
          <w:szCs w:val="14"/>
          <w:vertAlign w:val="superscript"/>
        </w:rPr>
        <w:t>th</w:t>
      </w:r>
      <w:r>
        <w:rPr>
          <w:rFonts w:ascii="TimesNewRoman" w:hAnsi="TimesNewRoman" w:cs="TimesNewRoman"/>
          <w:color w:val="010101"/>
          <w:sz w:val="14"/>
          <w:szCs w:val="14"/>
        </w:rPr>
        <w:t xml:space="preserve"> </w:t>
      </w:r>
      <w:r>
        <w:rPr>
          <w:rFonts w:ascii="TimesNewRoman" w:hAnsi="TimesNewRoman" w:cs="TimesNewRoman"/>
          <w:color w:val="010101"/>
        </w:rPr>
        <w:t>Street, SW, Washington DC 20554.</w:t>
      </w:r>
    </w:p>
    <w:p w:rsidR="005B02C3" w:rsidP="005B02C3" w14:paraId="09699F31" w14:textId="77777777">
      <w:pPr>
        <w:autoSpaceDE w:val="0"/>
        <w:autoSpaceDN w:val="0"/>
        <w:adjustRightInd w:val="0"/>
        <w:rPr>
          <w:rFonts w:ascii="TimesNewRoman" w:hAnsi="TimesNewRoman" w:cs="TimesNewRoman"/>
          <w:color w:val="010101"/>
        </w:rPr>
      </w:pPr>
    </w:p>
    <w:p w:rsidR="005B02C3" w:rsidP="005B02C3" w14:paraId="340CE37B" w14:textId="77777777">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People with Disabilities: To request materials in accessible formats for people with disabilities</w:t>
      </w:r>
    </w:p>
    <w:p w:rsidR="005B02C3" w:rsidP="005B02C3" w14:paraId="6D7FC6DD" w14:textId="77777777">
      <w:pPr>
        <w:autoSpaceDE w:val="0"/>
        <w:autoSpaceDN w:val="0"/>
        <w:adjustRightInd w:val="0"/>
        <w:rPr>
          <w:rFonts w:ascii="TimesNewRoman" w:hAnsi="TimesNewRoman" w:cs="TimesNewRoman"/>
          <w:color w:val="010101"/>
        </w:rPr>
      </w:pPr>
      <w:r>
        <w:rPr>
          <w:rFonts w:ascii="TimesNewRoman" w:hAnsi="TimesNewRoman" w:cs="TimesNewRoman"/>
          <w:color w:val="010101"/>
        </w:rPr>
        <w:t xml:space="preserve">(braille, large print, electronic files, audio format), send an e-mail to </w:t>
      </w:r>
      <w:r>
        <w:rPr>
          <w:rFonts w:ascii="TimesNewRoman" w:hAnsi="TimesNewRoman" w:cs="TimesNewRoman"/>
          <w:color w:val="0101FF"/>
        </w:rPr>
        <w:t xml:space="preserve">fcc504@fcc.gov </w:t>
      </w:r>
      <w:r>
        <w:rPr>
          <w:rFonts w:ascii="TimesNewRoman" w:hAnsi="TimesNewRoman" w:cs="TimesNewRoman"/>
          <w:color w:val="010101"/>
        </w:rPr>
        <w:t>or call the</w:t>
      </w:r>
    </w:p>
    <w:p w:rsidR="005B02C3" w:rsidP="005B02C3" w14:paraId="59FCFCAD" w14:textId="77777777">
      <w:pPr>
        <w:autoSpaceDE w:val="0"/>
        <w:autoSpaceDN w:val="0"/>
        <w:adjustRightInd w:val="0"/>
        <w:rPr>
          <w:rFonts w:ascii="TimesNewRoman" w:hAnsi="TimesNewRoman" w:cs="TimesNewRoman"/>
          <w:color w:val="010101"/>
        </w:rPr>
      </w:pPr>
      <w:r>
        <w:rPr>
          <w:rFonts w:ascii="TimesNewRoman" w:hAnsi="TimesNewRoman" w:cs="TimesNewRoman"/>
          <w:color w:val="010101"/>
        </w:rPr>
        <w:t>Consumer &amp; Governmental Affairs Bureau at 202-418-0530 (voice), 202-418-0432 (tty).</w:t>
      </w:r>
    </w:p>
    <w:p w:rsidR="005B02C3" w:rsidP="005B02C3" w14:paraId="5976645E" w14:textId="77777777">
      <w:pPr>
        <w:autoSpaceDE w:val="0"/>
        <w:autoSpaceDN w:val="0"/>
        <w:adjustRightInd w:val="0"/>
        <w:rPr>
          <w:rFonts w:ascii="TimesNewRoman" w:hAnsi="TimesNewRoman" w:cs="TimesNewRoman"/>
          <w:color w:val="010101"/>
        </w:rPr>
      </w:pPr>
    </w:p>
    <w:p w:rsidR="005B02C3" w:rsidP="003473CD" w14:paraId="2DF55D17" w14:textId="77777777">
      <w:pPr>
        <w:widowControl/>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Parties should also send a copy of their filings to Syed Hasan, Office of Engineering and Technology, Federal Communications Commission, Room 7-A445, 445 12th Street, SW, Washington, DC 20554, or by e-mail to </w:t>
      </w:r>
      <w:hyperlink r:id="rId5" w:history="1">
        <w:r w:rsidRPr="006149A0">
          <w:rPr>
            <w:rStyle w:val="Hyperlink"/>
            <w:rFonts w:ascii="TimesNewRoman" w:hAnsi="TimesNewRoman" w:cs="TimesNewRoman"/>
          </w:rPr>
          <w:t>syed.hasan@fcc.gov</w:t>
        </w:r>
      </w:hyperlink>
      <w:r>
        <w:rPr>
          <w:rFonts w:ascii="TimesNewRoman" w:hAnsi="TimesNewRoman" w:cs="TimesNewRoman"/>
          <w:color w:val="010101"/>
        </w:rPr>
        <w:t>.</w:t>
      </w:r>
    </w:p>
    <w:p w:rsidR="005B02C3" w:rsidP="005B02C3" w14:paraId="39010742" w14:textId="77777777">
      <w:pPr>
        <w:autoSpaceDE w:val="0"/>
        <w:autoSpaceDN w:val="0"/>
        <w:adjustRightInd w:val="0"/>
        <w:rPr>
          <w:rFonts w:ascii="TimesNewRoman" w:hAnsi="TimesNewRoman" w:cs="TimesNewRoman"/>
          <w:color w:val="010101"/>
        </w:rPr>
      </w:pPr>
    </w:p>
    <w:p w:rsidR="005B02C3" w:rsidP="0036527E" w14:paraId="778048E3" w14:textId="77777777">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Documents in are available for viewing on ECFS, </w:t>
      </w:r>
      <w:r>
        <w:rPr>
          <w:rFonts w:ascii="TimesNewRoman" w:hAnsi="TimesNewRoman" w:cs="TimesNewRoman"/>
          <w:color w:val="0101FF"/>
        </w:rPr>
        <w:t>http://www/fcc/gov/cgb/ecfs</w:t>
      </w:r>
      <w:r>
        <w:rPr>
          <w:rFonts w:ascii="TimesNewRoman" w:hAnsi="TimesNewRoman" w:cs="TimesNewRoman"/>
          <w:color w:val="010101"/>
        </w:rPr>
        <w:t>, by entering the docket number. These documents are available for public inspection and copying during business hours at the FCC Reference Information Center, Portals II, 445 12th Street, SW, Room CY-A257, Washington, DC 20554.</w:t>
      </w:r>
    </w:p>
    <w:p w:rsidR="005A42C3" w:rsidP="005B02C3" w14:paraId="0F792B79" w14:textId="77777777">
      <w:pPr>
        <w:autoSpaceDE w:val="0"/>
        <w:autoSpaceDN w:val="0"/>
        <w:adjustRightInd w:val="0"/>
        <w:rPr>
          <w:rFonts w:ascii="TimesNewRoman" w:hAnsi="TimesNewRoman" w:cs="TimesNewRoman"/>
          <w:color w:val="010101"/>
        </w:rPr>
      </w:pPr>
    </w:p>
    <w:p w:rsidR="005B02C3" w:rsidP="005B02C3" w14:paraId="36856FF0" w14:textId="77777777">
      <w:pPr>
        <w:autoSpaceDE w:val="0"/>
        <w:autoSpaceDN w:val="0"/>
        <w:adjustRightInd w:val="0"/>
        <w:rPr>
          <w:rFonts w:ascii="TimesNewRoman" w:hAnsi="TimesNewRoman" w:cs="TimesNewRoman"/>
          <w:color w:val="010101"/>
        </w:rPr>
      </w:pPr>
      <w:r>
        <w:rPr>
          <w:rFonts w:ascii="TimesNewRoman" w:hAnsi="TimesNewRoman" w:cs="TimesNewRoman"/>
          <w:color w:val="010101"/>
        </w:rPr>
        <w:t>Office of Engineering and Technology contact: Syed Hasan at (202) 418-2454.</w:t>
      </w:r>
    </w:p>
    <w:p w:rsidR="005A42C3" w:rsidP="005B02C3" w14:paraId="38241FC2" w14:textId="77777777">
      <w:pPr>
        <w:autoSpaceDE w:val="0"/>
        <w:autoSpaceDN w:val="0"/>
        <w:adjustRightInd w:val="0"/>
        <w:rPr>
          <w:rFonts w:ascii="TimesNewRoman" w:hAnsi="TimesNewRoman" w:cs="TimesNewRoman"/>
          <w:color w:val="010101"/>
        </w:rPr>
      </w:pPr>
    </w:p>
    <w:p w:rsidR="005A5135" w:rsidP="00855264" w14:paraId="5CE31996" w14:textId="77777777">
      <w:pPr>
        <w:autoSpaceDE w:val="0"/>
        <w:autoSpaceDN w:val="0"/>
        <w:adjustRightInd w:val="0"/>
        <w:rPr>
          <w:rFonts w:ascii="TimesNewRoman" w:hAnsi="TimesNewRoman" w:cs="TimesNewRoman"/>
          <w:color w:val="010101"/>
        </w:rPr>
      </w:pPr>
      <w:r>
        <w:rPr>
          <w:rFonts w:ascii="TimesNewRoman" w:hAnsi="TimesNewRoman" w:cs="TimesNewRoman"/>
          <w:color w:val="010101"/>
        </w:rPr>
        <w:t xml:space="preserve">By the Chief, Office of Engineering and Technology    </w:t>
      </w:r>
    </w:p>
    <w:p w:rsidR="005A42C3" w:rsidP="00855264" w14:paraId="0F596D9B" w14:textId="4249FD0D">
      <w:pPr>
        <w:autoSpaceDE w:val="0"/>
        <w:autoSpaceDN w:val="0"/>
        <w:adjustRightInd w:val="0"/>
        <w:rPr>
          <w:rFonts w:ascii="TimesNewRoman" w:hAnsi="TimesNewRoman" w:cs="TimesNewRoman"/>
          <w:color w:val="010101"/>
        </w:rPr>
      </w:pPr>
    </w:p>
    <w:p w:rsidR="00930ECF" w:rsidRPr="00B9130F" w:rsidP="00E151B6" w14:paraId="3483CAC2" w14:textId="7619E899">
      <w:pPr>
        <w:jc w:val="center"/>
        <w:rPr>
          <w:rFonts w:ascii="TimesNewRoman" w:hAnsi="TimesNewRoman" w:cs="TimesNewRoman"/>
          <w:color w:val="010101"/>
        </w:rPr>
      </w:pPr>
      <w:r>
        <w:rPr>
          <w:rFonts w:ascii="TimesNewRoman" w:hAnsi="TimesNewRoman" w:cs="TimesNewRoman"/>
          <w:color w:val="010101"/>
        </w:rPr>
        <w:t>FCC-</w:t>
      </w:r>
      <w:bookmarkEnd w:id="1"/>
    </w:p>
    <w:sectPr w:rsidSect="000E5884">
      <w:headerReference w:type="default" r:id="rId6"/>
      <w:footerReference w:type="even" r:id="rId7"/>
      <w:footerReference w:type="default" r:id="rId8"/>
      <w:head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FD8CA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AE736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920A6AE"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583B" w14:paraId="1319289B" w14:textId="77777777">
      <w:r>
        <w:separator/>
      </w:r>
    </w:p>
  </w:footnote>
  <w:footnote w:type="continuationSeparator" w:id="1">
    <w:p w:rsidR="007B583B" w14:paraId="38C7CE00" w14:textId="77777777">
      <w:r>
        <w:continuationSeparator/>
      </w:r>
    </w:p>
  </w:footnote>
  <w:footnote w:type="continuationNotice" w:id="2">
    <w:p w:rsidR="007B583B" w14:paraId="6EF12938" w14:textId="77777777"/>
  </w:footnote>
  <w:footnote w:id="3">
    <w:p w:rsidR="007B583B" w:rsidRPr="001358F7" w:rsidP="007B583B" w14:paraId="017AC47F" w14:textId="5A2CDA0E">
      <w:pPr>
        <w:pStyle w:val="FootnoteText"/>
      </w:pPr>
      <w:r>
        <w:rPr>
          <w:rStyle w:val="FootnoteReference"/>
        </w:rPr>
        <w:footnoteRef/>
      </w:r>
      <w:r>
        <w:t xml:space="preserve"> </w:t>
      </w:r>
      <w:r w:rsidRPr="00331770">
        <w:t>Massachusetts Institute of Technology Request for Waive</w:t>
      </w:r>
      <w:r w:rsidRPr="007B583B">
        <w:t>r</w:t>
      </w:r>
      <w:r>
        <w:t>,</w:t>
      </w:r>
      <w:r>
        <w:t xml:space="preserve"> filed Dec 27, 2018 (MIT Waiver Request). </w:t>
      </w:r>
    </w:p>
  </w:footnote>
  <w:footnote w:id="4">
    <w:p w:rsidR="00EB6BAA" w14:paraId="7BE87964" w14:textId="33D20A2F">
      <w:pPr>
        <w:pStyle w:val="FootnoteText"/>
      </w:pPr>
      <w:r>
        <w:rPr>
          <w:rStyle w:val="FootnoteReference"/>
        </w:rPr>
        <w:footnoteRef/>
      </w:r>
      <w:r>
        <w:t xml:space="preserve"> </w:t>
      </w:r>
      <w:r w:rsidR="002B722B">
        <w:rPr>
          <w:snapToGrid w:val="0"/>
          <w:color w:val="000000" w:themeColor="text1"/>
        </w:rPr>
        <w:t xml:space="preserve">47 CFR § 15.503(d).    </w:t>
      </w:r>
    </w:p>
  </w:footnote>
  <w:footnote w:id="5">
    <w:p w:rsidR="007B583B" w14:paraId="0AA53C29" w14:textId="70095610">
      <w:pPr>
        <w:pStyle w:val="FootnoteText"/>
      </w:pPr>
      <w:r>
        <w:rPr>
          <w:rStyle w:val="FootnoteReference"/>
        </w:rPr>
        <w:footnoteRef/>
      </w:r>
      <w:r>
        <w:t xml:space="preserve"> MIT Waiver Request at 14.</w:t>
      </w:r>
    </w:p>
  </w:footnote>
  <w:footnote w:id="6">
    <w:p w:rsidR="00CD61AB" w14:paraId="045358D1" w14:textId="43A85764">
      <w:pPr>
        <w:pStyle w:val="FootnoteText"/>
      </w:pPr>
      <w:r>
        <w:rPr>
          <w:rStyle w:val="FootnoteReference"/>
        </w:rPr>
        <w:footnoteRef/>
      </w:r>
      <w:r>
        <w:t xml:space="preserve"> </w:t>
      </w:r>
      <w:r w:rsidRPr="0022132E">
        <w:rPr>
          <w:i/>
        </w:rPr>
        <w:t xml:space="preserve">See </w:t>
      </w:r>
      <w:r>
        <w:rPr>
          <w:snapToGrid w:val="0"/>
          <w:color w:val="000000" w:themeColor="text1"/>
        </w:rPr>
        <w:t xml:space="preserve">47 CFR § 15.31(c).    </w:t>
      </w:r>
    </w:p>
  </w:footnote>
  <w:footnote w:id="7">
    <w:p w:rsidR="00FD1000" w14:paraId="2488FA5E" w14:textId="07276CEB">
      <w:pPr>
        <w:pStyle w:val="FootnoteText"/>
      </w:pPr>
      <w:r>
        <w:rPr>
          <w:rStyle w:val="FootnoteReference"/>
        </w:rPr>
        <w:footnoteRef/>
      </w:r>
      <w:r>
        <w:t xml:space="preserve"> </w:t>
      </w:r>
      <w:r w:rsidRPr="0022132E">
        <w:rPr>
          <w:i/>
        </w:rPr>
        <w:t>See</w:t>
      </w:r>
      <w:r>
        <w:t xml:space="preserve"> </w:t>
      </w:r>
      <w:r>
        <w:rPr>
          <w:snapToGrid w:val="0"/>
          <w:color w:val="000000" w:themeColor="text1"/>
        </w:rPr>
        <w:t>47 CFR § 15.521(d)</w:t>
      </w:r>
      <w:r w:rsidR="00DE5C90">
        <w:rPr>
          <w:snapToGrid w:val="0"/>
          <w:color w:val="000000" w:themeColor="text1"/>
        </w:rPr>
        <w:t xml:space="preserve"> (requiring </w:t>
      </w:r>
      <w:r w:rsidR="00DE5C90">
        <w:t>that for radiated emission levels above 960 MHz, if a pulse gating is used and the transmitter is quiescent for longer intervals than the nominal pulse reputation interval, measurements shall be made with pulse train gated on)</w:t>
      </w:r>
      <w:r>
        <w:rPr>
          <w:snapToGrid w:val="0"/>
          <w:color w:val="000000" w:themeColor="text1"/>
        </w:rPr>
        <w:t>.</w:t>
      </w:r>
    </w:p>
  </w:footnote>
  <w:footnote w:id="8">
    <w:p w:rsidR="001358F7" w:rsidRPr="00FD1000" w:rsidP="001358F7" w14:paraId="02F2598B" w14:textId="48630E9D">
      <w:pPr>
        <w:pStyle w:val="FootnoteText"/>
      </w:pPr>
      <w:r>
        <w:rPr>
          <w:rStyle w:val="FootnoteReference"/>
        </w:rPr>
        <w:footnoteRef/>
      </w:r>
      <w:r>
        <w:t xml:space="preserve"> </w:t>
      </w:r>
      <w:r w:rsidR="0022132E">
        <w:rPr>
          <w:i/>
        </w:rPr>
        <w:t xml:space="preserve">See </w:t>
      </w:r>
      <w:r w:rsidR="00DE5C90">
        <w:t>MIT Waiver Request at 13-</w:t>
      </w:r>
      <w:r w:rsidR="0022132E">
        <w:t>18</w:t>
      </w:r>
      <w:r w:rsidR="00DE5C90">
        <w:t xml:space="preserve"> (</w:t>
      </w:r>
      <w:r w:rsidR="0022132E">
        <w:t xml:space="preserve">discussing the public interest standard and </w:t>
      </w:r>
      <w:r w:rsidR="00DE5C90">
        <w:t>citing</w:t>
      </w:r>
      <w:r w:rsidR="0022132E">
        <w:t xml:space="preserve"> </w:t>
      </w:r>
      <w:r w:rsidR="00DE5C90">
        <w:t>waivers of the UWB rules previously</w:t>
      </w:r>
      <w:r w:rsidR="0022132E">
        <w:t xml:space="preserve"> issued to</w:t>
      </w:r>
      <w:r w:rsidR="00DE5C90">
        <w:t xml:space="preserve"> </w:t>
      </w:r>
      <w:r w:rsidR="0022132E">
        <w:t xml:space="preserve">other parties, including </w:t>
      </w:r>
      <w:r>
        <w:t>Kyma</w:t>
      </w:r>
      <w:r>
        <w:t xml:space="preserve"> Medical Technologies</w:t>
      </w:r>
      <w:r w:rsidR="0022132E">
        <w:t xml:space="preserve"> </w:t>
      </w:r>
      <w:r w:rsidR="00DE5C90">
        <w:t xml:space="preserve">and </w:t>
      </w:r>
      <w:r>
        <w:t>Proceq</w:t>
      </w:r>
      <w:r w:rsidR="0022132E">
        <w:t xml:space="preserve"> USA)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1AACC23B" w14:textId="7B215EFC">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BFEF102"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0F5CC1E" w14:textId="77777777">
                    <w:pPr>
                      <w:rPr>
                        <w:rFonts w:ascii="Arial" w:hAnsi="Arial"/>
                        <w:b/>
                      </w:rPr>
                    </w:pPr>
                    <w:r>
                      <w:rPr>
                        <w:rFonts w:ascii="Arial" w:hAnsi="Arial"/>
                        <w:b/>
                      </w:rPr>
                      <w:t>Federal Communications Commission</w:t>
                    </w:r>
                  </w:p>
                  <w:p w:rsidR="009838BC" w:rsidP="009838BC" w14:paraId="30A46A8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E9859E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76900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E70CA1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7D38FB8" w14:textId="77777777">
                    <w:pPr>
                      <w:spacing w:before="40"/>
                      <w:jc w:val="right"/>
                      <w:rPr>
                        <w:rFonts w:ascii="Arial" w:hAnsi="Arial"/>
                        <w:b/>
                        <w:sz w:val="16"/>
                      </w:rPr>
                    </w:pPr>
                    <w:r>
                      <w:rPr>
                        <w:rFonts w:ascii="Arial" w:hAnsi="Arial"/>
                        <w:b/>
                        <w:sz w:val="16"/>
                      </w:rPr>
                      <w:t>News Media Information 202 / 418-0500</w:t>
                    </w:r>
                  </w:p>
                  <w:p w:rsidR="009838BC" w:rsidP="009838BC" w14:paraId="2A3D3DD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A7948B4"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4D"/>
    <w:rsid w:val="00013A8B"/>
    <w:rsid w:val="000205DC"/>
    <w:rsid w:val="00031854"/>
    <w:rsid w:val="0005094D"/>
    <w:rsid w:val="000B3405"/>
    <w:rsid w:val="000D78DD"/>
    <w:rsid w:val="000E5884"/>
    <w:rsid w:val="00133EFF"/>
    <w:rsid w:val="001358F7"/>
    <w:rsid w:val="00143F42"/>
    <w:rsid w:val="001916F3"/>
    <w:rsid w:val="001F3B15"/>
    <w:rsid w:val="00215D0A"/>
    <w:rsid w:val="0022132E"/>
    <w:rsid w:val="002B722B"/>
    <w:rsid w:val="00331770"/>
    <w:rsid w:val="00334915"/>
    <w:rsid w:val="00336428"/>
    <w:rsid w:val="003473CD"/>
    <w:rsid w:val="00357D50"/>
    <w:rsid w:val="0036527E"/>
    <w:rsid w:val="00386E39"/>
    <w:rsid w:val="0041122B"/>
    <w:rsid w:val="004548D9"/>
    <w:rsid w:val="004D27E0"/>
    <w:rsid w:val="0050256E"/>
    <w:rsid w:val="0055614C"/>
    <w:rsid w:val="005A0567"/>
    <w:rsid w:val="005A42C3"/>
    <w:rsid w:val="005A5135"/>
    <w:rsid w:val="005B02C3"/>
    <w:rsid w:val="005C3E67"/>
    <w:rsid w:val="006149A0"/>
    <w:rsid w:val="00645D3A"/>
    <w:rsid w:val="00675010"/>
    <w:rsid w:val="006E458A"/>
    <w:rsid w:val="006F7393"/>
    <w:rsid w:val="00720E77"/>
    <w:rsid w:val="007B583B"/>
    <w:rsid w:val="00800451"/>
    <w:rsid w:val="00817E81"/>
    <w:rsid w:val="00855264"/>
    <w:rsid w:val="00910F12"/>
    <w:rsid w:val="00930ECF"/>
    <w:rsid w:val="00966AB1"/>
    <w:rsid w:val="009838BC"/>
    <w:rsid w:val="009952C3"/>
    <w:rsid w:val="00A15DAD"/>
    <w:rsid w:val="00A21B33"/>
    <w:rsid w:val="00A866AC"/>
    <w:rsid w:val="00B20363"/>
    <w:rsid w:val="00B22D17"/>
    <w:rsid w:val="00B26DCC"/>
    <w:rsid w:val="00B418B1"/>
    <w:rsid w:val="00B51C14"/>
    <w:rsid w:val="00B5522A"/>
    <w:rsid w:val="00B70A96"/>
    <w:rsid w:val="00B9130F"/>
    <w:rsid w:val="00B953AA"/>
    <w:rsid w:val="00BA5B6A"/>
    <w:rsid w:val="00BC0AB3"/>
    <w:rsid w:val="00BD5F81"/>
    <w:rsid w:val="00C82B6B"/>
    <w:rsid w:val="00CD61AB"/>
    <w:rsid w:val="00D216CD"/>
    <w:rsid w:val="00D67065"/>
    <w:rsid w:val="00DC67B0"/>
    <w:rsid w:val="00DE5C90"/>
    <w:rsid w:val="00E063B5"/>
    <w:rsid w:val="00E151B6"/>
    <w:rsid w:val="00E23B00"/>
    <w:rsid w:val="00E461D3"/>
    <w:rsid w:val="00E65E4C"/>
    <w:rsid w:val="00EA7E63"/>
    <w:rsid w:val="00EB6BAA"/>
    <w:rsid w:val="00ED7BDB"/>
    <w:rsid w:val="00F42D67"/>
    <w:rsid w:val="00F822B8"/>
    <w:rsid w:val="00F864E9"/>
    <w:rsid w:val="00F871E1"/>
    <w:rsid w:val="00F96F63"/>
    <w:rsid w:val="00FD1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FCD9A9C-3F2F-4E4D-BE29-747FFC9D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yed.hasa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