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50EB" w:rsidRPr="00033101" w:rsidP="001850EB">
      <w:pPr>
        <w:jc w:val="right"/>
        <w:rPr>
          <w:b/>
          <w:szCs w:val="22"/>
        </w:rPr>
      </w:pPr>
      <w:bookmarkStart w:id="0" w:name="_Hlk536534325"/>
      <w:bookmarkStart w:id="1" w:name="_GoBack"/>
      <w:bookmarkEnd w:id="1"/>
      <w:r w:rsidRPr="00033101">
        <w:rPr>
          <w:b/>
          <w:szCs w:val="22"/>
        </w:rPr>
        <w:t>DA 19-</w:t>
      </w:r>
      <w:r>
        <w:rPr>
          <w:b/>
          <w:szCs w:val="22"/>
        </w:rPr>
        <w:t>23</w:t>
      </w:r>
    </w:p>
    <w:p w:rsidR="001850EB" w:rsidRPr="00033101" w:rsidP="001850EB">
      <w:pPr>
        <w:spacing w:before="60"/>
        <w:jc w:val="right"/>
        <w:rPr>
          <w:b/>
          <w:szCs w:val="22"/>
        </w:rPr>
      </w:pPr>
      <w:r>
        <w:rPr>
          <w:b/>
          <w:szCs w:val="22"/>
        </w:rPr>
        <w:t>January 31</w:t>
      </w:r>
      <w:r w:rsidRPr="00033101">
        <w:rPr>
          <w:b/>
          <w:szCs w:val="22"/>
        </w:rPr>
        <w:t>, 2019</w:t>
      </w:r>
    </w:p>
    <w:p w:rsidR="001850EB" w:rsidRPr="00755363" w:rsidP="001850EB">
      <w:pPr>
        <w:rPr>
          <w:szCs w:val="22"/>
        </w:rPr>
      </w:pPr>
    </w:p>
    <w:p w:rsidR="001850EB" w:rsidRPr="00033101" w:rsidP="001850EB">
      <w:pPr>
        <w:spacing w:after="240"/>
        <w:jc w:val="center"/>
        <w:rPr>
          <w:b/>
          <w:szCs w:val="22"/>
        </w:rPr>
      </w:pPr>
      <w:r w:rsidRPr="00033101">
        <w:rPr>
          <w:b/>
          <w:szCs w:val="22"/>
        </w:rPr>
        <w:t xml:space="preserve">AUCTION OF </w:t>
      </w:r>
      <w:bookmarkStart w:id="2" w:name="_Hlk532379695"/>
      <w:r w:rsidRPr="00033101">
        <w:rPr>
          <w:b/>
          <w:szCs w:val="22"/>
        </w:rPr>
        <w:t xml:space="preserve">28 GHz </w:t>
      </w:r>
      <w:bookmarkEnd w:id="2"/>
      <w:r w:rsidRPr="00033101">
        <w:rPr>
          <w:b/>
          <w:szCs w:val="22"/>
        </w:rPr>
        <w:t>UPPER MICROWAVE FLEXIBLE USE SERVICE LICENSES FOR NEXT-GENERATION WIRELESS SERVICES CLOSES</w:t>
      </w:r>
    </w:p>
    <w:p w:rsidR="001850EB" w:rsidRPr="00033101" w:rsidP="001850EB">
      <w:pPr>
        <w:spacing w:after="240"/>
        <w:jc w:val="center"/>
        <w:rPr>
          <w:b/>
          <w:szCs w:val="22"/>
        </w:rPr>
      </w:pPr>
      <w:r w:rsidRPr="00033101">
        <w:rPr>
          <w:b/>
          <w:szCs w:val="22"/>
        </w:rPr>
        <w:t>GROSS WINNING BID AMOUNTS ANNOUNCED FOR AUCTION 101</w:t>
      </w:r>
    </w:p>
    <w:p w:rsidR="001850EB" w:rsidRPr="00033101" w:rsidP="001850EB">
      <w:pPr>
        <w:spacing w:before="120"/>
        <w:jc w:val="center"/>
        <w:rPr>
          <w:b/>
          <w:szCs w:val="22"/>
        </w:rPr>
      </w:pPr>
      <w:r w:rsidRPr="00033101">
        <w:rPr>
          <w:b/>
          <w:szCs w:val="22"/>
        </w:rPr>
        <w:t xml:space="preserve">Down Payments Due </w:t>
      </w:r>
      <w:r>
        <w:rPr>
          <w:b/>
          <w:szCs w:val="22"/>
        </w:rPr>
        <w:t>February</w:t>
      </w:r>
      <w:r w:rsidRPr="00033101">
        <w:rPr>
          <w:b/>
          <w:szCs w:val="22"/>
        </w:rPr>
        <w:t xml:space="preserve"> </w:t>
      </w:r>
      <w:r>
        <w:rPr>
          <w:b/>
          <w:szCs w:val="22"/>
        </w:rPr>
        <w:t>14</w:t>
      </w:r>
      <w:r w:rsidRPr="00033101">
        <w:rPr>
          <w:b/>
          <w:szCs w:val="22"/>
        </w:rPr>
        <w:t>, 2019</w:t>
      </w:r>
    </w:p>
    <w:p w:rsidR="001850EB" w:rsidRPr="00033101" w:rsidP="001850EB">
      <w:pPr>
        <w:jc w:val="center"/>
        <w:rPr>
          <w:b/>
          <w:szCs w:val="22"/>
        </w:rPr>
      </w:pPr>
      <w:r w:rsidRPr="00033101">
        <w:rPr>
          <w:b/>
          <w:szCs w:val="22"/>
        </w:rPr>
        <w:t xml:space="preserve">FCC Forms 601 and 602 Due </w:t>
      </w:r>
      <w:r>
        <w:rPr>
          <w:b/>
          <w:szCs w:val="22"/>
        </w:rPr>
        <w:t>February</w:t>
      </w:r>
      <w:r w:rsidRPr="00033101">
        <w:rPr>
          <w:b/>
          <w:szCs w:val="22"/>
        </w:rPr>
        <w:t xml:space="preserve"> </w:t>
      </w:r>
      <w:r>
        <w:rPr>
          <w:b/>
          <w:szCs w:val="22"/>
        </w:rPr>
        <w:t>14</w:t>
      </w:r>
      <w:r w:rsidRPr="00033101">
        <w:rPr>
          <w:b/>
          <w:szCs w:val="22"/>
        </w:rPr>
        <w:t>, 2019</w:t>
      </w:r>
    </w:p>
    <w:p w:rsidR="001850EB" w:rsidRPr="00033101" w:rsidP="001850EB">
      <w:pPr>
        <w:spacing w:after="240"/>
        <w:jc w:val="center"/>
        <w:rPr>
          <w:b/>
          <w:szCs w:val="22"/>
        </w:rPr>
      </w:pPr>
      <w:r w:rsidRPr="00033101">
        <w:rPr>
          <w:b/>
          <w:szCs w:val="22"/>
        </w:rPr>
        <w:t>Final Payments Due M</w:t>
      </w:r>
      <w:r>
        <w:rPr>
          <w:b/>
          <w:szCs w:val="22"/>
        </w:rPr>
        <w:t>arch 1</w:t>
      </w:r>
      <w:r w:rsidRPr="00033101">
        <w:rPr>
          <w:b/>
          <w:szCs w:val="22"/>
        </w:rPr>
        <w:t>, 2019</w:t>
      </w:r>
    </w:p>
    <w:p w:rsidR="001850EB" w:rsidRPr="00033101" w:rsidP="001850EB">
      <w:pPr>
        <w:spacing w:after="240"/>
        <w:jc w:val="center"/>
        <w:rPr>
          <w:b/>
          <w:szCs w:val="22"/>
        </w:rPr>
      </w:pPr>
      <w:r w:rsidRPr="00033101">
        <w:rPr>
          <w:b/>
          <w:szCs w:val="22"/>
        </w:rPr>
        <w:t>AU Docket No. 18-85</w:t>
      </w:r>
    </w:p>
    <w:p w:rsidR="001850EB" w:rsidRPr="00195766" w:rsidP="001850EB">
      <w:pPr>
        <w:pStyle w:val="Heading1"/>
        <w:widowControl/>
        <w:tabs>
          <w:tab w:val="num" w:pos="720"/>
        </w:tabs>
      </w:pPr>
      <w:r w:rsidRPr="00195766">
        <w:t>INTRODUCTION</w:t>
      </w:r>
    </w:p>
    <w:p w:rsidR="001850EB" w:rsidP="001850EB">
      <w:pPr>
        <w:pStyle w:val="ParaNum"/>
        <w:widowControl/>
      </w:pPr>
      <w:r w:rsidRPr="00205E83">
        <w:t xml:space="preserve">On </w:t>
      </w:r>
      <w:r>
        <w:t>January 24, 2019</w:t>
      </w:r>
      <w:r w:rsidRPr="00205E83">
        <w:t xml:space="preserve">, </w:t>
      </w:r>
      <w:r>
        <w:t xml:space="preserve">bidding concluded in </w:t>
      </w:r>
      <w:r w:rsidRPr="00195766">
        <w:t xml:space="preserve">an auction of </w:t>
      </w:r>
      <w:r>
        <w:t>28 GHz Upper Microwave Flexible Use Service (UMFUS) licenses</w:t>
      </w:r>
      <w:r w:rsidRPr="00195766">
        <w:t xml:space="preserve">.  </w:t>
      </w:r>
      <w:bookmarkStart w:id="3" w:name="_Hlk532380198"/>
      <w:r w:rsidRPr="00195766">
        <w:t xml:space="preserve">This auction, which was designated Auction </w:t>
      </w:r>
      <w:r>
        <w:t>101</w:t>
      </w:r>
      <w:r w:rsidRPr="00195766">
        <w:t xml:space="preserve">, raised (in </w:t>
      </w:r>
      <w:r>
        <w:t>gross</w:t>
      </w:r>
      <w:r w:rsidRPr="00195766">
        <w:t xml:space="preserve"> bids)</w:t>
      </w:r>
      <w:r>
        <w:rPr>
          <w:rStyle w:val="FootnoteReference"/>
        </w:rPr>
        <w:footnoteReference w:id="3"/>
      </w:r>
      <w:r w:rsidRPr="00195766">
        <w:t xml:space="preserve"> a total of $</w:t>
      </w:r>
      <w:r>
        <w:t>702,572,410</w:t>
      </w:r>
      <w:r w:rsidRPr="00195766">
        <w:t xml:space="preserve"> with </w:t>
      </w:r>
      <w:r>
        <w:t>a total of 2,965 licenses won</w:t>
      </w:r>
      <w:bookmarkEnd w:id="3"/>
      <w:r w:rsidRPr="00195766">
        <w:t>.</w:t>
      </w:r>
      <w:r>
        <w:t xml:space="preserve">  </w:t>
      </w:r>
      <w:r w:rsidRPr="00195766">
        <w:t xml:space="preserve">  </w:t>
      </w:r>
    </w:p>
    <w:p w:rsidR="001850EB" w:rsidP="001850EB">
      <w:pPr>
        <w:pStyle w:val="ParaNum"/>
        <w:widowControl/>
        <w:tabs>
          <w:tab w:val="clear" w:pos="1440"/>
        </w:tabs>
      </w:pPr>
      <w:r w:rsidRPr="00195766">
        <w:t xml:space="preserve">This Public Notice </w:t>
      </w:r>
      <w:r>
        <w:t>specifies deadlines for payments and the filing of long-form applications and gives details for other post-auction procedures</w:t>
      </w:r>
      <w:r w:rsidRPr="00195766">
        <w:t xml:space="preserve">. </w:t>
      </w:r>
      <w:r>
        <w:t xml:space="preserve"> Consistent with the Commission’s limited information disclosure procedures for Auctions 101 and 102, the identities of winning bidders will remain non-public until after the close of bidding in Auction 102, the upcoming auction of 24 GHz UMFUS licenses.</w:t>
      </w:r>
      <w:r>
        <w:rPr>
          <w:rStyle w:val="FootnoteReference"/>
        </w:rPr>
        <w:footnoteReference w:id="4"/>
      </w:r>
      <w:r>
        <w:t xml:space="preserve">  Accordingly, this Public Notice does not identify winning bidders.  Likewise, the auction results that are currently available through the FCC’s Public Reporting System (PRS) disclose only the gross winning bid amount for licenses won and list those FCC-held licenses for which no winning bids were received.</w:t>
      </w:r>
      <w:r>
        <w:rPr>
          <w:rStyle w:val="FootnoteReference"/>
        </w:rPr>
        <w:footnoteReference w:id="5"/>
      </w:r>
      <w:r>
        <w:t xml:space="preserve">   </w:t>
      </w:r>
    </w:p>
    <w:p w:rsidR="001850EB" w:rsidP="001850EB">
      <w:pPr>
        <w:pStyle w:val="ParaNum"/>
        <w:widowControl/>
        <w:tabs>
          <w:tab w:val="clear" w:pos="1440"/>
        </w:tabs>
      </w:pPr>
      <w:r w:rsidRPr="00157869">
        <w:t>A copy of this Public Notice will be sent to each qualified bidder via overnight delivery</w:t>
      </w:r>
      <w:r>
        <w:t xml:space="preserve"> to the contact person at the contact address listed in each qualified bidder’s short-form application (FCC </w:t>
      </w:r>
      <w:r>
        <w:t>Form 175)</w:t>
      </w:r>
      <w:r w:rsidRPr="00157869">
        <w:t>.</w:t>
      </w:r>
      <w:r>
        <w:t xml:space="preserve">  Each qualified bidder will also receive a confidential letter containing information about the bidder’s winning bids, if any, and its Auction 101 payment obligations, if applicable (confidential results letter).</w:t>
      </w:r>
      <w:r>
        <w:rPr>
          <w:rStyle w:val="FootnoteReference"/>
        </w:rPr>
        <w:footnoteReference w:id="6"/>
      </w:r>
      <w:r>
        <w:t xml:space="preserve">     </w:t>
      </w:r>
    </w:p>
    <w:p w:rsidR="001850EB" w:rsidP="001850EB">
      <w:pPr>
        <w:pStyle w:val="ParaNum"/>
        <w:widowControl/>
        <w:tabs>
          <w:tab w:val="clear" w:pos="1440"/>
        </w:tabs>
      </w:pPr>
      <w:r>
        <w:t>Qualified bidders are reminded that the Commission’s prohibition on certain communications by auction applicants and its limited information disclosure procedures remain in effect for Auctions 101 and 102.  Accordingly, bidders must not disclose their status as a winning or non-winning bidder or any information contained in their confidential letter until after the close of Auction 102.  The prohibition on</w:t>
      </w:r>
      <w:r w:rsidRPr="00557BDD">
        <w:t xml:space="preserve"> certain communications relating to the auction </w:t>
      </w:r>
      <w:r>
        <w:t xml:space="preserve">and limited information disclosure procedures continue to apply </w:t>
      </w:r>
      <w:r w:rsidRPr="00557BDD">
        <w:t xml:space="preserve">until the deadline for </w:t>
      </w:r>
      <w:r>
        <w:t xml:space="preserve">winning bidders in Auction 102 to </w:t>
      </w:r>
      <w:r w:rsidRPr="00557BDD">
        <w:t xml:space="preserve">submit </w:t>
      </w:r>
      <w:r>
        <w:t>down payments</w:t>
      </w:r>
      <w:r w:rsidRPr="00557BDD">
        <w:t>.  All Auction 101 applicants remain subject to the prohibition regardless of developments during the auction process and regardless of whether they qualified to bid or became winning bidders.</w:t>
      </w:r>
      <w:r>
        <w:t xml:space="preserve"> </w:t>
      </w:r>
    </w:p>
    <w:p w:rsidR="001850EB" w:rsidP="001850EB">
      <w:pPr>
        <w:pStyle w:val="ParaNum"/>
        <w:widowControl/>
        <w:tabs>
          <w:tab w:val="clear" w:pos="1440"/>
        </w:tabs>
      </w:pPr>
      <w:r>
        <w:t xml:space="preserve">Unless otherwise noted, all dates and deadlines described in this </w:t>
      </w:r>
      <w:r w:rsidR="00904C3F">
        <w:t>P</w:t>
      </w:r>
      <w:r>
        <w:t xml:space="preserve">ublic </w:t>
      </w:r>
      <w:r w:rsidR="00904C3F">
        <w:t>N</w:t>
      </w:r>
      <w:r>
        <w:t>otice will not be affected in the event of any future partial government shutdown.</w:t>
      </w:r>
    </w:p>
    <w:p w:rsidR="001850EB" w:rsidRPr="00195766" w:rsidP="001850EB">
      <w:pPr>
        <w:pStyle w:val="Heading1"/>
        <w:widowControl/>
        <w:tabs>
          <w:tab w:val="num" w:pos="720"/>
        </w:tabs>
      </w:pPr>
      <w:r w:rsidRPr="00195766">
        <w:t xml:space="preserve">POST-AUCTION </w:t>
      </w:r>
      <w:r>
        <w:t xml:space="preserve">DEADLINES AND </w:t>
      </w:r>
      <w:r w:rsidRPr="00195766">
        <w:t>PROCEDURES</w:t>
      </w:r>
    </w:p>
    <w:p w:rsidR="001850EB" w:rsidRPr="00195766" w:rsidP="001850EB">
      <w:pPr>
        <w:pStyle w:val="Heading2"/>
        <w:widowControl/>
      </w:pPr>
      <w:r w:rsidRPr="00195766">
        <w:t>Down Payments</w:t>
      </w:r>
      <w:r>
        <w:t xml:space="preserve"> – Due Before 6:00 p.m. ET on February 14, 2019</w:t>
      </w:r>
    </w:p>
    <w:p w:rsidR="001850EB" w:rsidRPr="00226613" w:rsidP="001850EB">
      <w:pPr>
        <w:pStyle w:val="ParaNum"/>
        <w:widowControl/>
      </w:pPr>
      <w:r w:rsidRPr="00195766">
        <w:t xml:space="preserve">The Commission’s rules require that </w:t>
      </w:r>
      <w:r>
        <w:t xml:space="preserve">within 10 business days after the release of this Public Notice, </w:t>
      </w:r>
      <w:r w:rsidRPr="00226613">
        <w:t xml:space="preserve">in this case by </w:t>
      </w:r>
      <w:r w:rsidRPr="00226613">
        <w:rPr>
          <w:b/>
        </w:rPr>
        <w:t xml:space="preserve">6:00 p.m. Eastern Time (ET) </w:t>
      </w:r>
      <w:r w:rsidRPr="00834FB6">
        <w:rPr>
          <w:b/>
        </w:rPr>
        <w:t xml:space="preserve">on </w:t>
      </w:r>
      <w:r>
        <w:rPr>
          <w:b/>
        </w:rPr>
        <w:t>February 14</w:t>
      </w:r>
      <w:r>
        <w:rPr>
          <w:b/>
          <w:szCs w:val="22"/>
        </w:rPr>
        <w:t>, 2019</w:t>
      </w:r>
      <w:r w:rsidRPr="00834FB6">
        <w:rPr>
          <w:szCs w:val="22"/>
        </w:rPr>
        <w:t>, each</w:t>
      </w:r>
      <w:r>
        <w:rPr>
          <w:szCs w:val="22"/>
        </w:rPr>
        <w:t xml:space="preserve"> winning bidder in Auction 101 must have on deposit with the Commission enough funds to cover the down payment on its winning bid(s)</w:t>
      </w:r>
      <w:r w:rsidRPr="00226613">
        <w:t>.</w:t>
      </w:r>
      <w:r>
        <w:rPr>
          <w:rStyle w:val="FootnoteReference"/>
        </w:rPr>
        <w:footnoteReference w:id="7"/>
      </w:r>
      <w:r w:rsidRPr="00226613">
        <w:t xml:space="preserve">  Specifically, each winning bidder’s total </w:t>
      </w:r>
      <w:r>
        <w:t xml:space="preserve">amount on </w:t>
      </w:r>
      <w:r w:rsidRPr="00226613">
        <w:t xml:space="preserve">deposit must be </w:t>
      </w:r>
      <w:r>
        <w:t>20</w:t>
      </w:r>
      <w:r w:rsidRPr="00226613">
        <w:t xml:space="preserve"> percent of the aggregate net amount of its winning bid</w:t>
      </w:r>
      <w:r>
        <w:t>(s)</w:t>
      </w:r>
      <w:r w:rsidRPr="00226613">
        <w:t xml:space="preserve">.  </w:t>
      </w:r>
      <w:r>
        <w:t xml:space="preserve">Any </w:t>
      </w:r>
      <w:r w:rsidRPr="00226613">
        <w:t>winning bidder</w:t>
      </w:r>
      <w:r>
        <w:t xml:space="preserve"> whose</w:t>
      </w:r>
      <w:r w:rsidRPr="00226613">
        <w:t xml:space="preserve"> upfront payment is not </w:t>
      </w:r>
      <w:r w:rsidRPr="00226613">
        <w:t>sufficient</w:t>
      </w:r>
      <w:r w:rsidRPr="00226613">
        <w:t xml:space="preserve"> to meet this requirement</w:t>
      </w:r>
      <w:r>
        <w:t xml:space="preserve"> must deposit </w:t>
      </w:r>
      <w:r w:rsidRPr="00226613">
        <w:t>additional funds to meet its required down payment.</w:t>
      </w:r>
      <w:r>
        <w:rPr>
          <w:rStyle w:val="FootnoteReference"/>
        </w:rPr>
        <w:footnoteReference w:id="8"/>
      </w:r>
    </w:p>
    <w:p w:rsidR="001850EB" w:rsidRPr="00226613" w:rsidP="001850EB">
      <w:pPr>
        <w:pStyle w:val="ParaNum"/>
        <w:widowControl/>
      </w:pPr>
      <w:r>
        <w:rPr>
          <w:b/>
          <w:szCs w:val="22"/>
        </w:rPr>
        <w:t>All down payments must be made by wire transfer as instructed in this Public Notice and must be received in the Commission’s account at the U.S. Treasury before 6:00 p.m. ET on February 14, 2019.</w:t>
      </w:r>
      <w:r>
        <w:t xml:space="preserve">  </w:t>
      </w:r>
      <w:r w:rsidRPr="00226613">
        <w:t xml:space="preserve">The </w:t>
      </w:r>
      <w:r>
        <w:t xml:space="preserve">down payment </w:t>
      </w:r>
      <w:r w:rsidRPr="00226613">
        <w:t>amount</w:t>
      </w:r>
      <w:r w:rsidRPr="00226613">
        <w:t xml:space="preserve"> due from </w:t>
      </w:r>
      <w:r>
        <w:t>a particular</w:t>
      </w:r>
      <w:r w:rsidRPr="00226613">
        <w:t xml:space="preserve"> winning bidder, if any, </w:t>
      </w:r>
      <w:r>
        <w:t>will be</w:t>
      </w:r>
      <w:r w:rsidRPr="00226613">
        <w:t xml:space="preserve"> set out in the </w:t>
      </w:r>
      <w:r>
        <w:t>bidder’s confidential results letter</w:t>
      </w:r>
      <w:r w:rsidRPr="00226613">
        <w:t>.  Note that a</w:t>
      </w:r>
      <w:r>
        <w:t>n additional</w:t>
      </w:r>
      <w:r w:rsidRPr="00226613">
        <w:t xml:space="preserve"> payment </w:t>
      </w:r>
      <w:r>
        <w:t>toward the down payment due is</w:t>
      </w:r>
      <w:r w:rsidRPr="00226613">
        <w:t xml:space="preserve"> necessary only if a winning bidder’s upfront payment does not cover the required total down payment (as reflected in </w:t>
      </w:r>
      <w:r>
        <w:t>the confidential results letter)</w:t>
      </w:r>
      <w:r w:rsidRPr="00226613">
        <w:t>.</w:t>
      </w:r>
    </w:p>
    <w:p w:rsidR="001850EB" w:rsidRPr="00195766" w:rsidP="001850EB">
      <w:pPr>
        <w:pStyle w:val="ParaNum"/>
        <w:widowControl/>
      </w:pPr>
      <w:r w:rsidRPr="00834FB6">
        <w:t>If a winning</w:t>
      </w:r>
      <w:r>
        <w:t xml:space="preserve"> bidder fails </w:t>
      </w:r>
      <w:r w:rsidRPr="00226613">
        <w:t xml:space="preserve">to complete this down payment process consistent with the payment method described in this Public Notice by 6:00 p.m. ET </w:t>
      </w:r>
      <w:r w:rsidRPr="00834FB6">
        <w:t xml:space="preserve">on </w:t>
      </w:r>
      <w:r>
        <w:t>February 14, 2019,</w:t>
      </w:r>
      <w:r w:rsidRPr="00834FB6">
        <w:t xml:space="preserve"> it will be in</w:t>
      </w:r>
      <w:r w:rsidRPr="00195766">
        <w:t xml:space="preserve"> default.</w:t>
      </w:r>
      <w:r>
        <w:rPr>
          <w:rStyle w:val="FootnoteReference"/>
        </w:rPr>
        <w:footnoteReference w:id="9"/>
      </w:r>
      <w:r w:rsidRPr="00195766">
        <w:t xml:space="preserve"> </w:t>
      </w:r>
    </w:p>
    <w:p w:rsidR="001850EB" w:rsidRPr="00195766" w:rsidP="001850EB">
      <w:pPr>
        <w:pStyle w:val="Heading2"/>
        <w:widowControl/>
      </w:pPr>
      <w:r w:rsidRPr="00195766">
        <w:t>Final Payments</w:t>
      </w:r>
    </w:p>
    <w:p w:rsidR="001850EB" w:rsidRPr="00226613" w:rsidP="001850EB">
      <w:pPr>
        <w:pStyle w:val="ParaNum"/>
        <w:widowControl/>
      </w:pPr>
      <w:r>
        <w:t>Each</w:t>
      </w:r>
      <w:r w:rsidRPr="00195766">
        <w:t xml:space="preserve"> </w:t>
      </w:r>
      <w:r w:rsidRPr="00226613">
        <w:t xml:space="preserve">winning bidder </w:t>
      </w:r>
      <w:r>
        <w:t>in Auction 101 must</w:t>
      </w:r>
      <w:r w:rsidRPr="00226613">
        <w:t xml:space="preserve"> submit</w:t>
      </w:r>
      <w:r>
        <w:t xml:space="preserve"> a payment of</w:t>
      </w:r>
      <w:r w:rsidRPr="00226613">
        <w:t xml:space="preserve"> the balance of the net </w:t>
      </w:r>
      <w:r>
        <w:t xml:space="preserve">payment </w:t>
      </w:r>
      <w:r w:rsidRPr="00226613">
        <w:t xml:space="preserve">amount </w:t>
      </w:r>
      <w:r>
        <w:t>for</w:t>
      </w:r>
      <w:r w:rsidRPr="00226613">
        <w:t xml:space="preserve"> its winning </w:t>
      </w:r>
      <w:r w:rsidRPr="002678A8">
        <w:t>bid</w:t>
      </w:r>
      <w:r>
        <w:t>(s),</w:t>
      </w:r>
      <w:r w:rsidRPr="002678A8">
        <w:t xml:space="preserve"> as set out in </w:t>
      </w:r>
      <w:r>
        <w:t>its confidential results letter</w:t>
      </w:r>
      <w:r w:rsidRPr="00465638">
        <w:t>.</w:t>
      </w:r>
      <w:r>
        <w:rPr>
          <w:rStyle w:val="FootnoteReference"/>
        </w:rPr>
        <w:footnoteReference w:id="10"/>
      </w:r>
      <w:r w:rsidRPr="00465638">
        <w:t xml:space="preserve">  </w:t>
      </w:r>
      <w:r w:rsidRPr="00BD3AF6">
        <w:rPr>
          <w:b/>
          <w:szCs w:val="22"/>
        </w:rPr>
        <w:t>This payment must be made by wire transfer as instructed in this Public Notice and must be received in the Commission’s account at the U.S. Treasury before 6:00 p.m. ET on M</w:t>
      </w:r>
      <w:r>
        <w:rPr>
          <w:b/>
          <w:szCs w:val="22"/>
        </w:rPr>
        <w:t>arch</w:t>
      </w:r>
      <w:r w:rsidRPr="00BD3AF6">
        <w:rPr>
          <w:b/>
          <w:szCs w:val="22"/>
        </w:rPr>
        <w:t xml:space="preserve"> </w:t>
      </w:r>
      <w:r>
        <w:rPr>
          <w:b/>
          <w:szCs w:val="22"/>
        </w:rPr>
        <w:t>1</w:t>
      </w:r>
      <w:r w:rsidRPr="00BD3AF6">
        <w:rPr>
          <w:b/>
          <w:szCs w:val="22"/>
        </w:rPr>
        <w:t xml:space="preserve">, </w:t>
      </w:r>
      <w:r>
        <w:rPr>
          <w:b/>
          <w:szCs w:val="22"/>
        </w:rPr>
        <w:t>2019</w:t>
      </w:r>
      <w:r w:rsidRPr="00BD3AF6">
        <w:rPr>
          <w:b/>
          <w:szCs w:val="22"/>
        </w:rPr>
        <w:t xml:space="preserve">, to avoid a late fee or default.  A late payment after this deadline must be made by wire transfer as instructed in </w:t>
      </w:r>
      <w:r w:rsidRPr="00BD3AF6">
        <w:rPr>
          <w:b/>
          <w:szCs w:val="22"/>
        </w:rPr>
        <w:t>this Public Notice and must be received in the Commission’s account at the U.S. Treasury before 6:00 p.m. ET on M</w:t>
      </w:r>
      <w:r>
        <w:rPr>
          <w:b/>
          <w:szCs w:val="22"/>
        </w:rPr>
        <w:t>arch</w:t>
      </w:r>
      <w:r w:rsidRPr="00BD3AF6">
        <w:rPr>
          <w:b/>
          <w:szCs w:val="22"/>
        </w:rPr>
        <w:t xml:space="preserve"> </w:t>
      </w:r>
      <w:r>
        <w:rPr>
          <w:b/>
          <w:szCs w:val="22"/>
        </w:rPr>
        <w:t>15</w:t>
      </w:r>
      <w:r w:rsidRPr="00BD3AF6">
        <w:rPr>
          <w:b/>
          <w:szCs w:val="22"/>
        </w:rPr>
        <w:t>,</w:t>
      </w:r>
      <w:r>
        <w:rPr>
          <w:b/>
          <w:szCs w:val="22"/>
        </w:rPr>
        <w:t xml:space="preserve"> 2019</w:t>
      </w:r>
      <w:r w:rsidRPr="00BD3AF6">
        <w:rPr>
          <w:b/>
          <w:szCs w:val="22"/>
        </w:rPr>
        <w:t>, along with the five percent late fee required by Section 1.2109(a) of the Commission’s rules to avoid default.</w:t>
      </w:r>
      <w:r>
        <w:rPr>
          <w:rStyle w:val="FootnoteReference"/>
        </w:rPr>
        <w:footnoteReference w:id="11"/>
      </w:r>
      <w:r w:rsidRPr="00BD3AF6">
        <w:rPr>
          <w:b/>
          <w:szCs w:val="22"/>
        </w:rPr>
        <w:t xml:space="preserve">  </w:t>
      </w:r>
      <w:r w:rsidRPr="00226613">
        <w:t>Note that a</w:t>
      </w:r>
      <w:r>
        <w:t>n additional</w:t>
      </w:r>
      <w:r w:rsidRPr="00226613">
        <w:t xml:space="preserve"> payment </w:t>
      </w:r>
      <w:r>
        <w:t>toward the final payment due is</w:t>
      </w:r>
      <w:r w:rsidRPr="00226613">
        <w:t xml:space="preserve"> necessary only if a winning bidder’s upfront payment does not cover the required total down</w:t>
      </w:r>
      <w:r>
        <w:t xml:space="preserve"> payment</w:t>
      </w:r>
      <w:r w:rsidRPr="00226613">
        <w:t xml:space="preserve"> </w:t>
      </w:r>
      <w:r>
        <w:t xml:space="preserve">and final </w:t>
      </w:r>
      <w:r w:rsidRPr="00226613">
        <w:t xml:space="preserve">payment (as reflected in </w:t>
      </w:r>
      <w:r>
        <w:t>the confidential results letter</w:t>
      </w:r>
      <w:r w:rsidRPr="00226613">
        <w:t>).</w:t>
      </w:r>
      <w:r>
        <w:t xml:space="preserve">  </w:t>
      </w:r>
    </w:p>
    <w:p w:rsidR="001850EB" w:rsidP="001850EB">
      <w:pPr>
        <w:pStyle w:val="ParaNum"/>
        <w:widowControl/>
      </w:pPr>
      <w:r w:rsidRPr="0081691F">
        <w:t xml:space="preserve">If </w:t>
      </w:r>
      <w:r>
        <w:t>a</w:t>
      </w:r>
      <w:r w:rsidRPr="0081691F">
        <w:t xml:space="preserve"> winning bidder fails to complete the final payment </w:t>
      </w:r>
      <w:r>
        <w:t xml:space="preserve">process </w:t>
      </w:r>
      <w:r w:rsidRPr="0081691F">
        <w:t xml:space="preserve">consistent with the payment method described in this Public Notice by 6:00 p.m. </w:t>
      </w:r>
      <w:r w:rsidRPr="00465638">
        <w:t xml:space="preserve">ET on </w:t>
      </w:r>
      <w:r>
        <w:t>March 1, 2019</w:t>
      </w:r>
      <w:r w:rsidRPr="0081691F">
        <w:t xml:space="preserve"> (or by</w:t>
      </w:r>
      <w:r w:rsidRPr="0081691F">
        <w:rPr>
          <w:b/>
        </w:rPr>
        <w:t xml:space="preserve"> </w:t>
      </w:r>
      <w:r w:rsidRPr="0081691F">
        <w:t xml:space="preserve">6:00 p.m. ET </w:t>
      </w:r>
      <w:r w:rsidRPr="00465638">
        <w:t xml:space="preserve">on </w:t>
      </w:r>
      <w:r>
        <w:t>March 15, 2019</w:t>
      </w:r>
      <w:r w:rsidRPr="00465638">
        <w:rPr>
          <w:szCs w:val="22"/>
        </w:rPr>
        <w:t>, along with</w:t>
      </w:r>
      <w:r w:rsidRPr="0081691F">
        <w:rPr>
          <w:szCs w:val="22"/>
        </w:rPr>
        <w:t xml:space="preserve"> the </w:t>
      </w:r>
      <w:r w:rsidRPr="00FB792E">
        <w:rPr>
          <w:szCs w:val="22"/>
        </w:rPr>
        <w:t>five</w:t>
      </w:r>
      <w:r w:rsidRPr="0081691F">
        <w:rPr>
          <w:szCs w:val="22"/>
        </w:rPr>
        <w:t xml:space="preserve"> percent late fee</w:t>
      </w:r>
      <w:r w:rsidRPr="0081691F">
        <w:t>)</w:t>
      </w:r>
      <w:r>
        <w:t>,</w:t>
      </w:r>
      <w:r w:rsidRPr="0081691F">
        <w:t xml:space="preserve"> it will be in default.</w:t>
      </w:r>
      <w:r>
        <w:rPr>
          <w:rStyle w:val="FootnoteReference"/>
        </w:rPr>
        <w:footnoteReference w:id="12"/>
      </w:r>
    </w:p>
    <w:p w:rsidR="001850EB" w:rsidP="001850EB">
      <w:pPr>
        <w:pStyle w:val="ParaNum"/>
        <w:widowControl/>
        <w:tabs>
          <w:tab w:val="clear" w:pos="1440"/>
        </w:tabs>
        <w:rPr>
          <w:snapToGrid/>
          <w:kern w:val="0"/>
          <w:sz w:val="24"/>
          <w:szCs w:val="24"/>
        </w:rPr>
      </w:pPr>
      <w:r>
        <w:t>A winning bidder’s request for a tribal lands bidding credit has no effect on the bidder’s obligations to make any auction payments, including down payments and final payments, that are due before the award of the credit.</w:t>
      </w:r>
      <w:r>
        <w:rPr>
          <w:rStyle w:val="FootnoteReference"/>
          <w:kern w:val="0"/>
          <w:szCs w:val="22"/>
        </w:rPr>
        <w:footnoteReference w:id="13"/>
      </w:r>
      <w:r>
        <w:t xml:space="preserve">  Thus, a winning bidder’s final payment and any applicable late fees must be paid in full by the due date even if the winning bidder has applied for a tribal lands bidding credit.</w:t>
      </w:r>
      <w:r>
        <w:rPr>
          <w:rStyle w:val="FootnoteReference"/>
        </w:rPr>
        <w:footnoteReference w:id="14"/>
      </w:r>
      <w:r>
        <w:t xml:space="preserve">  If a request for a tribal lands bidding credit is approved, the amount of the credit will be calculated and awarded prior to license grant.</w:t>
      </w:r>
      <w:r>
        <w:rPr>
          <w:rStyle w:val="FootnoteReference"/>
          <w:kern w:val="0"/>
          <w:szCs w:val="22"/>
        </w:rPr>
        <w:footnoteReference w:id="15"/>
      </w:r>
      <w:r>
        <w:rPr>
          <w:kern w:val="0"/>
          <w:sz w:val="24"/>
          <w:szCs w:val="24"/>
        </w:rPr>
        <w:t xml:space="preserve"> </w:t>
      </w:r>
    </w:p>
    <w:p w:rsidR="001850EB" w:rsidP="001850EB">
      <w:pPr>
        <w:pStyle w:val="Heading2"/>
        <w:widowControl/>
      </w:pPr>
      <w:bookmarkStart w:id="4" w:name="_Toc124648777"/>
      <w:bookmarkStart w:id="5" w:name="_Toc124649151"/>
      <w:bookmarkStart w:id="6" w:name="_Toc124649222"/>
      <w:bookmarkStart w:id="7" w:name="_Toc124649413"/>
      <w:bookmarkStart w:id="8" w:name="_Toc124650000"/>
      <w:bookmarkStart w:id="9" w:name="_Toc124650094"/>
      <w:bookmarkStart w:id="10" w:name="_Toc124661262"/>
      <w:bookmarkStart w:id="11" w:name="_Toc124661377"/>
      <w:bookmarkStart w:id="12" w:name="_Toc124661472"/>
      <w:r w:rsidRPr="004415E6">
        <w:t>Method of Payment</w:t>
      </w:r>
      <w:bookmarkEnd w:id="4"/>
      <w:bookmarkEnd w:id="5"/>
      <w:bookmarkEnd w:id="6"/>
      <w:bookmarkEnd w:id="7"/>
      <w:bookmarkEnd w:id="8"/>
      <w:bookmarkEnd w:id="9"/>
      <w:bookmarkEnd w:id="10"/>
      <w:bookmarkEnd w:id="11"/>
      <w:bookmarkEnd w:id="12"/>
      <w:r w:rsidRPr="004415E6">
        <w:t xml:space="preserve"> for Down </w:t>
      </w:r>
      <w:r>
        <w:t xml:space="preserve">Payments </w:t>
      </w:r>
      <w:r w:rsidRPr="004415E6">
        <w:t>and Final Payments</w:t>
      </w:r>
    </w:p>
    <w:p w:rsidR="001850EB" w:rsidRPr="007B1B2D" w:rsidP="001850EB">
      <w:pPr>
        <w:pStyle w:val="ParaNum"/>
        <w:widowControl/>
        <w:rPr>
          <w:b/>
        </w:rPr>
      </w:pPr>
      <w:r>
        <w:rPr>
          <w:szCs w:val="22"/>
        </w:rPr>
        <w:t xml:space="preserve">All down payments and final payments must be made by wire transfer to the Commission’s account at the U.S. Treasury in accordance with the instructions in this Public Notice by the applicable deadline.  </w:t>
      </w:r>
      <w:r>
        <w:rPr>
          <w:b/>
          <w:szCs w:val="22"/>
        </w:rPr>
        <w:t>We urge winning bidders to pay close attention to the payment instructions we announce here because they differ from instructions provided in past auctions and from upfront payment procedures for this auction.</w:t>
      </w:r>
      <w:r>
        <w:rPr>
          <w:szCs w:val="22"/>
        </w:rPr>
        <w:t xml:space="preserve">  If a winning bidder has any questions about making a down or final payment, the winning bidder should contact Gail Glasser of the Office of the Managing Director’s Revenue &amp; Receivables Operation Group/Auctions at (202) 418-0578, </w:t>
      </w:r>
      <w:hyperlink r:id="rId5" w:history="1">
        <w:r w:rsidRPr="00531DBE">
          <w:rPr>
            <w:rStyle w:val="Hyperlink"/>
            <w:szCs w:val="22"/>
          </w:rPr>
          <w:t>Gail.Glasser@fcc.gov</w:t>
        </w:r>
      </w:hyperlink>
      <w:r>
        <w:rPr>
          <w:szCs w:val="22"/>
        </w:rPr>
        <w:t>, well in advance of the applicable deadlines.</w:t>
      </w:r>
    </w:p>
    <w:p w:rsidR="001850EB" w:rsidP="001850EB">
      <w:pPr>
        <w:pStyle w:val="ParaNum"/>
        <w:widowControl/>
        <w:rPr>
          <w:b/>
        </w:rPr>
      </w:pPr>
      <w:r>
        <w:rPr>
          <w:szCs w:val="22"/>
        </w:rPr>
        <w:t>The Commission will not apply any amounts on deposit from Auction 101 toward the Auction 102 applicant upfront payment.</w:t>
      </w:r>
      <w:r>
        <w:rPr>
          <w:rStyle w:val="FootnoteReference"/>
          <w:szCs w:val="22"/>
        </w:rPr>
        <w:footnoteReference w:id="16"/>
      </w:r>
    </w:p>
    <w:p w:rsidR="001850EB" w:rsidP="001850EB">
      <w:pPr>
        <w:pStyle w:val="ParaNum"/>
        <w:widowControl/>
      </w:pPr>
      <w:r w:rsidRPr="002916AB">
        <w:t>All payments must be in U.S. dollars and made in the form of a wire transfer.</w:t>
      </w:r>
      <w:r>
        <w:rPr>
          <w:rStyle w:val="FootnoteReference"/>
        </w:rPr>
        <w:footnoteReference w:id="17"/>
      </w:r>
      <w:r w:rsidRPr="002916AB">
        <w:t xml:space="preserve">  No checks, credit card payments, automated clearing house (ACH), or other forms of payment will be accepted.</w:t>
      </w:r>
      <w:r>
        <w:t xml:space="preserve">  Each </w:t>
      </w:r>
      <w:r w:rsidRPr="00552DCB">
        <w:t xml:space="preserve">winning </w:t>
      </w:r>
      <w:r w:rsidRPr="002678A8">
        <w:t>bidder is responsible for ensuring timely submission of its</w:t>
      </w:r>
      <w:r>
        <w:t xml:space="preserve"> down payment and its final payment, if required</w:t>
      </w:r>
      <w:r w:rsidRPr="002678A8">
        <w:t xml:space="preserve">.  </w:t>
      </w:r>
      <w:r>
        <w:t>To avoid untimely payments, each winning b</w:t>
      </w:r>
      <w:r w:rsidRPr="002678A8">
        <w:t xml:space="preserve">idder should </w:t>
      </w:r>
      <w:r>
        <w:t xml:space="preserve">discuss arrangements </w:t>
      </w:r>
      <w:r w:rsidRPr="002678A8">
        <w:t xml:space="preserve">with </w:t>
      </w:r>
      <w:r>
        <w:t xml:space="preserve">its </w:t>
      </w:r>
      <w:r w:rsidRPr="002678A8">
        <w:t xml:space="preserve">financial institution </w:t>
      </w:r>
      <w:r>
        <w:t>(including the institution’s closing schedule) several days before it plans to make the</w:t>
      </w:r>
      <w:r w:rsidRPr="002678A8">
        <w:t xml:space="preserve"> wire transfer</w:t>
      </w:r>
      <w:r>
        <w:t>,</w:t>
      </w:r>
      <w:r w:rsidRPr="002678A8">
        <w:t xml:space="preserve"> and </w:t>
      </w:r>
      <w:r>
        <w:t xml:space="preserve">each should </w:t>
      </w:r>
      <w:r w:rsidRPr="002678A8">
        <w:t xml:space="preserve">allow </w:t>
      </w:r>
      <w:r w:rsidRPr="002678A8">
        <w:t>sufficient</w:t>
      </w:r>
      <w:r w:rsidRPr="002678A8">
        <w:t xml:space="preserve"> time for </w:t>
      </w:r>
      <w:r>
        <w:t>the</w:t>
      </w:r>
      <w:r w:rsidRPr="002678A8">
        <w:t xml:space="preserve"> transfer to be initiated and completed prior to the deadline.  The Commission repeatedly has cautioned auction </w:t>
      </w:r>
      <w:r w:rsidRPr="002678A8">
        <w:t>participants about the importance of planning ahead to prepare for unforeseen last-</w:t>
      </w:r>
      <w:r>
        <w:t>minute</w:t>
      </w:r>
      <w:r w:rsidRPr="002678A8">
        <w:t xml:space="preserve"> difficulties in making payments by wire transfer.</w:t>
      </w:r>
      <w:r>
        <w:rPr>
          <w:rStyle w:val="FootnoteReference"/>
        </w:rPr>
        <w:footnoteReference w:id="18"/>
      </w:r>
      <w:r w:rsidRPr="002678A8">
        <w:t xml:space="preserve">  </w:t>
      </w:r>
    </w:p>
    <w:p w:rsidR="001850EB" w:rsidP="001850EB">
      <w:pPr>
        <w:pStyle w:val="ParaNum"/>
        <w:widowControl/>
      </w:pPr>
      <w:r>
        <w:t>Each</w:t>
      </w:r>
      <w:r w:rsidRPr="002678A8">
        <w:t xml:space="preserve"> winning bidder </w:t>
      </w:r>
      <w:r>
        <w:t>is responsible for</w:t>
      </w:r>
      <w:r w:rsidRPr="002678A8">
        <w:t xml:space="preserve"> obtain</w:t>
      </w:r>
      <w:r>
        <w:t>ing</w:t>
      </w:r>
      <w:r w:rsidRPr="002678A8">
        <w:t xml:space="preserve"> confirmation from its financial institution that its wire transfer to </w:t>
      </w:r>
      <w:r>
        <w:t xml:space="preserve">the </w:t>
      </w:r>
      <w:r w:rsidRPr="009E7BBA">
        <w:t xml:space="preserve">U.S. </w:t>
      </w:r>
      <w:r>
        <w:t xml:space="preserve">Treasury </w:t>
      </w:r>
      <w:r w:rsidRPr="006C292E">
        <w:t>was successful</w:t>
      </w:r>
      <w:r>
        <w:t xml:space="preserve"> and from</w:t>
      </w:r>
      <w:r w:rsidRPr="006C292E">
        <w:t xml:space="preserve"> Commission staff that </w:t>
      </w:r>
      <w:r>
        <w:t>each</w:t>
      </w:r>
      <w:r w:rsidRPr="006C292E">
        <w:t xml:space="preserve"> pa</w:t>
      </w:r>
      <w:r>
        <w:t>yment was timely received and deposited into the proper account.</w:t>
      </w:r>
      <w:r w:rsidRPr="002678A8">
        <w:t xml:space="preserve">  </w:t>
      </w:r>
      <w:r>
        <w:t xml:space="preserve">To receive </w:t>
      </w:r>
      <w:r w:rsidRPr="002678A8">
        <w:t xml:space="preserve">confirmation </w:t>
      </w:r>
      <w:r>
        <w:t xml:space="preserve">from Commission staff, </w:t>
      </w:r>
      <w:r w:rsidRPr="002678A8">
        <w:t xml:space="preserve">contact Gail Glasser </w:t>
      </w:r>
      <w:r>
        <w:t xml:space="preserve">at (202) 418-0578, </w:t>
      </w:r>
      <w:hyperlink r:id="rId5" w:history="1">
        <w:r w:rsidRPr="00423F4A">
          <w:rPr>
            <w:rStyle w:val="Hyperlink"/>
            <w:szCs w:val="22"/>
          </w:rPr>
          <w:t>Gail.Glasser@fcc.gov</w:t>
        </w:r>
      </w:hyperlink>
      <w:r w:rsidRPr="00274FDF">
        <w:t>.</w:t>
      </w:r>
      <w:r>
        <w:t xml:space="preserve">  Office of Managing Director (</w:t>
      </w:r>
      <w:r w:rsidRPr="004D411B">
        <w:rPr>
          <w:color w:val="000000"/>
          <w:szCs w:val="22"/>
        </w:rPr>
        <w:t>OMD) staff may also be reached through the FCC Auctions Hotline at (717) 338-2868.</w:t>
      </w:r>
    </w:p>
    <w:p w:rsidR="001850EB" w:rsidP="001850EB">
      <w:pPr>
        <w:pStyle w:val="ParaNum"/>
        <w:widowControl/>
      </w:pPr>
      <w:r>
        <w:t xml:space="preserve">Each payer must include specified information in its wire transfer instructions provided to its bank, as described below.  </w:t>
      </w:r>
      <w:r w:rsidRPr="00582044">
        <w:rPr>
          <w:b/>
        </w:rPr>
        <w:t>In a change of practice from prior auctions, the Commission no longer requires the submission of a completed FCC Remittance Advice Form (Form 159) with down payments or final payments.</w:t>
      </w:r>
      <w:r>
        <w:rPr>
          <w:rStyle w:val="FootnoteReference"/>
        </w:rPr>
        <w:footnoteReference w:id="19"/>
      </w:r>
      <w:r>
        <w:t xml:space="preserve">  The Commission will credit any such payment based on the information accompanying the wire transfer.  </w:t>
      </w:r>
      <w:r w:rsidRPr="00CE72F1">
        <w:t xml:space="preserve">To submit funds by wire transfer, </w:t>
      </w:r>
      <w:r>
        <w:t xml:space="preserve">the </w:t>
      </w:r>
      <w:r w:rsidRPr="00CE72F1">
        <w:t xml:space="preserve">winning bidder </w:t>
      </w:r>
      <w:r>
        <w:t xml:space="preserve">must include </w:t>
      </w:r>
      <w:r w:rsidRPr="00CE72F1">
        <w:t>the following information</w:t>
      </w:r>
      <w:r>
        <w:t xml:space="preserve"> in its wire transfer instructions:   </w:t>
      </w:r>
    </w:p>
    <w:p w:rsidR="001850EB" w:rsidRPr="00CE72F1" w:rsidP="001850EB">
      <w:pPr>
        <w:pStyle w:val="ParaNum"/>
        <w:keepNext/>
        <w:keepLines/>
        <w:widowControl/>
        <w:numPr>
          <w:ilvl w:val="0"/>
          <w:numId w:val="0"/>
        </w:numPr>
        <w:tabs>
          <w:tab w:val="num" w:pos="1440"/>
        </w:tabs>
        <w:spacing w:after="0"/>
        <w:ind w:left="720"/>
      </w:pPr>
    </w:p>
    <w:p w:rsidR="001850EB" w:rsidRPr="00BF6C25" w:rsidP="001850EB">
      <w:pPr>
        <w:pStyle w:val="TOAHeading"/>
        <w:keepNext/>
        <w:keepLines/>
        <w:widowControl/>
        <w:tabs>
          <w:tab w:val="clear" w:pos="9360"/>
        </w:tabs>
        <w:suppressAutoHyphens w:val="0"/>
        <w:ind w:left="720"/>
      </w:pPr>
      <w:r w:rsidRPr="00DA6FFB">
        <w:t xml:space="preserve">ABA Routing </w:t>
      </w:r>
      <w:r w:rsidRPr="00BF6C25">
        <w:t xml:space="preserve">Number:  </w:t>
      </w:r>
      <w:r w:rsidRPr="00BF6C25">
        <w:rPr>
          <w:b/>
        </w:rPr>
        <w:t>021030004</w:t>
      </w:r>
    </w:p>
    <w:p w:rsidR="001850EB" w:rsidRPr="00BF6C25" w:rsidP="001850EB">
      <w:pPr>
        <w:keepNext/>
        <w:keepLines/>
        <w:widowControl/>
        <w:tabs>
          <w:tab w:val="left" w:pos="2250"/>
        </w:tabs>
        <w:ind w:left="720"/>
      </w:pPr>
      <w:r w:rsidRPr="00BF6C25">
        <w:t>Receiving Bank:</w:t>
      </w:r>
      <w:r w:rsidRPr="00BF6C25">
        <w:tab/>
      </w:r>
      <w:r>
        <w:t xml:space="preserve"> </w:t>
      </w:r>
      <w:r w:rsidRPr="00BF6C25">
        <w:rPr>
          <w:b/>
        </w:rPr>
        <w:t>TREAS NYC</w:t>
      </w:r>
    </w:p>
    <w:p w:rsidR="001850EB" w:rsidRPr="00BF6C25" w:rsidP="001850EB">
      <w:pPr>
        <w:keepNext/>
        <w:keepLines/>
        <w:widowControl/>
        <w:ind w:left="1440" w:firstLine="810"/>
      </w:pPr>
      <w:r>
        <w:t xml:space="preserve"> </w:t>
      </w:r>
      <w:r w:rsidRPr="00BF6C25">
        <w:t>33 Liberty Street</w:t>
      </w:r>
    </w:p>
    <w:p w:rsidR="001850EB" w:rsidRPr="00BF6C25" w:rsidP="001850EB">
      <w:pPr>
        <w:keepNext/>
        <w:keepLines/>
        <w:widowControl/>
        <w:ind w:left="1440" w:firstLine="810"/>
      </w:pPr>
      <w:r>
        <w:t xml:space="preserve"> </w:t>
      </w:r>
      <w:r w:rsidRPr="00BF6C25">
        <w:t>New York, NY 10045</w:t>
      </w:r>
    </w:p>
    <w:p w:rsidR="001850EB" w:rsidP="001850EB">
      <w:pPr>
        <w:keepNext/>
        <w:keepLines/>
        <w:widowControl/>
        <w:ind w:left="720"/>
        <w:rPr>
          <w:b/>
        </w:rPr>
      </w:pPr>
      <w:r w:rsidRPr="00BF6C25">
        <w:t xml:space="preserve">ACCOUNT NAME:  </w:t>
      </w:r>
      <w:r>
        <w:t xml:space="preserve"> </w:t>
      </w:r>
      <w:r w:rsidRPr="00BF6C25">
        <w:rPr>
          <w:b/>
        </w:rPr>
        <w:t>FCC</w:t>
      </w:r>
    </w:p>
    <w:p w:rsidR="001850EB" w:rsidRPr="004109D1" w:rsidP="001850EB">
      <w:pPr>
        <w:keepNext/>
        <w:keepLines/>
        <w:widowControl/>
        <w:tabs>
          <w:tab w:val="left" w:pos="2700"/>
        </w:tabs>
        <w:ind w:left="720"/>
      </w:pPr>
      <w:r>
        <w:rPr>
          <w:b/>
        </w:rPr>
        <w:tab/>
      </w:r>
      <w:r w:rsidRPr="004109D1">
        <w:t>445 12</w:t>
      </w:r>
      <w:r w:rsidRPr="004109D1">
        <w:rPr>
          <w:vertAlign w:val="superscript"/>
        </w:rPr>
        <w:t>th</w:t>
      </w:r>
      <w:r w:rsidRPr="004109D1">
        <w:t xml:space="preserve"> Street, SW</w:t>
      </w:r>
    </w:p>
    <w:p w:rsidR="001850EB" w:rsidRPr="004109D1" w:rsidP="001850EB">
      <w:pPr>
        <w:keepNext/>
        <w:keepLines/>
        <w:widowControl/>
        <w:tabs>
          <w:tab w:val="left" w:pos="2700"/>
        </w:tabs>
        <w:ind w:left="720"/>
      </w:pPr>
      <w:r>
        <w:tab/>
      </w:r>
      <w:r w:rsidRPr="004109D1">
        <w:t>Washington, DC 20554</w:t>
      </w:r>
    </w:p>
    <w:p w:rsidR="001850EB" w:rsidRPr="00DA6FFB" w:rsidP="001850EB">
      <w:pPr>
        <w:pStyle w:val="TOAHeading"/>
        <w:keepNext/>
        <w:keepLines/>
        <w:widowControl/>
        <w:tabs>
          <w:tab w:val="clear" w:pos="9360"/>
        </w:tabs>
        <w:suppressAutoHyphens w:val="0"/>
        <w:ind w:left="720"/>
      </w:pPr>
      <w:r w:rsidRPr="00BF6C25">
        <w:t xml:space="preserve">ACCOUNT NUMBER:  </w:t>
      </w:r>
      <w:r>
        <w:t>27000001</w:t>
      </w:r>
      <w:r w:rsidRPr="00DA6FFB">
        <w:t xml:space="preserve"> </w:t>
      </w:r>
    </w:p>
    <w:p w:rsidR="001850EB" w:rsidRPr="00DA6FFB" w:rsidP="001850EB">
      <w:pPr>
        <w:keepNext/>
        <w:keepLines/>
        <w:widowControl/>
        <w:ind w:left="720"/>
      </w:pPr>
      <w:bookmarkStart w:id="13" w:name="_Hlk534789883"/>
      <w:r>
        <w:t>Originating Bank Information (</w:t>
      </w:r>
      <w:r w:rsidRPr="00DA6FFB">
        <w:t>OBI Field</w:t>
      </w:r>
      <w:r>
        <w:t>)</w:t>
      </w:r>
      <w:r w:rsidRPr="00DA6FFB">
        <w:t>:  (Skip one space between each information item)</w:t>
      </w:r>
      <w:bookmarkEnd w:id="13"/>
      <w:r w:rsidRPr="00DA6FFB">
        <w:t xml:space="preserve"> “AUCTIONPAY”</w:t>
      </w:r>
    </w:p>
    <w:p w:rsidR="001850EB" w:rsidRPr="00DA6FFB" w:rsidP="001850EB">
      <w:pPr>
        <w:keepNext/>
        <w:keepLines/>
        <w:widowControl/>
        <w:ind w:left="720"/>
      </w:pPr>
      <w:r w:rsidRPr="00DA6FFB">
        <w:t>APPLICANT</w:t>
      </w:r>
      <w:r>
        <w:t xml:space="preserve"> FCC REGISTRATION NUMBER</w:t>
      </w:r>
      <w:r w:rsidRPr="00DA6FFB">
        <w:t xml:space="preserve"> </w:t>
      </w:r>
      <w:r>
        <w:t>(</w:t>
      </w:r>
      <w:r w:rsidRPr="00DA6FFB">
        <w:t>FRN</w:t>
      </w:r>
      <w:r>
        <w:t>)</w:t>
      </w:r>
      <w:r w:rsidRPr="00DA6FFB">
        <w:t>:  (</w:t>
      </w:r>
      <w:r>
        <w:t xml:space="preserve">use the </w:t>
      </w:r>
      <w:r w:rsidRPr="00DA6FFB">
        <w:t xml:space="preserve">same </w:t>
      </w:r>
      <w:r>
        <w:t xml:space="preserve">FRN </w:t>
      </w:r>
      <w:r w:rsidRPr="00DA6FFB">
        <w:t xml:space="preserve">as </w:t>
      </w:r>
      <w:r>
        <w:t xml:space="preserve">used on the </w:t>
      </w:r>
      <w:r w:rsidRPr="00DA6FFB">
        <w:t xml:space="preserve">FCC Form </w:t>
      </w:r>
      <w:r>
        <w:t>175</w:t>
      </w:r>
      <w:r w:rsidRPr="00DA6FFB">
        <w:t>)</w:t>
      </w:r>
    </w:p>
    <w:p w:rsidR="001850EB" w:rsidRPr="00DA6FFB" w:rsidP="001850EB">
      <w:pPr>
        <w:keepNext/>
        <w:keepLines/>
        <w:widowControl/>
        <w:ind w:left="720"/>
      </w:pPr>
      <w:r w:rsidRPr="00DA6FFB">
        <w:t>PAYMENT TYPE CODE:  (“</w:t>
      </w:r>
      <w:r w:rsidRPr="00104EC3">
        <w:t>D</w:t>
      </w:r>
      <w:r>
        <w:t>101</w:t>
      </w:r>
      <w:r w:rsidRPr="00104EC3">
        <w:t>”)</w:t>
      </w:r>
      <w:r>
        <w:t xml:space="preserve"> </w:t>
      </w:r>
    </w:p>
    <w:p w:rsidR="001850EB" w:rsidP="001850EB">
      <w:pPr>
        <w:keepNext/>
        <w:keepLines/>
        <w:widowControl/>
        <w:ind w:left="720"/>
      </w:pPr>
      <w:r w:rsidRPr="00DA6FFB">
        <w:t>PAY</w:t>
      </w:r>
      <w:r>
        <w:t>E</w:t>
      </w:r>
      <w:r w:rsidRPr="00DA6FFB">
        <w:t xml:space="preserve">R NAME  </w:t>
      </w:r>
    </w:p>
    <w:p w:rsidR="001850EB" w:rsidRPr="00DA6FFB" w:rsidP="001850EB">
      <w:pPr>
        <w:keepNext/>
        <w:keepLines/>
        <w:widowControl/>
        <w:ind w:left="720"/>
      </w:pPr>
      <w:r>
        <w:t>PAYER FCC REGISTRATION NUMBER (FRN):  (If different from applicant FRN)</w:t>
      </w:r>
    </w:p>
    <w:p w:rsidR="001850EB" w:rsidP="001850EB">
      <w:pPr>
        <w:widowControl/>
        <w:spacing w:after="120"/>
        <w:ind w:firstLine="720"/>
        <w:rPr>
          <w:b/>
        </w:rPr>
      </w:pPr>
      <w:r>
        <w:rPr>
          <w:b/>
        </w:rPr>
        <w:t>CONTACT NAME AND PHONE NUMBER OR EMAIL ADDRESS</w:t>
      </w:r>
    </w:p>
    <w:p w:rsidR="001850EB" w:rsidP="001850EB">
      <w:pPr>
        <w:widowControl/>
        <w:ind w:firstLine="720"/>
        <w:rPr>
          <w:b/>
        </w:rPr>
      </w:pPr>
    </w:p>
    <w:p w:rsidR="001850EB" w:rsidRPr="00E93512" w:rsidP="001850EB">
      <w:pPr>
        <w:pStyle w:val="ParaNum"/>
        <w:widowControl/>
      </w:pPr>
      <w:r>
        <w:t xml:space="preserve">Each winning bidder that must make a payment to meet its down and/or final payment obligations will find enclosed with its confidential results letter a partially completed Form 159, FCC Remittance Advice Form, for each required payment to confirm the amount to be remitted in the wire transfer information.  This Form 159 is solely for your records.  </w:t>
      </w:r>
      <w:r w:rsidRPr="002916AB">
        <w:rPr>
          <w:b/>
        </w:rPr>
        <w:t xml:space="preserve">It is </w:t>
      </w:r>
      <w:r w:rsidRPr="001119CE">
        <w:rPr>
          <w:b/>
        </w:rPr>
        <w:t>not</w:t>
      </w:r>
      <w:r w:rsidRPr="002916AB">
        <w:rPr>
          <w:b/>
        </w:rPr>
        <w:t xml:space="preserve"> necessary for you to fax or email a copy of Form 159 to the FCC or the U.S. Treasury</w:t>
      </w:r>
      <w:r>
        <w:t>.  Please direct questions concerning the calculation and submission of down payments, final payments, or</w:t>
      </w:r>
      <w:r w:rsidRPr="00E93512">
        <w:t xml:space="preserve"> refunds to Gail Glasser at (202) 418-0578.</w:t>
      </w:r>
      <w:r>
        <w:t xml:space="preserve">  </w:t>
      </w:r>
      <w:r w:rsidRPr="002C290B">
        <w:rPr>
          <w:color w:val="000000"/>
          <w:szCs w:val="22"/>
        </w:rPr>
        <w:t>OMD staff may also be reached through the FCC Auctions Hotline at (717) 338-2868.</w:t>
      </w:r>
      <w:r w:rsidRPr="00E93512">
        <w:t xml:space="preserve">  </w:t>
      </w:r>
    </w:p>
    <w:p w:rsidR="001850EB" w:rsidRPr="00CC66BF" w:rsidP="001850EB">
      <w:pPr>
        <w:pStyle w:val="Heading2"/>
        <w:widowControl/>
      </w:pPr>
      <w:bookmarkStart w:id="14" w:name="_Toc124648778"/>
      <w:bookmarkStart w:id="15" w:name="_Toc124649152"/>
      <w:bookmarkStart w:id="16" w:name="_Toc124649223"/>
      <w:bookmarkStart w:id="17" w:name="_Toc124649414"/>
      <w:bookmarkStart w:id="18" w:name="_Toc124650001"/>
      <w:bookmarkStart w:id="19" w:name="_Toc124650095"/>
      <w:bookmarkStart w:id="20" w:name="_Toc124661263"/>
      <w:bookmarkStart w:id="21" w:name="_Toc124661378"/>
      <w:bookmarkStart w:id="22" w:name="_Toc124661473"/>
      <w:r w:rsidRPr="00CC0FE2">
        <w:t>Withdrawal, Default</w:t>
      </w:r>
      <w:r>
        <w:t>,</w:t>
      </w:r>
      <w:r w:rsidRPr="00CC0FE2">
        <w:t xml:space="preserve"> and</w:t>
      </w:r>
      <w:r w:rsidRPr="00CC66BF">
        <w:t xml:space="preserve"> Disqualification Payments</w:t>
      </w:r>
    </w:p>
    <w:p w:rsidR="001850EB" w:rsidP="001850EB">
      <w:pPr>
        <w:pStyle w:val="ParaNum"/>
        <w:widowControl/>
      </w:pPr>
      <w:r w:rsidRPr="00CC66BF">
        <w:t>The Commission imposes payment</w:t>
      </w:r>
      <w:r>
        <w:t xml:space="preserve"> obligation</w:t>
      </w:r>
      <w:r w:rsidRPr="00CC66BF">
        <w:t xml:space="preserve">s on bidders that withdraw provisionally winning bids </w:t>
      </w:r>
      <w:r w:rsidRPr="00CC66BF">
        <w:t>during the course of</w:t>
      </w:r>
      <w:r w:rsidRPr="00CC66BF">
        <w:t xml:space="preserve"> an auction, </w:t>
      </w:r>
      <w:r>
        <w:t xml:space="preserve">on bidders </w:t>
      </w:r>
      <w:r w:rsidRPr="00CC66BF">
        <w:t xml:space="preserve">that default on payments due after an auction closes, and </w:t>
      </w:r>
      <w:r>
        <w:t xml:space="preserve">on bidders </w:t>
      </w:r>
      <w:r w:rsidRPr="00CC66BF">
        <w:t>that are disqualified.</w:t>
      </w:r>
      <w:r>
        <w:rPr>
          <w:rStyle w:val="FootnoteReference"/>
        </w:rPr>
        <w:footnoteReference w:id="20"/>
      </w:r>
    </w:p>
    <w:p w:rsidR="001850EB" w:rsidP="001850EB">
      <w:pPr>
        <w:pStyle w:val="Heading3"/>
        <w:widowControl/>
        <w:tabs>
          <w:tab w:val="num" w:pos="2160"/>
        </w:tabs>
      </w:pPr>
      <w:r>
        <w:t>Bid Withdrawal Payments</w:t>
      </w:r>
    </w:p>
    <w:p w:rsidR="001850EB" w:rsidP="001850EB">
      <w:pPr>
        <w:pStyle w:val="ParaNum"/>
        <w:widowControl/>
      </w:pPr>
      <w:r w:rsidRPr="00B80E10">
        <w:t xml:space="preserve">A bidder that withdraws a provisionally winning bid during the course of an auction is subject to a bid withdrawal payment </w:t>
      </w:r>
      <w:r>
        <w:t xml:space="preserve">obligation </w:t>
      </w:r>
      <w:r w:rsidRPr="00B80E10">
        <w:t>equal to the difference between the amount of the withdrawn bid and the amount of the subsequent winning bid.</w:t>
      </w:r>
      <w:r>
        <w:rPr>
          <w:rStyle w:val="FootnoteReference"/>
        </w:rPr>
        <w:footnoteReference w:id="21"/>
      </w:r>
      <w:r w:rsidRPr="00B80E10">
        <w:t xml:space="preserve">  No withdrawal payment will be assessed for a withdrawn bid if either the subsequent winning bid or any of the intervening subsequent withdrawn bids equals or exceeds that withdrawn bid.</w:t>
      </w:r>
      <w:r>
        <w:rPr>
          <w:rStyle w:val="FootnoteReference"/>
        </w:rPr>
        <w:footnoteReference w:id="22"/>
      </w:r>
    </w:p>
    <w:p w:rsidR="001850EB" w:rsidP="001850EB">
      <w:pPr>
        <w:pStyle w:val="ParaNum"/>
        <w:widowControl/>
      </w:pPr>
      <w:r w:rsidRPr="00B80E10">
        <w:t xml:space="preserve">If a provisionally winning bid is withdrawn on a license that remains unsold at the close of the auction, </w:t>
      </w:r>
      <w:r>
        <w:t>the b</w:t>
      </w:r>
      <w:r w:rsidRPr="00B80E10">
        <w:t>idder will be required to make an interim</w:t>
      </w:r>
      <w:r>
        <w:t xml:space="preserve"> p</w:t>
      </w:r>
      <w:r w:rsidRPr="00B80E10">
        <w:t xml:space="preserve">ayment equal to </w:t>
      </w:r>
      <w:r>
        <w:t xml:space="preserve">15 </w:t>
      </w:r>
      <w:r w:rsidRPr="00B80E10">
        <w:t>percent of the net amount of the withdrawn bid.</w:t>
      </w:r>
      <w:r>
        <w:rPr>
          <w:rStyle w:val="FootnoteReference"/>
        </w:rPr>
        <w:footnoteReference w:id="23"/>
      </w:r>
      <w:r w:rsidRPr="00B80E10">
        <w:t xml:space="preserve">  This payment amount is deducted from any upfront payments or down payments that </w:t>
      </w:r>
      <w:r>
        <w:t>the b</w:t>
      </w:r>
      <w:r w:rsidRPr="00B80E10">
        <w:t>idder has deposited with the Commission.</w:t>
      </w:r>
      <w:r>
        <w:rPr>
          <w:rStyle w:val="FootnoteReference"/>
        </w:rPr>
        <w:footnoteReference w:id="24"/>
      </w:r>
      <w:r w:rsidRPr="00B80E10">
        <w:t xml:space="preserve">  If, in a</w:t>
      </w:r>
      <w:r>
        <w:t>ny</w:t>
      </w:r>
      <w:r w:rsidRPr="00B80E10">
        <w:t xml:space="preserve"> subsequent auction</w:t>
      </w:r>
      <w:r>
        <w:t xml:space="preserve"> of 28 GHz licenses</w:t>
      </w:r>
      <w:r w:rsidRPr="00B80E10">
        <w:t>, that license receives a bid in an amount equal to or greater than the withdrawn bid amount, then no final bid withdrawal payment will be assessed and</w:t>
      </w:r>
      <w:r>
        <w:t>,</w:t>
      </w:r>
      <w:r w:rsidRPr="00B80E10">
        <w:t xml:space="preserve"> upon appropriate request, the Commission will refund the interim payment.  If, in a subsequent auction, the winning bid amount for that license is less than </w:t>
      </w:r>
      <w:r>
        <w:t>the original b</w:t>
      </w:r>
      <w:r w:rsidRPr="00B80E10">
        <w:t xml:space="preserve">idder’s withdrawn bid amount, then </w:t>
      </w:r>
      <w:r>
        <w:t>the withdrawing b</w:t>
      </w:r>
      <w:r w:rsidRPr="00B80E10">
        <w:t xml:space="preserve">idder will be required to make a final bid withdrawal payment equal to either the difference between </w:t>
      </w:r>
      <w:r>
        <w:t>it</w:t>
      </w:r>
      <w:r w:rsidRPr="00B80E10">
        <w:t xml:space="preserve">s net withdrawn bid and the subsequent net winning bid, or the difference between </w:t>
      </w:r>
      <w:r>
        <w:t>it</w:t>
      </w:r>
      <w:r w:rsidRPr="00B80E10">
        <w:t xml:space="preserve">s gross withdrawn bid and the subsequent gross winning bid, whichever difference is smaller.  The interim payment will be applied toward the </w:t>
      </w:r>
      <w:r>
        <w:t xml:space="preserve">final bid </w:t>
      </w:r>
      <w:r w:rsidRPr="00B80E10">
        <w:t>withdrawal payment.</w:t>
      </w:r>
    </w:p>
    <w:p w:rsidR="001850EB" w:rsidRPr="00FA56A3" w:rsidP="001850EB">
      <w:pPr>
        <w:pStyle w:val="ParaNum"/>
        <w:widowControl/>
      </w:pPr>
      <w:r>
        <w:t xml:space="preserve">Each qualified bidder that withdrew a bid during Auction 101 will receive in its confidential results letter a calculation of the withdrawal payment amount owed to the Commission </w:t>
      </w:r>
      <w:r>
        <w:t>as a result of</w:t>
      </w:r>
      <w:r>
        <w:t xml:space="preserve"> its bid withdrawal(s).  Any upfront payment or down payment that the withdrawing bidder has deposited with the Commission will first be applied to satisfy the withdrawal payment amount(s) due before being applied toward a winning bidder’s down payment.</w:t>
      </w:r>
      <w:r w:rsidRPr="004B216F">
        <w:t xml:space="preserve">  </w:t>
      </w:r>
    </w:p>
    <w:p w:rsidR="001850EB" w:rsidP="001850EB">
      <w:pPr>
        <w:pStyle w:val="Heading3"/>
        <w:widowControl/>
      </w:pPr>
      <w:r w:rsidRPr="0075740E">
        <w:t>Default</w:t>
      </w:r>
      <w:r>
        <w:t xml:space="preserve"> and </w:t>
      </w:r>
      <w:r w:rsidRPr="0075740E">
        <w:t>Disqualification Payments</w:t>
      </w:r>
    </w:p>
    <w:p w:rsidR="001850EB" w:rsidRPr="0075740E" w:rsidP="001850EB">
      <w:pPr>
        <w:pStyle w:val="ParaNum"/>
        <w:widowControl/>
      </w:pPr>
      <w:r w:rsidRPr="0075740E">
        <w:t xml:space="preserve">If a winning bidder defaults or is disqualified after the close of the auction (i.e., </w:t>
      </w:r>
      <w:r>
        <w:t xml:space="preserve">fails to remit the required down payment and any withdrawal payment(s) by the specified deadline, </w:t>
      </w:r>
      <w:r w:rsidRPr="0075740E">
        <w:t>fails to submit a timely long-form application, fails to make full payment</w:t>
      </w:r>
      <w:r>
        <w:t xml:space="preserve"> of the balance of its winning bid(s) by the specified deadline</w:t>
      </w:r>
      <w:r w:rsidRPr="0075740E">
        <w:t>, or is otherwise disqualified</w:t>
      </w:r>
      <w:r>
        <w:t xml:space="preserve"> for any reason</w:t>
      </w:r>
      <w:r w:rsidRPr="0075740E">
        <w:t xml:space="preserve">), the defaulting bidder </w:t>
      </w:r>
      <w:r w:rsidRPr="00067D3E">
        <w:t xml:space="preserve">will be </w:t>
      </w:r>
      <w:r>
        <w:t>subject to</w:t>
      </w:r>
      <w:r w:rsidRPr="00067D3E">
        <w:t xml:space="preserve"> </w:t>
      </w:r>
      <w:r w:rsidRPr="0075740E">
        <w:t>the payment</w:t>
      </w:r>
      <w:r>
        <w:t xml:space="preserve"> obligation</w:t>
      </w:r>
      <w:r w:rsidRPr="0075740E">
        <w:t xml:space="preserve">s described in </w:t>
      </w:r>
      <w:r>
        <w:t>Section</w:t>
      </w:r>
      <w:r w:rsidRPr="0075740E">
        <w:t xml:space="preserve"> 1.2104(g)(2)</w:t>
      </w:r>
      <w:r>
        <w:t xml:space="preserve"> of the Commission’s rules</w:t>
      </w:r>
      <w:r w:rsidRPr="0075740E">
        <w:t>.</w:t>
      </w:r>
      <w:r>
        <w:rPr>
          <w:rStyle w:val="FootnoteReference"/>
        </w:rPr>
        <w:footnoteReference w:id="25"/>
      </w:r>
      <w:r w:rsidRPr="0075740E">
        <w:t xml:space="preserve">  </w:t>
      </w:r>
      <w:r w:rsidRPr="00524C76">
        <w:t xml:space="preserve">These payment obligations include a deficiency payment </w:t>
      </w:r>
      <w:r>
        <w:t xml:space="preserve">and an additional payment amount.  The deficiency payment component applies only </w:t>
      </w:r>
      <w:r>
        <w:t>in the event that</w:t>
      </w:r>
      <w:r>
        <w:t xml:space="preserve"> the subsequent winning bid </w:t>
      </w:r>
      <w:r w:rsidRPr="00524C76">
        <w:t>the next time a license covering the same spectrum is won in an auction</w:t>
      </w:r>
      <w:r>
        <w:t xml:space="preserve"> is less than the defaulted bid.  The deficiency payment amount is </w:t>
      </w:r>
      <w:r w:rsidRPr="00524C76">
        <w:t xml:space="preserve">equal to the difference between the amount of the </w:t>
      </w:r>
      <w:r>
        <w:t xml:space="preserve">defaulter’s </w:t>
      </w:r>
      <w:r w:rsidRPr="00524C76">
        <w:t xml:space="preserve">bid and the amount of the </w:t>
      </w:r>
      <w:r>
        <w:t xml:space="preserve">subsequent </w:t>
      </w:r>
      <w:r w:rsidRPr="00524C76">
        <w:t>winning bid</w:t>
      </w:r>
      <w:r>
        <w:t xml:space="preserve">.  The </w:t>
      </w:r>
      <w:r w:rsidRPr="00524C76">
        <w:t xml:space="preserve">additional payment </w:t>
      </w:r>
      <w:r>
        <w:t xml:space="preserve">amount is owed by each defaulting bidder and is </w:t>
      </w:r>
      <w:r w:rsidRPr="00524C76">
        <w:t>equal to a percent</w:t>
      </w:r>
      <w:r>
        <w:t>age</w:t>
      </w:r>
      <w:r w:rsidRPr="00524C76">
        <w:t xml:space="preserve"> of the defaulter’s bid</w:t>
      </w:r>
      <w:r w:rsidRPr="0075740E">
        <w:t xml:space="preserve"> or the subsequent winning bid, whichever is less.</w:t>
      </w:r>
      <w:r>
        <w:rPr>
          <w:rStyle w:val="FootnoteReference"/>
        </w:rPr>
        <w:footnoteReference w:id="26"/>
      </w:r>
      <w:r>
        <w:t xml:space="preserve">  The additional default payment </w:t>
      </w:r>
      <w:r w:rsidRPr="00114D3D">
        <w:t xml:space="preserve">for Auction </w:t>
      </w:r>
      <w:r>
        <w:t>101</w:t>
      </w:r>
      <w:r w:rsidRPr="00114D3D">
        <w:t xml:space="preserve"> licenses</w:t>
      </w:r>
      <w:r>
        <w:t xml:space="preserve"> was set at 15 percent of the applicable bid.</w:t>
      </w:r>
      <w:r>
        <w:rPr>
          <w:rStyle w:val="FootnoteReference"/>
        </w:rPr>
        <w:footnoteReference w:id="27"/>
      </w:r>
    </w:p>
    <w:p w:rsidR="001850EB" w:rsidP="001850EB">
      <w:pPr>
        <w:pStyle w:val="ParaNum"/>
        <w:widowControl/>
      </w:pPr>
      <w:r w:rsidRPr="00120594">
        <w:t xml:space="preserve">If a winning bidder fails to remit the required down payment </w:t>
      </w:r>
      <w:r w:rsidRPr="006C0569">
        <w:t xml:space="preserve">by </w:t>
      </w:r>
      <w:r>
        <w:t>the February 14, 2019 deadline specified in this Public Notice</w:t>
      </w:r>
      <w:r w:rsidRPr="006C0569">
        <w:t>, the bidder w</w:t>
      </w:r>
      <w:r w:rsidRPr="00120594">
        <w:t>ill be deemed to have defaulted, its long-form application will be dismissed, and it will be liable for a default payment as described above.</w:t>
      </w:r>
      <w:r>
        <w:rPr>
          <w:rStyle w:val="FootnoteReference"/>
        </w:rPr>
        <w:footnoteReference w:id="28"/>
      </w:r>
    </w:p>
    <w:p w:rsidR="001850EB" w:rsidP="001850EB">
      <w:pPr>
        <w:pStyle w:val="ParaNum"/>
        <w:widowControl/>
      </w:pPr>
      <w:r w:rsidRPr="00120594">
        <w:t xml:space="preserve">If a winning bidder fails to pay the balance of its winning bid in a lump sum by the deadline specified </w:t>
      </w:r>
      <w:r>
        <w:t>in this Public Notice</w:t>
      </w:r>
      <w:r w:rsidRPr="00120594">
        <w:t xml:space="preserve">, it will be allowed to make </w:t>
      </w:r>
      <w:r>
        <w:t xml:space="preserve">a late </w:t>
      </w:r>
      <w:r w:rsidRPr="00120594">
        <w:t xml:space="preserve">payment within </w:t>
      </w:r>
      <w:r>
        <w:t>10</w:t>
      </w:r>
      <w:r w:rsidRPr="00120594">
        <w:t xml:space="preserve"> business days after the payment deadline, provided that it also pays a late fee equal to </w:t>
      </w:r>
      <w:r>
        <w:t>5</w:t>
      </w:r>
      <w:r w:rsidRPr="00120594">
        <w:t xml:space="preserve"> percent of the amount due.</w:t>
      </w:r>
      <w:r>
        <w:rPr>
          <w:rStyle w:val="FootnoteReference"/>
        </w:rPr>
        <w:footnoteReference w:id="29"/>
      </w:r>
      <w:r w:rsidRPr="00120594">
        <w:t xml:space="preserve">  </w:t>
      </w:r>
      <w:r>
        <w:t>If</w:t>
      </w:r>
      <w:r w:rsidRPr="00120594">
        <w:t xml:space="preserve"> a winning bidder fails to pay </w:t>
      </w:r>
      <w:r>
        <w:t xml:space="preserve">(a) </w:t>
      </w:r>
      <w:r w:rsidRPr="00120594">
        <w:t xml:space="preserve">the balance </w:t>
      </w:r>
      <w:r>
        <w:t>due for</w:t>
      </w:r>
      <w:r w:rsidRPr="00120594">
        <w:t xml:space="preserve"> its winning bid</w:t>
      </w:r>
      <w:r>
        <w:t>(s)</w:t>
      </w:r>
      <w:r w:rsidRPr="00120594">
        <w:t xml:space="preserve"> </w:t>
      </w:r>
      <w:r>
        <w:t xml:space="preserve">by the payment deadline </w:t>
      </w:r>
      <w:r w:rsidRPr="006C0569">
        <w:t xml:space="preserve">on </w:t>
      </w:r>
      <w:r>
        <w:t>March 1, 2019</w:t>
      </w:r>
      <w:r w:rsidRPr="006C0569">
        <w:t xml:space="preserve">, </w:t>
      </w:r>
      <w:r>
        <w:t>and</w:t>
      </w:r>
      <w:r w:rsidRPr="006C0569">
        <w:t xml:space="preserve"> (b) the balance of its winning bid</w:t>
      </w:r>
      <w:r>
        <w:t>(s)</w:t>
      </w:r>
      <w:r w:rsidRPr="006C0569">
        <w:t xml:space="preserve"> plus the late fee by the late payment deadline on</w:t>
      </w:r>
      <w:r>
        <w:t xml:space="preserve"> March 15, 2019</w:t>
      </w:r>
      <w:r w:rsidRPr="006C0569">
        <w:t>, it will</w:t>
      </w:r>
      <w:r w:rsidRPr="00120594">
        <w:t xml:space="preserve"> be deemed to have defaulted</w:t>
      </w:r>
      <w:r>
        <w:t xml:space="preserve">, and it will be </w:t>
      </w:r>
      <w:r w:rsidRPr="00120594">
        <w:t>subject to applicable default payments.</w:t>
      </w:r>
      <w:r>
        <w:rPr>
          <w:rStyle w:val="FootnoteReference"/>
        </w:rPr>
        <w:footnoteReference w:id="30"/>
      </w:r>
    </w:p>
    <w:p w:rsidR="001850EB" w:rsidP="001850EB">
      <w:pPr>
        <w:pStyle w:val="ParaNum"/>
        <w:widowControl/>
      </w:pPr>
      <w:r>
        <w:t>The Commission will review an applicant’s long-form application (FCC Form 601) only after receipt of full and timely payment for the winning bid(s) and any applicable late fees.  The relevant l</w:t>
      </w:r>
      <w:r w:rsidRPr="00545F16">
        <w:t xml:space="preserve">icense </w:t>
      </w:r>
      <w:r w:rsidRPr="00067D3E">
        <w:t xml:space="preserve">will be </w:t>
      </w:r>
      <w:r>
        <w:t>granted only after full and timely payment of any winning bids (and any applicable late fees) and a determination that the</w:t>
      </w:r>
      <w:r w:rsidRPr="00067D3E">
        <w:t xml:space="preserve"> long-form application meets Commission requirements for grant.</w:t>
      </w:r>
      <w:r>
        <w:rPr>
          <w:rStyle w:val="FootnoteReference"/>
        </w:rPr>
        <w:footnoteReference w:id="31"/>
      </w:r>
      <w:r w:rsidRPr="00067D3E">
        <w:t xml:space="preserve">  </w:t>
      </w:r>
    </w:p>
    <w:p w:rsidR="001850EB" w:rsidRPr="00545F16" w:rsidP="001850EB">
      <w:pPr>
        <w:pStyle w:val="ParaNum"/>
        <w:widowControl/>
      </w:pPr>
      <w:r>
        <w:t>A bidder</w:t>
      </w:r>
      <w:r w:rsidRPr="00545F16">
        <w:t xml:space="preserve">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w:t>
      </w:r>
      <w:r>
        <w:t>s</w:t>
      </w:r>
      <w:r w:rsidRPr="00545F16">
        <w:t xml:space="preserve">, in addition to any other applicable sanctions, </w:t>
      </w:r>
      <w:r>
        <w:t>may</w:t>
      </w:r>
      <w:r w:rsidRPr="00545F16">
        <w:t xml:space="preserve"> be subject</w:t>
      </w:r>
      <w:r>
        <w:t xml:space="preserve"> </w:t>
      </w:r>
      <w:r w:rsidRPr="00545F16">
        <w:t xml:space="preserve">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Pr>
          <w:rStyle w:val="FootnoteReference"/>
        </w:rPr>
        <w:footnoteReference w:id="32"/>
      </w:r>
    </w:p>
    <w:bookmarkEnd w:id="14"/>
    <w:bookmarkEnd w:id="15"/>
    <w:bookmarkEnd w:id="16"/>
    <w:bookmarkEnd w:id="17"/>
    <w:bookmarkEnd w:id="18"/>
    <w:bookmarkEnd w:id="19"/>
    <w:bookmarkEnd w:id="20"/>
    <w:bookmarkEnd w:id="21"/>
    <w:bookmarkEnd w:id="22"/>
    <w:p w:rsidR="001850EB" w:rsidRPr="00545F16" w:rsidP="001850EB">
      <w:pPr>
        <w:pStyle w:val="Heading2"/>
        <w:widowControl/>
      </w:pPr>
      <w:r w:rsidRPr="00545F16">
        <w:t>Refund of Excess Payments</w:t>
      </w:r>
    </w:p>
    <w:p w:rsidR="001850EB" w:rsidP="001850EB">
      <w:pPr>
        <w:pStyle w:val="ParaNum"/>
        <w:widowControl/>
      </w:pPr>
      <w:r>
        <w:rPr>
          <w:szCs w:val="22"/>
        </w:rPr>
        <w:t xml:space="preserve">Upfront payment monies on deposit with the Commission that are </w:t>
      </w:r>
      <w:r>
        <w:rPr>
          <w:szCs w:val="22"/>
        </w:rPr>
        <w:t>in excess of</w:t>
      </w:r>
      <w:r>
        <w:rPr>
          <w:szCs w:val="22"/>
        </w:rPr>
        <w:t xml:space="preserve"> an applicant’s Auction 101 obligations will be refunded to the payer of record, as identified on the FCC Form 159 submitted with the applicant’s upfront payment</w:t>
      </w:r>
      <w:r>
        <w:t>, unless that payer submits written authorization instructing otherwise.</w:t>
      </w:r>
      <w:r>
        <w:rPr>
          <w:rStyle w:val="FootnoteReference"/>
          <w:szCs w:val="22"/>
        </w:rPr>
        <w:footnoteReference w:id="33"/>
      </w:r>
      <w:r>
        <w:t xml:space="preserve">  To receive a refund, an </w:t>
      </w:r>
      <w:r w:rsidRPr="00226613">
        <w:t>applicant must submit a</w:t>
      </w:r>
      <w:r>
        <w:t xml:space="preserve"> written</w:t>
      </w:r>
      <w:r w:rsidRPr="00226613">
        <w:t xml:space="preserve"> refund </w:t>
      </w:r>
      <w:r w:rsidRPr="00226613">
        <w:t xml:space="preserve">request </w:t>
      </w:r>
      <w:r>
        <w:t>with the information indicated in paragraph 27</w:t>
      </w:r>
      <w:r w:rsidRPr="00226613">
        <w:t xml:space="preserve">.  </w:t>
      </w:r>
      <w:bookmarkStart w:id="23" w:name="_Hlk536189148"/>
      <w:r w:rsidRPr="00226613">
        <w:t xml:space="preserve">Each applicant can provide this information by using the </w:t>
      </w:r>
      <w:r w:rsidRPr="009E1928">
        <w:t xml:space="preserve">FCC auction </w:t>
      </w:r>
      <w:r>
        <w:t xml:space="preserve">application </w:t>
      </w:r>
      <w:r w:rsidRPr="00021DA0">
        <w:t>s</w:t>
      </w:r>
      <w:r w:rsidRPr="009E1928">
        <w:t>ystem</w:t>
      </w:r>
      <w:r w:rsidRPr="00226613">
        <w:t xml:space="preserve"> </w:t>
      </w:r>
      <w:r>
        <w:t>to file its refund</w:t>
      </w:r>
      <w:r w:rsidRPr="0081691F">
        <w:t xml:space="preserve"> </w:t>
      </w:r>
      <w:r>
        <w:t xml:space="preserve">information electronically using the </w:t>
      </w:r>
      <w:r w:rsidRPr="00021DA0">
        <w:rPr>
          <w:b/>
        </w:rPr>
        <w:t xml:space="preserve">Refund </w:t>
      </w:r>
      <w:r>
        <w:rPr>
          <w:b/>
        </w:rPr>
        <w:t>Form</w:t>
      </w:r>
      <w:r>
        <w:t xml:space="preserve"> icon found on the </w:t>
      </w:r>
      <w:r w:rsidRPr="00021DA0">
        <w:rPr>
          <w:i/>
        </w:rPr>
        <w:t>Auction Application Manager</w:t>
      </w:r>
      <w:r>
        <w:t xml:space="preserve"> page</w:t>
      </w:r>
      <w:r w:rsidRPr="00465638">
        <w:t xml:space="preserve">.  </w:t>
      </w:r>
      <w:r>
        <w:t xml:space="preserve">After the required information is completed on the blank form, the form should be printed, signed, and submitted to the Commission by fax, email, or mail as instructed below. </w:t>
      </w:r>
    </w:p>
    <w:p w:rsidR="001850EB" w:rsidP="001850EB">
      <w:pPr>
        <w:pStyle w:val="ParaNum"/>
        <w:widowControl/>
      </w:pPr>
      <w:r>
        <w:t xml:space="preserve">If you have elected not to access the Refund Form through the </w:t>
      </w:r>
      <w:r w:rsidRPr="002916AB">
        <w:rPr>
          <w:i/>
        </w:rPr>
        <w:t>Auction Application Manager</w:t>
      </w:r>
      <w:r>
        <w:t xml:space="preserve"> page</w:t>
      </w:r>
      <w:r w:rsidRPr="0081691F">
        <w:t xml:space="preserve">, </w:t>
      </w:r>
      <w:r>
        <w:t>the Commission requests that all information listed below be supplied in writing.</w:t>
      </w:r>
      <w:bookmarkEnd w:id="23"/>
    </w:p>
    <w:p w:rsidR="001850EB" w:rsidP="001850EB">
      <w:pPr>
        <w:keepNext/>
        <w:keepLines/>
        <w:widowControl/>
        <w:ind w:left="1440" w:firstLine="720"/>
      </w:pPr>
      <w:r>
        <w:t>Name, address, contact, and phone number of Bank</w:t>
      </w:r>
    </w:p>
    <w:p w:rsidR="001850EB" w:rsidP="001850EB">
      <w:pPr>
        <w:keepNext/>
        <w:keepLines/>
        <w:widowControl/>
        <w:ind w:left="1440" w:firstLine="720"/>
      </w:pPr>
      <w:r>
        <w:t xml:space="preserve">ABA Number </w:t>
      </w:r>
    </w:p>
    <w:p w:rsidR="001850EB" w:rsidP="001850EB">
      <w:pPr>
        <w:keepNext/>
        <w:keepLines/>
        <w:widowControl/>
        <w:ind w:left="1440" w:firstLine="720"/>
      </w:pPr>
      <w:r>
        <w:t>Account Number to Credit</w:t>
      </w:r>
    </w:p>
    <w:p w:rsidR="001850EB" w:rsidP="001850EB">
      <w:pPr>
        <w:keepNext/>
        <w:keepLines/>
        <w:widowControl/>
        <w:ind w:left="1440" w:firstLine="720"/>
      </w:pPr>
      <w:r>
        <w:t>Name of Account Holder</w:t>
      </w:r>
    </w:p>
    <w:p w:rsidR="001850EB" w:rsidP="001850EB">
      <w:pPr>
        <w:keepNext/>
        <w:keepLines/>
        <w:widowControl/>
        <w:spacing w:after="240"/>
        <w:ind w:left="1440" w:firstLine="720"/>
      </w:pPr>
      <w:r>
        <w:t>FCC Registration Number (FRN)</w:t>
      </w:r>
    </w:p>
    <w:p w:rsidR="001850EB" w:rsidP="001850EB">
      <w:pPr>
        <w:pStyle w:val="ParaNum"/>
        <w:widowControl/>
        <w:numPr>
          <w:ilvl w:val="0"/>
          <w:numId w:val="0"/>
        </w:numPr>
      </w:pPr>
      <w:r>
        <w:t>The refund request must be submitted by fax to the Revenue &amp; Receivables Operations Group/Auctions at (202) 418-2843</w:t>
      </w:r>
      <w:r w:rsidRPr="005712E5">
        <w:rPr>
          <w:szCs w:val="22"/>
        </w:rPr>
        <w:t xml:space="preserve">, by email to </w:t>
      </w:r>
      <w:hyperlink r:id="rId6" w:history="1">
        <w:r w:rsidRPr="005712E5">
          <w:rPr>
            <w:rStyle w:val="Hyperlink"/>
            <w:szCs w:val="22"/>
          </w:rPr>
          <w:t>RROGWIREFAXES@fcc.gov</w:t>
        </w:r>
      </w:hyperlink>
      <w:r w:rsidRPr="005712E5">
        <w:rPr>
          <w:szCs w:val="22"/>
        </w:rPr>
        <w:t>,</w:t>
      </w:r>
      <w:r>
        <w:t xml:space="preserve"> or by mail to: </w:t>
      </w:r>
    </w:p>
    <w:p w:rsidR="001850EB" w:rsidP="001850EB">
      <w:pPr>
        <w:keepNext/>
        <w:keepLines/>
        <w:widowControl/>
        <w:ind w:left="1440" w:firstLine="720"/>
      </w:pPr>
      <w:r>
        <w:t>Federal Communications Commission</w:t>
      </w:r>
    </w:p>
    <w:p w:rsidR="001850EB" w:rsidP="001850EB">
      <w:pPr>
        <w:keepNext/>
        <w:keepLines/>
        <w:widowControl/>
        <w:ind w:left="1440" w:firstLine="720"/>
      </w:pPr>
      <w:r>
        <w:t>Financial Operations</w:t>
      </w:r>
    </w:p>
    <w:p w:rsidR="001850EB" w:rsidP="001850EB">
      <w:pPr>
        <w:keepNext/>
        <w:keepLines/>
        <w:widowControl/>
        <w:ind w:left="1440" w:firstLine="720"/>
      </w:pPr>
      <w:r>
        <w:t>Revenue &amp; Receivables Operations Group/Auctions</w:t>
      </w:r>
    </w:p>
    <w:p w:rsidR="001850EB" w:rsidP="001850EB">
      <w:pPr>
        <w:keepNext/>
        <w:keepLines/>
        <w:widowControl/>
        <w:ind w:left="1440" w:firstLine="720"/>
      </w:pPr>
      <w:r>
        <w:t>Gail Glasser</w:t>
      </w:r>
    </w:p>
    <w:p w:rsidR="001850EB" w:rsidP="001850EB">
      <w:pPr>
        <w:keepNext/>
        <w:keepLines/>
        <w:widowControl/>
        <w:ind w:left="1440" w:firstLine="720"/>
      </w:pPr>
      <w:r>
        <w:t>445 12</w:t>
      </w:r>
      <w:r w:rsidRPr="00021DA0">
        <w:rPr>
          <w:vertAlign w:val="superscript"/>
        </w:rPr>
        <w:t>th</w:t>
      </w:r>
      <w:r>
        <w:t xml:space="preserve"> Street, SW, Room 1-C864</w:t>
      </w:r>
    </w:p>
    <w:p w:rsidR="001850EB" w:rsidP="001850EB">
      <w:pPr>
        <w:widowControl/>
        <w:spacing w:after="240"/>
        <w:ind w:left="1440" w:firstLine="720"/>
      </w:pPr>
      <w:r>
        <w:t>Washington, DC 20554</w:t>
      </w:r>
    </w:p>
    <w:p w:rsidR="001850EB" w:rsidP="001850EB">
      <w:pPr>
        <w:pStyle w:val="ParaNum"/>
        <w:widowControl/>
      </w:pPr>
      <w:r>
        <w:t xml:space="preserve">An applicant seeking a refund should verify that the Tax Identification Number (TIN) associated with its FRN is correct by visiting the FCC Registration Number website at </w:t>
      </w:r>
      <w:hyperlink r:id="rId7" w:history="1">
        <w:r w:rsidRPr="000E07DD">
          <w:rPr>
            <w:rStyle w:val="Hyperlink"/>
          </w:rPr>
          <w:t>https://apps.fcc.gov/coresWeb/publicHome.do</w:t>
        </w:r>
      </w:hyperlink>
      <w:r>
        <w:t xml:space="preserve"> to update its records before submitting a refund request.  </w:t>
      </w:r>
      <w:r>
        <w:rPr>
          <w:szCs w:val="22"/>
        </w:rPr>
        <w:t xml:space="preserve">A refund request related to </w:t>
      </w:r>
      <w:r>
        <w:t>an FRN with no TIN on file cannot be processed until a TIN is provided.</w:t>
      </w:r>
    </w:p>
    <w:p w:rsidR="001850EB" w:rsidRPr="0081691F" w:rsidP="001850EB">
      <w:pPr>
        <w:pStyle w:val="ParaNum"/>
        <w:widowControl/>
      </w:pPr>
      <w:r w:rsidRPr="005712E5">
        <w:rPr>
          <w:szCs w:val="22"/>
        </w:rPr>
        <w:t>Refund processing generally takes up to two weeks to complete.</w:t>
      </w:r>
      <w:r>
        <w:rPr>
          <w:szCs w:val="22"/>
        </w:rPr>
        <w:t xml:space="preserve">  </w:t>
      </w:r>
      <w:r w:rsidRPr="0081691F">
        <w:t xml:space="preserve">Any questions concerning refunds should be </w:t>
      </w:r>
      <w:r>
        <w:t>directed</w:t>
      </w:r>
      <w:r w:rsidRPr="0081691F">
        <w:t xml:space="preserve"> to Gail Glasser at (202) 418-0578</w:t>
      </w:r>
      <w:r>
        <w:t xml:space="preserve">, </w:t>
      </w:r>
      <w:hyperlink r:id="rId5" w:history="1">
        <w:r w:rsidRPr="00531DBE">
          <w:rPr>
            <w:rStyle w:val="Hyperlink"/>
          </w:rPr>
          <w:t>Gail.Glasser@fcc.gov</w:t>
        </w:r>
      </w:hyperlink>
      <w:r w:rsidRPr="0081691F">
        <w:t>.</w:t>
      </w:r>
      <w:r>
        <w:t xml:space="preserve">  </w:t>
      </w:r>
      <w:r w:rsidRPr="00F17DC0">
        <w:rPr>
          <w:color w:val="000000"/>
          <w:szCs w:val="22"/>
        </w:rPr>
        <w:t xml:space="preserve">OMD staff may also be reached through the FCC Auctions Hotline at (717) 338-2868.  </w:t>
      </w:r>
    </w:p>
    <w:p w:rsidR="001850EB" w:rsidRPr="0081691F" w:rsidP="001850EB">
      <w:pPr>
        <w:pStyle w:val="Heading2"/>
        <w:widowControl/>
      </w:pPr>
      <w:r>
        <w:t>Post-Auction (Long-Form) License Application (</w:t>
      </w:r>
      <w:r w:rsidRPr="0081691F">
        <w:t xml:space="preserve">FCC Form </w:t>
      </w:r>
      <w:r>
        <w:t>601)</w:t>
      </w:r>
      <w:r w:rsidRPr="00F830F4">
        <w:rPr>
          <w:szCs w:val="22"/>
        </w:rPr>
        <w:t xml:space="preserve"> </w:t>
      </w:r>
      <w:r>
        <w:rPr>
          <w:szCs w:val="22"/>
        </w:rPr>
        <w:t>– Due Before 6:00 p.m. ET on February 14, 2019</w:t>
      </w:r>
    </w:p>
    <w:p w:rsidR="001850EB" w:rsidP="001850EB">
      <w:pPr>
        <w:pStyle w:val="ParaNum"/>
        <w:widowControl/>
      </w:pPr>
      <w:r>
        <w:t>E</w:t>
      </w:r>
      <w:r w:rsidRPr="006C0569">
        <w:t xml:space="preserve">ach winning bidder must </w:t>
      </w:r>
      <w:r>
        <w:t xml:space="preserve">submit </w:t>
      </w:r>
      <w:r w:rsidRPr="006C0569">
        <w:t>electronically a properly-completed long-form application (FCC Form 601) for</w:t>
      </w:r>
      <w:r>
        <w:t xml:space="preserve"> all licenses </w:t>
      </w:r>
      <w:r w:rsidRPr="00545F16">
        <w:t xml:space="preserve">for which </w:t>
      </w:r>
      <w:r>
        <w:t>it was</w:t>
      </w:r>
      <w:r w:rsidRPr="00545F16">
        <w:t xml:space="preserve"> the winning bidder</w:t>
      </w:r>
      <w:r>
        <w:t xml:space="preserve"> in Auction 101 before </w:t>
      </w:r>
      <w:r w:rsidRPr="00961601">
        <w:rPr>
          <w:b/>
        </w:rPr>
        <w:t xml:space="preserve">6:00 p.m. ET on </w:t>
      </w:r>
      <w:r>
        <w:rPr>
          <w:b/>
        </w:rPr>
        <w:t>February 14, 2019</w:t>
      </w:r>
      <w:r w:rsidRPr="005869DD">
        <w:t xml:space="preserve">.  </w:t>
      </w:r>
    </w:p>
    <w:p w:rsidR="001850EB" w:rsidRPr="007B1B2D" w:rsidP="001850EB">
      <w:pPr>
        <w:pStyle w:val="ParaNum"/>
        <w:widowControl/>
        <w:tabs>
          <w:tab w:val="clear" w:pos="1440"/>
        </w:tabs>
        <w:rPr>
          <w:snapToGrid/>
          <w:kern w:val="0"/>
          <w:sz w:val="24"/>
          <w:szCs w:val="24"/>
        </w:rPr>
      </w:pPr>
      <w:r>
        <w:t>I</w:t>
      </w:r>
      <w:r w:rsidRPr="00545F16">
        <w:t xml:space="preserve">nstructions for completing the </w:t>
      </w:r>
      <w:r>
        <w:t>long-form application (FCC Form 601) are available on the Auction 101 website (</w:t>
      </w:r>
      <w:hyperlink r:id="rId8" w:history="1">
        <w:r w:rsidRPr="00E000CE">
          <w:rPr>
            <w:rStyle w:val="Hyperlink"/>
          </w:rPr>
          <w:t>www.fcc.gov/auction/101</w:t>
        </w:r>
      </w:hyperlink>
      <w:r>
        <w:t>) under the “Education” tab (</w:t>
      </w:r>
      <w:r w:rsidRPr="00545F16">
        <w:t xml:space="preserve">Instructions for Completing FCC Form 601 </w:t>
      </w:r>
      <w:r>
        <w:t>and</w:t>
      </w:r>
      <w:r w:rsidRPr="00545F16">
        <w:t xml:space="preserve"> </w:t>
      </w:r>
      <w:r>
        <w:t xml:space="preserve">FCC </w:t>
      </w:r>
      <w:r w:rsidRPr="00545F16">
        <w:t>Form 602</w:t>
      </w:r>
      <w:r>
        <w:t xml:space="preserve">).  These instructions also describe how certain information will be automatically transferred from a winning bidder’s short-form application (FCC Form 175) to its long-form application (FCC Form 601).  </w:t>
      </w:r>
      <w:r>
        <w:rPr>
          <w:szCs w:val="22"/>
        </w:rPr>
        <w:t>A winning bidder claiming eligibility for a small business bidding credit or a rural service provider bidding credit must demonstrate its eligibility in its long-form application for the bidding credit claimed.</w:t>
      </w:r>
      <w:r>
        <w:rPr>
          <w:rStyle w:val="FootnoteReference"/>
        </w:rPr>
        <w:footnoteReference w:id="34"/>
      </w:r>
      <w:r>
        <w:rPr>
          <w:szCs w:val="22"/>
        </w:rPr>
        <w:t xml:space="preserve">  Winning bidders organized as bidding consortia must comply with the FCC Form 601 post-auction application procedures set forth in Section 1.2107(g) </w:t>
      </w:r>
      <w:r>
        <w:rPr>
          <w:szCs w:val="22"/>
        </w:rPr>
        <w:t>of the Commission’s rules.</w:t>
      </w:r>
      <w:r>
        <w:rPr>
          <w:rStyle w:val="FootnoteReference"/>
        </w:rPr>
        <w:footnoteReference w:id="35"/>
      </w:r>
      <w:r>
        <w:rPr>
          <w:rStyle w:val="FootnoteReference"/>
        </w:rPr>
        <w:t xml:space="preserve"> </w:t>
      </w:r>
      <w:r>
        <w:rPr>
          <w:szCs w:val="22"/>
        </w:rPr>
        <w:t xml:space="preserve"> For further information regarding long-form application filing requirements, including specific requirements for applicants requesting a bidding credit and for winning bidders organized as consortia, please see the </w:t>
      </w:r>
      <w:r w:rsidRPr="00545F16">
        <w:t xml:space="preserve">Instructions for Completing FCC Form 601 </w:t>
      </w:r>
      <w:r>
        <w:t>and</w:t>
      </w:r>
      <w:r w:rsidRPr="00545F16">
        <w:t xml:space="preserve"> </w:t>
      </w:r>
      <w:r>
        <w:t xml:space="preserve">FCC </w:t>
      </w:r>
      <w:r w:rsidRPr="00545F16">
        <w:t>Form 602</w:t>
      </w:r>
      <w:r>
        <w:rPr>
          <w:szCs w:val="22"/>
        </w:rPr>
        <w:t>.</w:t>
      </w:r>
    </w:p>
    <w:p w:rsidR="001850EB" w:rsidRPr="00E44BE5" w:rsidP="001850EB">
      <w:pPr>
        <w:pStyle w:val="ParaNum"/>
        <w:widowControl/>
      </w:pPr>
      <w:r w:rsidRPr="00E44BE5">
        <w:t>A</w:t>
      </w:r>
      <w:r>
        <w:t xml:space="preserve"> winning bidder</w:t>
      </w:r>
      <w:r w:rsidRPr="00E44BE5">
        <w:t xml:space="preserve"> that fails to submit the required long-form application before the specified deadline </w:t>
      </w:r>
      <w:r>
        <w:t xml:space="preserve">in this Public Notice </w:t>
      </w:r>
      <w:r w:rsidRPr="00E44BE5">
        <w:t xml:space="preserve">and fails to establish good cause for any late-filed submission shall be deemed to have defaulted and shall be subject to the payments set forth in </w:t>
      </w:r>
      <w:r>
        <w:t>S</w:t>
      </w:r>
      <w:r w:rsidRPr="00E44BE5">
        <w:t>ection 1.2104(g) of the Commission’s rules.</w:t>
      </w:r>
      <w:r>
        <w:rPr>
          <w:rStyle w:val="FootnoteReference"/>
          <w:bCs/>
        </w:rPr>
        <w:footnoteReference w:id="36"/>
      </w:r>
    </w:p>
    <w:p w:rsidR="001850EB" w:rsidRPr="00545F16" w:rsidP="001850EB">
      <w:pPr>
        <w:pStyle w:val="Heading2"/>
        <w:widowControl/>
      </w:pPr>
      <w:r w:rsidRPr="00545F16">
        <w:t>Tribal Land</w:t>
      </w:r>
      <w:r>
        <w:t>s</w:t>
      </w:r>
      <w:r w:rsidRPr="00545F16">
        <w:t xml:space="preserve"> Bidding Credit</w:t>
      </w:r>
    </w:p>
    <w:p w:rsidR="001850EB" w:rsidP="001850EB">
      <w:pPr>
        <w:pStyle w:val="ParaNum"/>
        <w:widowControl/>
        <w:tabs>
          <w:tab w:val="clear" w:pos="1440"/>
        </w:tabs>
        <w:rPr>
          <w:snapToGrid/>
          <w:szCs w:val="22"/>
        </w:rPr>
      </w:pPr>
      <w:r>
        <w:t xml:space="preserve">The Commission has implemented a tribal lands bidding credit to encourage the growth of wireless services on the lands of federally-recognized tribes.  </w:t>
      </w:r>
      <w:r>
        <w:rPr>
          <w:szCs w:val="22"/>
        </w:rPr>
        <w:t>A winning bidder that intends to use its license(s) to deploy facilities and to provide services to federally-recognized tribal lands that are unserved by any telecommunications carrier or that have a wireline penetration rate equal to or less than 85 percent is eligible to receive a tribal lands bidding credit as set forth in Sections 1.2107 and 1.2110(f) of the Commission’s rules.</w:t>
      </w:r>
      <w:r>
        <w:rPr>
          <w:rStyle w:val="FootnoteReference"/>
        </w:rPr>
        <w:footnoteReference w:id="37"/>
      </w:r>
      <w:r>
        <w:rPr>
          <w:rStyle w:val="FootnoteReference"/>
        </w:rPr>
        <w:t xml:space="preserve"> </w:t>
      </w:r>
      <w:r>
        <w:rPr>
          <w:szCs w:val="22"/>
        </w:rPr>
        <w:t xml:space="preserve"> A tribal lands bidding credit is in addition to, and separate from, any other bidding credit for which a winning bidder may qualify.</w:t>
      </w:r>
    </w:p>
    <w:p w:rsidR="001850EB" w:rsidP="001850EB">
      <w:pPr>
        <w:pStyle w:val="ParaNum"/>
        <w:widowControl/>
        <w:tabs>
          <w:tab w:val="clear" w:pos="1440"/>
        </w:tabs>
      </w:pPr>
      <w:r>
        <w:t xml:space="preserve">Unlike other bidding credits that are requested prior to the auction, a winning bidder applies for the tribal lands bidding credit after the auction when it files its FCC Form 601 post-auction application.  </w:t>
      </w:r>
      <w:r w:rsidRPr="00F61A18">
        <w:t>The winn</w:t>
      </w:r>
      <w:r>
        <w:t>ing</w:t>
      </w:r>
      <w:r w:rsidRPr="00F61A18">
        <w:t xml:space="preserve"> bidder should file a single separate application for </w:t>
      </w:r>
      <w:r w:rsidRPr="00F61A18">
        <w:t>all of</w:t>
      </w:r>
      <w:r w:rsidRPr="00F61A18">
        <w:t xml:space="preserve"> the licenses won in the auction for which the winning bidder intends to seek a tribal lands bidding credit.</w:t>
      </w:r>
      <w:r>
        <w:rPr>
          <w:color w:val="FF0000"/>
        </w:rPr>
        <w:t xml:space="preserve"> </w:t>
      </w:r>
      <w:r w:rsidR="00A218C1">
        <w:rPr>
          <w:color w:val="FF0000"/>
        </w:rPr>
        <w:t xml:space="preserve"> </w:t>
      </w:r>
      <w:r>
        <w:t xml:space="preserve">When initially filing </w:t>
      </w:r>
      <w:r>
        <w:t>this tribal lands</w:t>
      </w:r>
      <w:r>
        <w:t xml:space="preserve"> bidding credit specific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post-auction application filing window to amend its application to select the specific tribal lands to be served and to provide the required tribal government certifications.  Licensees receiving a tribal lands bidding credit are subject to performance criteria as set forth in Section 1.2110(f)(3)(vii) of the Commission’s rules.</w:t>
      </w:r>
      <w:r>
        <w:rPr>
          <w:rStyle w:val="FootnoteReference"/>
        </w:rPr>
        <w:footnoteReference w:id="38"/>
      </w:r>
      <w:r>
        <w:t xml:space="preserve">  </w:t>
      </w:r>
    </w:p>
    <w:p w:rsidR="001850EB" w:rsidP="001850EB">
      <w:pPr>
        <w:pStyle w:val="ParaNum"/>
        <w:widowControl/>
        <w:tabs>
          <w:tab w:val="clear" w:pos="1440"/>
        </w:tabs>
        <w:rPr>
          <w:kern w:val="0"/>
          <w:sz w:val="24"/>
          <w:szCs w:val="24"/>
        </w:rPr>
      </w:pPr>
      <w:r>
        <w:t>For additional information on the tribal lands bidding credit, including how the amount of the credit is calculated, applicants should review the Commission’s rulemaking proceeding regarding tribal lands bidding credits and related public notices.</w:t>
      </w:r>
      <w:r>
        <w:rPr>
          <w:rStyle w:val="FootnoteReference"/>
        </w:rPr>
        <w:footnoteReference w:id="39"/>
      </w:r>
      <w:r>
        <w:t xml:space="preserve">  For additional information about the information </w:t>
      </w:r>
      <w:r>
        <w:t xml:space="preserve">that a winning bidder must provide in its long-form application if it wishes to claim the tribal lands bidding credit, please see the </w:t>
      </w:r>
      <w:r w:rsidRPr="00545F16">
        <w:t xml:space="preserve">Instructions for Completing FCC Form 601 </w:t>
      </w:r>
      <w:r>
        <w:t>and</w:t>
      </w:r>
      <w:r w:rsidRPr="00545F16">
        <w:t xml:space="preserve"> </w:t>
      </w:r>
      <w:r>
        <w:t xml:space="preserve">FCC </w:t>
      </w:r>
      <w:r w:rsidRPr="00545F16">
        <w:t>Form 602</w:t>
      </w:r>
      <w:r>
        <w:t>.</w:t>
      </w:r>
      <w:r>
        <w:rPr>
          <w:kern w:val="0"/>
          <w:sz w:val="24"/>
          <w:szCs w:val="24"/>
        </w:rPr>
        <w:t xml:space="preserve"> </w:t>
      </w:r>
    </w:p>
    <w:p w:rsidR="001850EB" w:rsidRPr="00240CD9" w:rsidP="001850EB">
      <w:pPr>
        <w:pStyle w:val="Heading2"/>
        <w:widowControl/>
      </w:pPr>
      <w:r>
        <w:t>Ownership Disclosure Information Report (</w:t>
      </w:r>
      <w:r w:rsidRPr="00240CD9">
        <w:t>FCC Form 602</w:t>
      </w:r>
      <w:r>
        <w:t>)</w:t>
      </w:r>
    </w:p>
    <w:p w:rsidR="001850EB" w:rsidRPr="00B80E10" w:rsidP="001850EB">
      <w:pPr>
        <w:pStyle w:val="ParaNum"/>
        <w:widowControl/>
      </w:pPr>
      <w:r w:rsidRPr="00240CD9">
        <w:t xml:space="preserve">Pursuant to </w:t>
      </w:r>
      <w:r>
        <w:t>S</w:t>
      </w:r>
      <w:r w:rsidRPr="00240CD9">
        <w:t xml:space="preserve">ections </w:t>
      </w:r>
      <w:r>
        <w:t xml:space="preserve">1.913, </w:t>
      </w:r>
      <w:r w:rsidRPr="00240CD9">
        <w:t>1.919</w:t>
      </w:r>
      <w:r>
        <w:t>,</w:t>
      </w:r>
      <w:r w:rsidRPr="00240CD9">
        <w:t xml:space="preserve"> and 1.2107(f) of the Commission’s rules, an applicant for a license </w:t>
      </w:r>
      <w:r>
        <w:t>offered at auction</w:t>
      </w:r>
      <w:r w:rsidRPr="00240CD9">
        <w:t xml:space="preserve"> must</w:t>
      </w:r>
      <w:r>
        <w:t xml:space="preserve">, at the time of submitting its FCC Form 601, </w:t>
      </w:r>
      <w:r w:rsidRPr="00240CD9">
        <w:t xml:space="preserve">have on file with the Commission a current </w:t>
      </w:r>
      <w:r>
        <w:t>ownership disclosure information report (</w:t>
      </w:r>
      <w:r w:rsidRPr="00240CD9">
        <w:t>FCC Form 602</w:t>
      </w:r>
      <w:r>
        <w:t>) that provides</w:t>
      </w:r>
      <w:r w:rsidRPr="00240CD9">
        <w:t xml:space="preserve"> the applicant’s complete and accurate ownership information.</w:t>
      </w:r>
      <w:r>
        <w:rPr>
          <w:rStyle w:val="FootnoteReference"/>
        </w:rPr>
        <w:footnoteReference w:id="40"/>
      </w:r>
      <w:r w:rsidRPr="00240CD9">
        <w:t xml:space="preserve">  </w:t>
      </w:r>
      <w:r>
        <w:t>As explaine</w:t>
      </w:r>
      <w:r w:rsidRPr="00FF26ED">
        <w:t xml:space="preserve">d in </w:t>
      </w:r>
      <w:r>
        <w:t xml:space="preserve">the </w:t>
      </w:r>
      <w:r w:rsidRPr="00545F16">
        <w:t xml:space="preserve">Instructions for Completing FCC Form 601 </w:t>
      </w:r>
      <w:r>
        <w:t>and</w:t>
      </w:r>
      <w:r w:rsidRPr="00545F16">
        <w:t xml:space="preserve"> </w:t>
      </w:r>
      <w:r>
        <w:t xml:space="preserve">FCC </w:t>
      </w:r>
      <w:r w:rsidRPr="00545F16">
        <w:t>Form 602</w:t>
      </w:r>
      <w:r w:rsidRPr="005869DD">
        <w:t>,</w:t>
      </w:r>
      <w:r w:rsidRPr="00FF26ED">
        <w:t xml:space="preserve"> fili</w:t>
      </w:r>
      <w:r w:rsidRPr="00DA06C1">
        <w:t>ng</w:t>
      </w:r>
      <w:r w:rsidRPr="00240CD9">
        <w:t xml:space="preserve"> an</w:t>
      </w:r>
      <w:r>
        <w:t xml:space="preserve"> ownership disclosure information report</w:t>
      </w:r>
      <w:r w:rsidRPr="00240CD9">
        <w:t xml:space="preserve"> </w:t>
      </w:r>
      <w:r>
        <w:t>(</w:t>
      </w:r>
      <w:r w:rsidRPr="00240CD9">
        <w:t>FCC Form 602</w:t>
      </w:r>
      <w:r>
        <w:t>)</w:t>
      </w:r>
      <w:r w:rsidRPr="00240CD9">
        <w:t xml:space="preserve"> is a separate requirement from, and in addition to, the ownership reporting requirements associated with filing </w:t>
      </w:r>
      <w:r>
        <w:t xml:space="preserve">an </w:t>
      </w:r>
      <w:r w:rsidRPr="00240CD9">
        <w:t>FCC Form 601, Exhibit A</w:t>
      </w:r>
      <w:r w:rsidRPr="00B80E10">
        <w:t>.</w:t>
      </w:r>
      <w:r>
        <w:rPr>
          <w:rStyle w:val="FootnoteReference"/>
        </w:rPr>
        <w:footnoteReference w:id="41"/>
      </w:r>
      <w:r>
        <w:t xml:space="preserve">  A winning bidder should carefully follow the instructions set forth </w:t>
      </w:r>
      <w:r w:rsidRPr="00FF26ED">
        <w:t xml:space="preserve">in </w:t>
      </w:r>
      <w:r>
        <w:t xml:space="preserve">the </w:t>
      </w:r>
      <w:r w:rsidRPr="00545F16">
        <w:t xml:space="preserve">Instructions for Completing FCC Form 601 </w:t>
      </w:r>
      <w:r>
        <w:t>and</w:t>
      </w:r>
      <w:r w:rsidRPr="00545F16">
        <w:t xml:space="preserve"> </w:t>
      </w:r>
      <w:r>
        <w:t xml:space="preserve">FCC </w:t>
      </w:r>
      <w:r w:rsidRPr="00545F16">
        <w:t>Form 602</w:t>
      </w:r>
      <w:r w:rsidRPr="005869DD">
        <w:t xml:space="preserve"> when</w:t>
      </w:r>
      <w:r>
        <w:t xml:space="preserve"> filing its ownership disclosure report</w:t>
      </w:r>
      <w:r w:rsidRPr="00B80E10">
        <w:t>.</w:t>
      </w:r>
      <w:r>
        <w:t xml:space="preserve">  </w:t>
      </w:r>
      <w:r w:rsidRPr="00086F51">
        <w:t>Consistent with the Commission’s</w:t>
      </w:r>
      <w:r>
        <w:t xml:space="preserve"> </w:t>
      </w:r>
      <w:r w:rsidRPr="00086F51">
        <w:t xml:space="preserve">limited information disclosure procedures for Auctions 101 and 102, </w:t>
      </w:r>
      <w:r>
        <w:t xml:space="preserve">FCC Forms 602 filed by qualified bidders in Auction 101 will not be publicly available, to ensure that </w:t>
      </w:r>
      <w:r w:rsidRPr="00086F51">
        <w:t>the identities of winning bidders will remain non-public until after the close of bidding in Auction 102</w:t>
      </w:r>
      <w:r>
        <w:t>.</w:t>
      </w:r>
      <w:r>
        <w:rPr>
          <w:rStyle w:val="FootnoteReference"/>
        </w:rPr>
        <w:footnoteReference w:id="42"/>
      </w:r>
      <w:r>
        <w:t xml:space="preserve">  These FCC Forms 602, along with the FCC Forms 601 filed by the winning bidders, will become public after the close of bidding in Auction 102.</w:t>
      </w:r>
    </w:p>
    <w:p w:rsidR="001850EB" w:rsidRPr="00545F16" w:rsidP="001850EB">
      <w:pPr>
        <w:pStyle w:val="Heading2"/>
        <w:widowControl/>
      </w:pPr>
      <w:r w:rsidRPr="00545F16">
        <w:t>Maintaining Accuracy of Information</w:t>
      </w:r>
    </w:p>
    <w:p w:rsidR="001850EB" w:rsidP="001850EB">
      <w:pPr>
        <w:pStyle w:val="ParaNum"/>
        <w:widowControl/>
      </w:pPr>
      <w:r>
        <w:t>Now that Auction 101 has</w:t>
      </w:r>
      <w:r w:rsidRPr="00545F16">
        <w:t xml:space="preserve"> close</w:t>
      </w:r>
      <w:r>
        <w:t>d</w:t>
      </w:r>
      <w:r w:rsidRPr="00545F16">
        <w:t xml:space="preserve">, all </w:t>
      </w:r>
      <w:r>
        <w:t xml:space="preserve">required </w:t>
      </w:r>
      <w:r w:rsidRPr="00545F16">
        <w:t xml:space="preserve">changes </w:t>
      </w:r>
      <w:r>
        <w:t xml:space="preserve">to an Auction 101 applicant’s information must be made by filing or amending the applicant’s long-form application(s) (FCC Form 601) </w:t>
      </w:r>
      <w:r w:rsidRPr="00545F16">
        <w:t xml:space="preserve">in </w:t>
      </w:r>
      <w:r>
        <w:t>the Commission’s Universal Licensing System (ULS)</w:t>
      </w:r>
      <w:r w:rsidRPr="00545F16">
        <w:t>.</w:t>
      </w:r>
      <w:r>
        <w:rPr>
          <w:rStyle w:val="FootnoteReference"/>
        </w:rPr>
        <w:footnoteReference w:id="43"/>
      </w:r>
      <w:r w:rsidRPr="00545F16">
        <w:t xml:space="preserve">  </w:t>
      </w:r>
      <w:r>
        <w:t>With the release of this Public Notice, an Auction 101 a</w:t>
      </w:r>
      <w:r w:rsidRPr="00545F16">
        <w:t xml:space="preserve">pplicant </w:t>
      </w:r>
      <w:r>
        <w:t>is</w:t>
      </w:r>
      <w:r w:rsidRPr="00545F16">
        <w:t xml:space="preserve"> no longer required to </w:t>
      </w:r>
      <w:r>
        <w:t xml:space="preserve">continue </w:t>
      </w:r>
      <w:r w:rsidRPr="00545F16">
        <w:t>maintain</w:t>
      </w:r>
      <w:r>
        <w:t>ing</w:t>
      </w:r>
      <w:r w:rsidRPr="00545F16">
        <w:t xml:space="preserve"> </w:t>
      </w:r>
      <w:r>
        <w:t xml:space="preserve">the </w:t>
      </w:r>
      <w:r w:rsidRPr="00545F16">
        <w:t xml:space="preserve">accuracy and completeness of information furnished </w:t>
      </w:r>
      <w:r>
        <w:t>i</w:t>
      </w:r>
      <w:r w:rsidRPr="00545F16">
        <w:t xml:space="preserve">n </w:t>
      </w:r>
      <w:r>
        <w:t>its</w:t>
      </w:r>
      <w:r w:rsidRPr="001A6B11">
        <w:t xml:space="preserve"> </w:t>
      </w:r>
      <w:r>
        <w:t xml:space="preserve">Auction 101 </w:t>
      </w:r>
      <w:r w:rsidRPr="001A6B11">
        <w:t>short-form application</w:t>
      </w:r>
      <w:r>
        <w:t xml:space="preserve"> (FCC Form 175)</w:t>
      </w:r>
      <w:r w:rsidRPr="001A6B11">
        <w:t xml:space="preserve"> and exhibits.</w:t>
      </w:r>
    </w:p>
    <w:p w:rsidR="001850EB" w:rsidRPr="00545F16" w:rsidP="001850EB">
      <w:pPr>
        <w:pStyle w:val="Heading2"/>
        <w:widowControl/>
      </w:pPr>
      <w:r w:rsidRPr="00545F16">
        <w:t>Application Processing</w:t>
      </w:r>
      <w:r>
        <w:t>, Petitions to Deny,</w:t>
      </w:r>
      <w:r w:rsidRPr="00545F16">
        <w:t xml:space="preserve"> and License Grant</w:t>
      </w:r>
    </w:p>
    <w:p w:rsidR="001850EB" w:rsidP="001850EB">
      <w:pPr>
        <w:pStyle w:val="ParaNum"/>
        <w:widowControl/>
      </w:pPr>
      <w:r>
        <w:t>After its initial review of the long-form applications, the Bureau will issue a public notice listing the applications that are acceptable for filing.</w:t>
      </w:r>
      <w:r w:rsidRPr="00CC4339">
        <w:t xml:space="preserve"> </w:t>
      </w:r>
      <w:r>
        <w:t xml:space="preserve"> Consistent with the Commission’s limited information disclosure procedures for Auctions 101 and 102, the Bureau will release a public notice listing the applications that are acceptable for filing for Auction 101 (e.g., release the names of Auction 101 winning bidders and their respective net winning bid amounts) only after the close </w:t>
      </w:r>
      <w:r w:rsidR="00E146DC">
        <w:t>of</w:t>
      </w:r>
      <w:r>
        <w:t xml:space="preserve"> bidding in Auction 102.  </w:t>
      </w:r>
      <w:r w:rsidRPr="00553AE2">
        <w:t xml:space="preserve">Pursuant to </w:t>
      </w:r>
      <w:r>
        <w:t>Section</w:t>
      </w:r>
      <w:r w:rsidRPr="00553AE2">
        <w:t xml:space="preserve"> 1.2108(b)</w:t>
      </w:r>
      <w:r>
        <w:t xml:space="preserve"> of the Commission’s rules</w:t>
      </w:r>
      <w:r w:rsidRPr="00553AE2">
        <w:t xml:space="preserve">, interested parties will have </w:t>
      </w:r>
      <w:r>
        <w:t>10</w:t>
      </w:r>
      <w:r w:rsidRPr="00D60359">
        <w:rPr>
          <w:b/>
        </w:rPr>
        <w:t xml:space="preserve"> </w:t>
      </w:r>
      <w:r w:rsidRPr="00553AE2">
        <w:t xml:space="preserve">days </w:t>
      </w:r>
      <w:r>
        <w:t xml:space="preserve">from the release of that public notice within which </w:t>
      </w:r>
      <w:r w:rsidRPr="00553AE2">
        <w:t xml:space="preserve">to file petitions to deny </w:t>
      </w:r>
      <w:r>
        <w:t>any of these applications</w:t>
      </w:r>
      <w:r w:rsidRPr="00553AE2">
        <w:t>.</w:t>
      </w:r>
      <w:r>
        <w:rPr>
          <w:rStyle w:val="FootnoteReference"/>
        </w:rPr>
        <w:footnoteReference w:id="44"/>
      </w:r>
      <w:r>
        <w:t xml:space="preserve">  </w:t>
      </w:r>
      <w:r w:rsidRPr="00553AE2">
        <w:t xml:space="preserve">An applicant </w:t>
      </w:r>
      <w:r>
        <w:t>may</w:t>
      </w:r>
      <w:r w:rsidRPr="00553AE2">
        <w:t xml:space="preserve"> file an opposition to any petition to deny within </w:t>
      </w:r>
      <w:r w:rsidRPr="00822FBC">
        <w:t>five business</w:t>
      </w:r>
      <w:r w:rsidRPr="00553AE2">
        <w:t xml:space="preserve"> days after the </w:t>
      </w:r>
      <w:r>
        <w:t xml:space="preserve">time for filing </w:t>
      </w:r>
      <w:r w:rsidRPr="00553AE2">
        <w:t xml:space="preserve">petitions to deny </w:t>
      </w:r>
      <w:r>
        <w:t>has expired</w:t>
      </w:r>
      <w:r w:rsidRPr="00553AE2">
        <w:t>.</w:t>
      </w:r>
      <w:r>
        <w:rPr>
          <w:rStyle w:val="FootnoteReference"/>
        </w:rPr>
        <w:footnoteReference w:id="45"/>
      </w:r>
      <w:r w:rsidRPr="00553AE2">
        <w:t xml:space="preserve">  </w:t>
      </w:r>
      <w:r>
        <w:t xml:space="preserve">Replies must be filed </w:t>
      </w:r>
      <w:r w:rsidRPr="00553AE2">
        <w:t xml:space="preserve">within </w:t>
      </w:r>
      <w:r w:rsidRPr="00822FBC">
        <w:t>five</w:t>
      </w:r>
      <w:r w:rsidRPr="00822FBC">
        <w:rPr>
          <w:b/>
        </w:rPr>
        <w:t xml:space="preserve"> </w:t>
      </w:r>
      <w:r w:rsidRPr="00822FBC">
        <w:t>business days</w:t>
      </w:r>
      <w:r w:rsidRPr="00553AE2">
        <w:t xml:space="preserve"> after </w:t>
      </w:r>
      <w:r w:rsidRPr="00553AE2">
        <w:t xml:space="preserve">the </w:t>
      </w:r>
      <w:r>
        <w:t xml:space="preserve">time for </w:t>
      </w:r>
      <w:r w:rsidRPr="00553AE2">
        <w:t xml:space="preserve">filing oppositions </w:t>
      </w:r>
      <w:r>
        <w:t>to a petition to deny has expired</w:t>
      </w:r>
      <w:r w:rsidRPr="00553AE2">
        <w:t>.</w:t>
      </w:r>
      <w:r>
        <w:rPr>
          <w:rStyle w:val="FootnoteReference"/>
        </w:rPr>
        <w:footnoteReference w:id="46"/>
      </w:r>
      <w:r>
        <w:t xml:space="preserve">  The Commission reminds all parties and their counsel that the Commission intends to use its authority fully to deter the filing of frivolous pleadings.</w:t>
      </w:r>
      <w:r>
        <w:rPr>
          <w:rStyle w:val="FootnoteReference"/>
        </w:rPr>
        <w:footnoteReference w:id="47"/>
      </w:r>
      <w:r>
        <w:t xml:space="preserve">  </w:t>
      </w:r>
    </w:p>
    <w:p w:rsidR="001850EB" w:rsidRPr="001343A8" w:rsidP="001850EB">
      <w:pPr>
        <w:pStyle w:val="ParaNum"/>
        <w:widowControl/>
      </w:pPr>
      <w:r w:rsidRPr="00553AE2">
        <w:t>After the long-form review process</w:t>
      </w:r>
      <w:r>
        <w:t xml:space="preserve"> is completed</w:t>
      </w:r>
      <w:r w:rsidRPr="00553AE2">
        <w:t xml:space="preserve">, if Commission </w:t>
      </w:r>
      <w:r>
        <w:t xml:space="preserve">staff </w:t>
      </w:r>
      <w:r w:rsidRPr="00553AE2">
        <w:t xml:space="preserve">determines that additional payment from </w:t>
      </w:r>
      <w:r>
        <w:t xml:space="preserve">an </w:t>
      </w:r>
      <w:r w:rsidRPr="00553AE2">
        <w:t xml:space="preserve">applicant </w:t>
      </w:r>
      <w:r>
        <w:t>is due</w:t>
      </w:r>
      <w:r w:rsidRPr="00553AE2">
        <w:t xml:space="preserve">, the Bureau will provide further instructions in a future </w:t>
      </w:r>
      <w:r>
        <w:t>p</w:t>
      </w:r>
      <w:r w:rsidRPr="00553AE2">
        <w:t xml:space="preserve">ublic </w:t>
      </w:r>
      <w:r>
        <w:t>n</w:t>
      </w:r>
      <w:r w:rsidRPr="00553AE2">
        <w:t>otice</w:t>
      </w:r>
      <w:r>
        <w:t xml:space="preserve"> or by demand letter</w:t>
      </w:r>
      <w:r w:rsidRPr="00553AE2">
        <w:t>.</w:t>
      </w:r>
      <w:r>
        <w:rPr>
          <w:rStyle w:val="FootnoteReference"/>
        </w:rPr>
        <w:footnoteReference w:id="48"/>
      </w:r>
      <w:r w:rsidRPr="00553AE2">
        <w:t xml:space="preserve">  If Commission </w:t>
      </w:r>
      <w:r>
        <w:t xml:space="preserve">staff </w:t>
      </w:r>
      <w:r w:rsidRPr="00553AE2">
        <w:t>determines that an applicant is otherwise qualified</w:t>
      </w:r>
      <w:r>
        <w:t xml:space="preserve"> and</w:t>
      </w:r>
      <w:r w:rsidRPr="00553AE2">
        <w:t xml:space="preserve"> that there are no substantial and material issues of fact, </w:t>
      </w:r>
      <w:r>
        <w:t>the Bureau</w:t>
      </w:r>
      <w:r w:rsidRPr="00553AE2">
        <w:t xml:space="preserve"> will issue a public notice announcing grant of the license</w:t>
      </w:r>
      <w:r>
        <w:t>(s)</w:t>
      </w:r>
      <w:r w:rsidRPr="00553AE2">
        <w:t xml:space="preserve"> to the applicant.</w:t>
      </w:r>
      <w:r>
        <w:rPr>
          <w:rStyle w:val="FootnoteReference"/>
        </w:rPr>
        <w:footnoteReference w:id="49"/>
      </w:r>
    </w:p>
    <w:p w:rsidR="001850EB" w:rsidRPr="00545F16" w:rsidP="001850EB">
      <w:pPr>
        <w:pStyle w:val="Heading1"/>
        <w:widowControl/>
        <w:tabs>
          <w:tab w:val="num" w:pos="720"/>
        </w:tabs>
      </w:pPr>
      <w:r>
        <w:t>OTHER IMPORTANT INFORMATION</w:t>
      </w:r>
    </w:p>
    <w:p w:rsidR="001850EB" w:rsidRPr="00545F16" w:rsidP="001850EB">
      <w:pPr>
        <w:pStyle w:val="Heading2"/>
        <w:widowControl/>
      </w:pPr>
      <w:r>
        <w:t>Continuing Prohibition on Certain Communications</w:t>
      </w:r>
    </w:p>
    <w:p w:rsidR="001850EB" w:rsidP="001850EB">
      <w:pPr>
        <w:pStyle w:val="ParaNum"/>
        <w:widowControl/>
        <w:tabs>
          <w:tab w:val="clear" w:pos="1440"/>
        </w:tabs>
        <w:rPr>
          <w:snapToGrid/>
        </w:rPr>
      </w:pPr>
      <w:r>
        <w:t>We remind applicants that the rules prohibiting certain communications set forth in Section 1.2105(c) of the Commission’s rules apply to each applicant that filed a short-form application (FCC Form 175) in Auction 101 or Auction 102.</w:t>
      </w:r>
      <w:r>
        <w:rPr>
          <w:rStyle w:val="FootnoteReference"/>
        </w:rPr>
        <w:footnoteReference w:id="50"/>
      </w:r>
      <w:r>
        <w:t xml:space="preserve">  Section 1.2105(c)(1) provides that, subject to specified exceptions, after the deadline for filing a short-form application, “all applicants are prohibited from cooperating or collaborating with respect to, communicating with or disclosing, to each other or to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51"/>
      </w:r>
      <w:r>
        <w:t xml:space="preserve">  </w:t>
      </w:r>
      <w:r>
        <w:rPr>
          <w:szCs w:val="22"/>
        </w:rPr>
        <w:t>An “applicant” for purposes of this rule includes all “controlling interests” in the entity submitting the FCC Form 175 auction application, as well as all holders of interests amounting to 10 percent or more of the entity, and all officers and directors of that entity.</w:t>
      </w:r>
      <w:r>
        <w:rPr>
          <w:rStyle w:val="FootnoteReference"/>
          <w:szCs w:val="22"/>
        </w:rPr>
        <w:footnoteReference w:id="52"/>
      </w:r>
      <w:r>
        <w:rPr>
          <w:szCs w:val="22"/>
        </w:rPr>
        <w:t xml:space="preserve">  For Auctions 101 and 102, a party that submitted an application for either auction is an “applicant” for both auctions under the rule, and that status does not change based on later developments.</w:t>
      </w:r>
      <w:r>
        <w:rPr>
          <w:rStyle w:val="FootnoteReference"/>
          <w:szCs w:val="22"/>
        </w:rPr>
        <w:footnoteReference w:id="53"/>
      </w:r>
      <w:r>
        <w:t xml:space="preserve"> </w:t>
      </w:r>
    </w:p>
    <w:p w:rsidR="001850EB" w:rsidP="001850EB">
      <w:pPr>
        <w:pStyle w:val="ParaNum"/>
        <w:widowControl/>
        <w:tabs>
          <w:tab w:val="clear" w:pos="1440"/>
        </w:tabs>
      </w:pPr>
      <w:r>
        <w:t xml:space="preserve">This prohibition took effect </w:t>
      </w:r>
      <w:r>
        <w:rPr>
          <w:szCs w:val="22"/>
        </w:rPr>
        <w:t>as</w:t>
      </w:r>
      <w:r>
        <w:t xml:space="preserve"> of the short-form application filing deadline, which for Auctions 101 and 102 was Tuesday, September 18, </w:t>
      </w:r>
      <w:r w:rsidR="00D45D5A">
        <w:t xml:space="preserve">2018, </w:t>
      </w:r>
      <w:r>
        <w:t>at 6:00 p.m. ET, and ends at the post-auction down payment deadline for Auction 102, which will be announced in a future public notice.</w:t>
      </w:r>
      <w:r>
        <w:rPr>
          <w:rStyle w:val="FootnoteReference"/>
          <w:szCs w:val="22"/>
        </w:rPr>
        <w:footnoteReference w:id="54"/>
      </w:r>
      <w:r>
        <w:t xml:space="preserve">  </w:t>
      </w:r>
      <w:r>
        <w:rPr>
          <w:b/>
        </w:rPr>
        <w:t xml:space="preserve">This prohibition applies to all applicants regardless of whether such applicants become qualified </w:t>
      </w:r>
      <w:r>
        <w:rPr>
          <w:b/>
        </w:rPr>
        <w:t>bidders, or actually bid in Auction 101 and/or Auction 102.</w:t>
      </w:r>
      <w:r>
        <w:rPr>
          <w:rStyle w:val="FootnoteReference"/>
        </w:rPr>
        <w:footnoteReference w:id="55"/>
      </w:r>
      <w:r>
        <w:t xml:space="preserve">  For further information on the prohibition, applicants should refer to the </w:t>
      </w:r>
      <w:r>
        <w:rPr>
          <w:i/>
        </w:rPr>
        <w:t xml:space="preserve">Auctions 101 and 102 Procedures Public Notice </w:t>
      </w:r>
      <w:r>
        <w:t xml:space="preserve">and the </w:t>
      </w:r>
      <w:r>
        <w:rPr>
          <w:i/>
        </w:rPr>
        <w:t>Auction 101 Qualified Bidders Public Notice</w:t>
      </w:r>
      <w:r>
        <w:t>.</w:t>
      </w:r>
      <w:r>
        <w:rPr>
          <w:rStyle w:val="FootnoteReference"/>
        </w:rPr>
        <w:footnoteReference w:id="56"/>
      </w:r>
      <w:r>
        <w:rPr>
          <w:kern w:val="0"/>
          <w:sz w:val="24"/>
          <w:szCs w:val="24"/>
        </w:rPr>
        <w:t xml:space="preserve"> </w:t>
      </w:r>
    </w:p>
    <w:p w:rsidR="001850EB" w:rsidRPr="00ED00E2" w:rsidP="001850EB">
      <w:pPr>
        <w:pStyle w:val="Heading2"/>
        <w:widowControl/>
        <w:rPr>
          <w:snapToGrid/>
        </w:rPr>
      </w:pPr>
      <w:r w:rsidRPr="00863AA6">
        <w:t>Limited Information Procedures</w:t>
      </w:r>
    </w:p>
    <w:p w:rsidR="001850EB" w:rsidP="001850EB">
      <w:pPr>
        <w:pStyle w:val="ParaNum"/>
        <w:widowControl/>
        <w:tabs>
          <w:tab w:val="clear" w:pos="1440"/>
        </w:tabs>
      </w:pPr>
      <w:r>
        <w:t xml:space="preserve">As discussed above, under the limited information procedures in effect for Auction 101 </w:t>
      </w:r>
      <w:r>
        <w:rPr>
          <w:szCs w:val="22"/>
        </w:rPr>
        <w:t>(sometimes also referred to as anonymous bidding)</w:t>
      </w:r>
      <w:r>
        <w:t>, the Commission is withholding from public release, until after the close of bidding in Auction 102, any information that may indicate specific applicants’ interests in the auction—including, among other things, license selections, upfront payments and eligibility information, and the identities of bidders placing bids or taking other bidding-related actions.</w:t>
      </w:r>
      <w:r>
        <w:rPr>
          <w:rStyle w:val="FootnoteReference"/>
        </w:rPr>
        <w:footnoteReference w:id="57"/>
      </w:r>
      <w:r>
        <w:t xml:space="preserve">  Accordingly, communication with other applicants or public disclosure of such non-public information may violate the Commission’s limited information procedures and Section 1.2105(c)’s prohibition on certain communications.  Applicants are encouraged to review the guidance previously provided in the </w:t>
      </w:r>
      <w:r>
        <w:rPr>
          <w:i/>
        </w:rPr>
        <w:t>Auctions 101 and 102 Procedures Public Notice</w:t>
      </w:r>
      <w:r>
        <w:t xml:space="preserve"> and in the authorities cited therein.</w:t>
      </w:r>
      <w:r>
        <w:rPr>
          <w:rStyle w:val="FootnoteReference"/>
        </w:rPr>
        <w:footnoteReference w:id="58"/>
      </w:r>
    </w:p>
    <w:p w:rsidR="001850EB" w:rsidP="001850EB">
      <w:pPr>
        <w:pStyle w:val="ParaNum"/>
        <w:widowControl/>
        <w:tabs>
          <w:tab w:val="left" w:pos="1440"/>
        </w:tabs>
      </w:pPr>
      <w:r>
        <w:t>This prohibition includes communication of any such non-public information by an applicant to the public, financial analysts, or the press, as well as any such communication by an applicant to another applicant in Auction 101 or Auction 102.</w:t>
      </w:r>
      <w:r>
        <w:rPr>
          <w:vertAlign w:val="superscript"/>
        </w:rPr>
        <w:footnoteReference w:id="59"/>
      </w:r>
      <w:r w:rsidRPr="00CC4339">
        <w:t xml:space="preserve">  </w:t>
      </w:r>
      <w:r>
        <w:t xml:space="preserve">Examples of communications raising concern, given the limited information procedures in effect for Auctions 101 and 102, would include an applicant’s statement to the press about its upfront payment or bidding eligibility or that it did or did not bid in the auction or is or is not a winning bidder.  </w:t>
      </w:r>
      <w:r w:rsidRPr="00BD3AF6">
        <w:rPr>
          <w:b/>
          <w:szCs w:val="22"/>
        </w:rPr>
        <w:t>To the extent an applicant believes that such a disclosure is required by law or regulation, including regulations issued by the SEC, we strongly urge that the applicant consult with the Commission staff in the Auctions Division before making such disclosure.</w:t>
      </w:r>
    </w:p>
    <w:p w:rsidR="001850EB" w:rsidRPr="00552DCB" w:rsidP="001850EB">
      <w:pPr>
        <w:pStyle w:val="Heading2"/>
        <w:widowControl/>
      </w:pPr>
      <w:r>
        <w:t>Access to the Bidding System</w:t>
      </w:r>
    </w:p>
    <w:p w:rsidR="001850EB" w:rsidRPr="00BA4C4A" w:rsidP="001850EB">
      <w:pPr>
        <w:pStyle w:val="ParaNum"/>
        <w:widowControl/>
      </w:pPr>
      <w:r w:rsidRPr="0033487C">
        <w:t xml:space="preserve">The </w:t>
      </w:r>
      <w:r>
        <w:t xml:space="preserve">bidding system for Auction 101 will remain accessible to qualified bidders until 12:00 p.m. ET on Wednesday, February 6, 2019.  Bidders should download any files they wish to save from the bidding system before that time.  </w:t>
      </w:r>
    </w:p>
    <w:p w:rsidR="001850EB" w:rsidRPr="00552DCB" w:rsidP="001850EB">
      <w:pPr>
        <w:pStyle w:val="Heading2"/>
        <w:widowControl/>
      </w:pPr>
      <w:r w:rsidRPr="00552DCB">
        <w:t>Return of SecurID</w:t>
      </w:r>
      <w:r w:rsidRPr="002916AB">
        <w:rPr>
          <w:rFonts w:ascii="Times New Roman Bold" w:hAnsi="Times New Roman Bold"/>
          <w:vertAlign w:val="superscript"/>
        </w:rPr>
        <w:t>®</w:t>
      </w:r>
      <w:r w:rsidRPr="00552DCB">
        <w:t xml:space="preserve"> </w:t>
      </w:r>
      <w:r>
        <w:t>Tokens</w:t>
      </w:r>
    </w:p>
    <w:p w:rsidR="001850EB" w:rsidRPr="001850EB" w:rsidP="001850EB">
      <w:pPr>
        <w:pStyle w:val="ParaNum"/>
        <w:widowControl/>
      </w:pPr>
      <w:r w:rsidRPr="0033487C">
        <w:t xml:space="preserve">The </w:t>
      </w:r>
      <w:r w:rsidRPr="001850EB">
        <w:rPr>
          <w:szCs w:val="22"/>
        </w:rPr>
        <w:t>SecurID</w:t>
      </w:r>
      <w:r w:rsidRPr="001850EB">
        <w:rPr>
          <w:szCs w:val="22"/>
          <w:vertAlign w:val="superscript"/>
        </w:rPr>
        <w:t xml:space="preserve">® </w:t>
      </w:r>
      <w:r w:rsidRPr="0033487C">
        <w:t xml:space="preserve">tokens distributed to qualified bidders are tailored to </w:t>
      </w:r>
      <w:r>
        <w:t>Auction 101</w:t>
      </w:r>
      <w:r w:rsidRPr="0033487C">
        <w:t xml:space="preserve"> and will not </w:t>
      </w:r>
      <w:r>
        <w:t>function in</w:t>
      </w:r>
      <w:r w:rsidRPr="0033487C">
        <w:t xml:space="preserve"> future auctions.  The Commission will send each bidder, along with the copy of this Public Notice, a pre-addressed, stamped envelope to return its </w:t>
      </w:r>
      <w:r w:rsidRPr="001850EB">
        <w:rPr>
          <w:szCs w:val="22"/>
        </w:rPr>
        <w:t>SecurID</w:t>
      </w:r>
      <w:r w:rsidRPr="001850EB">
        <w:rPr>
          <w:szCs w:val="22"/>
          <w:vertAlign w:val="superscript"/>
        </w:rPr>
        <w:t xml:space="preserve">® </w:t>
      </w:r>
      <w:r w:rsidRPr="0033487C">
        <w:t>tokens.  Each bidder should return</w:t>
      </w:r>
      <w:r>
        <w:t xml:space="preserve"> its SecurID</w:t>
      </w:r>
      <w:r w:rsidRPr="001850EB">
        <w:rPr>
          <w:szCs w:val="22"/>
          <w:vertAlign w:val="superscript"/>
        </w:rPr>
        <w:t>®</w:t>
      </w:r>
      <w:r>
        <w:t xml:space="preserve"> </w:t>
      </w:r>
      <w:r w:rsidRPr="00BA4C4A">
        <w:t>token</w:t>
      </w:r>
      <w:r>
        <w:t>(s) to the Commission for recycling</w:t>
      </w:r>
      <w:r w:rsidRPr="00BA4C4A">
        <w:t xml:space="preserve"> by </w:t>
      </w:r>
      <w:r>
        <w:rPr>
          <w:b/>
        </w:rPr>
        <w:t>February</w:t>
      </w:r>
      <w:r w:rsidRPr="00B826D7">
        <w:rPr>
          <w:b/>
        </w:rPr>
        <w:t xml:space="preserve"> </w:t>
      </w:r>
      <w:r>
        <w:rPr>
          <w:b/>
        </w:rPr>
        <w:t>14</w:t>
      </w:r>
      <w:r w:rsidRPr="00B826D7">
        <w:rPr>
          <w:b/>
        </w:rPr>
        <w:t xml:space="preserve">, </w:t>
      </w:r>
      <w:r>
        <w:rPr>
          <w:b/>
        </w:rPr>
        <w:t>2019</w:t>
      </w:r>
      <w:r w:rsidRPr="001850EB">
        <w:rPr>
          <w:szCs w:val="22"/>
        </w:rPr>
        <w:t>.</w:t>
      </w:r>
    </w:p>
    <w:p w:rsidR="001850EB" w:rsidP="001850EB">
      <w:pPr>
        <w:pStyle w:val="Heading2"/>
        <w:widowControl/>
      </w:pPr>
      <w:r>
        <w:t>Contact Information</w:t>
      </w:r>
    </w:p>
    <w:p w:rsidR="001850EB" w:rsidP="001850EB">
      <w:pPr>
        <w:pStyle w:val="ParaNum"/>
        <w:keepNext/>
        <w:widowControl/>
      </w:pPr>
      <w:r>
        <w:t>For further information, contact:</w:t>
      </w:r>
    </w:p>
    <w:tbl>
      <w:tblPr>
        <w:tblW w:w="9917" w:type="dxa"/>
        <w:tblLayout w:type="fixed"/>
        <w:tblLook w:val="0000"/>
      </w:tblPr>
      <w:tblGrid>
        <w:gridCol w:w="4831"/>
        <w:gridCol w:w="5086"/>
      </w:tblGrid>
      <w:tr w:rsidTr="009D2F56">
        <w:tblPrEx>
          <w:tblW w:w="9917" w:type="dxa"/>
          <w:tblLayout w:type="fixed"/>
          <w:tblLook w:val="0000"/>
        </w:tblPrEx>
        <w:trPr>
          <w:cantSplit/>
          <w:trHeight w:val="1324"/>
        </w:trPr>
        <w:tc>
          <w:tcPr>
            <w:tcW w:w="4831" w:type="dxa"/>
          </w:tcPr>
          <w:p w:rsidR="001850EB" w:rsidRPr="005F7DCE" w:rsidP="009D2F56">
            <w:pPr>
              <w:widowControl/>
              <w:rPr>
                <w:b/>
                <w:szCs w:val="22"/>
              </w:rPr>
            </w:pPr>
            <w:r w:rsidRPr="005F7DCE">
              <w:rPr>
                <w:b/>
                <w:szCs w:val="22"/>
              </w:rPr>
              <w:t>Auction Payment Information</w:t>
            </w:r>
          </w:p>
          <w:p w:rsidR="001850EB" w:rsidRPr="005F7DCE" w:rsidP="009D2F56">
            <w:pPr>
              <w:widowControl/>
              <w:ind w:left="360"/>
              <w:rPr>
                <w:szCs w:val="22"/>
              </w:rPr>
            </w:pPr>
            <w:r w:rsidRPr="005F7DCE">
              <w:rPr>
                <w:szCs w:val="22"/>
              </w:rPr>
              <w:t>Wire Transfers</w:t>
            </w:r>
          </w:p>
          <w:p w:rsidR="001850EB" w:rsidRPr="005F7DCE" w:rsidP="009D2F56">
            <w:pPr>
              <w:widowControl/>
              <w:ind w:left="360"/>
              <w:rPr>
                <w:b/>
                <w:szCs w:val="22"/>
              </w:rPr>
            </w:pPr>
            <w:r w:rsidRPr="005F7DCE">
              <w:rPr>
                <w:szCs w:val="22"/>
              </w:rPr>
              <w:t>Refunds</w:t>
            </w:r>
          </w:p>
        </w:tc>
        <w:tc>
          <w:tcPr>
            <w:tcW w:w="5086" w:type="dxa"/>
          </w:tcPr>
          <w:p w:rsidR="001850EB" w:rsidRPr="005F7DCE" w:rsidP="009D2F56">
            <w:pPr>
              <w:widowControl/>
              <w:rPr>
                <w:b/>
                <w:szCs w:val="22"/>
              </w:rPr>
            </w:pPr>
            <w:r w:rsidRPr="005F7DCE">
              <w:rPr>
                <w:b/>
                <w:szCs w:val="22"/>
              </w:rPr>
              <w:t>FCC Auctions Accounting Branch</w:t>
            </w:r>
          </w:p>
          <w:p w:rsidR="001850EB" w:rsidP="009D2F56">
            <w:pPr>
              <w:widowControl/>
              <w:rPr>
                <w:szCs w:val="22"/>
              </w:rPr>
            </w:pPr>
            <w:r w:rsidRPr="005F7DCE">
              <w:rPr>
                <w:szCs w:val="22"/>
              </w:rPr>
              <w:t>Gail Glasser</w:t>
            </w:r>
            <w:r>
              <w:rPr>
                <w:szCs w:val="22"/>
              </w:rPr>
              <w:t xml:space="preserve"> at </w:t>
            </w:r>
            <w:r w:rsidRPr="005F7DCE">
              <w:rPr>
                <w:szCs w:val="22"/>
              </w:rPr>
              <w:t>(202) 418-0578</w:t>
            </w:r>
            <w:r>
              <w:rPr>
                <w:szCs w:val="22"/>
              </w:rPr>
              <w:t>, or</w:t>
            </w:r>
            <w:r w:rsidRPr="005F7DCE">
              <w:rPr>
                <w:szCs w:val="22"/>
              </w:rPr>
              <w:t xml:space="preserve"> (202)</w:t>
            </w:r>
            <w:r>
              <w:rPr>
                <w:szCs w:val="22"/>
              </w:rPr>
              <w:t> </w:t>
            </w:r>
            <w:r w:rsidRPr="005F7DCE">
              <w:rPr>
                <w:szCs w:val="22"/>
              </w:rPr>
              <w:t>418</w:t>
            </w:r>
            <w:r>
              <w:rPr>
                <w:szCs w:val="22"/>
              </w:rPr>
              <w:noBreakHyphen/>
            </w:r>
            <w:r w:rsidRPr="005F7DCE">
              <w:rPr>
                <w:szCs w:val="22"/>
              </w:rPr>
              <w:t>2843 (fax)</w:t>
            </w:r>
            <w:r>
              <w:rPr>
                <w:szCs w:val="22"/>
              </w:rPr>
              <w:t xml:space="preserve"> or e-mail to </w:t>
            </w:r>
            <w:hyperlink r:id="rId6" w:history="1">
              <w:r w:rsidRPr="00DA296B">
                <w:rPr>
                  <w:rStyle w:val="Hyperlink"/>
                  <w:szCs w:val="22"/>
                </w:rPr>
                <w:t>RROGWireFaxes@FCC.Gov</w:t>
              </w:r>
            </w:hyperlink>
            <w:r>
              <w:rPr>
                <w:szCs w:val="22"/>
              </w:rPr>
              <w:t xml:space="preserve"> </w:t>
            </w:r>
          </w:p>
          <w:p w:rsidR="001850EB" w:rsidP="009D2F56">
            <w:pPr>
              <w:widowControl/>
              <w:rPr>
                <w:szCs w:val="22"/>
              </w:rPr>
            </w:pPr>
          </w:p>
          <w:p w:rsidR="001850EB" w:rsidP="009D2F56">
            <w:pPr>
              <w:widowControl/>
              <w:rPr>
                <w:b/>
                <w:szCs w:val="22"/>
              </w:rPr>
            </w:pPr>
            <w:r>
              <w:rPr>
                <w:b/>
                <w:szCs w:val="22"/>
              </w:rPr>
              <w:t xml:space="preserve">FCC Auctions Hotline at (717) 338-2868 </w:t>
            </w:r>
          </w:p>
          <w:p w:rsidR="001850EB" w:rsidRPr="005F7DCE" w:rsidP="009D2F56">
            <w:pPr>
              <w:widowControl/>
              <w:rPr>
                <w:b/>
                <w:szCs w:val="22"/>
              </w:rPr>
            </w:pPr>
          </w:p>
        </w:tc>
      </w:tr>
      <w:tr w:rsidTr="009D2F56">
        <w:tblPrEx>
          <w:tblW w:w="9917" w:type="dxa"/>
          <w:tblLayout w:type="fixed"/>
          <w:tblLook w:val="0000"/>
        </w:tblPrEx>
        <w:trPr>
          <w:cantSplit/>
          <w:trHeight w:val="1324"/>
        </w:trPr>
        <w:tc>
          <w:tcPr>
            <w:tcW w:w="4831" w:type="dxa"/>
          </w:tcPr>
          <w:p w:rsidR="001850EB" w:rsidRPr="005F7DCE" w:rsidP="009D2F56">
            <w:pPr>
              <w:widowControl/>
              <w:rPr>
                <w:b/>
                <w:i/>
                <w:szCs w:val="22"/>
              </w:rPr>
            </w:pPr>
            <w:r w:rsidRPr="005F7DCE">
              <w:rPr>
                <w:b/>
                <w:szCs w:val="22"/>
              </w:rPr>
              <w:t>Licensing Information</w:t>
            </w:r>
          </w:p>
          <w:p w:rsidR="001850EB" w:rsidRPr="005F7DCE" w:rsidP="009D2F56">
            <w:pPr>
              <w:widowControl/>
              <w:ind w:left="360"/>
              <w:rPr>
                <w:szCs w:val="22"/>
              </w:rPr>
            </w:pPr>
            <w:r w:rsidRPr="005F7DCE">
              <w:rPr>
                <w:szCs w:val="22"/>
              </w:rPr>
              <w:t xml:space="preserve">Service Rules, Policies, Regulations </w:t>
            </w:r>
          </w:p>
          <w:p w:rsidR="001850EB" w:rsidRPr="005F7DCE" w:rsidP="009D2F56">
            <w:pPr>
              <w:widowControl/>
              <w:ind w:left="360"/>
              <w:rPr>
                <w:szCs w:val="22"/>
              </w:rPr>
            </w:pPr>
            <w:r w:rsidRPr="005F7DCE">
              <w:rPr>
                <w:szCs w:val="22"/>
              </w:rPr>
              <w:t xml:space="preserve">Licensing Issues, Engineering Issues </w:t>
            </w:r>
          </w:p>
          <w:p w:rsidR="001850EB" w:rsidP="009D2F56">
            <w:pPr>
              <w:widowControl/>
              <w:ind w:left="360"/>
              <w:rPr>
                <w:szCs w:val="22"/>
              </w:rPr>
            </w:pPr>
            <w:r w:rsidRPr="005F7DCE">
              <w:rPr>
                <w:szCs w:val="22"/>
              </w:rPr>
              <w:t>Due Diligence, Incumbency Issues</w:t>
            </w:r>
          </w:p>
          <w:p w:rsidR="001850EB" w:rsidP="009D2F56">
            <w:pPr>
              <w:widowControl/>
              <w:ind w:left="360"/>
              <w:rPr>
                <w:szCs w:val="22"/>
              </w:rPr>
            </w:pPr>
          </w:p>
          <w:p w:rsidR="001850EB" w:rsidRPr="005F7DCE" w:rsidP="009D2F56">
            <w:pPr>
              <w:widowControl/>
              <w:ind w:left="360"/>
              <w:rPr>
                <w:szCs w:val="22"/>
              </w:rPr>
            </w:pPr>
            <w:r>
              <w:rPr>
                <w:szCs w:val="22"/>
              </w:rPr>
              <w:t>Filing Forms 601 and 602</w:t>
            </w:r>
          </w:p>
          <w:p w:rsidR="001850EB" w:rsidP="009D2F56">
            <w:pPr>
              <w:widowControl/>
              <w:rPr>
                <w:b/>
                <w:szCs w:val="22"/>
              </w:rPr>
            </w:pPr>
          </w:p>
          <w:p w:rsidR="001850EB" w:rsidRPr="00805998" w:rsidP="009D2F56">
            <w:pPr>
              <w:tabs>
                <w:tab w:val="left" w:pos="3315"/>
              </w:tabs>
              <w:rPr>
                <w:szCs w:val="22"/>
              </w:rPr>
            </w:pPr>
            <w:r>
              <w:rPr>
                <w:szCs w:val="22"/>
              </w:rPr>
              <w:tab/>
            </w:r>
          </w:p>
        </w:tc>
        <w:tc>
          <w:tcPr>
            <w:tcW w:w="5086" w:type="dxa"/>
          </w:tcPr>
          <w:p w:rsidR="001850EB" w:rsidRPr="005F7DCE" w:rsidP="009D2F56">
            <w:pPr>
              <w:widowControl/>
              <w:rPr>
                <w:b/>
                <w:szCs w:val="22"/>
              </w:rPr>
            </w:pPr>
            <w:r>
              <w:rPr>
                <w:b/>
                <w:szCs w:val="22"/>
              </w:rPr>
              <w:t xml:space="preserve">Broadband </w:t>
            </w:r>
            <w:r w:rsidRPr="005F7DCE">
              <w:rPr>
                <w:b/>
                <w:szCs w:val="22"/>
              </w:rPr>
              <w:t>Division</w:t>
            </w:r>
          </w:p>
          <w:p w:rsidR="001850EB" w:rsidP="009D2F56">
            <w:pPr>
              <w:widowControl/>
              <w:rPr>
                <w:szCs w:val="22"/>
              </w:rPr>
            </w:pPr>
            <w:r>
              <w:rPr>
                <w:szCs w:val="22"/>
              </w:rPr>
              <w:t>Nancy Zaczek (Attorney) or</w:t>
            </w:r>
          </w:p>
          <w:p w:rsidR="001850EB" w:rsidP="009D2F56">
            <w:pPr>
              <w:widowControl/>
              <w:rPr>
                <w:szCs w:val="22"/>
              </w:rPr>
            </w:pPr>
            <w:r>
              <w:rPr>
                <w:szCs w:val="22"/>
              </w:rPr>
              <w:t>Tim Hilfiger (Engineer) at (202) 418-2487</w:t>
            </w:r>
          </w:p>
          <w:p w:rsidR="001850EB" w:rsidP="009D2F56">
            <w:pPr>
              <w:widowControl/>
              <w:rPr>
                <w:szCs w:val="22"/>
              </w:rPr>
            </w:pPr>
          </w:p>
          <w:p w:rsidR="001850EB" w:rsidP="009D2F56">
            <w:pPr>
              <w:widowControl/>
              <w:rPr>
                <w:szCs w:val="22"/>
              </w:rPr>
            </w:pPr>
          </w:p>
          <w:p w:rsidR="001850EB" w:rsidP="009D2F56">
            <w:pPr>
              <w:widowControl/>
              <w:rPr>
                <w:color w:val="000000"/>
                <w:szCs w:val="22"/>
              </w:rPr>
            </w:pPr>
            <w:r w:rsidRPr="004A59B9">
              <w:rPr>
                <w:b/>
                <w:color w:val="000000"/>
                <w:szCs w:val="22"/>
              </w:rPr>
              <w:t>ULS Support Hotline</w:t>
            </w:r>
            <w:r>
              <w:rPr>
                <w:rStyle w:val="FootnoteReference"/>
                <w:szCs w:val="22"/>
              </w:rPr>
              <w:footnoteReference w:id="60"/>
            </w:r>
            <w:r>
              <w:rPr>
                <w:color w:val="000000"/>
                <w:szCs w:val="22"/>
              </w:rPr>
              <w:t xml:space="preserve"> </w:t>
            </w:r>
          </w:p>
          <w:p w:rsidR="001850EB" w:rsidP="009D2F56">
            <w:pPr>
              <w:widowControl/>
              <w:rPr>
                <w:color w:val="000000"/>
                <w:szCs w:val="22"/>
              </w:rPr>
            </w:pPr>
            <w:r>
              <w:rPr>
                <w:color w:val="000000"/>
                <w:szCs w:val="22"/>
              </w:rPr>
              <w:t>(877) 480-3201, option two</w:t>
            </w:r>
          </w:p>
          <w:p w:rsidR="001850EB" w:rsidP="009D2F56">
            <w:pPr>
              <w:widowControl/>
              <w:rPr>
                <w:szCs w:val="22"/>
              </w:rPr>
            </w:pPr>
            <w:r>
              <w:rPr>
                <w:color w:val="000000"/>
                <w:szCs w:val="22"/>
              </w:rPr>
              <w:t>(717) 338-2824 (TTY)</w:t>
            </w:r>
            <w:r>
              <w:rPr>
                <w:szCs w:val="22"/>
              </w:rPr>
              <w:t xml:space="preserve"> </w:t>
            </w:r>
          </w:p>
          <w:p w:rsidR="001850EB" w:rsidRPr="005F7DCE" w:rsidP="009D2F56">
            <w:pPr>
              <w:widowControl/>
              <w:rPr>
                <w:b/>
                <w:szCs w:val="22"/>
              </w:rPr>
            </w:pPr>
          </w:p>
        </w:tc>
      </w:tr>
      <w:tr w:rsidTr="009D2F56">
        <w:tblPrEx>
          <w:tblW w:w="9917" w:type="dxa"/>
          <w:tblLayout w:type="fixed"/>
          <w:tblLook w:val="0000"/>
        </w:tblPrEx>
        <w:trPr>
          <w:cantSplit/>
          <w:trHeight w:val="1533"/>
        </w:trPr>
        <w:tc>
          <w:tcPr>
            <w:tcW w:w="4831" w:type="dxa"/>
          </w:tcPr>
          <w:p w:rsidR="001850EB" w:rsidRPr="005F7DCE" w:rsidP="009D2F56">
            <w:pPr>
              <w:widowControl/>
              <w:rPr>
                <w:szCs w:val="22"/>
              </w:rPr>
            </w:pPr>
            <w:r w:rsidRPr="005F7DCE">
              <w:rPr>
                <w:b/>
                <w:szCs w:val="22"/>
              </w:rPr>
              <w:t xml:space="preserve">Auction </w:t>
            </w:r>
            <w:r>
              <w:rPr>
                <w:b/>
                <w:szCs w:val="22"/>
              </w:rPr>
              <w:t>101</w:t>
            </w:r>
            <w:r w:rsidRPr="005F7DCE">
              <w:rPr>
                <w:b/>
                <w:szCs w:val="22"/>
              </w:rPr>
              <w:t xml:space="preserve"> Information</w:t>
            </w:r>
          </w:p>
          <w:p w:rsidR="001850EB" w:rsidRPr="005F7DCE" w:rsidP="009D2F56">
            <w:pPr>
              <w:widowControl/>
              <w:ind w:left="360"/>
              <w:rPr>
                <w:szCs w:val="22"/>
              </w:rPr>
            </w:pPr>
            <w:r w:rsidRPr="005F7DCE">
              <w:rPr>
                <w:szCs w:val="22"/>
              </w:rPr>
              <w:t>General Auction Information, Process, and Procedures</w:t>
            </w:r>
          </w:p>
          <w:p w:rsidR="001850EB" w:rsidRPr="005F7DCE" w:rsidP="009D2F56">
            <w:pPr>
              <w:widowControl/>
              <w:rPr>
                <w:szCs w:val="22"/>
              </w:rPr>
            </w:pPr>
          </w:p>
          <w:p w:rsidR="001850EB" w:rsidRPr="005F7DCE" w:rsidP="009D2F56">
            <w:pPr>
              <w:widowControl/>
              <w:ind w:left="360"/>
              <w:rPr>
                <w:szCs w:val="22"/>
              </w:rPr>
            </w:pPr>
            <w:r w:rsidRPr="005F7DCE">
              <w:rPr>
                <w:szCs w:val="22"/>
              </w:rPr>
              <w:t>Auction Rules, Policies, and Regulations</w:t>
            </w:r>
          </w:p>
          <w:p w:rsidR="001850EB" w:rsidRPr="005F7DCE" w:rsidP="009D2F56">
            <w:pPr>
              <w:widowControl/>
              <w:rPr>
                <w:b/>
                <w:szCs w:val="22"/>
              </w:rPr>
            </w:pPr>
          </w:p>
        </w:tc>
        <w:tc>
          <w:tcPr>
            <w:tcW w:w="5086" w:type="dxa"/>
          </w:tcPr>
          <w:p w:rsidR="001850EB" w:rsidRPr="005F7DCE" w:rsidP="009D2F56">
            <w:pPr>
              <w:widowControl/>
              <w:rPr>
                <w:b/>
                <w:szCs w:val="22"/>
              </w:rPr>
            </w:pPr>
            <w:r w:rsidRPr="005F7DCE">
              <w:rPr>
                <w:b/>
                <w:szCs w:val="22"/>
              </w:rPr>
              <w:t xml:space="preserve">Auctions Division </w:t>
            </w:r>
          </w:p>
          <w:p w:rsidR="001850EB" w:rsidP="009D2F56">
            <w:pPr>
              <w:widowControl/>
              <w:rPr>
                <w:szCs w:val="22"/>
              </w:rPr>
            </w:pPr>
            <w:r>
              <w:rPr>
                <w:szCs w:val="22"/>
              </w:rPr>
              <w:t>FCC Auctions Hotline a</w:t>
            </w:r>
            <w:r w:rsidRPr="005F7DCE">
              <w:rPr>
                <w:szCs w:val="22"/>
              </w:rPr>
              <w:t xml:space="preserve">t </w:t>
            </w:r>
            <w:r>
              <w:rPr>
                <w:szCs w:val="22"/>
              </w:rPr>
              <w:t>(717) 338-2868</w:t>
            </w:r>
          </w:p>
          <w:p w:rsidR="001850EB" w:rsidP="009D2F56">
            <w:pPr>
              <w:widowControl/>
              <w:rPr>
                <w:szCs w:val="22"/>
              </w:rPr>
            </w:pPr>
          </w:p>
          <w:p w:rsidR="00C93D93" w:rsidP="009D2F56">
            <w:pPr>
              <w:widowControl/>
              <w:rPr>
                <w:szCs w:val="22"/>
              </w:rPr>
            </w:pPr>
          </w:p>
          <w:p w:rsidR="001850EB" w:rsidRPr="005F7DCE" w:rsidP="009D2F56">
            <w:pPr>
              <w:widowControl/>
              <w:rPr>
                <w:b/>
                <w:szCs w:val="22"/>
              </w:rPr>
            </w:pPr>
            <w:r>
              <w:rPr>
                <w:szCs w:val="22"/>
              </w:rPr>
              <w:t>Erik Beith (Attorney)</w:t>
            </w:r>
            <w:r w:rsidRPr="005F7DCE">
              <w:rPr>
                <w:szCs w:val="22"/>
              </w:rPr>
              <w:t xml:space="preserve"> </w:t>
            </w:r>
            <w:r>
              <w:rPr>
                <w:szCs w:val="22"/>
              </w:rPr>
              <w:t>at</w:t>
            </w:r>
            <w:r w:rsidRPr="005F7DCE">
              <w:rPr>
                <w:szCs w:val="22"/>
              </w:rPr>
              <w:t xml:space="preserve"> (202) 418-0660</w:t>
            </w:r>
          </w:p>
        </w:tc>
      </w:tr>
      <w:tr w:rsidTr="009D2F56">
        <w:tblPrEx>
          <w:tblW w:w="9917" w:type="dxa"/>
          <w:tblLayout w:type="fixed"/>
          <w:tblLook w:val="0000"/>
        </w:tblPrEx>
        <w:trPr>
          <w:cantSplit/>
          <w:trHeight w:val="1118"/>
        </w:trPr>
        <w:tc>
          <w:tcPr>
            <w:tcW w:w="4831" w:type="dxa"/>
          </w:tcPr>
          <w:p w:rsidR="001850EB" w:rsidRPr="005F7DCE" w:rsidP="009D2F56">
            <w:pPr>
              <w:widowControl/>
              <w:rPr>
                <w:b/>
                <w:szCs w:val="22"/>
              </w:rPr>
            </w:pPr>
            <w:r w:rsidRPr="005F7DCE">
              <w:rPr>
                <w:b/>
                <w:szCs w:val="22"/>
              </w:rPr>
              <w:t>Accessible Formats</w:t>
            </w:r>
          </w:p>
          <w:p w:rsidR="001850EB" w:rsidRPr="005F7DCE" w:rsidP="009D2F56">
            <w:pPr>
              <w:widowControl/>
              <w:ind w:left="360"/>
              <w:rPr>
                <w:szCs w:val="22"/>
              </w:rPr>
            </w:pPr>
            <w:r w:rsidRPr="005F7DCE">
              <w:rPr>
                <w:szCs w:val="22"/>
              </w:rPr>
              <w:t xml:space="preserve">Braille, large print, electronic files, or </w:t>
            </w:r>
          </w:p>
          <w:p w:rsidR="001850EB" w:rsidRPr="005F7DCE" w:rsidP="009D2F56">
            <w:pPr>
              <w:widowControl/>
              <w:ind w:left="360"/>
              <w:rPr>
                <w:b/>
                <w:szCs w:val="22"/>
              </w:rPr>
            </w:pPr>
            <w:r w:rsidRPr="005F7DCE">
              <w:rPr>
                <w:szCs w:val="22"/>
              </w:rPr>
              <w:t>audio</w:t>
            </w:r>
            <w:r w:rsidRPr="005F7DCE">
              <w:rPr>
                <w:szCs w:val="22"/>
              </w:rPr>
              <w:t xml:space="preserve"> </w:t>
            </w:r>
            <w:r w:rsidRPr="005F7DCE">
              <w:rPr>
                <w:szCs w:val="22"/>
              </w:rPr>
              <w:t>format for people with disabilities</w:t>
            </w:r>
          </w:p>
        </w:tc>
        <w:tc>
          <w:tcPr>
            <w:tcW w:w="5086" w:type="dxa"/>
          </w:tcPr>
          <w:p w:rsidR="001850EB" w:rsidRPr="005F7DCE" w:rsidP="009D2F56">
            <w:pPr>
              <w:widowControl/>
              <w:rPr>
                <w:b/>
                <w:szCs w:val="22"/>
              </w:rPr>
            </w:pPr>
            <w:r w:rsidRPr="005F7DCE">
              <w:rPr>
                <w:b/>
                <w:szCs w:val="22"/>
              </w:rPr>
              <w:t>Consumer and Governmental Affairs Bureau</w:t>
            </w:r>
          </w:p>
          <w:p w:rsidR="001850EB" w:rsidRPr="005F7DCE" w:rsidP="009D2F56">
            <w:pPr>
              <w:widowControl/>
              <w:rPr>
                <w:szCs w:val="22"/>
              </w:rPr>
            </w:pPr>
            <w:r w:rsidRPr="005F7DCE">
              <w:rPr>
                <w:szCs w:val="22"/>
              </w:rPr>
              <w:t>(202) 418-0530 or (202) 418-0432 (TTY)</w:t>
            </w:r>
          </w:p>
          <w:p w:rsidR="001850EB" w:rsidRPr="005F7DCE" w:rsidP="009D2F56">
            <w:pPr>
              <w:widowControl/>
              <w:rPr>
                <w:szCs w:val="22"/>
              </w:rPr>
            </w:pPr>
            <w:hyperlink r:id="rId9" w:history="1">
              <w:r w:rsidRPr="005F7DCE">
                <w:rPr>
                  <w:rStyle w:val="Hyperlink"/>
                  <w:szCs w:val="22"/>
                </w:rPr>
                <w:t>fcc504@fcc.gov</w:t>
              </w:r>
            </w:hyperlink>
          </w:p>
          <w:p w:rsidR="001850EB" w:rsidRPr="005F7DCE" w:rsidP="009D2F56">
            <w:pPr>
              <w:widowControl/>
              <w:rPr>
                <w:b/>
                <w:szCs w:val="22"/>
              </w:rPr>
            </w:pPr>
          </w:p>
        </w:tc>
      </w:tr>
      <w:tr w:rsidTr="009D2F56">
        <w:tblPrEx>
          <w:tblW w:w="9917" w:type="dxa"/>
          <w:tblLayout w:type="fixed"/>
          <w:tblLook w:val="0000"/>
        </w:tblPrEx>
        <w:trPr>
          <w:cantSplit/>
          <w:trHeight w:val="1275"/>
        </w:trPr>
        <w:tc>
          <w:tcPr>
            <w:tcW w:w="4831" w:type="dxa"/>
          </w:tcPr>
          <w:p w:rsidR="001850EB" w:rsidRPr="005F7DCE" w:rsidP="009D2F56">
            <w:pPr>
              <w:widowControl/>
              <w:rPr>
                <w:b/>
                <w:szCs w:val="22"/>
              </w:rPr>
            </w:pPr>
            <w:r w:rsidRPr="005F7DCE">
              <w:rPr>
                <w:b/>
                <w:szCs w:val="22"/>
              </w:rPr>
              <w:t>FCC Internet Sites</w:t>
            </w:r>
          </w:p>
          <w:p w:rsidR="001850EB" w:rsidRPr="005F7DCE" w:rsidP="009D2F56">
            <w:pPr>
              <w:widowControl/>
              <w:rPr>
                <w:szCs w:val="22"/>
              </w:rPr>
            </w:pPr>
          </w:p>
        </w:tc>
        <w:tc>
          <w:tcPr>
            <w:tcW w:w="5086" w:type="dxa"/>
          </w:tcPr>
          <w:p w:rsidR="001850EB" w:rsidRPr="005F7DCE" w:rsidP="009D2F56">
            <w:pPr>
              <w:widowControl/>
              <w:rPr>
                <w:szCs w:val="22"/>
              </w:rPr>
            </w:pPr>
            <w:hyperlink r:id="rId8" w:history="1">
              <w:r w:rsidRPr="00446451">
                <w:rPr>
                  <w:rStyle w:val="Hyperlink"/>
                  <w:szCs w:val="22"/>
                </w:rPr>
                <w:t>www.fcc.gov/auction/101</w:t>
              </w:r>
            </w:hyperlink>
            <w:r>
              <w:rPr>
                <w:rStyle w:val="Hyperlink"/>
                <w:szCs w:val="22"/>
              </w:rPr>
              <w:t xml:space="preserve"> </w:t>
            </w:r>
          </w:p>
          <w:p w:rsidR="001850EB" w:rsidRPr="005F7DCE" w:rsidP="009D2F56">
            <w:pPr>
              <w:widowControl/>
              <w:rPr>
                <w:szCs w:val="22"/>
              </w:rPr>
            </w:pPr>
            <w:hyperlink r:id="rId10" w:history="1">
              <w:r>
                <w:rPr>
                  <w:rStyle w:val="Hyperlink"/>
                  <w:szCs w:val="22"/>
                </w:rPr>
                <w:t>www.fcc.gov</w:t>
              </w:r>
            </w:hyperlink>
            <w:r>
              <w:rPr>
                <w:szCs w:val="22"/>
              </w:rPr>
              <w:t xml:space="preserve"> </w:t>
            </w:r>
          </w:p>
          <w:p w:rsidR="001850EB" w:rsidRPr="005F7DCE" w:rsidP="009D2F56">
            <w:pPr>
              <w:widowControl/>
              <w:rPr>
                <w:szCs w:val="22"/>
              </w:rPr>
            </w:pPr>
            <w:hyperlink r:id="rId11" w:history="1">
              <w:r w:rsidRPr="00446451">
                <w:rPr>
                  <w:rStyle w:val="Hyperlink"/>
                  <w:szCs w:val="22"/>
                </w:rPr>
                <w:t>http://wireless.fcc.gov/uls</w:t>
              </w:r>
            </w:hyperlink>
          </w:p>
          <w:p w:rsidR="001850EB" w:rsidP="009D2F56">
            <w:pPr>
              <w:widowControl/>
            </w:pPr>
            <w:hyperlink r:id="rId12" w:history="1">
              <w:r>
                <w:rPr>
                  <w:rStyle w:val="Hyperlink"/>
                </w:rPr>
                <w:t>https://auctiondata.fcc.gov/public/projects/auction101</w:t>
              </w:r>
            </w:hyperlink>
            <w:r>
              <w:t xml:space="preserve"> </w:t>
            </w:r>
          </w:p>
          <w:p w:rsidR="001850EB" w:rsidRPr="005F7DCE" w:rsidP="009D2F56">
            <w:pPr>
              <w:widowControl/>
              <w:rPr>
                <w:szCs w:val="22"/>
              </w:rPr>
            </w:pPr>
          </w:p>
        </w:tc>
      </w:tr>
      <w:tr w:rsidTr="009D2F56">
        <w:tblPrEx>
          <w:tblW w:w="9917" w:type="dxa"/>
          <w:tblLayout w:type="fixed"/>
          <w:tblLook w:val="0000"/>
        </w:tblPrEx>
        <w:trPr>
          <w:cantSplit/>
          <w:trHeight w:val="774"/>
        </w:trPr>
        <w:tc>
          <w:tcPr>
            <w:tcW w:w="4831" w:type="dxa"/>
          </w:tcPr>
          <w:p w:rsidR="001850EB" w:rsidRPr="00517FE6" w:rsidP="009D2F56">
            <w:pPr>
              <w:widowControl/>
              <w:rPr>
                <w:b/>
                <w:szCs w:val="22"/>
              </w:rPr>
            </w:pPr>
            <w:r>
              <w:rPr>
                <w:b/>
                <w:szCs w:val="22"/>
              </w:rPr>
              <w:t>News Media</w:t>
            </w:r>
          </w:p>
          <w:p w:rsidR="001850EB" w:rsidRPr="00805998" w:rsidP="009D2F56">
            <w:pPr>
              <w:widowControl/>
              <w:ind w:firstLine="360"/>
              <w:rPr>
                <w:szCs w:val="22"/>
              </w:rPr>
            </w:pPr>
            <w:r w:rsidRPr="00517FE6">
              <w:rPr>
                <w:szCs w:val="22"/>
              </w:rPr>
              <w:t>For Press Questions</w:t>
            </w:r>
          </w:p>
        </w:tc>
        <w:tc>
          <w:tcPr>
            <w:tcW w:w="5086" w:type="dxa"/>
          </w:tcPr>
          <w:p w:rsidR="001850EB" w:rsidRPr="005F7DCE" w:rsidP="009D2F56">
            <w:pPr>
              <w:keepNext/>
              <w:widowControl/>
              <w:rPr>
                <w:b/>
                <w:szCs w:val="22"/>
              </w:rPr>
            </w:pPr>
            <w:r>
              <w:rPr>
                <w:b/>
                <w:szCs w:val="22"/>
              </w:rPr>
              <w:t>Office of Media Relations</w:t>
            </w:r>
          </w:p>
          <w:p w:rsidR="001850EB" w:rsidP="009D2F56">
            <w:pPr>
              <w:keepNext/>
              <w:widowControl/>
              <w:rPr>
                <w:szCs w:val="22"/>
              </w:rPr>
            </w:pPr>
            <w:r>
              <w:rPr>
                <w:szCs w:val="22"/>
              </w:rPr>
              <w:t>Mark Wigfield</w:t>
            </w:r>
            <w:r w:rsidRPr="00C3123E">
              <w:rPr>
                <w:szCs w:val="22"/>
              </w:rPr>
              <w:t xml:space="preserve"> </w:t>
            </w:r>
            <w:r>
              <w:rPr>
                <w:szCs w:val="22"/>
              </w:rPr>
              <w:t xml:space="preserve">at </w:t>
            </w:r>
            <w:r w:rsidRPr="00C3123E">
              <w:rPr>
                <w:szCs w:val="22"/>
              </w:rPr>
              <w:t>(202) 418-0</w:t>
            </w:r>
            <w:r>
              <w:rPr>
                <w:szCs w:val="22"/>
              </w:rPr>
              <w:t>2</w:t>
            </w:r>
            <w:r w:rsidRPr="00C3123E">
              <w:rPr>
                <w:szCs w:val="22"/>
              </w:rPr>
              <w:t>5</w:t>
            </w:r>
            <w:r>
              <w:rPr>
                <w:szCs w:val="22"/>
              </w:rPr>
              <w:t>3</w:t>
            </w:r>
          </w:p>
          <w:p w:rsidR="001850EB" w:rsidP="009D2F56">
            <w:pPr>
              <w:widowControl/>
            </w:pPr>
          </w:p>
        </w:tc>
      </w:tr>
    </w:tbl>
    <w:p w:rsidR="001850EB" w:rsidP="001850EB">
      <w:pPr>
        <w:keepNext/>
        <w:widowControl/>
        <w:jc w:val="center"/>
        <w:rPr>
          <w:b/>
        </w:rPr>
      </w:pPr>
    </w:p>
    <w:p w:rsidR="00412FC5" w:rsidRPr="001850EB" w:rsidP="001850EB">
      <w:pPr>
        <w:keepNext/>
        <w:widowControl/>
        <w:jc w:val="center"/>
        <w:rPr>
          <w:sz w:val="24"/>
        </w:rPr>
      </w:pPr>
      <w:r w:rsidRPr="00306DFC">
        <w:rPr>
          <w:b/>
        </w:rPr>
        <w:t>- FCC -</w:t>
      </w:r>
      <w:bookmarkEnd w:id="0"/>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1850EB" w:rsidP="001850EB">
      <w:pPr>
        <w:pStyle w:val="FootnoteText"/>
      </w:pPr>
      <w:r>
        <w:rPr>
          <w:rStyle w:val="FootnoteReference"/>
        </w:rPr>
        <w:footnoteRef/>
      </w:r>
      <w:r>
        <w:t xml:space="preserve"> Gross bids refer to the total amount of provisionally winning bids in Auction 101 at the close of bidding, and do not reflect any small business or rural service provider bidding credits that may be awarded to eligible winning bidders after the auction.  Accordingly, the total amount raised in net bids for Auction 101 may be less than the gross bids amount.</w:t>
      </w:r>
    </w:p>
  </w:footnote>
  <w:footnote w:id="4">
    <w:p w:rsidR="001850EB" w:rsidRPr="003D549B" w:rsidP="001850EB">
      <w:pPr>
        <w:pStyle w:val="FootnoteText"/>
        <w:rPr>
          <w:i/>
        </w:rPr>
      </w:pPr>
      <w:r w:rsidRPr="003D549B">
        <w:rPr>
          <w:rStyle w:val="FootnoteReference"/>
          <w:sz w:val="20"/>
        </w:rPr>
        <w:footnoteRef/>
      </w:r>
      <w:r w:rsidRPr="003D549B">
        <w:t xml:space="preserve"> Specifically, the Commission has determined that it will not make public until after bidding in both auctions has closed:  (1) the licenses or PEAs that an applicant select</w:t>
      </w:r>
      <w:r w:rsidR="00904C3F">
        <w:t>ed</w:t>
      </w:r>
      <w:r w:rsidRPr="003D549B">
        <w:t xml:space="preserve"> for bidding in its FCC Form 175, (2) the amount of any upfront payment made by or on behalf of an applicant for Auction 101 or Auction 102, (3) any applicant’s bidding eligibility, and (4) any other bidding-related information that might reveal the identity of the bidder placing a bid. </w:t>
      </w:r>
      <w:r w:rsidRPr="003D549B">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3D549B">
        <w:t xml:space="preserve">, Public Notice, </w:t>
      </w:r>
      <w:r>
        <w:t xml:space="preserve">33 FCC </w:t>
      </w:r>
      <w:r>
        <w:t>Rcd</w:t>
      </w:r>
      <w:r w:rsidRPr="003D549B">
        <w:t xml:space="preserve"> </w:t>
      </w:r>
      <w:r>
        <w:t>7575</w:t>
      </w:r>
      <w:r w:rsidRPr="003D549B">
        <w:rPr>
          <w:lang w:val="de-DE"/>
        </w:rPr>
        <w:t>,</w:t>
      </w:r>
      <w:r>
        <w:rPr>
          <w:lang w:val="de-DE"/>
        </w:rPr>
        <w:t xml:space="preserve"> 7595,</w:t>
      </w:r>
      <w:r w:rsidRPr="003D549B">
        <w:rPr>
          <w:lang w:val="de-DE"/>
        </w:rPr>
        <w:t xml:space="preserve"> para. 50 </w:t>
      </w:r>
      <w:r>
        <w:t>(</w:t>
      </w:r>
      <w:r w:rsidRPr="003D549B">
        <w:t>2018)</w:t>
      </w:r>
      <w:r w:rsidRPr="003D549B">
        <w:rPr>
          <w:lang w:val="de-DE"/>
        </w:rPr>
        <w:t xml:space="preserve"> (</w:t>
      </w:r>
      <w:r w:rsidRPr="003D549B">
        <w:rPr>
          <w:i/>
          <w:lang w:val="de-DE"/>
        </w:rPr>
        <w:t>Auctions 101 and 102 Procedures Public Notice</w:t>
      </w:r>
      <w:r w:rsidRPr="003D549B">
        <w:rPr>
          <w:lang w:val="de-DE"/>
        </w:rPr>
        <w:t xml:space="preserve">).  </w:t>
      </w:r>
    </w:p>
  </w:footnote>
  <w:footnote w:id="5">
    <w:p w:rsidR="001850EB" w:rsidP="001850EB">
      <w:pPr>
        <w:pStyle w:val="FootnoteText"/>
      </w:pPr>
      <w:r w:rsidRPr="003D549B">
        <w:rPr>
          <w:rStyle w:val="FootnoteReference"/>
          <w:sz w:val="20"/>
        </w:rPr>
        <w:footnoteRef/>
      </w:r>
      <w:r w:rsidRPr="003D549B">
        <w:t xml:space="preserve"> The PRS can be accessed directly at </w:t>
      </w:r>
      <w:hyperlink r:id="rId1" w:history="1">
        <w:r w:rsidRPr="003D549B">
          <w:rPr>
            <w:rStyle w:val="Hyperlink"/>
          </w:rPr>
          <w:t>auctiondata.fcc.gov</w:t>
        </w:r>
      </w:hyperlink>
      <w:r w:rsidRPr="003D549B">
        <w:t xml:space="preserve"> or from a link under the “Results” section of the Auction 101 website (</w:t>
      </w:r>
      <w:hyperlink r:id="rId2" w:history="1">
        <w:r w:rsidRPr="003D549B">
          <w:rPr>
            <w:rStyle w:val="Hyperlink"/>
          </w:rPr>
          <w:t>www.fcc.gov/auction/101</w:t>
        </w:r>
      </w:hyperlink>
      <w:r w:rsidRPr="003D549B">
        <w:t>).</w:t>
      </w:r>
    </w:p>
  </w:footnote>
  <w:footnote w:id="6">
    <w:p w:rsidR="001850EB" w:rsidRPr="001E120C" w:rsidP="001850EB">
      <w:pPr>
        <w:pStyle w:val="FootnoteText"/>
      </w:pPr>
      <w:r w:rsidRPr="0090256E">
        <w:rPr>
          <w:rStyle w:val="FootnoteReference"/>
          <w:sz w:val="20"/>
        </w:rPr>
        <w:footnoteRef/>
      </w:r>
      <w:r w:rsidRPr="001E120C">
        <w:t xml:space="preserve"> Each confidential letter will list the down payment and final payment owed by,</w:t>
      </w:r>
      <w:r w:rsidRPr="00237DFD">
        <w:t xml:space="preserve"> or refund due to, the bidder, as applicable.  If the qualified bidder withdrew a bid during the auction, the confidential letter will also list the </w:t>
      </w:r>
      <w:r w:rsidRPr="001E120C">
        <w:t>amount of any withdrawal payments owed by the bidder.</w:t>
      </w:r>
    </w:p>
  </w:footnote>
  <w:footnote w:id="7">
    <w:p w:rsidR="001850EB" w:rsidRPr="00237DFD" w:rsidP="001850EB">
      <w:pPr>
        <w:pStyle w:val="FootnoteText"/>
      </w:pPr>
      <w:r w:rsidRPr="001E120C">
        <w:rPr>
          <w:rStyle w:val="FootnoteReference"/>
          <w:sz w:val="20"/>
        </w:rPr>
        <w:footnoteRef/>
      </w:r>
      <w:r w:rsidRPr="001E120C">
        <w:rPr>
          <w:i/>
          <w:lang w:val="de-DE"/>
        </w:rPr>
        <w:t xml:space="preserve"> </w:t>
      </w:r>
      <w:r w:rsidRPr="001E120C">
        <w:rPr>
          <w:lang w:val="de-DE"/>
        </w:rPr>
        <w:t xml:space="preserve">47 CFR § 1.2107(b); </w:t>
      </w:r>
      <w:r w:rsidRPr="00237DFD">
        <w:rPr>
          <w:i/>
          <w:lang w:val="de-DE"/>
        </w:rPr>
        <w:t>Auctions 101 and 102 Procedures Public Notice</w:t>
      </w:r>
      <w:r w:rsidRPr="00237DFD">
        <w:rPr>
          <w:lang w:val="de-DE"/>
        </w:rPr>
        <w:t xml:space="preserve">, 33 FCC Rcd at 7658, para. 284.  </w:t>
      </w:r>
    </w:p>
  </w:footnote>
  <w:footnote w:id="8">
    <w:p w:rsidR="001850EB" w:rsidRPr="00237DFD" w:rsidP="001850EB">
      <w:pPr>
        <w:pStyle w:val="FootnoteText"/>
      </w:pPr>
      <w:r w:rsidRPr="001E120C">
        <w:rPr>
          <w:rStyle w:val="FootnoteReference"/>
          <w:sz w:val="20"/>
        </w:rPr>
        <w:footnoteRef/>
      </w:r>
      <w:r w:rsidRPr="001E120C">
        <w:t xml:space="preserve"> </w:t>
      </w:r>
      <w:r w:rsidRPr="001E120C">
        <w:rPr>
          <w:lang w:val="de-DE"/>
        </w:rPr>
        <w:t>47 CFR § 1.2107(b)</w:t>
      </w:r>
      <w:r w:rsidRPr="001E120C">
        <w:t xml:space="preserve">.  </w:t>
      </w:r>
    </w:p>
  </w:footnote>
  <w:footnote w:id="9">
    <w:p w:rsidR="001850EB" w:rsidRPr="00237DFD" w:rsidP="001850EB">
      <w:pPr>
        <w:pStyle w:val="FootnoteText"/>
      </w:pPr>
      <w:r w:rsidRPr="001E120C">
        <w:rPr>
          <w:rStyle w:val="FootnoteReference"/>
          <w:sz w:val="20"/>
        </w:rPr>
        <w:footnoteRef/>
      </w:r>
      <w:r w:rsidRPr="001E120C">
        <w:t xml:space="preserve"> </w:t>
      </w:r>
      <w:r w:rsidRPr="001E120C">
        <w:rPr>
          <w:i/>
        </w:rPr>
        <w:t>See</w:t>
      </w:r>
      <w:r w:rsidRPr="001E120C">
        <w:t xml:space="preserve"> Section </w:t>
      </w:r>
      <w:r>
        <w:t>II</w:t>
      </w:r>
      <w:r w:rsidRPr="00237DFD">
        <w:t>.D (Withdrawal, Default, and Disqualification Payments), below.</w:t>
      </w:r>
    </w:p>
  </w:footnote>
  <w:footnote w:id="10">
    <w:p w:rsidR="001850EB" w:rsidRPr="001E120C" w:rsidP="001850EB">
      <w:pPr>
        <w:pStyle w:val="FootnoteText"/>
      </w:pPr>
      <w:r w:rsidRPr="001E120C">
        <w:rPr>
          <w:rStyle w:val="FootnoteReference"/>
          <w:sz w:val="20"/>
        </w:rPr>
        <w:footnoteRef/>
      </w:r>
      <w:r w:rsidRPr="001E120C">
        <w:t xml:space="preserve"> 47 CFR § 1.2109(a).</w:t>
      </w:r>
    </w:p>
  </w:footnote>
  <w:footnote w:id="11">
    <w:p w:rsidR="001850EB" w:rsidRPr="001E120C" w:rsidP="001850EB">
      <w:pPr>
        <w:pStyle w:val="FootnoteText"/>
      </w:pPr>
      <w:r w:rsidRPr="0090256E">
        <w:rPr>
          <w:rStyle w:val="FootnoteReference"/>
          <w:sz w:val="20"/>
        </w:rPr>
        <w:footnoteRef/>
      </w:r>
      <w:r w:rsidRPr="001E120C">
        <w:t xml:space="preserve"> </w:t>
      </w:r>
      <w:r w:rsidRPr="001E120C">
        <w:rPr>
          <w:i/>
        </w:rPr>
        <w:t>Id.</w:t>
      </w:r>
    </w:p>
  </w:footnote>
  <w:footnote w:id="12">
    <w:p w:rsidR="001850EB" w:rsidRPr="00237DFD" w:rsidP="001850EB">
      <w:pPr>
        <w:pStyle w:val="FootnoteText"/>
      </w:pPr>
      <w:r w:rsidRPr="001E120C">
        <w:rPr>
          <w:rStyle w:val="FootnoteReference"/>
          <w:sz w:val="20"/>
        </w:rPr>
        <w:footnoteRef/>
      </w:r>
      <w:r w:rsidRPr="001E120C">
        <w:t xml:space="preserve"> </w:t>
      </w:r>
      <w:r w:rsidRPr="001E120C">
        <w:rPr>
          <w:i/>
        </w:rPr>
        <w:t>See</w:t>
      </w:r>
      <w:r w:rsidRPr="001E120C">
        <w:t xml:space="preserve"> Section II.D (Withdrawal, Default, and Disqualification Payments</w:t>
      </w:r>
      <w:r w:rsidRPr="00237DFD">
        <w:t>), below.</w:t>
      </w:r>
    </w:p>
  </w:footnote>
  <w:footnote w:id="13">
    <w:p w:rsidR="001850EB" w:rsidRPr="001E120C" w:rsidP="001850EB">
      <w:pPr>
        <w:pStyle w:val="FootnoteText"/>
      </w:pPr>
      <w:r w:rsidRPr="0090256E">
        <w:rPr>
          <w:rStyle w:val="FootnoteReference"/>
          <w:sz w:val="20"/>
        </w:rPr>
        <w:footnoteRef/>
      </w:r>
      <w:r w:rsidRPr="001E120C">
        <w:t xml:space="preserve"> 47 CFR § 1.2110(f)(3)(vi).</w:t>
      </w:r>
    </w:p>
  </w:footnote>
  <w:footnote w:id="14">
    <w:p w:rsidR="001850EB" w:rsidRPr="001E120C" w:rsidP="001850EB">
      <w:pPr>
        <w:pStyle w:val="FootnoteText"/>
      </w:pPr>
      <w:r w:rsidRPr="0090256E">
        <w:rPr>
          <w:rStyle w:val="FootnoteReference"/>
          <w:sz w:val="20"/>
        </w:rPr>
        <w:footnoteRef/>
      </w:r>
      <w:r w:rsidRPr="001E120C">
        <w:t xml:space="preserve"> </w:t>
      </w:r>
      <w:r w:rsidRPr="001E120C">
        <w:rPr>
          <w:i/>
        </w:rPr>
        <w:t>Id.</w:t>
      </w:r>
      <w:r w:rsidRPr="001E120C">
        <w:t xml:space="preserve"> § 1.2109(a).</w:t>
      </w:r>
    </w:p>
  </w:footnote>
  <w:footnote w:id="15">
    <w:p w:rsidR="001850EB" w:rsidRPr="001E120C" w:rsidP="001850EB">
      <w:pPr>
        <w:pStyle w:val="FootnoteText"/>
      </w:pPr>
      <w:r w:rsidRPr="0090256E">
        <w:rPr>
          <w:rStyle w:val="FootnoteReference"/>
          <w:sz w:val="20"/>
        </w:rPr>
        <w:footnoteRef/>
      </w:r>
      <w:r w:rsidRPr="001E120C">
        <w:rPr>
          <w:i/>
        </w:rPr>
        <w:t xml:space="preserve"> Id.</w:t>
      </w:r>
      <w:r w:rsidRPr="001E120C">
        <w:t xml:space="preserve"> § 1.2110(f)(3)(vi).</w:t>
      </w:r>
    </w:p>
  </w:footnote>
  <w:footnote w:id="16">
    <w:p w:rsidR="001850EB" w:rsidRPr="001E120C" w:rsidP="001850EB">
      <w:pPr>
        <w:pStyle w:val="FootnoteText"/>
      </w:pPr>
      <w:r w:rsidRPr="0090256E">
        <w:rPr>
          <w:rStyle w:val="FootnoteReference"/>
          <w:sz w:val="20"/>
        </w:rPr>
        <w:footnoteRef/>
      </w:r>
      <w:r w:rsidRPr="001E120C">
        <w:t xml:space="preserve"> Information on the upfront payment deadline and procedures will be announced in a separate public notice.  </w:t>
      </w:r>
    </w:p>
  </w:footnote>
  <w:footnote w:id="17">
    <w:p w:rsidR="001850EB" w:rsidRPr="001E120C" w:rsidP="001850EB">
      <w:pPr>
        <w:pStyle w:val="FootnoteText"/>
      </w:pPr>
      <w:r w:rsidRPr="0090256E">
        <w:rPr>
          <w:rStyle w:val="FootnoteReference"/>
          <w:sz w:val="20"/>
        </w:rPr>
        <w:footnoteRef/>
      </w:r>
      <w:r w:rsidRPr="001E120C">
        <w:t xml:space="preserve"> </w:t>
      </w:r>
      <w:r w:rsidRPr="001E120C">
        <w:rPr>
          <w:snapToGrid w:val="0"/>
        </w:rPr>
        <w:t>The wire transfer must be initiated by the winning bidder through its bank authorizing the bank to wire funds from the bidder’s account to the Commission’s account designated to receive payments for financial obligations resulting from Auction 101.</w:t>
      </w:r>
    </w:p>
  </w:footnote>
  <w:footnote w:id="18">
    <w:p w:rsidR="001850EB" w:rsidRPr="003E2CA0" w:rsidP="001850EB">
      <w:pPr>
        <w:pStyle w:val="FootnoteText"/>
      </w:pPr>
      <w:r w:rsidRPr="001E120C">
        <w:rPr>
          <w:rStyle w:val="FootnoteReference"/>
          <w:sz w:val="20"/>
        </w:rPr>
        <w:footnoteRef/>
      </w:r>
      <w:r w:rsidRPr="001E120C">
        <w:t xml:space="preserve"> </w:t>
      </w:r>
      <w:r w:rsidRPr="001E120C">
        <w:rPr>
          <w:i/>
        </w:rPr>
        <w:t>See, e.g</w:t>
      </w:r>
      <w:r w:rsidRPr="001E120C">
        <w:t>.,</w:t>
      </w:r>
      <w:r w:rsidRPr="001E120C">
        <w:rPr>
          <w:i/>
        </w:rPr>
        <w:t xml:space="preserve"> </w:t>
      </w:r>
      <w:r w:rsidRPr="001E120C">
        <w:t xml:space="preserve">Letter from Margaret W. Wiener, Chief, Auctions and Spectrum Access Div., FCC, to Lee G. Petro, counsel for Four Corners Broadcasting, LLC, 25 FCC </w:t>
      </w:r>
      <w:r w:rsidRPr="001E120C">
        <w:t>Rcd</w:t>
      </w:r>
      <w:r w:rsidRPr="001E120C">
        <w:t xml:space="preserve"> 9046 (WTB 2010); Letter from Margaret W. Wiener,</w:t>
      </w:r>
      <w:r w:rsidRPr="003E2CA0">
        <w:t xml:space="preserve"> Chief, Auctions and Spectrum Access Div.</w:t>
      </w:r>
      <w:r>
        <w:t xml:space="preserve">, FCC, </w:t>
      </w:r>
      <w:r w:rsidRPr="003E2CA0">
        <w:t xml:space="preserve">to David G. O’Neil, counsel for Spectrum Acquisitions, Inc., 23 FCC </w:t>
      </w:r>
      <w:r w:rsidRPr="003E2CA0">
        <w:t>Rcd</w:t>
      </w:r>
      <w:r w:rsidRPr="003E2CA0">
        <w:t xml:space="preserve"> 4765 (WTB 2008); Letter</w:t>
      </w:r>
      <w:r>
        <w:t xml:space="preserve"> </w:t>
      </w:r>
      <w:r w:rsidRPr="003E2CA0">
        <w:t>from Margaret W. Wiener, Chief, Auctions and Spectrum Access Div.</w:t>
      </w:r>
      <w:r>
        <w:t>, FCC,</w:t>
      </w:r>
      <w:r w:rsidRPr="003E2CA0">
        <w:t xml:space="preserve"> to Patrick Shannon, counsel for Lynch 3G Communications Corp., 18 FCC </w:t>
      </w:r>
      <w:r w:rsidRPr="003E2CA0">
        <w:t>Rcd</w:t>
      </w:r>
      <w:r w:rsidRPr="003E2CA0">
        <w:t xml:space="preserve"> 11552 (WTB 2003).   </w:t>
      </w:r>
    </w:p>
  </w:footnote>
  <w:footnote w:id="19">
    <w:p w:rsidR="001850EB" w:rsidRPr="003E2CA0" w:rsidP="001850EB">
      <w:pPr>
        <w:pStyle w:val="FootnoteText"/>
      </w:pPr>
      <w:r w:rsidRPr="003E2CA0">
        <w:rPr>
          <w:rStyle w:val="FootnoteReference"/>
          <w:sz w:val="20"/>
        </w:rPr>
        <w:footnoteRef/>
      </w:r>
      <w:r w:rsidRPr="003E2CA0">
        <w:t xml:space="preserve"> Form 159 will continue to be used in future auctions for upfront payments only.</w:t>
      </w:r>
    </w:p>
  </w:footnote>
  <w:footnote w:id="20">
    <w:p w:rsidR="001850EB" w:rsidRPr="00FB792E" w:rsidP="001850EB">
      <w:pPr>
        <w:pStyle w:val="FootnoteText"/>
      </w:pPr>
      <w:r w:rsidRPr="00FB792E">
        <w:rPr>
          <w:rStyle w:val="FootnoteReference"/>
          <w:sz w:val="20"/>
        </w:rPr>
        <w:footnoteRef/>
      </w:r>
      <w:r w:rsidRPr="00FB792E">
        <w:t xml:space="preserve"> </w:t>
      </w:r>
      <w:r w:rsidRPr="00FB792E">
        <w:rPr>
          <w:i/>
        </w:rPr>
        <w:t xml:space="preserve">See </w:t>
      </w:r>
      <w:r w:rsidRPr="00FB792E">
        <w:t>47 CFR §§ 1.2104(g), 1.2109.</w:t>
      </w:r>
    </w:p>
  </w:footnote>
  <w:footnote w:id="21">
    <w:p w:rsidR="001850EB" w:rsidRPr="00FB792E" w:rsidP="001850EB">
      <w:pPr>
        <w:pStyle w:val="FootnoteText"/>
      </w:pPr>
      <w:r w:rsidRPr="00FB792E">
        <w:rPr>
          <w:rStyle w:val="FootnoteReference"/>
          <w:sz w:val="20"/>
        </w:rPr>
        <w:footnoteRef/>
      </w:r>
      <w:r w:rsidRPr="00FB792E">
        <w:t xml:space="preserve"> </w:t>
      </w:r>
      <w:r w:rsidRPr="00FB792E">
        <w:rPr>
          <w:i/>
        </w:rPr>
        <w:t>See</w:t>
      </w:r>
      <w:r w:rsidRPr="00FB792E">
        <w:t xml:space="preserve"> </w:t>
      </w:r>
      <w:r>
        <w:rPr>
          <w:i/>
        </w:rPr>
        <w:t>i</w:t>
      </w:r>
      <w:r w:rsidRPr="002916AB">
        <w:rPr>
          <w:i/>
        </w:rPr>
        <w:t>d.</w:t>
      </w:r>
      <w:r w:rsidRPr="00FB792E">
        <w:t xml:space="preserve"> § 1.2104(g)(1).</w:t>
      </w:r>
    </w:p>
  </w:footnote>
  <w:footnote w:id="22">
    <w:p w:rsidR="001850EB" w:rsidRPr="00FB792E" w:rsidP="001850EB">
      <w:pPr>
        <w:pStyle w:val="FootnoteText"/>
      </w:pPr>
      <w:r w:rsidRPr="00FB792E">
        <w:rPr>
          <w:rStyle w:val="FootnoteReference"/>
          <w:sz w:val="20"/>
        </w:rPr>
        <w:footnoteRef/>
      </w:r>
      <w:r w:rsidRPr="00FB792E">
        <w:t xml:space="preserve"> </w:t>
      </w:r>
      <w:r w:rsidRPr="00FB792E">
        <w:rPr>
          <w:i/>
        </w:rPr>
        <w:t>Id</w:t>
      </w:r>
      <w:r w:rsidRPr="00FB792E">
        <w:t>.</w:t>
      </w:r>
    </w:p>
  </w:footnote>
  <w:footnote w:id="23">
    <w:p w:rsidR="001850EB" w:rsidRPr="00FB792E" w:rsidP="001850EB">
      <w:pPr>
        <w:pStyle w:val="FootnoteText"/>
      </w:pPr>
      <w:r w:rsidRPr="00FB792E">
        <w:rPr>
          <w:rStyle w:val="FootnoteReference"/>
          <w:sz w:val="20"/>
        </w:rPr>
        <w:footnoteRef/>
      </w:r>
      <w:r w:rsidRPr="00FB792E">
        <w:t xml:space="preserve"> </w:t>
      </w:r>
      <w:r w:rsidRPr="00FB792E">
        <w:rPr>
          <w:i/>
        </w:rPr>
        <w:t>See</w:t>
      </w:r>
      <w:r w:rsidRPr="00FB792E">
        <w:t xml:space="preserve"> </w:t>
      </w:r>
      <w:r w:rsidRPr="00FB792E">
        <w:rPr>
          <w:i/>
        </w:rPr>
        <w:t>id</w:t>
      </w:r>
      <w:r w:rsidR="00904C3F">
        <w:rPr>
          <w:i/>
        </w:rPr>
        <w:t>.</w:t>
      </w:r>
      <w:r w:rsidRPr="00904C3F">
        <w:t xml:space="preserve">; </w:t>
      </w:r>
      <w:r>
        <w:rPr>
          <w:i/>
        </w:rPr>
        <w:t>s</w:t>
      </w:r>
      <w:r w:rsidRPr="00FB792E">
        <w:rPr>
          <w:i/>
        </w:rPr>
        <w:t>ee also</w:t>
      </w:r>
      <w:r w:rsidRPr="00FB792E">
        <w:t xml:space="preserve"> </w:t>
      </w:r>
      <w:r w:rsidRPr="00FB792E">
        <w:rPr>
          <w:i/>
        </w:rPr>
        <w:t>Auctions 101 and 102 Procedures Public Notice</w:t>
      </w:r>
      <w:r>
        <w:t xml:space="preserve">, </w:t>
      </w:r>
      <w:r>
        <w:rPr>
          <w:lang w:val="de-DE"/>
        </w:rPr>
        <w:t xml:space="preserve">33 FCC Rcd at 7643-44, </w:t>
      </w:r>
      <w:r>
        <w:t>para. 212</w:t>
      </w:r>
      <w:r w:rsidRPr="00FB792E">
        <w:t>.</w:t>
      </w:r>
    </w:p>
  </w:footnote>
  <w:footnote w:id="24">
    <w:p w:rsidR="001850EB" w:rsidRPr="00FB792E" w:rsidP="001850EB">
      <w:pPr>
        <w:pStyle w:val="FootnoteText"/>
      </w:pPr>
      <w:r w:rsidRPr="00FB792E">
        <w:rPr>
          <w:rStyle w:val="FootnoteReference"/>
          <w:sz w:val="20"/>
        </w:rPr>
        <w:footnoteRef/>
      </w:r>
      <w:r w:rsidRPr="00FB792E">
        <w:rPr>
          <w:i/>
        </w:rPr>
        <w:t xml:space="preserve"> See</w:t>
      </w:r>
      <w:r w:rsidRPr="00FB792E">
        <w:t xml:space="preserve"> 47 CFR §§ 1.2104(g)(1), 1.2106(d).  If the withdrawing bidder is a winning bidder, the total amount it will be required to have on deposit by the down payment deadline will be any amount owed for its bid withdrawal(s) plus </w:t>
      </w:r>
      <w:r>
        <w:t>20</w:t>
      </w:r>
      <w:r w:rsidRPr="00FB792E">
        <w:t xml:space="preserve"> percent of the net amount of its winning bids.  If the bidder fails to pay both the withdrawal payment and</w:t>
      </w:r>
      <w:r>
        <w:t xml:space="preserve"> </w:t>
      </w:r>
      <w:r w:rsidRPr="00FB792E">
        <w:t xml:space="preserve">down payment owed by that deadline, it will be in default.  </w:t>
      </w:r>
      <w:r w:rsidRPr="00FB792E">
        <w:t>In the event that</w:t>
      </w:r>
      <w:r w:rsidRPr="00FB792E">
        <w:t xml:space="preserve"> a withdrawing bidder is not a winning bidder and its deposits with the Commission do not fully cover the amount of any withdrawal payment, the </w:t>
      </w:r>
      <w:r>
        <w:t>Commission</w:t>
      </w:r>
      <w:r w:rsidRPr="00FB792E">
        <w:t xml:space="preserve"> will separately assess, and the withdrawing bidder will be required to pay, such difference.   </w:t>
      </w:r>
    </w:p>
  </w:footnote>
  <w:footnote w:id="25">
    <w:p w:rsidR="001850EB" w:rsidRPr="00237DFD" w:rsidP="001850EB">
      <w:pPr>
        <w:pStyle w:val="FootnoteText"/>
      </w:pPr>
      <w:r w:rsidRPr="00237DFD">
        <w:rPr>
          <w:rStyle w:val="FootnoteReference"/>
          <w:sz w:val="20"/>
        </w:rPr>
        <w:footnoteRef/>
      </w:r>
      <w:r w:rsidRPr="00237DFD">
        <w:t xml:space="preserve"> </w:t>
      </w:r>
      <w:r w:rsidRPr="00237DFD">
        <w:rPr>
          <w:i/>
        </w:rPr>
        <w:t>Id.</w:t>
      </w:r>
      <w:r w:rsidRPr="00237DFD">
        <w:t xml:space="preserve"> § 1.2104(g)(2); </w:t>
      </w:r>
      <w:r w:rsidRPr="00237DFD">
        <w:rPr>
          <w:i/>
        </w:rPr>
        <w:t>see also id.</w:t>
      </w:r>
      <w:r w:rsidRPr="00237DFD">
        <w:t xml:space="preserve"> </w:t>
      </w:r>
      <w:r w:rsidRPr="00237DFD">
        <w:rPr>
          <w:color w:val="000000"/>
        </w:rPr>
        <w:t xml:space="preserve">§ 1.2109; </w:t>
      </w:r>
      <w:r w:rsidRPr="00237DFD">
        <w:rPr>
          <w:i/>
        </w:rPr>
        <w:t>Auctions 101 and 102 Procedures</w:t>
      </w:r>
      <w:r w:rsidRPr="00237DFD">
        <w:t xml:space="preserve"> </w:t>
      </w:r>
      <w:r w:rsidRPr="00237DFD">
        <w:rPr>
          <w:i/>
          <w:iCs/>
        </w:rPr>
        <w:t>Public Notice</w:t>
      </w:r>
      <w:r w:rsidRPr="00237DFD">
        <w:rPr>
          <w:iCs/>
        </w:rPr>
        <w:t xml:space="preserve">, </w:t>
      </w:r>
      <w:r w:rsidRPr="00237DFD">
        <w:rPr>
          <w:lang w:val="de-DE"/>
        </w:rPr>
        <w:t>33 FCC Rcd at 7660,</w:t>
      </w:r>
      <w:r w:rsidRPr="00237DFD">
        <w:rPr>
          <w:iCs/>
        </w:rPr>
        <w:t xml:space="preserve"> para. 294</w:t>
      </w:r>
      <w:r w:rsidRPr="00237DFD">
        <w:rPr>
          <w:color w:val="000000"/>
        </w:rPr>
        <w:t>.</w:t>
      </w:r>
      <w:r w:rsidRPr="00237DFD">
        <w:t xml:space="preserve">  </w:t>
      </w:r>
    </w:p>
  </w:footnote>
  <w:footnote w:id="26">
    <w:p w:rsidR="001850EB" w:rsidRPr="00237DFD" w:rsidP="001850EB">
      <w:pPr>
        <w:pStyle w:val="FootnoteText"/>
      </w:pPr>
      <w:r w:rsidRPr="00237DFD">
        <w:rPr>
          <w:rStyle w:val="FootnoteReference"/>
          <w:sz w:val="20"/>
        </w:rPr>
        <w:footnoteRef/>
      </w:r>
      <w:r w:rsidRPr="00237DFD">
        <w:t xml:space="preserve"> 47 CFR § 1.2104(g)(2); </w:t>
      </w:r>
      <w:r w:rsidRPr="00237DFD">
        <w:rPr>
          <w:i/>
        </w:rPr>
        <w:t>see also</w:t>
      </w:r>
      <w:r w:rsidRPr="00237DFD">
        <w:t xml:space="preserve"> </w:t>
      </w:r>
      <w:r w:rsidRPr="00237DFD">
        <w:rPr>
          <w:i/>
        </w:rPr>
        <w:t>id.</w:t>
      </w:r>
      <w:r w:rsidRPr="00237DFD">
        <w:t xml:space="preserve"> </w:t>
      </w:r>
      <w:r w:rsidRPr="00237DFD">
        <w:rPr>
          <w:color w:val="000000"/>
        </w:rPr>
        <w:t xml:space="preserve">§ 1.2109; </w:t>
      </w:r>
      <w:r w:rsidRPr="00237DFD">
        <w:rPr>
          <w:i/>
        </w:rPr>
        <w:t>Auctions 101 and 102 Procedures</w:t>
      </w:r>
      <w:r w:rsidRPr="00237DFD">
        <w:t xml:space="preserve"> </w:t>
      </w:r>
      <w:r w:rsidRPr="00237DFD">
        <w:rPr>
          <w:i/>
          <w:iCs/>
        </w:rPr>
        <w:t>Public Notice</w:t>
      </w:r>
      <w:r w:rsidRPr="00237DFD">
        <w:rPr>
          <w:iCs/>
        </w:rPr>
        <w:t xml:space="preserve">, </w:t>
      </w:r>
      <w:r w:rsidRPr="00237DFD">
        <w:rPr>
          <w:lang w:val="de-DE"/>
        </w:rPr>
        <w:t>33 FCC Rcd at 7660,</w:t>
      </w:r>
      <w:r w:rsidRPr="00237DFD">
        <w:rPr>
          <w:iCs/>
        </w:rPr>
        <w:t xml:space="preserve"> para. 294</w:t>
      </w:r>
      <w:r w:rsidRPr="00237DFD">
        <w:t xml:space="preserve">.   </w:t>
      </w:r>
    </w:p>
  </w:footnote>
  <w:footnote w:id="27">
    <w:p w:rsidR="001850EB" w:rsidRPr="00237DFD" w:rsidP="001850EB">
      <w:pPr>
        <w:pStyle w:val="FootnoteText"/>
      </w:pPr>
      <w:r w:rsidRPr="00237DFD">
        <w:rPr>
          <w:rStyle w:val="FootnoteReference"/>
          <w:sz w:val="20"/>
        </w:rPr>
        <w:footnoteRef/>
      </w:r>
      <w:r w:rsidRPr="00237DFD">
        <w:t xml:space="preserve"> </w:t>
      </w:r>
      <w:r w:rsidRPr="00237DFD">
        <w:rPr>
          <w:i/>
        </w:rPr>
        <w:t>Auctions 101 and 102 Procedures Public Notice</w:t>
      </w:r>
      <w:r w:rsidRPr="00237DFD">
        <w:t xml:space="preserve">, </w:t>
      </w:r>
      <w:r w:rsidRPr="00237DFD">
        <w:rPr>
          <w:lang w:val="de-DE"/>
        </w:rPr>
        <w:t>33 FCC Rcd at 7660,</w:t>
      </w:r>
      <w:r w:rsidRPr="00237DFD">
        <w:t xml:space="preserve"> para. 295. </w:t>
      </w:r>
    </w:p>
  </w:footnote>
  <w:footnote w:id="28">
    <w:p w:rsidR="001850EB" w:rsidRPr="00237DFD" w:rsidP="001850EB">
      <w:pPr>
        <w:pStyle w:val="FootnoteText"/>
      </w:pPr>
      <w:r w:rsidRPr="00237DFD">
        <w:rPr>
          <w:rStyle w:val="FootnoteReference"/>
          <w:sz w:val="20"/>
        </w:rPr>
        <w:footnoteRef/>
      </w:r>
      <w:r w:rsidRPr="00237DFD">
        <w:t xml:space="preserve"> 47 CFR §§ 1.2104(g)(2), 1.2109(b).</w:t>
      </w:r>
    </w:p>
  </w:footnote>
  <w:footnote w:id="29">
    <w:p w:rsidR="001850EB" w:rsidRPr="00237DFD" w:rsidP="001850EB">
      <w:pPr>
        <w:pStyle w:val="FootnoteText"/>
      </w:pPr>
      <w:r w:rsidRPr="00237DFD">
        <w:rPr>
          <w:rStyle w:val="FootnoteReference"/>
          <w:sz w:val="20"/>
        </w:rPr>
        <w:footnoteRef/>
      </w:r>
      <w:r w:rsidRPr="00237DFD">
        <w:rPr>
          <w:i/>
        </w:rPr>
        <w:t xml:space="preserve"> Id.</w:t>
      </w:r>
      <w:r w:rsidRPr="00237DFD">
        <w:t xml:space="preserve"> § 1.2109(a).</w:t>
      </w:r>
    </w:p>
  </w:footnote>
  <w:footnote w:id="30">
    <w:p w:rsidR="001850EB" w:rsidRPr="00237DFD" w:rsidP="001850EB">
      <w:pPr>
        <w:pStyle w:val="FootnoteText"/>
      </w:pPr>
      <w:r w:rsidRPr="00237DFD">
        <w:rPr>
          <w:rStyle w:val="FootnoteReference"/>
          <w:sz w:val="20"/>
        </w:rPr>
        <w:footnoteRef/>
      </w:r>
      <w:r w:rsidRPr="00237DFD">
        <w:t xml:space="preserve"> </w:t>
      </w:r>
      <w:r w:rsidRPr="00237DFD">
        <w:rPr>
          <w:i/>
        </w:rPr>
        <w:t>Id.</w:t>
      </w:r>
      <w:r w:rsidRPr="00237DFD">
        <w:t xml:space="preserve"> §§ 1.2104(g)(2), 1.2109(a), (c).</w:t>
      </w:r>
    </w:p>
  </w:footnote>
  <w:footnote w:id="31">
    <w:p w:rsidR="001850EB" w:rsidRPr="00237DFD" w:rsidP="001850EB">
      <w:pPr>
        <w:pStyle w:val="FootnoteText"/>
      </w:pPr>
      <w:r w:rsidRPr="00237DFD">
        <w:rPr>
          <w:rStyle w:val="FootnoteReference"/>
          <w:sz w:val="20"/>
        </w:rPr>
        <w:footnoteRef/>
      </w:r>
      <w:r w:rsidRPr="00237DFD">
        <w:t xml:space="preserve"> </w:t>
      </w:r>
      <w:r w:rsidRPr="00237DFD">
        <w:rPr>
          <w:i/>
        </w:rPr>
        <w:t>See id.</w:t>
      </w:r>
      <w:r w:rsidRPr="00237DFD">
        <w:t xml:space="preserve"> § 1.2109(a).</w:t>
      </w:r>
    </w:p>
  </w:footnote>
  <w:footnote w:id="32">
    <w:p w:rsidR="001850EB" w:rsidRPr="00237DFD" w:rsidP="001850EB">
      <w:pPr>
        <w:pStyle w:val="FootnoteText"/>
      </w:pPr>
      <w:r w:rsidRPr="00237DFD">
        <w:rPr>
          <w:rStyle w:val="FootnoteReference"/>
          <w:sz w:val="20"/>
        </w:rPr>
        <w:footnoteRef/>
      </w:r>
      <w:r w:rsidRPr="00237DFD">
        <w:t xml:space="preserve"> </w:t>
      </w:r>
      <w:r w:rsidRPr="00237DFD">
        <w:rPr>
          <w:i/>
        </w:rPr>
        <w:t>Id.</w:t>
      </w:r>
      <w:r w:rsidRPr="00237DFD">
        <w:t xml:space="preserve"> § 1.2109(d).</w:t>
      </w:r>
    </w:p>
  </w:footnote>
  <w:footnote w:id="33">
    <w:p w:rsidR="001850EB" w:rsidRPr="006D5AC5" w:rsidP="001850EB">
      <w:pPr>
        <w:pStyle w:val="FootnoteText"/>
      </w:pPr>
      <w:r w:rsidRPr="0090256E">
        <w:rPr>
          <w:rStyle w:val="FootnoteReference"/>
          <w:sz w:val="20"/>
        </w:rPr>
        <w:footnoteRef/>
      </w:r>
      <w:r w:rsidRPr="00237DFD">
        <w:t xml:space="preserve"> As previously explained, since the upfront payments for each auction will be deposited and maintained in separate accounts, we will not apply a bidder’s refund of its upfront payment balance from Auction 101 to its upfront</w:t>
      </w:r>
      <w:r>
        <w:t xml:space="preserve"> payment balance for Auction 102.  </w:t>
      </w:r>
      <w:r>
        <w:rPr>
          <w:i/>
        </w:rPr>
        <w:t>Auctions 101 and 102 Procedures Public Notice</w:t>
      </w:r>
      <w:r>
        <w:t xml:space="preserve">, </w:t>
      </w:r>
      <w:r>
        <w:rPr>
          <w:lang w:val="de-DE"/>
        </w:rPr>
        <w:t>33 FCC Rcd at 7660,</w:t>
      </w:r>
      <w:r>
        <w:t xml:space="preserve"> para. 298 n.497.</w:t>
      </w:r>
    </w:p>
  </w:footnote>
  <w:footnote w:id="34">
    <w:p w:rsidR="001850EB" w:rsidRPr="00237DFD" w:rsidP="001850EB">
      <w:pPr>
        <w:pStyle w:val="FootnoteText"/>
        <w:widowControl w:val="0"/>
      </w:pPr>
      <w:r w:rsidRPr="0090256E">
        <w:rPr>
          <w:rStyle w:val="FootnoteReference"/>
          <w:sz w:val="20"/>
        </w:rPr>
        <w:footnoteRef/>
      </w:r>
      <w:r w:rsidRPr="00237DFD">
        <w:t xml:space="preserve"> 47 CFR § 1.2112(b).</w:t>
      </w:r>
    </w:p>
  </w:footnote>
  <w:footnote w:id="35">
    <w:p w:rsidR="001850EB" w:rsidRPr="00237DFD" w:rsidP="001850EB">
      <w:pPr>
        <w:pStyle w:val="FootnoteText"/>
      </w:pPr>
      <w:r w:rsidRPr="0090256E">
        <w:rPr>
          <w:rStyle w:val="FootnoteReference"/>
          <w:sz w:val="20"/>
        </w:rPr>
        <w:footnoteRef/>
      </w:r>
      <w:r w:rsidRPr="00237DFD">
        <w:rPr>
          <w:i/>
        </w:rPr>
        <w:t xml:space="preserve"> Id.</w:t>
      </w:r>
      <w:r w:rsidRPr="00237DFD">
        <w:t xml:space="preserve"> § 1.2107(g); </w:t>
      </w:r>
      <w:r w:rsidRPr="00237DFD">
        <w:rPr>
          <w:i/>
        </w:rPr>
        <w:t>Auctions 101 and 102 Procedures Public Notice</w:t>
      </w:r>
      <w:r w:rsidRPr="00237DFD">
        <w:rPr>
          <w:iCs/>
        </w:rPr>
        <w:t xml:space="preserve">, </w:t>
      </w:r>
      <w:r w:rsidRPr="00237DFD">
        <w:rPr>
          <w:lang w:val="de-DE"/>
        </w:rPr>
        <w:t>33 FCC Rcd at 7658-59,</w:t>
      </w:r>
      <w:r w:rsidRPr="00237DFD">
        <w:rPr>
          <w:iCs/>
        </w:rPr>
        <w:t xml:space="preserve"> para. 288; </w:t>
      </w:r>
      <w:r w:rsidRPr="00237DFD">
        <w:rPr>
          <w:i/>
          <w:iCs/>
        </w:rPr>
        <w:t>s</w:t>
      </w:r>
      <w:r w:rsidRPr="00237DFD">
        <w:rPr>
          <w:i/>
        </w:rPr>
        <w:t>ee also Implementation of the Commercial Spectrum Enhancement Act and Modernization of the Commission’s Competitive Bidding Rules and Procedures</w:t>
      </w:r>
      <w:r w:rsidRPr="00237DFD">
        <w:t xml:space="preserve">, Report and Order, 21 FCC </w:t>
      </w:r>
      <w:r w:rsidRPr="00237DFD">
        <w:t>Rcd</w:t>
      </w:r>
      <w:r w:rsidRPr="00237DFD">
        <w:t xml:space="preserve"> 891, 911-12, paras. 51-52 (2006); </w:t>
      </w:r>
      <w:r w:rsidRPr="00237DFD">
        <w:rPr>
          <w:i/>
        </w:rPr>
        <w:t>Updating Part 1 Competitive Bidding Rules et al.</w:t>
      </w:r>
      <w:r w:rsidRPr="00237DFD">
        <w:t xml:space="preserve">, Order on Reconsideration of the First Report and Order; Third Order on Reconsideration of the Second Report and Order; Third Report and Order, 30 FCC </w:t>
      </w:r>
      <w:r w:rsidRPr="00237DFD">
        <w:t>Rcd</w:t>
      </w:r>
      <w:r w:rsidRPr="00237DFD">
        <w:t xml:space="preserve"> 7493, 7535, para. 101 (2015) (modified by Erratum, 30 FCC </w:t>
      </w:r>
      <w:r w:rsidRPr="00237DFD">
        <w:t>Rcd</w:t>
      </w:r>
      <w:r w:rsidRPr="00237DFD">
        <w:t xml:space="preserve"> 8518 (2015)).</w:t>
      </w:r>
    </w:p>
  </w:footnote>
  <w:footnote w:id="36">
    <w:p w:rsidR="001850EB" w:rsidRPr="00237DFD" w:rsidP="001850EB">
      <w:pPr>
        <w:pStyle w:val="FootnoteText"/>
        <w:rPr>
          <w:color w:val="000000"/>
        </w:rPr>
      </w:pPr>
      <w:r w:rsidRPr="00237DFD">
        <w:rPr>
          <w:rStyle w:val="FootnoteReference"/>
          <w:sz w:val="20"/>
        </w:rPr>
        <w:footnoteRef/>
      </w:r>
      <w:r w:rsidRPr="00237DFD">
        <w:t xml:space="preserve"> </w:t>
      </w:r>
      <w:r w:rsidRPr="00237DFD">
        <w:rPr>
          <w:color w:val="000000"/>
        </w:rPr>
        <w:t xml:space="preserve">47 CFR §§ 1.2104(g), 1.2107(c). </w:t>
      </w:r>
    </w:p>
  </w:footnote>
  <w:footnote w:id="37">
    <w:p w:rsidR="001850EB" w:rsidRPr="00237DFD" w:rsidP="001850EB">
      <w:pPr>
        <w:pStyle w:val="FootnoteText"/>
        <w:widowControl w:val="0"/>
      </w:pPr>
      <w:r w:rsidRPr="0090256E">
        <w:rPr>
          <w:rStyle w:val="FootnoteReference"/>
          <w:sz w:val="20"/>
        </w:rPr>
        <w:footnoteRef/>
      </w:r>
      <w:r w:rsidRPr="00237DFD">
        <w:t xml:space="preserve"> </w:t>
      </w:r>
      <w:r w:rsidRPr="00237DFD">
        <w:rPr>
          <w:i/>
        </w:rPr>
        <w:t>Id.</w:t>
      </w:r>
      <w:r w:rsidRPr="00237DFD">
        <w:t xml:space="preserve"> §§ 1.2107, 1.2110(f).</w:t>
      </w:r>
    </w:p>
  </w:footnote>
  <w:footnote w:id="38">
    <w:p w:rsidR="001850EB" w:rsidRPr="00237DFD" w:rsidP="001850EB">
      <w:pPr>
        <w:pStyle w:val="FootnoteText"/>
        <w:widowControl w:val="0"/>
      </w:pPr>
      <w:r w:rsidRPr="0090256E">
        <w:rPr>
          <w:rStyle w:val="FootnoteReference"/>
          <w:sz w:val="20"/>
        </w:rPr>
        <w:footnoteRef/>
      </w:r>
      <w:r w:rsidRPr="00237DFD">
        <w:t xml:space="preserve"> </w:t>
      </w:r>
      <w:r w:rsidRPr="00237DFD">
        <w:rPr>
          <w:i/>
        </w:rPr>
        <w:t>See id.</w:t>
      </w:r>
      <w:r w:rsidRPr="00237DFD">
        <w:t xml:space="preserve"> § 1.2110(f)(3)(ii)-(vii).</w:t>
      </w:r>
    </w:p>
  </w:footnote>
  <w:footnote w:id="39">
    <w:p w:rsidR="001850EB" w:rsidRPr="00237DFD" w:rsidP="001850EB">
      <w:pPr>
        <w:pStyle w:val="FootnoteText"/>
        <w:widowControl w:val="0"/>
      </w:pPr>
      <w:r w:rsidRPr="0090256E">
        <w:rPr>
          <w:rStyle w:val="FootnoteReference"/>
          <w:sz w:val="20"/>
        </w:rPr>
        <w:footnoteRef/>
      </w:r>
      <w:r w:rsidRPr="00237DFD">
        <w:t xml:space="preserve"> </w:t>
      </w:r>
      <w:r w:rsidRPr="00237DFD">
        <w:rPr>
          <w:rStyle w:val="FootnoteTextCharCharCharChar3CharCharChar1"/>
          <w:i/>
        </w:rPr>
        <w:t>See generally</w:t>
      </w:r>
      <w:r w:rsidRPr="00237DFD">
        <w:rPr>
          <w:rStyle w:val="FootnoteTextCharCharCharChar3CharCharChar1"/>
        </w:rPr>
        <w:t xml:space="preserve"> </w:t>
      </w:r>
      <w:r w:rsidRPr="00237DFD">
        <w:rPr>
          <w:rStyle w:val="FootnoteTextCharCharCharChar3CharCharChar1"/>
          <w:i/>
        </w:rPr>
        <w:t>Extending Wireless Telecommunications Services to Tribal Lands</w:t>
      </w:r>
      <w:r w:rsidRPr="00237DFD">
        <w:rPr>
          <w:rStyle w:val="FootnoteTextCharCharCharChar3CharCharChar1"/>
        </w:rPr>
        <w:t xml:space="preserve">, Report and Order and Further Notice of Proposed Rule Making, 15 FCC </w:t>
      </w:r>
      <w:r w:rsidRPr="00237DFD">
        <w:rPr>
          <w:rStyle w:val="FootnoteTextCharCharCharChar3CharCharChar1"/>
        </w:rPr>
        <w:t>Rcd</w:t>
      </w:r>
      <w:r w:rsidRPr="00237DFD">
        <w:rPr>
          <w:rStyle w:val="FootnoteTextCharCharCharChar3CharCharChar1"/>
        </w:rPr>
        <w:t xml:space="preserve"> 11794 (2000); Second Report and Order and Second Further Notice of Proposed Rulemaking, 18 FCC </w:t>
      </w:r>
      <w:r w:rsidRPr="00237DFD">
        <w:rPr>
          <w:rStyle w:val="FootnoteTextCharCharCharChar3CharCharChar1"/>
        </w:rPr>
        <w:t>Rcd</w:t>
      </w:r>
      <w:r w:rsidRPr="00237DFD">
        <w:rPr>
          <w:rStyle w:val="FootnoteTextCharCharCharChar3CharCharChar1"/>
        </w:rPr>
        <w:t xml:space="preserve"> 4775, 4778-79, para. 10 (2003); Third Report and Order, 19 FCC </w:t>
      </w:r>
      <w:r w:rsidRPr="00237DFD">
        <w:rPr>
          <w:rStyle w:val="FootnoteTextCharCharCharChar3CharCharChar1"/>
        </w:rPr>
        <w:t>Rcd</w:t>
      </w:r>
      <w:r w:rsidRPr="00237DFD">
        <w:rPr>
          <w:rStyle w:val="FootnoteTextCharCharCharChar3CharCharChar1"/>
        </w:rPr>
        <w:t xml:space="preserve"> 17652 (2004); </w:t>
      </w:r>
      <w:r w:rsidRPr="00237DFD">
        <w:rPr>
          <w:rStyle w:val="FootnoteTextCharCharCharChar3CharCharChar1"/>
          <w:i/>
        </w:rPr>
        <w:t>see also</w:t>
      </w:r>
      <w:r w:rsidRPr="00237DFD">
        <w:rPr>
          <w:rStyle w:val="FootnoteTextCharCharCharChar3CharCharChar1"/>
        </w:rPr>
        <w:t xml:space="preserve"> </w:t>
      </w:r>
      <w:r w:rsidRPr="00237DFD">
        <w:rPr>
          <w:rStyle w:val="FootnoteTextCharCharCharChar3CharCharChar1"/>
          <w:i/>
        </w:rPr>
        <w:t>Wireless Telecommunications Bureau Announces Enhancements to the Universal Licensing System</w:t>
      </w:r>
      <w:r>
        <w:rPr>
          <w:rStyle w:val="FootnoteTextCharCharCharChar3CharCharChar1"/>
          <w:i/>
        </w:rPr>
        <w:t xml:space="preserve"> </w:t>
      </w:r>
      <w:r w:rsidRPr="00237DFD">
        <w:rPr>
          <w:rStyle w:val="FootnoteTextCharCharCharChar3CharCharChar1"/>
          <w:i/>
        </w:rPr>
        <w:t>to Help Winning Bidders of FCC Auctions File for Tribal Land Bidding Credits</w:t>
      </w:r>
      <w:r w:rsidRPr="00237DFD">
        <w:rPr>
          <w:rStyle w:val="FootnoteTextCharCharCharChar3CharCharChar1"/>
        </w:rPr>
        <w:t xml:space="preserve">, Public Notice, 16 FCC </w:t>
      </w:r>
      <w:r w:rsidRPr="00237DFD">
        <w:rPr>
          <w:rStyle w:val="FootnoteTextCharCharCharChar3CharCharChar1"/>
        </w:rPr>
        <w:t>Rcd</w:t>
      </w:r>
      <w:r w:rsidRPr="00237DFD">
        <w:rPr>
          <w:rStyle w:val="FootnoteTextCharCharCharChar3CharCharChar1"/>
        </w:rPr>
        <w:t xml:space="preserve"> 5355 (WTB 2001); </w:t>
      </w:r>
      <w:r w:rsidRPr="00237DFD">
        <w:rPr>
          <w:rStyle w:val="FootnoteTextCharCharCharChar3CharCharChar1"/>
          <w:i/>
        </w:rPr>
        <w:t>Wireless Telecommunications Bureau Releases Additional Information Regarding the Procedures for Obtaining a Tribal Lands Bidding Credit and List of Tribal Lands</w:t>
      </w:r>
      <w:r w:rsidRPr="00237DFD">
        <w:rPr>
          <w:rStyle w:val="FootnoteTextCharCharCharChar3CharCharChar1"/>
        </w:rPr>
        <w:t xml:space="preserve">, Public Notice, 15 FCC </w:t>
      </w:r>
      <w:r w:rsidRPr="00237DFD">
        <w:rPr>
          <w:rStyle w:val="FootnoteTextCharCharCharChar3CharCharChar1"/>
        </w:rPr>
        <w:t>Rcd</w:t>
      </w:r>
      <w:r w:rsidRPr="00237DFD">
        <w:rPr>
          <w:rStyle w:val="FootnoteTextCharCharCharChar3CharCharChar1"/>
        </w:rPr>
        <w:t xml:space="preserve"> 24838 (WTB 2000); </w:t>
      </w:r>
      <w:r w:rsidRPr="00237DFD">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w:t>
      </w:r>
      <w:r w:rsidRPr="00237DFD">
        <w:rPr>
          <w:rStyle w:val="FootnoteTextCharCharCharChar3CharCharChar1"/>
        </w:rPr>
        <w:t xml:space="preserve">, Public Notice, 15 FCC </w:t>
      </w:r>
      <w:r w:rsidRPr="00237DFD">
        <w:rPr>
          <w:rStyle w:val="FootnoteTextCharCharCharChar3CharCharChar1"/>
        </w:rPr>
        <w:t>Rcd</w:t>
      </w:r>
      <w:r w:rsidRPr="00237DFD">
        <w:rPr>
          <w:rStyle w:val="FootnoteTextCharCharCharChar3CharCharChar1"/>
        </w:rPr>
        <w:t xml:space="preserve"> 18351 (WTB 2000).  </w:t>
      </w:r>
      <w:r w:rsidRPr="00237DFD">
        <w:t xml:space="preserve">Relevant documents can be viewed on the Commission’s website by going to </w:t>
      </w:r>
      <w:hyperlink r:id="rId3" w:history="1">
        <w:r w:rsidRPr="00237DFD">
          <w:rPr>
            <w:rStyle w:val="Hyperlink"/>
          </w:rPr>
          <w:t>www.fcc.gov/auctions</w:t>
        </w:r>
      </w:hyperlink>
      <w:r w:rsidRPr="00237DFD">
        <w:t xml:space="preserve"> and clicking on the “Tribal Lands Credits” link.</w:t>
      </w:r>
    </w:p>
  </w:footnote>
  <w:footnote w:id="40">
    <w:p w:rsidR="001850EB" w:rsidRPr="00237DFD" w:rsidP="001850EB">
      <w:pPr>
        <w:pStyle w:val="FootnoteText"/>
      </w:pPr>
      <w:r w:rsidRPr="00237DFD">
        <w:rPr>
          <w:rStyle w:val="FootnoteReference"/>
          <w:sz w:val="20"/>
        </w:rPr>
        <w:footnoteRef/>
      </w:r>
      <w:r w:rsidRPr="00237DFD">
        <w:t xml:space="preserve"> 47 CFR </w:t>
      </w:r>
      <w:r w:rsidRPr="00237DFD">
        <w:rPr>
          <w:color w:val="000000"/>
        </w:rPr>
        <w:t xml:space="preserve">§§ 1.913, 1.919, 1.2107(f). </w:t>
      </w:r>
    </w:p>
  </w:footnote>
  <w:footnote w:id="41">
    <w:p w:rsidR="001850EB" w:rsidRPr="00237DFD" w:rsidP="001850EB">
      <w:pPr>
        <w:pStyle w:val="FootnoteText"/>
      </w:pPr>
      <w:r w:rsidRPr="00237DFD">
        <w:rPr>
          <w:rStyle w:val="FootnoteReference"/>
          <w:sz w:val="20"/>
        </w:rPr>
        <w:footnoteRef/>
      </w:r>
      <w:r w:rsidRPr="00237DFD">
        <w:rPr>
          <w:rStyle w:val="FootnoteReference"/>
          <w:sz w:val="20"/>
        </w:rPr>
        <w:t xml:space="preserve"> </w:t>
      </w:r>
      <w:r w:rsidRPr="00237DFD">
        <w:rPr>
          <w:color w:val="000000"/>
        </w:rPr>
        <w:t xml:space="preserve">The FCC Form 601 ownership reporting requirement can be fulfilled by referencing the file number, date, and name of filer of the appropriate FCC Form 602.  </w:t>
      </w:r>
      <w:r w:rsidRPr="00E146DC">
        <w:rPr>
          <w:color w:val="000000"/>
        </w:rPr>
        <w:t>See</w:t>
      </w:r>
      <w:r w:rsidRPr="00237DFD">
        <w:rPr>
          <w:color w:val="000000"/>
        </w:rPr>
        <w:t xml:space="preserve"> discussion in the </w:t>
      </w:r>
      <w:r w:rsidRPr="00237DFD">
        <w:t>Instructions for Completing FCC Form 601 and FCC Form 602</w:t>
      </w:r>
      <w:r w:rsidRPr="00237DFD">
        <w:rPr>
          <w:color w:val="000000"/>
        </w:rPr>
        <w:t>.</w:t>
      </w:r>
    </w:p>
  </w:footnote>
  <w:footnote w:id="42">
    <w:p w:rsidR="001850EB" w:rsidP="001850EB">
      <w:pPr>
        <w:pStyle w:val="FootnoteText"/>
      </w:pPr>
      <w:r>
        <w:rPr>
          <w:rStyle w:val="FootnoteReference"/>
        </w:rPr>
        <w:footnoteRef/>
      </w:r>
      <w:r>
        <w:t xml:space="preserve"> </w:t>
      </w:r>
      <w:r w:rsidRPr="0090256E">
        <w:rPr>
          <w:i/>
        </w:rPr>
        <w:t>See</w:t>
      </w:r>
      <w:r>
        <w:t xml:space="preserve"> paragraph 2, above.</w:t>
      </w:r>
    </w:p>
  </w:footnote>
  <w:footnote w:id="43">
    <w:p w:rsidR="001850EB" w:rsidRPr="00237DFD" w:rsidP="001850EB">
      <w:pPr>
        <w:pStyle w:val="FootnoteText"/>
      </w:pPr>
      <w:r w:rsidRPr="00237DFD">
        <w:rPr>
          <w:rStyle w:val="FootnoteReference"/>
          <w:sz w:val="20"/>
        </w:rPr>
        <w:footnoteRef/>
      </w:r>
      <w:r w:rsidRPr="00237DFD">
        <w:t xml:space="preserve"> </w:t>
      </w:r>
      <w:r w:rsidRPr="00237DFD">
        <w:rPr>
          <w:i/>
        </w:rPr>
        <w:t xml:space="preserve">See </w:t>
      </w:r>
      <w:r w:rsidRPr="00237DFD">
        <w:t>47 CFR § 1.65.</w:t>
      </w:r>
    </w:p>
  </w:footnote>
  <w:footnote w:id="44">
    <w:p w:rsidR="001850EB" w:rsidRPr="00237DFD" w:rsidP="001850EB">
      <w:pPr>
        <w:pStyle w:val="FootnoteText"/>
      </w:pPr>
      <w:r w:rsidRPr="00237DFD">
        <w:rPr>
          <w:rStyle w:val="FootnoteReference"/>
          <w:sz w:val="20"/>
        </w:rPr>
        <w:footnoteRef/>
      </w:r>
      <w:r w:rsidRPr="00237DFD">
        <w:t xml:space="preserve"> </w:t>
      </w:r>
      <w:r w:rsidRPr="00E146DC" w:rsidR="00E146DC">
        <w:rPr>
          <w:i/>
        </w:rPr>
        <w:t>Id.</w:t>
      </w:r>
      <w:r w:rsidRPr="00237DFD">
        <w:t xml:space="preserve"> § 1.2108(b).</w:t>
      </w:r>
    </w:p>
  </w:footnote>
  <w:footnote w:id="45">
    <w:p w:rsidR="001850EB" w:rsidRPr="00237DFD" w:rsidP="001850EB">
      <w:pPr>
        <w:pStyle w:val="FootnoteText"/>
      </w:pPr>
      <w:r w:rsidRPr="00237DFD">
        <w:rPr>
          <w:rStyle w:val="FootnoteReference"/>
          <w:sz w:val="20"/>
        </w:rPr>
        <w:footnoteRef/>
      </w:r>
      <w:r w:rsidRPr="00237DFD">
        <w:t xml:space="preserve"> </w:t>
      </w:r>
      <w:r w:rsidRPr="00237DFD">
        <w:rPr>
          <w:i/>
        </w:rPr>
        <w:t>Id.</w:t>
      </w:r>
      <w:r w:rsidRPr="00237DFD">
        <w:t xml:space="preserve"> § 1.2108(c).</w:t>
      </w:r>
    </w:p>
  </w:footnote>
  <w:footnote w:id="46">
    <w:p w:rsidR="001850EB" w:rsidRPr="00237DFD" w:rsidP="001850EB">
      <w:pPr>
        <w:pStyle w:val="FootnoteText"/>
      </w:pPr>
      <w:r w:rsidRPr="00237DFD">
        <w:rPr>
          <w:rStyle w:val="FootnoteReference"/>
          <w:sz w:val="20"/>
        </w:rPr>
        <w:footnoteRef/>
      </w:r>
      <w:r w:rsidRPr="00237DFD">
        <w:t xml:space="preserve"> </w:t>
      </w:r>
      <w:r w:rsidRPr="00237DFD">
        <w:rPr>
          <w:i/>
        </w:rPr>
        <w:t>Id</w:t>
      </w:r>
      <w:r w:rsidRPr="00237DFD">
        <w:t>.</w:t>
      </w:r>
    </w:p>
  </w:footnote>
  <w:footnote w:id="47">
    <w:p w:rsidR="001850EB" w:rsidRPr="00237DFD" w:rsidP="001850EB">
      <w:pPr>
        <w:pStyle w:val="FootnoteText"/>
      </w:pPr>
      <w:r w:rsidRPr="00237DFD">
        <w:rPr>
          <w:rStyle w:val="FootnoteReference"/>
          <w:sz w:val="20"/>
        </w:rPr>
        <w:footnoteRef/>
      </w:r>
      <w:r w:rsidRPr="00237DFD">
        <w:t xml:space="preserve"> </w:t>
      </w:r>
      <w:r w:rsidRPr="00237DFD">
        <w:rPr>
          <w:i/>
        </w:rPr>
        <w:t>See</w:t>
      </w:r>
      <w:r w:rsidRPr="00237DFD">
        <w:t xml:space="preserve"> </w:t>
      </w:r>
      <w:r w:rsidRPr="00237DFD">
        <w:rPr>
          <w:i/>
        </w:rPr>
        <w:t>Commission Taking Tough Measures Against Frivolous Pleadings</w:t>
      </w:r>
      <w:r w:rsidRPr="00237DFD">
        <w:t xml:space="preserve">, Public Notice, 11 FCC </w:t>
      </w:r>
      <w:r w:rsidRPr="00237DFD">
        <w:t>Rcd</w:t>
      </w:r>
      <w:r w:rsidRPr="00237DFD">
        <w:t xml:space="preserve"> 3030 (1996).</w:t>
      </w:r>
    </w:p>
  </w:footnote>
  <w:footnote w:id="48">
    <w:p w:rsidR="001850EB" w:rsidRPr="00237DFD" w:rsidP="001850EB">
      <w:pPr>
        <w:pStyle w:val="FootnoteText"/>
      </w:pPr>
      <w:r w:rsidRPr="00237DFD">
        <w:rPr>
          <w:rStyle w:val="FootnoteReference"/>
          <w:sz w:val="20"/>
        </w:rPr>
        <w:footnoteRef/>
      </w:r>
      <w:r w:rsidRPr="00237DFD">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9">
    <w:p w:rsidR="001850EB" w:rsidRPr="00237DFD" w:rsidP="001850EB">
      <w:pPr>
        <w:pStyle w:val="FootnoteText"/>
      </w:pPr>
      <w:r w:rsidRPr="00237DFD">
        <w:rPr>
          <w:rStyle w:val="FootnoteReference"/>
          <w:sz w:val="20"/>
        </w:rPr>
        <w:footnoteRef/>
      </w:r>
      <w:r w:rsidRPr="00237DFD">
        <w:t xml:space="preserve"> </w:t>
      </w:r>
      <w:r w:rsidRPr="00237DFD">
        <w:rPr>
          <w:i/>
        </w:rPr>
        <w:t>See</w:t>
      </w:r>
      <w:r w:rsidRPr="00237DFD">
        <w:t xml:space="preserve"> 47 CFR §§ 1.2108(d), 1.2109(a).</w:t>
      </w:r>
    </w:p>
  </w:footnote>
  <w:footnote w:id="50">
    <w:p w:rsidR="001850EB" w:rsidRPr="00237DFD" w:rsidP="001850EB">
      <w:pPr>
        <w:pStyle w:val="FootnoteText"/>
      </w:pPr>
      <w:r w:rsidRPr="0090256E">
        <w:rPr>
          <w:rStyle w:val="FootnoteReference"/>
          <w:sz w:val="20"/>
        </w:rPr>
        <w:footnoteRef/>
      </w:r>
      <w:r w:rsidRPr="00237DFD">
        <w:t xml:space="preserve"> </w:t>
      </w:r>
      <w:r w:rsidRPr="00237DFD">
        <w:rPr>
          <w:i/>
        </w:rPr>
        <w:t>Id.</w:t>
      </w:r>
      <w:r w:rsidRPr="00237DFD">
        <w:t xml:space="preserve"> § 1.2105(c); </w:t>
      </w:r>
      <w:r w:rsidRPr="00237DFD">
        <w:rPr>
          <w:i/>
        </w:rPr>
        <w:t>see also</w:t>
      </w:r>
      <w:r w:rsidRPr="00237DFD">
        <w:t xml:space="preserve"> </w:t>
      </w:r>
      <w:r w:rsidRPr="00237DFD">
        <w:rPr>
          <w:i/>
        </w:rPr>
        <w:t>Auctions 101 and 102 Procedures Public Notice</w:t>
      </w:r>
      <w:r w:rsidRPr="00237DFD">
        <w:t xml:space="preserve">, </w:t>
      </w:r>
      <w:r w:rsidRPr="00237DFD">
        <w:rPr>
          <w:lang w:val="de-DE"/>
        </w:rPr>
        <w:t>33 FCC Rcd at 7598,</w:t>
      </w:r>
      <w:r w:rsidRPr="00237DFD">
        <w:t xml:space="preserve"> para. 57. </w:t>
      </w:r>
    </w:p>
  </w:footnote>
  <w:footnote w:id="51">
    <w:p w:rsidR="001850EB" w:rsidRPr="00237DFD" w:rsidP="001850EB">
      <w:pPr>
        <w:pStyle w:val="FootnoteText"/>
      </w:pPr>
      <w:r w:rsidRPr="0090256E">
        <w:rPr>
          <w:rStyle w:val="FootnoteReference"/>
          <w:sz w:val="20"/>
        </w:rPr>
        <w:footnoteRef/>
      </w:r>
      <w:r w:rsidRPr="00237DFD">
        <w:t xml:space="preserve"> 47 CFR</w:t>
      </w:r>
      <w:r w:rsidRPr="00237DFD">
        <w:rPr>
          <w:i/>
        </w:rPr>
        <w:t xml:space="preserve"> </w:t>
      </w:r>
      <w:r w:rsidRPr="00237DFD">
        <w:t xml:space="preserve">§ 1.2105(c)(1).  The Commission identified AT&amp;T, Sprint, T-Mobile, and Verizon Wireless as “nationwide providers” </w:t>
      </w:r>
      <w:r w:rsidRPr="00237DFD">
        <w:t>for the purpose of</w:t>
      </w:r>
      <w:r w:rsidRPr="00237DFD">
        <w:t xml:space="preserve"> implementing the Commission’s competitive bidding rules in Auctions 101 and 102.  </w:t>
      </w:r>
      <w:r w:rsidRPr="00237DFD">
        <w:rPr>
          <w:i/>
        </w:rPr>
        <w:t>Auctions 101 and 102 Procedures Public Notice</w:t>
      </w:r>
      <w:r w:rsidRPr="00237DFD">
        <w:t xml:space="preserve">, </w:t>
      </w:r>
      <w:r w:rsidRPr="00237DFD">
        <w:rPr>
          <w:lang w:val="de-DE"/>
        </w:rPr>
        <w:t>33 FCC Rcd at 7593,</w:t>
      </w:r>
      <w:r w:rsidRPr="00237DFD">
        <w:t xml:space="preserve"> para. 44.     </w:t>
      </w:r>
    </w:p>
  </w:footnote>
  <w:footnote w:id="52">
    <w:p w:rsidR="001850EB" w:rsidRPr="00237DFD" w:rsidP="001850EB">
      <w:pPr>
        <w:pStyle w:val="FootnoteText"/>
      </w:pPr>
      <w:r w:rsidRPr="0090256E">
        <w:rPr>
          <w:rStyle w:val="FootnoteReference"/>
          <w:sz w:val="20"/>
        </w:rPr>
        <w:footnoteRef/>
      </w:r>
      <w:r w:rsidRPr="00237DFD">
        <w:t xml:space="preserve"> 47 CFR § 1.2105(c)(5)(</w:t>
      </w:r>
      <w:r w:rsidRPr="00237DFD">
        <w:t>i</w:t>
      </w:r>
      <w:r w:rsidRPr="00237DFD">
        <w:t xml:space="preserve">); </w:t>
      </w:r>
      <w:r w:rsidRPr="00237DFD">
        <w:rPr>
          <w:i/>
        </w:rPr>
        <w:t>Auctions 101 and 102 Procedures Public Notice</w:t>
      </w:r>
      <w:r w:rsidRPr="00237DFD">
        <w:t xml:space="preserve">, </w:t>
      </w:r>
      <w:r w:rsidRPr="00237DFD">
        <w:rPr>
          <w:lang w:val="de-DE"/>
        </w:rPr>
        <w:t>33 FCC Rcd at 7599,</w:t>
      </w:r>
      <w:r w:rsidRPr="00237DFD">
        <w:t xml:space="preserve"> para. 59. </w:t>
      </w:r>
    </w:p>
  </w:footnote>
  <w:footnote w:id="53">
    <w:p w:rsidR="001850EB" w:rsidRPr="00237DFD" w:rsidP="001850EB">
      <w:pPr>
        <w:pStyle w:val="FootnoteText"/>
      </w:pPr>
      <w:r w:rsidRPr="0090256E">
        <w:rPr>
          <w:rStyle w:val="FootnoteReference"/>
          <w:sz w:val="20"/>
        </w:rPr>
        <w:footnoteRef/>
      </w:r>
      <w:r w:rsidRPr="00237DFD">
        <w:t xml:space="preserve"> </w:t>
      </w:r>
      <w:r w:rsidRPr="00237DFD">
        <w:rPr>
          <w:i/>
        </w:rPr>
        <w:t>Auctions 101 and 102 Procedures Public Notice</w:t>
      </w:r>
      <w:r w:rsidRPr="00237DFD">
        <w:t xml:space="preserve">, </w:t>
      </w:r>
      <w:r w:rsidRPr="00237DFD">
        <w:rPr>
          <w:lang w:val="de-DE"/>
        </w:rPr>
        <w:t>33 FCC Rcd at 7599,</w:t>
      </w:r>
      <w:r w:rsidRPr="00237DFD">
        <w:t xml:space="preserve"> para. 59.</w:t>
      </w:r>
    </w:p>
  </w:footnote>
  <w:footnote w:id="54">
    <w:p w:rsidR="001850EB" w:rsidRPr="00237DFD" w:rsidP="001850EB">
      <w:pPr>
        <w:pStyle w:val="FootnoteText"/>
      </w:pPr>
      <w:r w:rsidRPr="0090256E">
        <w:rPr>
          <w:rStyle w:val="FootnoteReference"/>
          <w:sz w:val="20"/>
        </w:rPr>
        <w:footnoteRef/>
      </w:r>
      <w:r w:rsidRPr="00237DFD">
        <w:rPr>
          <w:i/>
        </w:rPr>
        <w:t xml:space="preserve"> Id.</w:t>
      </w:r>
      <w:r w:rsidRPr="00237DFD">
        <w:t xml:space="preserve"> at 7599, paras. 60-61; </w:t>
      </w:r>
      <w:r w:rsidRPr="00237DFD">
        <w:rPr>
          <w:i/>
        </w:rPr>
        <w:t>see also</w:t>
      </w:r>
      <w:r w:rsidRPr="00237DFD">
        <w:t xml:space="preserve"> 47 CFR § 1.2105(c)(1).</w:t>
      </w:r>
    </w:p>
  </w:footnote>
  <w:footnote w:id="55">
    <w:p w:rsidR="001850EB" w:rsidRPr="00237DFD" w:rsidP="001850EB">
      <w:pPr>
        <w:pStyle w:val="FootnoteText"/>
      </w:pPr>
      <w:r w:rsidRPr="0090256E">
        <w:rPr>
          <w:rStyle w:val="FootnoteReference"/>
          <w:sz w:val="20"/>
        </w:rPr>
        <w:footnoteRef/>
      </w:r>
      <w:r w:rsidRPr="00237DFD">
        <w:t xml:space="preserve"> </w:t>
      </w:r>
      <w:r w:rsidRPr="00237DFD">
        <w:rPr>
          <w:i/>
        </w:rPr>
        <w:t>See, e.g</w:t>
      </w:r>
      <w:r w:rsidRPr="00237DFD">
        <w:t>.</w:t>
      </w:r>
      <w:r w:rsidRPr="00237DFD">
        <w:rPr>
          <w:i/>
        </w:rPr>
        <w:t>,</w:t>
      </w:r>
      <w:r w:rsidRPr="00237DFD">
        <w:t xml:space="preserve"> </w:t>
      </w:r>
      <w:r w:rsidRPr="00237DFD">
        <w:rPr>
          <w:i/>
        </w:rPr>
        <w:t>Star Wireless, LLC v. FCC</w:t>
      </w:r>
      <w:r w:rsidRPr="00237DFD">
        <w:t xml:space="preserve">, 522 F.3d 469 (D.C. Cir. 2008) (holding that Section 1.2105(c) applies to applicants regardless of whether they are qualified to bid).  Thus, an auction applicant that does not correct deficiencies in its application, fails to submit a timely and </w:t>
      </w:r>
      <w:r w:rsidRPr="00237DFD">
        <w:t>sufficient</w:t>
      </w:r>
      <w:r w:rsidRPr="00237DFD">
        <w:t xml:space="preserve"> upfront payment, or does not otherwise become qualified to bid, remains an “applicant” for purposes of the rule and remains subject to the prohibition on certain communications until the </w:t>
      </w:r>
      <w:bookmarkStart w:id="24" w:name="_Hlk528236808"/>
      <w:r w:rsidRPr="00237DFD">
        <w:t xml:space="preserve">post-auction </w:t>
      </w:r>
      <w:bookmarkEnd w:id="24"/>
      <w:r w:rsidRPr="00237DFD">
        <w:t xml:space="preserve">down payment deadline for Auction 102.  </w:t>
      </w:r>
      <w:r w:rsidRPr="00237DFD">
        <w:rPr>
          <w:i/>
        </w:rPr>
        <w:t>Auctions 101 and 102 Procedures Public Notice</w:t>
      </w:r>
      <w:r w:rsidRPr="00237DFD">
        <w:t xml:space="preserve">, </w:t>
      </w:r>
      <w:r w:rsidRPr="00237DFD">
        <w:rPr>
          <w:lang w:val="de-DE"/>
        </w:rPr>
        <w:t>33 FCC Rcd at 7599,</w:t>
      </w:r>
      <w:r w:rsidRPr="00237DFD">
        <w:t xml:space="preserve"> para. 59 &amp; n.137.</w:t>
      </w:r>
    </w:p>
  </w:footnote>
  <w:footnote w:id="56">
    <w:p w:rsidR="001850EB" w:rsidRPr="00237DFD" w:rsidP="001850EB">
      <w:pPr>
        <w:pStyle w:val="FootnoteText"/>
      </w:pPr>
      <w:r w:rsidRPr="0090256E">
        <w:rPr>
          <w:rStyle w:val="FootnoteReference"/>
          <w:sz w:val="20"/>
        </w:rPr>
        <w:footnoteRef/>
      </w:r>
      <w:r w:rsidRPr="00237DFD">
        <w:t xml:space="preserve"> </w:t>
      </w:r>
      <w:r w:rsidRPr="00237DFD">
        <w:rPr>
          <w:i/>
        </w:rPr>
        <w:t>Auctions 101 and 102 Procedures Public Notice</w:t>
      </w:r>
      <w:r w:rsidRPr="00237DFD">
        <w:t xml:space="preserve">, </w:t>
      </w:r>
      <w:r w:rsidRPr="00237DFD">
        <w:rPr>
          <w:lang w:val="de-DE"/>
        </w:rPr>
        <w:t xml:space="preserve">33 FCC Rcd at 7598-606, </w:t>
      </w:r>
      <w:r w:rsidRPr="00237DFD">
        <w:t>paras. 57-84;</w:t>
      </w:r>
      <w:r w:rsidRPr="00237DFD">
        <w:rPr>
          <w:i/>
        </w:rPr>
        <w:t xml:space="preserve"> Auction of 28 GHz Upper Microwave Flexible Use Service Licenses for Next-Generation Wireless Services; 40 Applicants Qualified to Bid in Auction 101</w:t>
      </w:r>
      <w:r w:rsidRPr="00237DFD">
        <w:t>, Public Notice, DA 18-1115 at 10-11, paras. 46-50 (WTB Oct. 31, 2018) (</w:t>
      </w:r>
      <w:r w:rsidRPr="00237DFD">
        <w:rPr>
          <w:i/>
        </w:rPr>
        <w:t>Auction 101 Qualified Bidders Public Notice</w:t>
      </w:r>
      <w:r w:rsidRPr="00237DFD">
        <w:t>).</w:t>
      </w:r>
    </w:p>
  </w:footnote>
  <w:footnote w:id="57">
    <w:p w:rsidR="001850EB" w:rsidRPr="00237DFD" w:rsidP="001850EB">
      <w:pPr>
        <w:pStyle w:val="FootnoteText"/>
      </w:pPr>
      <w:r w:rsidRPr="0090256E">
        <w:rPr>
          <w:rStyle w:val="FootnoteReference"/>
          <w:sz w:val="20"/>
        </w:rPr>
        <w:footnoteRef/>
      </w:r>
      <w:r w:rsidRPr="00237DFD">
        <w:t xml:space="preserve"> </w:t>
      </w:r>
      <w:r w:rsidRPr="00237DFD">
        <w:rPr>
          <w:i/>
        </w:rPr>
        <w:t>Auctions 101 and 102 Procedures Public Notice</w:t>
      </w:r>
      <w:r w:rsidRPr="00237DFD">
        <w:t xml:space="preserve">, </w:t>
      </w:r>
      <w:r w:rsidRPr="00237DFD">
        <w:rPr>
          <w:lang w:val="de-DE"/>
        </w:rPr>
        <w:t>33 FCC Rcd at 7596-98,</w:t>
      </w:r>
      <w:r w:rsidRPr="00237DFD">
        <w:t xml:space="preserve"> paras. 50-56.</w:t>
      </w:r>
    </w:p>
  </w:footnote>
  <w:footnote w:id="58">
    <w:p w:rsidR="001850EB" w:rsidRPr="00237DFD" w:rsidP="001850EB">
      <w:pPr>
        <w:pStyle w:val="FootnoteText"/>
      </w:pPr>
      <w:r w:rsidRPr="0090256E">
        <w:rPr>
          <w:rStyle w:val="FootnoteReference"/>
          <w:sz w:val="20"/>
        </w:rPr>
        <w:footnoteRef/>
      </w:r>
      <w:r w:rsidRPr="00237DFD">
        <w:t xml:space="preserve"> </w:t>
      </w:r>
      <w:r w:rsidRPr="00237DFD">
        <w:rPr>
          <w:i/>
        </w:rPr>
        <w:t>Id.</w:t>
      </w:r>
    </w:p>
  </w:footnote>
  <w:footnote w:id="59">
    <w:p w:rsidR="001850EB" w:rsidRPr="00237DFD" w:rsidP="001850EB">
      <w:pPr>
        <w:pStyle w:val="FootnoteText"/>
      </w:pPr>
      <w:r w:rsidRPr="0090256E">
        <w:rPr>
          <w:rStyle w:val="FootnoteReference"/>
          <w:sz w:val="20"/>
        </w:rPr>
        <w:footnoteRef/>
      </w:r>
      <w:r w:rsidRPr="00237DFD">
        <w:t xml:space="preserve"> The Commission has long emphasized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237DFD">
        <w:rPr>
          <w:i/>
        </w:rPr>
        <w:t>See Wireless Telecommunications Bureau Responds to Questions About the Local Multipoint Distribution Service Auction</w:t>
      </w:r>
      <w:r w:rsidRPr="00237DFD">
        <w:t xml:space="preserve">, Public Notice, 13 FCC </w:t>
      </w:r>
      <w:r w:rsidRPr="00237DFD">
        <w:t>Rcd</w:t>
      </w:r>
      <w:r w:rsidRPr="00237DFD">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60">
    <w:p w:rsidR="001850EB" w:rsidP="001850EB">
      <w:pPr>
        <w:pStyle w:val="FootnoteText"/>
      </w:pPr>
      <w:r>
        <w:rPr>
          <w:rStyle w:val="FootnoteReference"/>
        </w:rPr>
        <w:footnoteRef/>
      </w:r>
      <w:r>
        <w:t xml:space="preserve"> In the event of a partial government shutdown, contact </w:t>
      </w:r>
      <w:r>
        <w:rPr>
          <w:color w:val="000000"/>
          <w:szCs w:val="22"/>
        </w:rPr>
        <w:t>(717) 338-2769, or (717) 338-2824 (TTY) for further information on filing FCC Forms 601 and 602.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1850EB" w:rsidP="00837C62">
    <w:pPr>
      <w:pStyle w:val="Header"/>
      <w:rPr>
        <w:rFonts w:ascii="Times New Roman" w:hAnsi="Times New Roman" w:cs="Times New Roman"/>
        <w:sz w:val="22"/>
        <w:szCs w:val="22"/>
      </w:rPr>
    </w:pPr>
    <w:r>
      <w:tab/>
    </w:r>
    <w:r w:rsidRPr="001850EB">
      <w:rPr>
        <w:rFonts w:ascii="Times New Roman" w:hAnsi="Times New Roman" w:cs="Times New Roman"/>
        <w:sz w:val="22"/>
        <w:szCs w:val="22"/>
      </w:rPr>
      <w:t>Federal Communications Commission</w:t>
    </w:r>
    <w:r w:rsidRPr="001850EB">
      <w:rPr>
        <w:rFonts w:ascii="Times New Roman" w:hAnsi="Times New Roman" w:cs="Times New Roman"/>
        <w:sz w:val="22"/>
        <w:szCs w:val="22"/>
      </w:rPr>
      <w:tab/>
    </w:r>
    <w:r w:rsidR="00AB2052">
      <w:rPr>
        <w:rFonts w:ascii="Times New Roman" w:hAnsi="Times New Roman" w:cs="Times New Roman"/>
        <w:sz w:val="22"/>
        <w:szCs w:val="22"/>
      </w:rPr>
      <w:t>DA 19-23</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850EB">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1850EB">
                  <w:rPr>
                    <w:rFonts w:ascii="Arial" w:hAnsi="Arial"/>
                    <w:b/>
                    <w:sz w:val="16"/>
                  </w:rPr>
                  <w:t>:</w:t>
                </w:r>
                <w:r>
                  <w:rPr>
                    <w:rFonts w:ascii="Arial" w:hAnsi="Arial"/>
                    <w:b/>
                    <w:sz w:val="16"/>
                  </w:rPr>
                  <w:t xml:space="preserve"> 202</w:t>
                </w:r>
                <w:r w:rsidR="001850EB">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w:t>
                </w:r>
                <w:r w:rsidR="001850EB">
                  <w:rPr>
                    <w:rFonts w:ascii="Arial" w:hAnsi="Arial"/>
                    <w:b/>
                    <w:sz w:val="16"/>
                  </w:rPr>
                  <w:t xml:space="preserve"> </w:t>
                </w:r>
                <w:r>
                  <w:rPr>
                    <w:rFonts w:ascii="Arial" w:hAnsi="Arial"/>
                    <w:b/>
                    <w:sz w:val="16"/>
                  </w:rPr>
                  <w:t>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CECC15C0"/>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1DA0"/>
    <w:rsid w:val="00033101"/>
    <w:rsid w:val="00036039"/>
    <w:rsid w:val="00037F90"/>
    <w:rsid w:val="00067D3E"/>
    <w:rsid w:val="00086F51"/>
    <w:rsid w:val="000875BF"/>
    <w:rsid w:val="00096D8C"/>
    <w:rsid w:val="000C0B65"/>
    <w:rsid w:val="000E07DD"/>
    <w:rsid w:val="000E3D42"/>
    <w:rsid w:val="000E5884"/>
    <w:rsid w:val="00104EC3"/>
    <w:rsid w:val="00107FBA"/>
    <w:rsid w:val="001119CE"/>
    <w:rsid w:val="00114D3D"/>
    <w:rsid w:val="00120594"/>
    <w:rsid w:val="00122BD5"/>
    <w:rsid w:val="001343A8"/>
    <w:rsid w:val="00157869"/>
    <w:rsid w:val="001850EB"/>
    <w:rsid w:val="00195766"/>
    <w:rsid w:val="001A6B11"/>
    <w:rsid w:val="001D6BCF"/>
    <w:rsid w:val="001E01CA"/>
    <w:rsid w:val="001E120C"/>
    <w:rsid w:val="001E1DDD"/>
    <w:rsid w:val="00205E83"/>
    <w:rsid w:val="00226613"/>
    <w:rsid w:val="00226822"/>
    <w:rsid w:val="00237DFD"/>
    <w:rsid w:val="00240CD9"/>
    <w:rsid w:val="002678A8"/>
    <w:rsid w:val="00274FDF"/>
    <w:rsid w:val="00285017"/>
    <w:rsid w:val="002916AB"/>
    <w:rsid w:val="002A2D2E"/>
    <w:rsid w:val="002C290B"/>
    <w:rsid w:val="00306DFC"/>
    <w:rsid w:val="0033487C"/>
    <w:rsid w:val="00343749"/>
    <w:rsid w:val="003B0550"/>
    <w:rsid w:val="003B694F"/>
    <w:rsid w:val="003D549B"/>
    <w:rsid w:val="003E2CA0"/>
    <w:rsid w:val="003F171C"/>
    <w:rsid w:val="004109D1"/>
    <w:rsid w:val="0041223B"/>
    <w:rsid w:val="00412FC5"/>
    <w:rsid w:val="00422276"/>
    <w:rsid w:val="00423F4A"/>
    <w:rsid w:val="004242F1"/>
    <w:rsid w:val="004415E6"/>
    <w:rsid w:val="00445A00"/>
    <w:rsid w:val="00446451"/>
    <w:rsid w:val="00451B0F"/>
    <w:rsid w:val="00465638"/>
    <w:rsid w:val="00496106"/>
    <w:rsid w:val="004A59B9"/>
    <w:rsid w:val="004B216F"/>
    <w:rsid w:val="004C12D0"/>
    <w:rsid w:val="004C2EE3"/>
    <w:rsid w:val="004D411B"/>
    <w:rsid w:val="004E4A22"/>
    <w:rsid w:val="00511968"/>
    <w:rsid w:val="00517FE6"/>
    <w:rsid w:val="00524C76"/>
    <w:rsid w:val="00531DBE"/>
    <w:rsid w:val="00545F16"/>
    <w:rsid w:val="00552DCB"/>
    <w:rsid w:val="00553AE2"/>
    <w:rsid w:val="0055614C"/>
    <w:rsid w:val="00557BDD"/>
    <w:rsid w:val="005712E5"/>
    <w:rsid w:val="00582044"/>
    <w:rsid w:val="005869DD"/>
    <w:rsid w:val="005F7DCE"/>
    <w:rsid w:val="00607BA5"/>
    <w:rsid w:val="00626EB6"/>
    <w:rsid w:val="00655D03"/>
    <w:rsid w:val="00683F84"/>
    <w:rsid w:val="00691A79"/>
    <w:rsid w:val="006A6A81"/>
    <w:rsid w:val="006C0569"/>
    <w:rsid w:val="006C292E"/>
    <w:rsid w:val="006D5AC5"/>
    <w:rsid w:val="006E26AF"/>
    <w:rsid w:val="006F7393"/>
    <w:rsid w:val="0070224F"/>
    <w:rsid w:val="007115F7"/>
    <w:rsid w:val="00755363"/>
    <w:rsid w:val="0075740E"/>
    <w:rsid w:val="00785689"/>
    <w:rsid w:val="0079754B"/>
    <w:rsid w:val="007A1E6D"/>
    <w:rsid w:val="007B1B2D"/>
    <w:rsid w:val="00805998"/>
    <w:rsid w:val="0081691F"/>
    <w:rsid w:val="00822CE0"/>
    <w:rsid w:val="00822FBC"/>
    <w:rsid w:val="00834FB6"/>
    <w:rsid w:val="00837C62"/>
    <w:rsid w:val="00841AB1"/>
    <w:rsid w:val="00854B58"/>
    <w:rsid w:val="00863AA6"/>
    <w:rsid w:val="0090256E"/>
    <w:rsid w:val="00904C3F"/>
    <w:rsid w:val="00926503"/>
    <w:rsid w:val="00961601"/>
    <w:rsid w:val="009D2F56"/>
    <w:rsid w:val="009E1928"/>
    <w:rsid w:val="009E7BBA"/>
    <w:rsid w:val="00A218C1"/>
    <w:rsid w:val="00A45F4F"/>
    <w:rsid w:val="00A600A9"/>
    <w:rsid w:val="00AA55B7"/>
    <w:rsid w:val="00AA5B9E"/>
    <w:rsid w:val="00AB2052"/>
    <w:rsid w:val="00AB2407"/>
    <w:rsid w:val="00AB53DF"/>
    <w:rsid w:val="00B07E5C"/>
    <w:rsid w:val="00B80E10"/>
    <w:rsid w:val="00B811F7"/>
    <w:rsid w:val="00B826D7"/>
    <w:rsid w:val="00BA4C4A"/>
    <w:rsid w:val="00BA5DC6"/>
    <w:rsid w:val="00BA6196"/>
    <w:rsid w:val="00BC6D8C"/>
    <w:rsid w:val="00BD3AF6"/>
    <w:rsid w:val="00BF6C25"/>
    <w:rsid w:val="00C3123E"/>
    <w:rsid w:val="00C34006"/>
    <w:rsid w:val="00C426B1"/>
    <w:rsid w:val="00C82B6B"/>
    <w:rsid w:val="00C90D6A"/>
    <w:rsid w:val="00C93D93"/>
    <w:rsid w:val="00CB7FEA"/>
    <w:rsid w:val="00CC0FE2"/>
    <w:rsid w:val="00CC4339"/>
    <w:rsid w:val="00CC66BF"/>
    <w:rsid w:val="00CC72B6"/>
    <w:rsid w:val="00CE72F1"/>
    <w:rsid w:val="00D0218D"/>
    <w:rsid w:val="00D45D5A"/>
    <w:rsid w:val="00D60359"/>
    <w:rsid w:val="00DA06C1"/>
    <w:rsid w:val="00DA2529"/>
    <w:rsid w:val="00DA296B"/>
    <w:rsid w:val="00DA6FFB"/>
    <w:rsid w:val="00DB130A"/>
    <w:rsid w:val="00DC10A1"/>
    <w:rsid w:val="00DC655F"/>
    <w:rsid w:val="00DD7EBD"/>
    <w:rsid w:val="00DF62B6"/>
    <w:rsid w:val="00E000CE"/>
    <w:rsid w:val="00E05D55"/>
    <w:rsid w:val="00E07225"/>
    <w:rsid w:val="00E146DC"/>
    <w:rsid w:val="00E44BE5"/>
    <w:rsid w:val="00E5409F"/>
    <w:rsid w:val="00E93512"/>
    <w:rsid w:val="00ED00E2"/>
    <w:rsid w:val="00F021FA"/>
    <w:rsid w:val="00F17DC0"/>
    <w:rsid w:val="00F57ACA"/>
    <w:rsid w:val="00F61A18"/>
    <w:rsid w:val="00F62E97"/>
    <w:rsid w:val="00F64209"/>
    <w:rsid w:val="00F830F4"/>
    <w:rsid w:val="00F93BF5"/>
    <w:rsid w:val="00FA56A3"/>
    <w:rsid w:val="00FB792E"/>
    <w:rsid w:val="00FF2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8B5D13-E083-4466-9D39-9FB34C1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1850EB"/>
  </w:style>
  <w:style w:type="character" w:customStyle="1" w:styleId="ParaNumChar">
    <w:name w:val="ParaNum Char"/>
    <w:link w:val="ParaNum"/>
    <w:locked/>
    <w:rsid w:val="001850EB"/>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1850EB"/>
    <w:rPr>
      <w:lang w:val="en-US" w:eastAsia="en-US" w:bidi="ar-SA"/>
    </w:rPr>
  </w:style>
  <w:style w:type="paragraph" w:styleId="BalloonText">
    <w:name w:val="Balloon Text"/>
    <w:basedOn w:val="Normal"/>
    <w:link w:val="BalloonTextChar"/>
    <w:uiPriority w:val="99"/>
    <w:semiHidden/>
    <w:unhideWhenUsed/>
    <w:rsid w:val="0018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EB"/>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107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 TargetMode="External" /><Relationship Id="rId11" Type="http://schemas.openxmlformats.org/officeDocument/2006/relationships/hyperlink" Target="http://wireless.fcc.gov/uls" TargetMode="External" /><Relationship Id="rId12" Type="http://schemas.openxmlformats.org/officeDocument/2006/relationships/hyperlink" Target="https://auctiondata.fcc.gov/public/projects/auction101"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microsoft.com/office/2006/relationships/keyMapCustomizations" Target="customizations.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ail.Glasser@fcc.gov" TargetMode="External" /><Relationship Id="rId6" Type="http://schemas.openxmlformats.org/officeDocument/2006/relationships/hyperlink" Target="mailto:RROGWIREFAXES@fcc.gov" TargetMode="External" /><Relationship Id="rId7" Type="http://schemas.openxmlformats.org/officeDocument/2006/relationships/hyperlink" Target="https://apps.fcc.gov/coresWeb/publicHome.do" TargetMode="External" /><Relationship Id="rId8" Type="http://schemas.openxmlformats.org/officeDocument/2006/relationships/hyperlink" Target="https://www.fcc.gov/auction/101"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01" TargetMode="External" /><Relationship Id="rId3" Type="http://schemas.openxmlformats.org/officeDocument/2006/relationships/hyperlink" Target="https://www.fcc.gov/auc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