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pPr>
        <w:jc w:val="right"/>
        <w:rPr>
          <w:b/>
          <w:sz w:val="24"/>
        </w:rPr>
      </w:pPr>
      <w:r>
        <w:rPr>
          <w:b/>
          <w:sz w:val="24"/>
        </w:rPr>
        <w:t>DA 19-247</w:t>
      </w:r>
    </w:p>
    <w:p w:rsidR="001C223B" w:rsidRPr="00B20363" w:rsidP="001C223B">
      <w:pPr>
        <w:jc w:val="right"/>
        <w:rPr>
          <w:b/>
          <w:sz w:val="24"/>
        </w:rPr>
      </w:pPr>
      <w:r>
        <w:rPr>
          <w:b/>
          <w:sz w:val="24"/>
        </w:rPr>
        <w:t xml:space="preserve">Released:  </w:t>
      </w:r>
      <w:r>
        <w:rPr>
          <w:b/>
          <w:sz w:val="24"/>
        </w:rPr>
        <w:t>April 4, 2019</w:t>
      </w:r>
    </w:p>
    <w:p w:rsidR="00013A8B" w:rsidRPr="00B20363" w:rsidP="00013A8B">
      <w:pPr>
        <w:spacing w:before="60"/>
        <w:jc w:val="right"/>
        <w:rPr>
          <w:b/>
          <w:sz w:val="24"/>
        </w:rPr>
      </w:pPr>
    </w:p>
    <w:p w:rsidR="001C223B" w:rsidRPr="000A6861" w:rsidP="001C223B">
      <w:pPr>
        <w:ind w:left="1440" w:right="940"/>
        <w:jc w:val="center"/>
        <w:rPr>
          <w:b/>
          <w:sz w:val="24"/>
          <w:szCs w:val="24"/>
        </w:rPr>
      </w:pPr>
      <w:r w:rsidRPr="000A6861">
        <w:rPr>
          <w:b/>
          <w:sz w:val="24"/>
          <w:szCs w:val="24"/>
        </w:rPr>
        <w:t xml:space="preserve">ENFORCEMENT BUREAU </w:t>
      </w:r>
      <w:r>
        <w:rPr>
          <w:b/>
          <w:sz w:val="24"/>
          <w:szCs w:val="24"/>
        </w:rPr>
        <w:t xml:space="preserve">PROVIDES </w:t>
      </w:r>
      <w:r w:rsidRPr="000A6861">
        <w:rPr>
          <w:b/>
          <w:sz w:val="24"/>
          <w:szCs w:val="24"/>
        </w:rPr>
        <w:t>GUIDANCE</w:t>
      </w:r>
    </w:p>
    <w:p w:rsidR="001C223B" w:rsidRPr="000A6861" w:rsidP="001C223B">
      <w:pPr>
        <w:ind w:left="1440" w:right="940"/>
        <w:jc w:val="center"/>
        <w:rPr>
          <w:b/>
          <w:sz w:val="24"/>
          <w:szCs w:val="24"/>
        </w:rPr>
      </w:pPr>
      <w:r w:rsidRPr="000A6861">
        <w:rPr>
          <w:b/>
          <w:sz w:val="24"/>
          <w:szCs w:val="24"/>
        </w:rPr>
        <w:t>FOR DUE DILIGENCE CHECKS</w:t>
      </w:r>
    </w:p>
    <w:p w:rsidR="00F96F63" w:rsidRPr="00930ECF" w:rsidP="00F96F63">
      <w:pPr>
        <w:rPr>
          <w:sz w:val="24"/>
        </w:rPr>
      </w:pPr>
      <w:bookmarkStart w:id="0" w:name="TOChere"/>
    </w:p>
    <w:bookmarkEnd w:id="0"/>
    <w:p w:rsidR="00BD2E11" w:rsidRPr="000A6861" w:rsidP="00BD2E11">
      <w:pPr>
        <w:spacing w:line="238" w:lineRule="auto"/>
        <w:ind w:firstLine="648"/>
        <w:rPr>
          <w:sz w:val="24"/>
          <w:szCs w:val="24"/>
        </w:rPr>
      </w:pPr>
      <w:r>
        <w:rPr>
          <w:sz w:val="24"/>
          <w:szCs w:val="24"/>
        </w:rPr>
        <w:t>L</w:t>
      </w:r>
      <w:r w:rsidRPr="000A6861">
        <w:rPr>
          <w:sz w:val="24"/>
          <w:szCs w:val="24"/>
        </w:rPr>
        <w:t>icensees</w:t>
      </w:r>
      <w:r>
        <w:rPr>
          <w:sz w:val="24"/>
          <w:szCs w:val="24"/>
        </w:rPr>
        <w:t xml:space="preserve"> of the Federal Communications Commission (FCC or Commission) and their</w:t>
      </w:r>
      <w:r w:rsidRPr="000A6861">
        <w:rPr>
          <w:sz w:val="24"/>
          <w:szCs w:val="24"/>
        </w:rPr>
        <w:t xml:space="preserve"> </w:t>
      </w:r>
      <w:r>
        <w:rPr>
          <w:sz w:val="24"/>
          <w:szCs w:val="24"/>
        </w:rPr>
        <w:t xml:space="preserve">designated </w:t>
      </w:r>
      <w:r w:rsidRPr="000A6861">
        <w:rPr>
          <w:sz w:val="24"/>
          <w:szCs w:val="24"/>
        </w:rPr>
        <w:t>attorneys</w:t>
      </w:r>
      <w:r>
        <w:rPr>
          <w:sz w:val="24"/>
          <w:szCs w:val="24"/>
        </w:rPr>
        <w:t xml:space="preserve"> routinely </w:t>
      </w:r>
      <w:r w:rsidRPr="000A6861">
        <w:rPr>
          <w:sz w:val="24"/>
          <w:szCs w:val="24"/>
        </w:rPr>
        <w:t xml:space="preserve">request information from the Enforcement Bureau </w:t>
      </w:r>
      <w:r>
        <w:rPr>
          <w:sz w:val="24"/>
          <w:szCs w:val="24"/>
        </w:rPr>
        <w:t xml:space="preserve">(Bureau) </w:t>
      </w:r>
      <w:r w:rsidRPr="000A6861">
        <w:rPr>
          <w:sz w:val="24"/>
          <w:szCs w:val="24"/>
        </w:rPr>
        <w:t>concerning pending matters that might adversely impact proposed license</w:t>
      </w:r>
      <w:r>
        <w:rPr>
          <w:sz w:val="24"/>
          <w:szCs w:val="24"/>
        </w:rPr>
        <w:t xml:space="preserve">e-related </w:t>
      </w:r>
      <w:r w:rsidRPr="000A6861">
        <w:rPr>
          <w:sz w:val="24"/>
          <w:szCs w:val="24"/>
        </w:rPr>
        <w:t>transactions</w:t>
      </w:r>
      <w:r>
        <w:rPr>
          <w:sz w:val="24"/>
          <w:szCs w:val="24"/>
        </w:rPr>
        <w:t>, including</w:t>
      </w:r>
      <w:r w:rsidRPr="000A6861">
        <w:rPr>
          <w:sz w:val="24"/>
          <w:szCs w:val="24"/>
        </w:rPr>
        <w:t xml:space="preserve"> assignments, transfers of control, renewals, mergers, public stock offerings, and other</w:t>
      </w:r>
      <w:r>
        <w:rPr>
          <w:sz w:val="24"/>
          <w:szCs w:val="24"/>
        </w:rPr>
        <w:t>s</w:t>
      </w:r>
      <w:r w:rsidRPr="000A6861">
        <w:rPr>
          <w:sz w:val="24"/>
          <w:szCs w:val="24"/>
        </w:rPr>
        <w:t xml:space="preserve">.  In </w:t>
      </w:r>
      <w:r>
        <w:rPr>
          <w:sz w:val="24"/>
          <w:szCs w:val="24"/>
        </w:rPr>
        <w:t xml:space="preserve">a February 2000 </w:t>
      </w:r>
      <w:r w:rsidRPr="009F6DE2">
        <w:rPr>
          <w:sz w:val="24"/>
          <w:szCs w:val="24"/>
        </w:rPr>
        <w:t>Public Notice</w:t>
      </w:r>
      <w:r>
        <w:rPr>
          <w:sz w:val="24"/>
          <w:szCs w:val="24"/>
        </w:rPr>
        <w:t>,</w:t>
      </w:r>
      <w:r w:rsidRPr="00ED5EFC">
        <w:rPr>
          <w:sz w:val="24"/>
          <w:szCs w:val="24"/>
        </w:rPr>
        <w:t xml:space="preserve"> </w:t>
      </w:r>
      <w:r w:rsidRPr="000A6861">
        <w:rPr>
          <w:sz w:val="24"/>
          <w:szCs w:val="24"/>
        </w:rPr>
        <w:t xml:space="preserve">as </w:t>
      </w:r>
      <w:r>
        <w:rPr>
          <w:sz w:val="24"/>
          <w:szCs w:val="24"/>
        </w:rPr>
        <w:t xml:space="preserve">further </w:t>
      </w:r>
      <w:r w:rsidRPr="000A6861">
        <w:rPr>
          <w:sz w:val="24"/>
          <w:szCs w:val="24"/>
        </w:rPr>
        <w:t xml:space="preserve">clarified </w:t>
      </w:r>
      <w:r>
        <w:rPr>
          <w:sz w:val="24"/>
          <w:szCs w:val="24"/>
        </w:rPr>
        <w:t>in</w:t>
      </w:r>
      <w:r w:rsidRPr="000A6861">
        <w:rPr>
          <w:sz w:val="24"/>
          <w:szCs w:val="24"/>
        </w:rPr>
        <w:t xml:space="preserve"> </w:t>
      </w:r>
      <w:r>
        <w:rPr>
          <w:sz w:val="24"/>
          <w:szCs w:val="24"/>
        </w:rPr>
        <w:t xml:space="preserve">a </w:t>
      </w:r>
      <w:r w:rsidRPr="000A6861">
        <w:rPr>
          <w:sz w:val="24"/>
          <w:szCs w:val="24"/>
        </w:rPr>
        <w:t>September 2003</w:t>
      </w:r>
      <w:r>
        <w:rPr>
          <w:sz w:val="24"/>
          <w:szCs w:val="24"/>
        </w:rPr>
        <w:t xml:space="preserve"> Public Notice</w:t>
      </w:r>
      <w:r w:rsidRPr="00222F98">
        <w:rPr>
          <w:sz w:val="24"/>
          <w:szCs w:val="24"/>
        </w:rPr>
        <w:t>,</w:t>
      </w:r>
      <w:r>
        <w:rPr>
          <w:rStyle w:val="FootnoteReference"/>
          <w:sz w:val="24"/>
          <w:szCs w:val="24"/>
        </w:rPr>
        <w:footnoteReference w:id="3"/>
      </w:r>
      <w:r w:rsidRPr="009F6DE2">
        <w:rPr>
          <w:sz w:val="24"/>
          <w:szCs w:val="24"/>
        </w:rPr>
        <w:t xml:space="preserve"> </w:t>
      </w:r>
      <w:r w:rsidRPr="000A6861">
        <w:rPr>
          <w:sz w:val="24"/>
          <w:szCs w:val="24"/>
        </w:rPr>
        <w:t xml:space="preserve">the Bureau provided guidance </w:t>
      </w:r>
      <w:r>
        <w:rPr>
          <w:sz w:val="24"/>
          <w:szCs w:val="24"/>
        </w:rPr>
        <w:t>regarding</w:t>
      </w:r>
      <w:r w:rsidRPr="000A6861">
        <w:rPr>
          <w:sz w:val="24"/>
          <w:szCs w:val="24"/>
        </w:rPr>
        <w:t xml:space="preserve"> the submission of requests for due diligence review relating to pending matters before the Bureau from outside parties.  Since release of the above</w:t>
      </w:r>
      <w:r>
        <w:rPr>
          <w:sz w:val="24"/>
          <w:szCs w:val="24"/>
        </w:rPr>
        <w:t>-</w:t>
      </w:r>
      <w:r w:rsidRPr="000A6861">
        <w:rPr>
          <w:sz w:val="24"/>
          <w:szCs w:val="24"/>
        </w:rPr>
        <w:t xml:space="preserve">referenced Public Notice, the Bureau has processed </w:t>
      </w:r>
      <w:r>
        <w:rPr>
          <w:sz w:val="24"/>
          <w:szCs w:val="24"/>
        </w:rPr>
        <w:t>thousands of</w:t>
      </w:r>
      <w:r w:rsidRPr="000A6861">
        <w:rPr>
          <w:sz w:val="24"/>
          <w:szCs w:val="24"/>
        </w:rPr>
        <w:t xml:space="preserve"> </w:t>
      </w:r>
      <w:r>
        <w:rPr>
          <w:sz w:val="24"/>
          <w:szCs w:val="24"/>
        </w:rPr>
        <w:t xml:space="preserve">such </w:t>
      </w:r>
      <w:r w:rsidRPr="000A6861">
        <w:rPr>
          <w:sz w:val="24"/>
          <w:szCs w:val="24"/>
        </w:rPr>
        <w:t xml:space="preserve">due diligence requests. </w:t>
      </w:r>
      <w:r>
        <w:rPr>
          <w:sz w:val="24"/>
          <w:szCs w:val="24"/>
        </w:rPr>
        <w:t xml:space="preserve"> The Bureau’s aim in the due diligence process is to provide parties with the information they need in a timely manner, while protecting its investigatory processes and the non-public information of the parties involved with the Bureau’s investigations.  With these goals in mind, the </w:t>
      </w:r>
      <w:r w:rsidRPr="000A6861">
        <w:rPr>
          <w:sz w:val="24"/>
          <w:szCs w:val="24"/>
        </w:rPr>
        <w:t xml:space="preserve">Bureau has reviewed its existing procedures to find </w:t>
      </w:r>
      <w:r w:rsidRPr="000A6861">
        <w:rPr>
          <w:spacing w:val="-10"/>
          <w:sz w:val="24"/>
          <w:szCs w:val="24"/>
        </w:rPr>
        <w:t>ways</w:t>
      </w:r>
      <w:r w:rsidRPr="000A6861">
        <w:rPr>
          <w:sz w:val="24"/>
          <w:szCs w:val="24"/>
        </w:rPr>
        <w:t xml:space="preserve"> to improve the due diligence process.  In this </w:t>
      </w:r>
      <w:r>
        <w:rPr>
          <w:sz w:val="24"/>
          <w:szCs w:val="24"/>
        </w:rPr>
        <w:t xml:space="preserve">Public </w:t>
      </w:r>
      <w:r w:rsidRPr="000A6861">
        <w:rPr>
          <w:sz w:val="24"/>
          <w:szCs w:val="24"/>
        </w:rPr>
        <w:t xml:space="preserve">Notice, the Bureau </w:t>
      </w:r>
      <w:r>
        <w:rPr>
          <w:sz w:val="24"/>
          <w:szCs w:val="24"/>
        </w:rPr>
        <w:t>clarifies</w:t>
      </w:r>
      <w:r w:rsidRPr="000A6861">
        <w:rPr>
          <w:sz w:val="24"/>
          <w:szCs w:val="24"/>
        </w:rPr>
        <w:t xml:space="preserve"> </w:t>
      </w:r>
      <w:r>
        <w:rPr>
          <w:sz w:val="24"/>
          <w:szCs w:val="24"/>
        </w:rPr>
        <w:t>the way</w:t>
      </w:r>
      <w:r w:rsidRPr="000A6861">
        <w:rPr>
          <w:sz w:val="24"/>
          <w:szCs w:val="24"/>
        </w:rPr>
        <w:t xml:space="preserve"> it will process due diligence </w:t>
      </w:r>
      <w:r>
        <w:rPr>
          <w:sz w:val="24"/>
          <w:szCs w:val="24"/>
        </w:rPr>
        <w:t xml:space="preserve">requests going forward, </w:t>
      </w:r>
      <w:r w:rsidRPr="000A6861">
        <w:rPr>
          <w:sz w:val="24"/>
          <w:szCs w:val="24"/>
        </w:rPr>
        <w:t>to provide service to the public that is as transparent, consistent</w:t>
      </w:r>
      <w:r>
        <w:rPr>
          <w:sz w:val="24"/>
          <w:szCs w:val="24"/>
        </w:rPr>
        <w:t>,</w:t>
      </w:r>
      <w:r w:rsidRPr="000A6861">
        <w:rPr>
          <w:sz w:val="24"/>
          <w:szCs w:val="24"/>
        </w:rPr>
        <w:t xml:space="preserve"> </w:t>
      </w:r>
      <w:r>
        <w:rPr>
          <w:sz w:val="24"/>
          <w:szCs w:val="24"/>
        </w:rPr>
        <w:t xml:space="preserve">efficient, </w:t>
      </w:r>
      <w:r w:rsidRPr="000A6861">
        <w:rPr>
          <w:sz w:val="24"/>
          <w:szCs w:val="24"/>
        </w:rPr>
        <w:t xml:space="preserve">and </w:t>
      </w:r>
      <w:r>
        <w:rPr>
          <w:sz w:val="24"/>
          <w:szCs w:val="24"/>
        </w:rPr>
        <w:t xml:space="preserve">as </w:t>
      </w:r>
      <w:r w:rsidRPr="000A6861">
        <w:rPr>
          <w:sz w:val="24"/>
          <w:szCs w:val="24"/>
        </w:rPr>
        <w:t>timely as possible.</w:t>
      </w:r>
    </w:p>
    <w:p w:rsidR="00BD2E11" w:rsidRPr="000A6861" w:rsidP="00BD2E11">
      <w:pPr>
        <w:spacing w:before="5"/>
        <w:rPr>
          <w:sz w:val="24"/>
          <w:szCs w:val="24"/>
        </w:rPr>
      </w:pPr>
    </w:p>
    <w:p w:rsidR="00BD2E11" w:rsidP="00BD2E11">
      <w:pPr>
        <w:spacing w:line="238" w:lineRule="auto"/>
        <w:ind w:firstLine="648"/>
        <w:rPr>
          <w:sz w:val="24"/>
          <w:szCs w:val="24"/>
        </w:rPr>
      </w:pPr>
      <w:r w:rsidRPr="000A6861">
        <w:rPr>
          <w:sz w:val="24"/>
          <w:szCs w:val="24"/>
        </w:rPr>
        <w:t>Parties should only submit due diligence requests to inquire about matters pending before the Bureau</w:t>
      </w:r>
      <w:r>
        <w:rPr>
          <w:sz w:val="24"/>
          <w:szCs w:val="24"/>
        </w:rPr>
        <w:t xml:space="preserve">.  The Bureau cannot provide information concerning </w:t>
      </w:r>
      <w:r w:rsidRPr="000A6861">
        <w:rPr>
          <w:sz w:val="24"/>
          <w:szCs w:val="24"/>
        </w:rPr>
        <w:t xml:space="preserve">matters pending before other FCC bureaus and offices.  </w:t>
      </w:r>
      <w:r w:rsidRPr="000A6861">
        <w:rPr>
          <w:sz w:val="24"/>
          <w:szCs w:val="24"/>
        </w:rPr>
        <w:t>In order to</w:t>
      </w:r>
      <w:r w:rsidRPr="000A6861">
        <w:rPr>
          <w:sz w:val="24"/>
          <w:szCs w:val="24"/>
        </w:rPr>
        <w:t xml:space="preserve"> allow Bureau staff to respond as quickly as possible to due diligence requests, staff will not routinely provide, as part of the due diligence report, information regarding past enforcement </w:t>
      </w:r>
      <w:r>
        <w:rPr>
          <w:sz w:val="24"/>
          <w:szCs w:val="24"/>
        </w:rPr>
        <w:t>action</w:t>
      </w:r>
      <w:r w:rsidRPr="000A6861">
        <w:rPr>
          <w:sz w:val="24"/>
          <w:szCs w:val="24"/>
        </w:rPr>
        <w:t xml:space="preserve"> (</w:t>
      </w:r>
      <w:r w:rsidRPr="009F6DE2">
        <w:rPr>
          <w:i/>
          <w:sz w:val="24"/>
          <w:szCs w:val="24"/>
        </w:rPr>
        <w:t>e.g.</w:t>
      </w:r>
      <w:r w:rsidRPr="000A6861">
        <w:rPr>
          <w:sz w:val="24"/>
          <w:szCs w:val="24"/>
        </w:rPr>
        <w:t>, Notices of Apparent Liability, Forfeiture Orders, or Citations).  Such historical information can be obtained from the Commission's Reference Information Center</w:t>
      </w:r>
      <w:r>
        <w:rPr>
          <w:sz w:val="24"/>
          <w:szCs w:val="24"/>
        </w:rPr>
        <w:t xml:space="preserve"> (Center)</w:t>
      </w:r>
      <w:r w:rsidRPr="000A6861">
        <w:rPr>
          <w:sz w:val="24"/>
          <w:szCs w:val="24"/>
        </w:rPr>
        <w:t>, located at 445 12th Street, SW, Room CY- A257, Washington, DC 20554.  The Center is open to the public Monday through Th</w:t>
      </w:r>
      <w:r>
        <w:rPr>
          <w:sz w:val="24"/>
          <w:szCs w:val="24"/>
        </w:rPr>
        <w:t>ursday from 8:00 a.m. to 4:30 p.</w:t>
      </w:r>
      <w:r w:rsidRPr="000A6861">
        <w:rPr>
          <w:sz w:val="24"/>
          <w:szCs w:val="24"/>
        </w:rPr>
        <w:t>m</w:t>
      </w:r>
      <w:r>
        <w:rPr>
          <w:sz w:val="24"/>
          <w:szCs w:val="24"/>
        </w:rPr>
        <w:t>.,</w:t>
      </w:r>
      <w:r w:rsidRPr="000A6861">
        <w:rPr>
          <w:sz w:val="24"/>
          <w:szCs w:val="24"/>
        </w:rPr>
        <w:t xml:space="preserve"> and from 8:00 a.m. </w:t>
      </w:r>
      <w:r>
        <w:rPr>
          <w:sz w:val="24"/>
          <w:szCs w:val="24"/>
        </w:rPr>
        <w:t>to 1</w:t>
      </w:r>
      <w:r w:rsidRPr="000A6861">
        <w:rPr>
          <w:sz w:val="24"/>
          <w:szCs w:val="24"/>
        </w:rPr>
        <w:t xml:space="preserve">1:30 a.m. on Fridays.  Interested parties </w:t>
      </w:r>
      <w:r>
        <w:rPr>
          <w:sz w:val="24"/>
          <w:szCs w:val="24"/>
        </w:rPr>
        <w:t>may</w:t>
      </w:r>
      <w:r w:rsidRPr="000A6861">
        <w:rPr>
          <w:sz w:val="24"/>
          <w:szCs w:val="24"/>
        </w:rPr>
        <w:t xml:space="preserve"> also be able to access responsive documents</w:t>
      </w:r>
      <w:r>
        <w:rPr>
          <w:sz w:val="24"/>
          <w:szCs w:val="24"/>
        </w:rPr>
        <w:t xml:space="preserve"> online, using legal research tools and</w:t>
      </w:r>
      <w:r w:rsidRPr="000A6861">
        <w:rPr>
          <w:sz w:val="24"/>
          <w:szCs w:val="24"/>
        </w:rPr>
        <w:t xml:space="preserve"> </w:t>
      </w:r>
      <w:r>
        <w:rPr>
          <w:sz w:val="24"/>
          <w:szCs w:val="24"/>
        </w:rPr>
        <w:t>on</w:t>
      </w:r>
      <w:r w:rsidRPr="000A6861">
        <w:rPr>
          <w:sz w:val="24"/>
          <w:szCs w:val="24"/>
        </w:rPr>
        <w:t xml:space="preserve"> the Commission’s </w:t>
      </w:r>
      <w:r>
        <w:rPr>
          <w:sz w:val="24"/>
          <w:szCs w:val="24"/>
        </w:rPr>
        <w:t xml:space="preserve">EDOCs </w:t>
      </w:r>
      <w:r w:rsidRPr="000A6861">
        <w:rPr>
          <w:sz w:val="24"/>
          <w:szCs w:val="24"/>
        </w:rPr>
        <w:t>website</w:t>
      </w:r>
      <w:r>
        <w:rPr>
          <w:sz w:val="24"/>
          <w:szCs w:val="24"/>
        </w:rPr>
        <w:t xml:space="preserve"> by searching here</w:t>
      </w:r>
      <w:r w:rsidRPr="000A6861">
        <w:rPr>
          <w:sz w:val="24"/>
          <w:szCs w:val="24"/>
        </w:rPr>
        <w:t xml:space="preserve">:  </w:t>
      </w:r>
      <w:hyperlink r:id="rId5" w:history="1">
        <w:r w:rsidRPr="009F6DE2">
          <w:rPr>
            <w:rStyle w:val="Hyperlink"/>
            <w:sz w:val="24"/>
            <w:szCs w:val="24"/>
          </w:rPr>
          <w:t>https://www.fcc.gov/edocs</w:t>
        </w:r>
      </w:hyperlink>
      <w:r w:rsidRPr="000A6861">
        <w:rPr>
          <w:sz w:val="24"/>
          <w:szCs w:val="24"/>
        </w:rPr>
        <w:t xml:space="preserve"> </w:t>
      </w:r>
      <w:r>
        <w:rPr>
          <w:sz w:val="24"/>
          <w:szCs w:val="24"/>
        </w:rPr>
        <w:t xml:space="preserve"> </w:t>
      </w:r>
    </w:p>
    <w:p w:rsidR="00BD2E11" w:rsidP="00BD2E11">
      <w:pPr>
        <w:spacing w:line="238" w:lineRule="auto"/>
        <w:ind w:firstLine="648"/>
        <w:rPr>
          <w:sz w:val="24"/>
          <w:szCs w:val="24"/>
        </w:rPr>
      </w:pPr>
    </w:p>
    <w:p w:rsidR="00BD2E11" w:rsidRPr="000A6861" w:rsidP="00BD2E11">
      <w:pPr>
        <w:spacing w:line="238" w:lineRule="auto"/>
        <w:ind w:firstLine="648"/>
        <w:rPr>
          <w:sz w:val="24"/>
          <w:szCs w:val="24"/>
        </w:rPr>
      </w:pPr>
      <w:r w:rsidRPr="000A6861">
        <w:rPr>
          <w:sz w:val="24"/>
          <w:szCs w:val="24"/>
        </w:rPr>
        <w:t xml:space="preserve">In response to due diligence requests, the Bureau will confirm </w:t>
      </w:r>
      <w:r>
        <w:rPr>
          <w:sz w:val="24"/>
          <w:szCs w:val="24"/>
        </w:rPr>
        <w:t>whether there are any</w:t>
      </w:r>
      <w:r w:rsidRPr="000A6861">
        <w:rPr>
          <w:sz w:val="24"/>
          <w:szCs w:val="24"/>
        </w:rPr>
        <w:t xml:space="preserve"> pending </w:t>
      </w:r>
      <w:r>
        <w:rPr>
          <w:sz w:val="24"/>
          <w:szCs w:val="24"/>
        </w:rPr>
        <w:t xml:space="preserve">enforcement </w:t>
      </w:r>
      <w:r w:rsidRPr="000A6861">
        <w:rPr>
          <w:sz w:val="24"/>
          <w:szCs w:val="24"/>
        </w:rPr>
        <w:t>cases</w:t>
      </w:r>
      <w:r>
        <w:rPr>
          <w:sz w:val="24"/>
          <w:szCs w:val="24"/>
        </w:rPr>
        <w:t>, investigations,</w:t>
      </w:r>
      <w:r w:rsidRPr="000A6861">
        <w:rPr>
          <w:sz w:val="24"/>
          <w:szCs w:val="24"/>
        </w:rPr>
        <w:t xml:space="preserve"> </w:t>
      </w:r>
      <w:r>
        <w:rPr>
          <w:sz w:val="24"/>
          <w:szCs w:val="24"/>
        </w:rPr>
        <w:t xml:space="preserve">or formal or informal complaints </w:t>
      </w:r>
      <w:r w:rsidRPr="000A6861">
        <w:rPr>
          <w:sz w:val="24"/>
          <w:szCs w:val="24"/>
        </w:rPr>
        <w:t xml:space="preserve">against a </w:t>
      </w:r>
      <w:r w:rsidRPr="000A6861">
        <w:rPr>
          <w:sz w:val="24"/>
          <w:szCs w:val="24"/>
        </w:rPr>
        <w:t>particular station</w:t>
      </w:r>
      <w:r w:rsidRPr="000A6861">
        <w:rPr>
          <w:sz w:val="24"/>
          <w:szCs w:val="24"/>
        </w:rPr>
        <w:t xml:space="preserve"> or company</w:t>
      </w:r>
      <w:r>
        <w:rPr>
          <w:sz w:val="24"/>
          <w:szCs w:val="24"/>
        </w:rPr>
        <w:t xml:space="preserve"> that have resulted in enforcement investigations</w:t>
      </w:r>
      <w:r w:rsidRPr="000A6861">
        <w:rPr>
          <w:sz w:val="24"/>
          <w:szCs w:val="24"/>
        </w:rPr>
        <w:t xml:space="preserve">.  </w:t>
      </w:r>
      <w:r>
        <w:rPr>
          <w:sz w:val="24"/>
          <w:szCs w:val="24"/>
        </w:rPr>
        <w:t>T</w:t>
      </w:r>
      <w:r w:rsidRPr="000A6861">
        <w:rPr>
          <w:sz w:val="24"/>
          <w:szCs w:val="24"/>
        </w:rPr>
        <w:t xml:space="preserve">o avoid potential interference with the Bureau’s ongoing investigations or the inadvertent release of </w:t>
      </w:r>
      <w:r>
        <w:rPr>
          <w:sz w:val="24"/>
          <w:szCs w:val="24"/>
        </w:rPr>
        <w:t xml:space="preserve">non-public </w:t>
      </w:r>
      <w:r w:rsidRPr="000A6861">
        <w:rPr>
          <w:sz w:val="24"/>
          <w:szCs w:val="24"/>
        </w:rPr>
        <w:t>information</w:t>
      </w:r>
      <w:r>
        <w:rPr>
          <w:sz w:val="24"/>
          <w:szCs w:val="24"/>
        </w:rPr>
        <w:t xml:space="preserve">, the Bureau will only provide due diligence information to the licensee itself or its designated attorneys.  That is, the due diligence process will not provide information about Commission licensees or stations to third parties, such as lenders or prospective station buyers.  In addition, the Bureau’s response to a due diligence request will not include </w:t>
      </w:r>
      <w:r w:rsidRPr="000A6861">
        <w:rPr>
          <w:sz w:val="24"/>
          <w:szCs w:val="24"/>
        </w:rPr>
        <w:t>the nature of a</w:t>
      </w:r>
      <w:r>
        <w:rPr>
          <w:sz w:val="24"/>
          <w:szCs w:val="24"/>
        </w:rPr>
        <w:t>ny pending</w:t>
      </w:r>
      <w:r w:rsidRPr="000A6861">
        <w:rPr>
          <w:sz w:val="24"/>
          <w:szCs w:val="24"/>
        </w:rPr>
        <w:t xml:space="preserve"> case or the </w:t>
      </w:r>
      <w:r w:rsidRPr="000A6861">
        <w:rPr>
          <w:sz w:val="24"/>
          <w:szCs w:val="24"/>
        </w:rPr>
        <w:t>current status</w:t>
      </w:r>
      <w:r w:rsidRPr="000A6861">
        <w:rPr>
          <w:sz w:val="24"/>
          <w:szCs w:val="24"/>
        </w:rPr>
        <w:t xml:space="preserve"> of our review of the case.  If the subject of a pending case or ongoing investigation (or a principal</w:t>
      </w:r>
      <w:r>
        <w:rPr>
          <w:sz w:val="24"/>
          <w:szCs w:val="24"/>
        </w:rPr>
        <w:t xml:space="preserve"> or attorney</w:t>
      </w:r>
      <w:r w:rsidRPr="000A6861">
        <w:rPr>
          <w:sz w:val="24"/>
          <w:szCs w:val="24"/>
        </w:rPr>
        <w:t xml:space="preserve"> of such an entity) seeks additional information regarding such case or investigation, the </w:t>
      </w:r>
      <w:r>
        <w:rPr>
          <w:sz w:val="24"/>
          <w:szCs w:val="24"/>
        </w:rPr>
        <w:t>licensee</w:t>
      </w:r>
      <w:r w:rsidRPr="000A6861">
        <w:rPr>
          <w:sz w:val="24"/>
          <w:szCs w:val="24"/>
        </w:rPr>
        <w:t xml:space="preserve"> </w:t>
      </w:r>
      <w:r>
        <w:rPr>
          <w:sz w:val="24"/>
          <w:szCs w:val="24"/>
        </w:rPr>
        <w:t xml:space="preserve">or attorney </w:t>
      </w:r>
      <w:r w:rsidRPr="000A6861">
        <w:rPr>
          <w:sz w:val="24"/>
          <w:szCs w:val="24"/>
        </w:rPr>
        <w:t xml:space="preserve">should </w:t>
      </w:r>
      <w:r>
        <w:rPr>
          <w:sz w:val="24"/>
          <w:szCs w:val="24"/>
        </w:rPr>
        <w:t xml:space="preserve">directly </w:t>
      </w:r>
      <w:r w:rsidRPr="000A6861">
        <w:rPr>
          <w:sz w:val="24"/>
          <w:szCs w:val="24"/>
        </w:rPr>
        <w:t>contact the Bureau</w:t>
      </w:r>
      <w:r>
        <w:rPr>
          <w:sz w:val="24"/>
          <w:szCs w:val="24"/>
        </w:rPr>
        <w:t xml:space="preserve"> staff that is handling the matter in question</w:t>
      </w:r>
      <w:r w:rsidRPr="000A6861">
        <w:rPr>
          <w:sz w:val="24"/>
          <w:szCs w:val="24"/>
        </w:rPr>
        <w:t>.  Such inquiries should be made independent of the due diligence process.</w:t>
      </w:r>
    </w:p>
    <w:p w:rsidR="00BD2E11" w:rsidRPr="000A6861" w:rsidP="00BD2E11">
      <w:pPr>
        <w:spacing w:before="2"/>
        <w:rPr>
          <w:sz w:val="24"/>
          <w:szCs w:val="24"/>
        </w:rPr>
      </w:pPr>
    </w:p>
    <w:p w:rsidR="00BD2E11" w:rsidRPr="000A6861" w:rsidP="00BD2E11">
      <w:pPr>
        <w:spacing w:line="238" w:lineRule="auto"/>
        <w:ind w:firstLine="648"/>
        <w:rPr>
          <w:sz w:val="24"/>
          <w:szCs w:val="24"/>
        </w:rPr>
      </w:pPr>
      <w:r w:rsidRPr="000A6861">
        <w:rPr>
          <w:sz w:val="24"/>
          <w:szCs w:val="24"/>
        </w:rPr>
        <w:t xml:space="preserve">To facilitate </w:t>
      </w:r>
      <w:r w:rsidRPr="000A6861">
        <w:rPr>
          <w:i/>
          <w:sz w:val="24"/>
          <w:szCs w:val="24"/>
        </w:rPr>
        <w:t xml:space="preserve">bona fide </w:t>
      </w:r>
      <w:r w:rsidRPr="000A6861">
        <w:rPr>
          <w:sz w:val="24"/>
          <w:szCs w:val="24"/>
        </w:rPr>
        <w:t xml:space="preserve">due diligence requests </w:t>
      </w:r>
      <w:r w:rsidRPr="009F6DE2">
        <w:rPr>
          <w:sz w:val="24"/>
          <w:szCs w:val="24"/>
        </w:rPr>
        <w:t>(</w:t>
      </w:r>
      <w:r w:rsidRPr="000A6861">
        <w:rPr>
          <w:i/>
          <w:sz w:val="24"/>
          <w:szCs w:val="24"/>
        </w:rPr>
        <w:t xml:space="preserve">i.e., </w:t>
      </w:r>
      <w:r w:rsidRPr="000A6861">
        <w:rPr>
          <w:sz w:val="24"/>
          <w:szCs w:val="24"/>
        </w:rPr>
        <w:t xml:space="preserve">those submitted in connection with a </w:t>
      </w:r>
      <w:r w:rsidRPr="000A6861">
        <w:rPr>
          <w:i/>
          <w:sz w:val="24"/>
          <w:szCs w:val="24"/>
        </w:rPr>
        <w:t xml:space="preserve">bona fide </w:t>
      </w:r>
      <w:r w:rsidRPr="000A6861">
        <w:rPr>
          <w:sz w:val="24"/>
          <w:szCs w:val="24"/>
        </w:rPr>
        <w:t xml:space="preserve">transaction, such as a station sale, financing or public offering), the attorney for a requesting entity (or a principal of the entity) should </w:t>
      </w:r>
      <w:r>
        <w:rPr>
          <w:sz w:val="24"/>
          <w:szCs w:val="24"/>
        </w:rPr>
        <w:t xml:space="preserve">submit a </w:t>
      </w:r>
      <w:r w:rsidRPr="000A6861">
        <w:rPr>
          <w:sz w:val="24"/>
          <w:szCs w:val="24"/>
        </w:rPr>
        <w:t>letter</w:t>
      </w:r>
      <w:r>
        <w:rPr>
          <w:sz w:val="24"/>
          <w:szCs w:val="24"/>
        </w:rPr>
        <w:t xml:space="preserve"> to the Bureau</w:t>
      </w:r>
      <w:r w:rsidRPr="000A6861">
        <w:rPr>
          <w:sz w:val="24"/>
          <w:szCs w:val="24"/>
        </w:rPr>
        <w:t xml:space="preserve"> requesting </w:t>
      </w:r>
      <w:r>
        <w:rPr>
          <w:sz w:val="24"/>
          <w:szCs w:val="24"/>
        </w:rPr>
        <w:t xml:space="preserve">a </w:t>
      </w:r>
      <w:r w:rsidRPr="000A6861">
        <w:rPr>
          <w:sz w:val="24"/>
          <w:szCs w:val="24"/>
        </w:rPr>
        <w:t>due diligence review.  The Bureau will not routinely handle, through the due diligence process, requests from licensees for information about themselves in connection with the preparation of renewal applications.</w:t>
      </w:r>
    </w:p>
    <w:p w:rsidR="00BD2E11" w:rsidRPr="000A6861" w:rsidP="00BD2E11">
      <w:pPr>
        <w:rPr>
          <w:sz w:val="24"/>
          <w:szCs w:val="24"/>
        </w:rPr>
      </w:pPr>
    </w:p>
    <w:p w:rsidR="00BD2E11" w:rsidRPr="000A6861" w:rsidP="00BD2E11">
      <w:pPr>
        <w:spacing w:line="238" w:lineRule="auto"/>
        <w:ind w:firstLine="648"/>
        <w:rPr>
          <w:sz w:val="24"/>
          <w:szCs w:val="24"/>
        </w:rPr>
      </w:pPr>
      <w:r w:rsidRPr="000A6861">
        <w:rPr>
          <w:sz w:val="24"/>
          <w:szCs w:val="24"/>
        </w:rPr>
        <w:t>The Bureau can more easily respond to requests that conform to the above parameters and that provide the following information in the request:</w:t>
      </w:r>
    </w:p>
    <w:p w:rsidR="00BD2E11" w:rsidRPr="000A6861" w:rsidP="00BD2E11">
      <w:pPr>
        <w:spacing w:before="6"/>
        <w:rPr>
          <w:sz w:val="24"/>
          <w:szCs w:val="24"/>
        </w:rPr>
      </w:pPr>
    </w:p>
    <w:p w:rsidR="00BD2E11" w:rsidRPr="000A6861" w:rsidP="00BD2E11">
      <w:pPr>
        <w:pStyle w:val="BodyText"/>
        <w:numPr>
          <w:ilvl w:val="0"/>
          <w:numId w:val="7"/>
        </w:numPr>
        <w:tabs>
          <w:tab w:val="left" w:pos="1112"/>
        </w:tabs>
        <w:ind w:left="1440"/>
        <w:rPr>
          <w:sz w:val="24"/>
          <w:szCs w:val="24"/>
        </w:rPr>
      </w:pPr>
      <w:r w:rsidRPr="000A6861">
        <w:rPr>
          <w:sz w:val="24"/>
          <w:szCs w:val="24"/>
        </w:rPr>
        <w:t>name of licensee/company that is the subject of request;</w:t>
      </w:r>
    </w:p>
    <w:p w:rsidR="00BD2E11" w:rsidRPr="000A6861" w:rsidP="00BD2E11">
      <w:pPr>
        <w:pStyle w:val="BodyText"/>
        <w:numPr>
          <w:ilvl w:val="0"/>
          <w:numId w:val="7"/>
        </w:numPr>
        <w:tabs>
          <w:tab w:val="left" w:pos="1112"/>
        </w:tabs>
        <w:ind w:left="1440"/>
        <w:rPr>
          <w:sz w:val="24"/>
          <w:szCs w:val="24"/>
        </w:rPr>
      </w:pPr>
      <w:r w:rsidRPr="000A6861">
        <w:rPr>
          <w:sz w:val="24"/>
          <w:szCs w:val="24"/>
        </w:rPr>
        <w:t>reason for the request;</w:t>
      </w:r>
    </w:p>
    <w:p w:rsidR="00BD2E11" w:rsidRPr="000A6861" w:rsidP="00BD2E11">
      <w:pPr>
        <w:pStyle w:val="BodyText"/>
        <w:numPr>
          <w:ilvl w:val="0"/>
          <w:numId w:val="7"/>
        </w:numPr>
        <w:tabs>
          <w:tab w:val="left" w:pos="1112"/>
        </w:tabs>
        <w:spacing w:before="24" w:line="255" w:lineRule="auto"/>
        <w:ind w:left="1440"/>
        <w:rPr>
          <w:sz w:val="24"/>
          <w:szCs w:val="24"/>
        </w:rPr>
      </w:pPr>
      <w:r w:rsidRPr="000A6861">
        <w:rPr>
          <w:sz w:val="24"/>
          <w:szCs w:val="24"/>
        </w:rPr>
        <w:t xml:space="preserve">current call sign (and any other call sign by which the facility has been identified since </w:t>
      </w:r>
      <w:r>
        <w:rPr>
          <w:sz w:val="24"/>
          <w:szCs w:val="24"/>
        </w:rPr>
        <w:t>the beginning</w:t>
      </w:r>
      <w:r w:rsidRPr="000A6861">
        <w:rPr>
          <w:sz w:val="24"/>
          <w:szCs w:val="24"/>
        </w:rPr>
        <w:t xml:space="preserve"> of the current license term):</w:t>
      </w:r>
    </w:p>
    <w:p w:rsidR="00BD2E11" w:rsidRPr="000A6861" w:rsidP="00BD2E11">
      <w:pPr>
        <w:pStyle w:val="BodyText"/>
        <w:numPr>
          <w:ilvl w:val="0"/>
          <w:numId w:val="7"/>
        </w:numPr>
        <w:tabs>
          <w:tab w:val="left" w:pos="1122"/>
        </w:tabs>
        <w:spacing w:before="10"/>
        <w:ind w:left="1440"/>
        <w:rPr>
          <w:sz w:val="24"/>
          <w:szCs w:val="24"/>
        </w:rPr>
      </w:pPr>
      <w:r w:rsidRPr="000A6861">
        <w:rPr>
          <w:sz w:val="24"/>
          <w:szCs w:val="24"/>
        </w:rPr>
        <w:t>facility identification number:</w:t>
      </w:r>
    </w:p>
    <w:p w:rsidR="00BD2E11" w:rsidRPr="000A6861" w:rsidP="00BD2E11">
      <w:pPr>
        <w:pStyle w:val="BodyText"/>
        <w:numPr>
          <w:ilvl w:val="0"/>
          <w:numId w:val="7"/>
        </w:numPr>
        <w:tabs>
          <w:tab w:val="left" w:pos="1108"/>
        </w:tabs>
        <w:spacing w:before="24"/>
        <w:ind w:left="1440"/>
        <w:rPr>
          <w:sz w:val="24"/>
          <w:szCs w:val="24"/>
        </w:rPr>
      </w:pPr>
      <w:r w:rsidRPr="000A6861">
        <w:rPr>
          <w:sz w:val="24"/>
          <w:szCs w:val="24"/>
        </w:rPr>
        <w:t>community of license/market/market number:</w:t>
      </w:r>
    </w:p>
    <w:p w:rsidR="00BD2E11" w:rsidRPr="000A6861" w:rsidP="00BD2E11">
      <w:pPr>
        <w:numPr>
          <w:ilvl w:val="0"/>
          <w:numId w:val="7"/>
        </w:numPr>
        <w:tabs>
          <w:tab w:val="left" w:pos="1112"/>
        </w:tabs>
        <w:spacing w:before="1"/>
        <w:ind w:left="1440"/>
        <w:rPr>
          <w:sz w:val="24"/>
          <w:szCs w:val="24"/>
        </w:rPr>
      </w:pPr>
      <w:r w:rsidRPr="000A6861">
        <w:rPr>
          <w:sz w:val="24"/>
          <w:szCs w:val="24"/>
        </w:rPr>
        <w:t xml:space="preserve">radio service </w:t>
      </w:r>
      <w:r w:rsidRPr="009F6DE2">
        <w:rPr>
          <w:sz w:val="24"/>
          <w:szCs w:val="24"/>
        </w:rPr>
        <w:t>(</w:t>
      </w:r>
      <w:r w:rsidRPr="000A6861">
        <w:rPr>
          <w:i/>
          <w:sz w:val="24"/>
          <w:szCs w:val="24"/>
        </w:rPr>
        <w:t xml:space="preserve">e.g., </w:t>
      </w:r>
      <w:r w:rsidRPr="000A6861">
        <w:rPr>
          <w:sz w:val="24"/>
          <w:szCs w:val="24"/>
        </w:rPr>
        <w:t>AM, FM, TV, PCS); and</w:t>
      </w:r>
    </w:p>
    <w:p w:rsidR="00BD2E11" w:rsidRPr="000A6861" w:rsidP="00BD2E11">
      <w:pPr>
        <w:numPr>
          <w:ilvl w:val="0"/>
          <w:numId w:val="7"/>
        </w:numPr>
        <w:tabs>
          <w:tab w:val="left" w:pos="1112"/>
        </w:tabs>
        <w:spacing w:before="1"/>
        <w:ind w:left="1440"/>
        <w:rPr>
          <w:sz w:val="24"/>
          <w:szCs w:val="24"/>
        </w:rPr>
      </w:pPr>
      <w:r w:rsidRPr="000A6861">
        <w:rPr>
          <w:sz w:val="24"/>
          <w:szCs w:val="24"/>
        </w:rPr>
        <w:t>name, address, telephone number and e-mail address of requesting party.</w:t>
      </w:r>
    </w:p>
    <w:p w:rsidR="00BD2E11" w:rsidRPr="000A6861" w:rsidP="00BD2E11">
      <w:pPr>
        <w:rPr>
          <w:sz w:val="24"/>
          <w:szCs w:val="24"/>
        </w:rPr>
      </w:pPr>
    </w:p>
    <w:p w:rsidR="00BD2E11" w:rsidRPr="00925245" w:rsidP="00BD2E11">
      <w:pPr>
        <w:spacing w:line="238" w:lineRule="auto"/>
        <w:ind w:firstLine="648"/>
        <w:rPr>
          <w:sz w:val="24"/>
          <w:szCs w:val="24"/>
        </w:rPr>
      </w:pPr>
      <w:r w:rsidRPr="000A6861">
        <w:rPr>
          <w:sz w:val="24"/>
          <w:szCs w:val="24"/>
        </w:rPr>
        <w:t xml:space="preserve">Due diligence requests should be submitted via e-mail to </w:t>
      </w:r>
      <w:hyperlink r:id="rId6" w:history="1">
        <w:r w:rsidRPr="009F6DE2">
          <w:rPr>
            <w:rStyle w:val="Hyperlink"/>
            <w:sz w:val="24"/>
            <w:szCs w:val="24"/>
          </w:rPr>
          <w:t>ebduedil@fcc.gov</w:t>
        </w:r>
      </w:hyperlink>
      <w:r w:rsidRPr="00BD2E11">
        <w:rPr>
          <w:rStyle w:val="PageNumber"/>
        </w:rPr>
        <w:t xml:space="preserve">.  </w:t>
      </w:r>
      <w:r w:rsidRPr="008A4F38">
        <w:rPr>
          <w:rStyle w:val="PageNumber"/>
          <w:sz w:val="24"/>
          <w:szCs w:val="24"/>
        </w:rPr>
        <w:t>The message must include, as an attachment, a PDF file containing an image of a signed letter in</w:t>
      </w:r>
      <w:r w:rsidRPr="008A4F38">
        <w:rPr>
          <w:sz w:val="24"/>
          <w:szCs w:val="24"/>
        </w:rPr>
        <w:t xml:space="preserve"> the</w:t>
      </w:r>
      <w:r w:rsidRPr="000A6861">
        <w:rPr>
          <w:sz w:val="24"/>
          <w:szCs w:val="24"/>
        </w:rPr>
        <w:t xml:space="preserve"> form and contain the information outlined above.  Requests that fail to provide the information outlined above </w:t>
      </w:r>
      <w:r>
        <w:rPr>
          <w:sz w:val="24"/>
          <w:szCs w:val="24"/>
        </w:rPr>
        <w:t>may</w:t>
      </w:r>
      <w:r w:rsidRPr="000A6861">
        <w:rPr>
          <w:sz w:val="24"/>
          <w:szCs w:val="24"/>
        </w:rPr>
        <w:t xml:space="preserve"> be subject to processing delays.  The Bureau will not accept due diligence requests by telephone or fax. </w:t>
      </w:r>
      <w:r>
        <w:rPr>
          <w:sz w:val="24"/>
          <w:szCs w:val="24"/>
        </w:rPr>
        <w:t xml:space="preserve"> </w:t>
      </w:r>
      <w:r w:rsidRPr="000A6861">
        <w:rPr>
          <w:sz w:val="24"/>
          <w:szCs w:val="24"/>
        </w:rPr>
        <w:t>The Bureau will notify parties of the results of the due diligence review by e-mail and will endeavor to do so within</w:t>
      </w:r>
      <w:r>
        <w:rPr>
          <w:sz w:val="24"/>
          <w:szCs w:val="24"/>
        </w:rPr>
        <w:t xml:space="preserve"> seven (7) business days of the Bureau</w:t>
      </w:r>
      <w:r w:rsidRPr="000A6861">
        <w:rPr>
          <w:sz w:val="24"/>
          <w:szCs w:val="24"/>
        </w:rPr>
        <w:t>’s receipt of the request.</w:t>
      </w:r>
    </w:p>
    <w:p w:rsidR="00BD2E11" w:rsidP="00BD2E11">
      <w:pPr>
        <w:rPr>
          <w:sz w:val="24"/>
          <w:szCs w:val="24"/>
        </w:rPr>
      </w:pPr>
    </w:p>
    <w:p w:rsidR="00BD2E11" w:rsidRPr="00A20196" w:rsidP="00BD2E11">
      <w:pPr>
        <w:spacing w:line="238" w:lineRule="auto"/>
        <w:ind w:right="346" w:firstLine="648"/>
        <w:rPr>
          <w:sz w:val="24"/>
          <w:szCs w:val="24"/>
        </w:rPr>
      </w:pPr>
      <w:r w:rsidRPr="00A20196">
        <w:rPr>
          <w:sz w:val="24"/>
          <w:szCs w:val="24"/>
        </w:rPr>
        <w:t>For further informa</w:t>
      </w:r>
      <w:bookmarkStart w:id="1" w:name="_GoBack"/>
      <w:bookmarkEnd w:id="1"/>
      <w:r w:rsidRPr="00A20196">
        <w:rPr>
          <w:sz w:val="24"/>
          <w:szCs w:val="24"/>
        </w:rPr>
        <w:t>tion</w:t>
      </w:r>
      <w:r>
        <w:rPr>
          <w:sz w:val="24"/>
          <w:szCs w:val="24"/>
        </w:rPr>
        <w:t xml:space="preserve"> concerning this Public Notice</w:t>
      </w:r>
      <w:r w:rsidRPr="00A20196">
        <w:rPr>
          <w:sz w:val="24"/>
          <w:szCs w:val="24"/>
        </w:rPr>
        <w:t xml:space="preserve">, please contact </w:t>
      </w:r>
      <w:r w:rsidRPr="00107161">
        <w:rPr>
          <w:sz w:val="24"/>
          <w:szCs w:val="24"/>
        </w:rPr>
        <w:t>Karen Richardson</w:t>
      </w:r>
      <w:r>
        <w:rPr>
          <w:sz w:val="24"/>
          <w:szCs w:val="24"/>
        </w:rPr>
        <w:t xml:space="preserve"> of the Enforcement Bureau, Investigations and Hearings Division, by telephone,</w:t>
      </w:r>
      <w:r w:rsidRPr="00A20196">
        <w:rPr>
          <w:sz w:val="24"/>
          <w:szCs w:val="24"/>
        </w:rPr>
        <w:t xml:space="preserve"> at</w:t>
      </w:r>
      <w:r>
        <w:rPr>
          <w:sz w:val="24"/>
          <w:szCs w:val="24"/>
        </w:rPr>
        <w:t>:</w:t>
      </w:r>
      <w:r w:rsidRPr="00A20196">
        <w:rPr>
          <w:sz w:val="24"/>
          <w:szCs w:val="24"/>
        </w:rPr>
        <w:t xml:space="preserve"> (202) 418-</w:t>
      </w:r>
      <w:r>
        <w:rPr>
          <w:sz w:val="24"/>
          <w:szCs w:val="24"/>
        </w:rPr>
        <w:t xml:space="preserve">1421, or, by e-mail at: </w:t>
      </w:r>
      <w:hyperlink r:id="rId6" w:history="1">
        <w:r w:rsidRPr="009F6DE2">
          <w:rPr>
            <w:rStyle w:val="Hyperlink"/>
            <w:sz w:val="24"/>
            <w:szCs w:val="24"/>
          </w:rPr>
          <w:t>ebduedil@fcc.gov</w:t>
        </w:r>
      </w:hyperlink>
      <w:r w:rsidRPr="00A20196">
        <w:rPr>
          <w:sz w:val="24"/>
          <w:szCs w:val="24"/>
        </w:rPr>
        <w:t>.</w:t>
      </w:r>
    </w:p>
    <w:p w:rsidR="00BD2E11" w:rsidRPr="00A20196" w:rsidP="00BD2E11">
      <w:pPr>
        <w:spacing w:before="10"/>
        <w:rPr>
          <w:sz w:val="24"/>
          <w:szCs w:val="24"/>
        </w:rPr>
      </w:pPr>
    </w:p>
    <w:p w:rsidR="00BD2E11" w:rsidRPr="00A20196" w:rsidP="00BD2E11">
      <w:pPr>
        <w:spacing w:line="238" w:lineRule="auto"/>
        <w:ind w:left="720" w:right="346" w:firstLine="648"/>
        <w:jc w:val="both"/>
        <w:rPr>
          <w:sz w:val="24"/>
          <w:szCs w:val="24"/>
        </w:rPr>
      </w:pPr>
      <w:r w:rsidRPr="00A20196">
        <w:rPr>
          <w:sz w:val="24"/>
          <w:szCs w:val="24"/>
        </w:rPr>
        <w:t>By the Chief, Investigations and Hearings Division, Enforcement Bureau.</w:t>
      </w:r>
    </w:p>
    <w:p w:rsidR="00BD2E11" w:rsidP="00BD2E11">
      <w:pPr>
        <w:tabs>
          <w:tab w:val="left" w:pos="6470"/>
        </w:tabs>
        <w:spacing w:before="76"/>
        <w:ind w:firstLine="720"/>
        <w:rPr>
          <w:sz w:val="24"/>
          <w:szCs w:val="24"/>
        </w:rPr>
      </w:pPr>
      <w:r w:rsidRPr="00A20196">
        <w:rPr>
          <w:sz w:val="24"/>
          <w:szCs w:val="24"/>
        </w:rPr>
        <w:t xml:space="preserve">                                                    </w:t>
      </w:r>
    </w:p>
    <w:p w:rsidR="00BD2E11" w:rsidRPr="00B636C0" w:rsidP="00BD2E11">
      <w:pPr>
        <w:tabs>
          <w:tab w:val="left" w:pos="4140"/>
          <w:tab w:val="left" w:pos="6470"/>
        </w:tabs>
        <w:spacing w:before="76"/>
        <w:ind w:firstLine="720"/>
        <w:rPr>
          <w:sz w:val="24"/>
          <w:szCs w:val="24"/>
        </w:rPr>
      </w:pPr>
      <w:r>
        <w:rPr>
          <w:sz w:val="24"/>
          <w:szCs w:val="24"/>
        </w:rPr>
        <w:tab/>
      </w:r>
      <w:r w:rsidRPr="00A20196">
        <w:rPr>
          <w:sz w:val="24"/>
          <w:szCs w:val="24"/>
        </w:rPr>
        <w:t>-</w:t>
      </w:r>
      <w:r w:rsidRPr="009F6DE2">
        <w:rPr>
          <w:b/>
          <w:sz w:val="24"/>
          <w:szCs w:val="24"/>
        </w:rPr>
        <w:t>FCC</w:t>
      </w:r>
      <w:r w:rsidRPr="00A20196">
        <w:rPr>
          <w:sz w:val="24"/>
          <w:szCs w:val="24"/>
        </w:rPr>
        <w:t>-</w:t>
      </w:r>
    </w:p>
    <w:p w:rsidR="00930ECF" w:rsidRPr="00930ECF" w:rsidP="00F96F63">
      <w:pPr>
        <w:rPr>
          <w:sz w:val="24"/>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A1847">
      <w:r>
        <w:separator/>
      </w:r>
    </w:p>
  </w:footnote>
  <w:footnote w:type="continuationSeparator" w:id="1">
    <w:p w:rsidR="002A1847">
      <w:pPr>
        <w:rPr>
          <w:sz w:val="20"/>
        </w:rPr>
      </w:pPr>
      <w:r>
        <w:rPr>
          <w:sz w:val="20"/>
        </w:rPr>
        <w:t xml:space="preserve">(Continued from previous page)  </w:t>
      </w:r>
      <w:r>
        <w:rPr>
          <w:sz w:val="20"/>
        </w:rPr>
        <w:separator/>
      </w:r>
    </w:p>
  </w:footnote>
  <w:footnote w:type="continuationNotice" w:id="2">
    <w:p w:rsidR="002A1847" w:rsidP="00910F12">
      <w:pPr>
        <w:jc w:val="right"/>
        <w:rPr>
          <w:sz w:val="20"/>
        </w:rPr>
      </w:pPr>
      <w:r>
        <w:rPr>
          <w:sz w:val="20"/>
        </w:rPr>
        <w:t>(continued….)</w:t>
      </w:r>
    </w:p>
  </w:footnote>
  <w:footnote w:id="3">
    <w:p w:rsidR="00BD2E11" w:rsidRPr="00E76954" w:rsidP="00BD2E11">
      <w:pPr>
        <w:pStyle w:val="FootnoteText"/>
      </w:pPr>
      <w:r w:rsidRPr="00E76954">
        <w:rPr>
          <w:rStyle w:val="FootnoteReference"/>
        </w:rPr>
        <w:footnoteRef/>
      </w:r>
      <w:r w:rsidRPr="00E76954">
        <w:t xml:space="preserve"> </w:t>
      </w:r>
      <w:r w:rsidRPr="00E76954">
        <w:rPr>
          <w:i/>
        </w:rPr>
        <w:t xml:space="preserve">Enforcement Bureau Procedures for Due Diligence Checks, </w:t>
      </w:r>
      <w:r w:rsidRPr="00E76954">
        <w:t xml:space="preserve">Public Notice, 15 FCC </w:t>
      </w:r>
      <w:r w:rsidRPr="00E76954">
        <w:t>Rcd</w:t>
      </w:r>
      <w:r w:rsidRPr="00E76954">
        <w:t xml:space="preserve"> 4464 (</w:t>
      </w:r>
      <w:r w:rsidR="00134A73">
        <w:t xml:space="preserve">EB </w:t>
      </w:r>
      <w:r w:rsidRPr="00E76954">
        <w:t xml:space="preserve">2000); </w:t>
      </w:r>
      <w:r w:rsidRPr="00E76954">
        <w:rPr>
          <w:i/>
        </w:rPr>
        <w:t xml:space="preserve">Clarification of Enforcement Bureau Guidance for Due Diligence Checks, </w:t>
      </w:r>
      <w:r w:rsidRPr="00E76954">
        <w:t xml:space="preserve">Public Notice, 18 FCC </w:t>
      </w:r>
      <w:r w:rsidRPr="00E76954">
        <w:t>Rcd</w:t>
      </w:r>
      <w:r w:rsidRPr="00E76954">
        <w:t xml:space="preserve"> 19276 (</w:t>
      </w:r>
      <w:r w:rsidR="00134A73">
        <w:t xml:space="preserve">EB </w:t>
      </w:r>
      <w:r w:rsidRPr="00E76954">
        <w:t>2003).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134A73">
      <w:rPr>
        <w:b/>
      </w:rPr>
      <w:t>DA 19-147</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BFE7D01"/>
    <w:multiLevelType w:val="hybridMultilevel"/>
    <w:tmpl w:val="ADCAAFFC"/>
    <w:lvl w:ilvl="0">
      <w:start w:val="1"/>
      <w:numFmt w:val="decimal"/>
      <w:lvlText w:val="(%1)"/>
      <w:lvlJc w:val="left"/>
      <w:pPr>
        <w:ind w:left="2108" w:hanging="332"/>
      </w:pPr>
      <w:rPr>
        <w:rFonts w:ascii="Times New Roman" w:eastAsia="Times New Roman" w:hAnsi="Times New Roman" w:hint="default"/>
        <w:w w:val="103"/>
        <w:sz w:val="21"/>
        <w:szCs w:val="21"/>
      </w:rPr>
    </w:lvl>
    <w:lvl w:ilvl="1">
      <w:start w:val="1"/>
      <w:numFmt w:val="bullet"/>
      <w:lvlText w:val="•"/>
      <w:lvlJc w:val="left"/>
      <w:pPr>
        <w:ind w:left="2888" w:hanging="332"/>
      </w:pPr>
      <w:rPr>
        <w:rFonts w:hint="default"/>
      </w:rPr>
    </w:lvl>
    <w:lvl w:ilvl="2">
      <w:start w:val="1"/>
      <w:numFmt w:val="bullet"/>
      <w:lvlText w:val="•"/>
      <w:lvlJc w:val="left"/>
      <w:pPr>
        <w:ind w:left="3669" w:hanging="332"/>
      </w:pPr>
      <w:rPr>
        <w:rFonts w:hint="default"/>
      </w:rPr>
    </w:lvl>
    <w:lvl w:ilvl="3">
      <w:start w:val="1"/>
      <w:numFmt w:val="bullet"/>
      <w:lvlText w:val="•"/>
      <w:lvlJc w:val="left"/>
      <w:pPr>
        <w:ind w:left="4450" w:hanging="332"/>
      </w:pPr>
      <w:rPr>
        <w:rFonts w:hint="default"/>
      </w:rPr>
    </w:lvl>
    <w:lvl w:ilvl="4">
      <w:start w:val="1"/>
      <w:numFmt w:val="bullet"/>
      <w:lvlText w:val="•"/>
      <w:lvlJc w:val="left"/>
      <w:pPr>
        <w:ind w:left="5231" w:hanging="332"/>
      </w:pPr>
      <w:rPr>
        <w:rFonts w:hint="default"/>
      </w:rPr>
    </w:lvl>
    <w:lvl w:ilvl="5">
      <w:start w:val="1"/>
      <w:numFmt w:val="bullet"/>
      <w:lvlText w:val="•"/>
      <w:lvlJc w:val="left"/>
      <w:pPr>
        <w:ind w:left="6012" w:hanging="332"/>
      </w:pPr>
      <w:rPr>
        <w:rFonts w:hint="default"/>
      </w:rPr>
    </w:lvl>
    <w:lvl w:ilvl="6">
      <w:start w:val="1"/>
      <w:numFmt w:val="bullet"/>
      <w:lvlText w:val="•"/>
      <w:lvlJc w:val="left"/>
      <w:pPr>
        <w:ind w:left="6792" w:hanging="332"/>
      </w:pPr>
      <w:rPr>
        <w:rFonts w:hint="default"/>
      </w:rPr>
    </w:lvl>
    <w:lvl w:ilvl="7">
      <w:start w:val="1"/>
      <w:numFmt w:val="bullet"/>
      <w:lvlText w:val="•"/>
      <w:lvlJc w:val="left"/>
      <w:pPr>
        <w:ind w:left="7573" w:hanging="332"/>
      </w:pPr>
      <w:rPr>
        <w:rFonts w:hint="default"/>
      </w:rPr>
    </w:lvl>
    <w:lvl w:ilvl="8">
      <w:start w:val="1"/>
      <w:numFmt w:val="bullet"/>
      <w:lvlText w:val="•"/>
      <w:lvlJc w:val="left"/>
      <w:pPr>
        <w:ind w:left="8354" w:hanging="332"/>
      </w:pPr>
      <w:rPr>
        <w:rFont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D1"/>
    <w:rsid w:val="000072CE"/>
    <w:rsid w:val="00013A8B"/>
    <w:rsid w:val="00021445"/>
    <w:rsid w:val="00024B45"/>
    <w:rsid w:val="00036039"/>
    <w:rsid w:val="00037F90"/>
    <w:rsid w:val="000875BF"/>
    <w:rsid w:val="00096D8C"/>
    <w:rsid w:val="000A6861"/>
    <w:rsid w:val="000C0B65"/>
    <w:rsid w:val="000E3D42"/>
    <w:rsid w:val="000E5884"/>
    <w:rsid w:val="00107161"/>
    <w:rsid w:val="00122BD5"/>
    <w:rsid w:val="00134A73"/>
    <w:rsid w:val="001979D9"/>
    <w:rsid w:val="001C223B"/>
    <w:rsid w:val="001D6BCF"/>
    <w:rsid w:val="001E01CA"/>
    <w:rsid w:val="002060D9"/>
    <w:rsid w:val="00222F98"/>
    <w:rsid w:val="00226822"/>
    <w:rsid w:val="00260594"/>
    <w:rsid w:val="00285017"/>
    <w:rsid w:val="002A184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A4F38"/>
    <w:rsid w:val="008C22FD"/>
    <w:rsid w:val="00910F12"/>
    <w:rsid w:val="00925245"/>
    <w:rsid w:val="00926503"/>
    <w:rsid w:val="00930ECF"/>
    <w:rsid w:val="00971ED1"/>
    <w:rsid w:val="009838BC"/>
    <w:rsid w:val="009A1A9B"/>
    <w:rsid w:val="009F6DE2"/>
    <w:rsid w:val="00A20196"/>
    <w:rsid w:val="00A45F4F"/>
    <w:rsid w:val="00A600A9"/>
    <w:rsid w:val="00A866AC"/>
    <w:rsid w:val="00AA55B7"/>
    <w:rsid w:val="00AA5B9E"/>
    <w:rsid w:val="00AB2407"/>
    <w:rsid w:val="00AB53DF"/>
    <w:rsid w:val="00B07E5C"/>
    <w:rsid w:val="00B14474"/>
    <w:rsid w:val="00B20363"/>
    <w:rsid w:val="00B326E3"/>
    <w:rsid w:val="00B636C0"/>
    <w:rsid w:val="00B811F7"/>
    <w:rsid w:val="00BA5DC6"/>
    <w:rsid w:val="00BA6196"/>
    <w:rsid w:val="00BC6D8C"/>
    <w:rsid w:val="00BD2E11"/>
    <w:rsid w:val="00C16AF2"/>
    <w:rsid w:val="00C34006"/>
    <w:rsid w:val="00C426B1"/>
    <w:rsid w:val="00C82B6B"/>
    <w:rsid w:val="00C90D6A"/>
    <w:rsid w:val="00CC72B6"/>
    <w:rsid w:val="00D0218D"/>
    <w:rsid w:val="00D216CD"/>
    <w:rsid w:val="00DA2529"/>
    <w:rsid w:val="00DB130A"/>
    <w:rsid w:val="00DC10A1"/>
    <w:rsid w:val="00DC655F"/>
    <w:rsid w:val="00DD7EBD"/>
    <w:rsid w:val="00DF62B6"/>
    <w:rsid w:val="00E07225"/>
    <w:rsid w:val="00E155B7"/>
    <w:rsid w:val="00E5409F"/>
    <w:rsid w:val="00E76954"/>
    <w:rsid w:val="00EC0185"/>
    <w:rsid w:val="00ED5EFC"/>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0624731-4BE7-42FC-93D1-3BC823DB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semiHidden/>
    <w:rsid w:val="000E3D42"/>
    <w:pPr>
      <w:spacing w:after="120"/>
    </w:pPr>
  </w:style>
  <w:style w:type="character" w:styleId="FootnoteReference">
    <w:name w:val="footnote reference"/>
    <w:uiPriority w:val="99"/>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odyText">
    <w:name w:val="Body Text"/>
    <w:basedOn w:val="Normal"/>
    <w:link w:val="BodyTextChar"/>
    <w:uiPriority w:val="1"/>
    <w:qFormat/>
    <w:rsid w:val="00BD2E11"/>
    <w:pPr>
      <w:ind w:left="132"/>
    </w:pPr>
    <w:rPr>
      <w:snapToGrid/>
      <w:kern w:val="0"/>
      <w:sz w:val="20"/>
    </w:rPr>
  </w:style>
  <w:style w:type="character" w:customStyle="1" w:styleId="BodyTextChar">
    <w:name w:val="Body Text Char"/>
    <w:basedOn w:val="DefaultParagraphFont"/>
    <w:link w:val="BodyText"/>
    <w:uiPriority w:val="1"/>
    <w:rsid w:val="00BD2E11"/>
  </w:style>
  <w:style w:type="character" w:customStyle="1" w:styleId="FootnoteTextChar">
    <w:name w:val="Footnote Text Char"/>
    <w:link w:val="FootnoteText"/>
    <w:uiPriority w:val="99"/>
    <w:semiHidden/>
    <w:rsid w:val="00BD2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docs" TargetMode="External" /><Relationship Id="rId6" Type="http://schemas.openxmlformats.org/officeDocument/2006/relationships/hyperlink" Target="mailto:ebduedil@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