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pPr>
        <w:jc w:val="center"/>
        <w:rPr>
          <w:b/>
        </w:rPr>
      </w:pPr>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p w:rsidR="004C2EE3"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pPr>
              <w:tabs>
                <w:tab w:val="center" w:pos="4680"/>
              </w:tabs>
              <w:suppressAutoHyphens/>
              <w:rPr>
                <w:spacing w:val="-2"/>
              </w:rPr>
            </w:pPr>
            <w:r>
              <w:rPr>
                <w:spacing w:val="-2"/>
              </w:rPr>
              <w:t>In the Matter of</w:t>
            </w:r>
          </w:p>
          <w:p w:rsidR="004C2EE3">
            <w:pPr>
              <w:tabs>
                <w:tab w:val="center" w:pos="4680"/>
              </w:tabs>
              <w:suppressAutoHyphens/>
              <w:rPr>
                <w:spacing w:val="-2"/>
              </w:rPr>
            </w:pPr>
          </w:p>
          <w:p w:rsidR="00913F04" w:rsidRPr="00913F04" w:rsidP="00913F04">
            <w:pPr>
              <w:tabs>
                <w:tab w:val="center" w:pos="4680"/>
              </w:tabs>
              <w:suppressAutoHyphens/>
              <w:rPr>
                <w:spacing w:val="-2"/>
              </w:rPr>
            </w:pPr>
            <w:r w:rsidRPr="00913F04">
              <w:rPr>
                <w:spacing w:val="-2"/>
              </w:rPr>
              <w:t>Deane Brothers Broadcasting Corp.,</w:t>
            </w:r>
          </w:p>
          <w:p w:rsidR="004C2EE3" w:rsidRPr="007115F7" w:rsidP="00913F04">
            <w:pPr>
              <w:tabs>
                <w:tab w:val="center" w:pos="4680"/>
              </w:tabs>
              <w:suppressAutoHyphens/>
              <w:rPr>
                <w:spacing w:val="-2"/>
              </w:rPr>
            </w:pPr>
            <w:r w:rsidRPr="00913F04">
              <w:rPr>
                <w:spacing w:val="-2"/>
              </w:rPr>
              <w:t>Licensee of WJDF(FM), Orange, Massachusetts</w:t>
            </w:r>
          </w:p>
        </w:tc>
        <w:tc>
          <w:tcPr>
            <w:tcW w:w="630" w:type="dxa"/>
          </w:tcPr>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rsidRPr="00913F04">
            <w:pPr>
              <w:tabs>
                <w:tab w:val="center" w:pos="4680"/>
              </w:tabs>
              <w:suppressAutoHyphens/>
              <w:rPr>
                <w:b/>
                <w:spacing w:val="-2"/>
              </w:rPr>
            </w:pPr>
            <w:r>
              <w:rPr>
                <w:b/>
                <w:spacing w:val="-2"/>
              </w:rPr>
              <w:t>)</w:t>
            </w:r>
          </w:p>
        </w:tc>
        <w:tc>
          <w:tcPr>
            <w:tcW w:w="4248" w:type="dxa"/>
          </w:tcPr>
          <w:p w:rsidR="004C2EE3">
            <w:pPr>
              <w:tabs>
                <w:tab w:val="center" w:pos="4680"/>
              </w:tabs>
              <w:suppressAutoHyphens/>
              <w:rPr>
                <w:spacing w:val="-2"/>
              </w:rPr>
            </w:pPr>
          </w:p>
          <w:p w:rsidR="004C2EE3">
            <w:pPr>
              <w:pStyle w:val="TOAHeading"/>
              <w:tabs>
                <w:tab w:val="center" w:pos="4680"/>
                <w:tab w:val="clear" w:pos="9360"/>
              </w:tabs>
              <w:rPr>
                <w:spacing w:val="-2"/>
              </w:rPr>
            </w:pPr>
          </w:p>
          <w:p w:rsidR="00913F04" w:rsidRPr="00913F04" w:rsidP="00913F04">
            <w:pPr>
              <w:pStyle w:val="TOAHeading"/>
              <w:tabs>
                <w:tab w:val="center" w:pos="4680"/>
              </w:tabs>
              <w:rPr>
                <w:spacing w:val="-2"/>
              </w:rPr>
            </w:pPr>
            <w:r w:rsidRPr="00913F04">
              <w:rPr>
                <w:spacing w:val="-2"/>
              </w:rPr>
              <w:t>BLH-19950814KC</w:t>
            </w:r>
          </w:p>
          <w:p w:rsidR="004C2EE3" w:rsidP="00913F04">
            <w:pPr>
              <w:tabs>
                <w:tab w:val="center" w:pos="4680"/>
              </w:tabs>
              <w:suppressAutoHyphens/>
              <w:rPr>
                <w:spacing w:val="-2"/>
              </w:rPr>
            </w:pPr>
            <w:r w:rsidRPr="00913F04">
              <w:rPr>
                <w:spacing w:val="-2"/>
              </w:rPr>
              <w:t>FRN:  0013446687</w:t>
            </w:r>
          </w:p>
        </w:tc>
      </w:tr>
    </w:tbl>
    <w:p w:rsidR="004C2EE3" w:rsidP="0070224F"/>
    <w:p w:rsidR="00841AB1" w:rsidP="00F021FA">
      <w:pPr>
        <w:pStyle w:val="StyleBoldCentered"/>
      </w:pPr>
      <w:r>
        <w:t>Revocation order</w:t>
      </w:r>
    </w:p>
    <w:p w:rsidR="004C2EE3">
      <w:pPr>
        <w:tabs>
          <w:tab w:val="left" w:pos="-720"/>
        </w:tabs>
        <w:suppressAutoHyphens/>
        <w:spacing w:line="227" w:lineRule="auto"/>
        <w:rPr>
          <w:spacing w:val="-2"/>
        </w:rPr>
      </w:pPr>
    </w:p>
    <w:p w:rsidR="004C2EE3" w:rsidP="00133F79">
      <w:pPr>
        <w:tabs>
          <w:tab w:val="left" w:pos="720"/>
          <w:tab w:val="right" w:pos="9360"/>
        </w:tabs>
        <w:suppressAutoHyphens/>
        <w:spacing w:line="227" w:lineRule="auto"/>
        <w:rPr>
          <w:spacing w:val="-2"/>
        </w:rPr>
      </w:pPr>
      <w:r>
        <w:rPr>
          <w:b/>
          <w:spacing w:val="-2"/>
        </w:rPr>
        <w:t xml:space="preserve">Adopted:  </w:t>
      </w:r>
      <w:r w:rsidR="00913F04">
        <w:rPr>
          <w:b/>
          <w:spacing w:val="-2"/>
        </w:rPr>
        <w:t>April 4, 2019</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913F04">
        <w:rPr>
          <w:b/>
          <w:spacing w:val="-2"/>
        </w:rPr>
        <w:t>April 4</w:t>
      </w:r>
      <w:r w:rsidR="00F332A9">
        <w:rPr>
          <w:b/>
          <w:spacing w:val="-2"/>
        </w:rPr>
        <w:t>,</w:t>
      </w:r>
      <w:r w:rsidR="00913F04">
        <w:rPr>
          <w:b/>
          <w:spacing w:val="-2"/>
        </w:rPr>
        <w:t xml:space="preserve"> 2019</w:t>
      </w:r>
    </w:p>
    <w:p w:rsidR="00822CE0"/>
    <w:p w:rsidR="004C2EE3">
      <w:pPr>
        <w:rPr>
          <w:spacing w:val="-2"/>
        </w:rPr>
      </w:pPr>
      <w:r>
        <w:t xml:space="preserve">By </w:t>
      </w:r>
      <w:r w:rsidR="004E4A22">
        <w:t>the</w:t>
      </w:r>
      <w:r w:rsidR="002A2D2E">
        <w:t xml:space="preserve"> </w:t>
      </w:r>
      <w:r w:rsidRPr="00913F04" w:rsidR="00913F04">
        <w:rPr>
          <w:spacing w:val="-2"/>
        </w:rPr>
        <w:t>Media Bureau and Office of the Managing Director</w:t>
      </w:r>
      <w:r>
        <w:rPr>
          <w:spacing w:val="-2"/>
        </w:rPr>
        <w:t>:</w:t>
      </w:r>
    </w:p>
    <w:p w:rsidR="00822CE0">
      <w:pPr>
        <w:rPr>
          <w:spacing w:val="-2"/>
        </w:rPr>
      </w:pPr>
    </w:p>
    <w:p w:rsidR="00913F04" w:rsidRPr="00913F04" w:rsidP="00913F04">
      <w:pPr>
        <w:pStyle w:val="Heading1"/>
        <w:rPr>
          <w:snapToGrid/>
        </w:rPr>
      </w:pPr>
      <w:r w:rsidRPr="00913F04">
        <w:rPr>
          <w:snapToGrid/>
        </w:rPr>
        <w:t>INTRODUCTION</w:t>
      </w:r>
    </w:p>
    <w:p w:rsidR="00913F04" w:rsidRPr="00913F04" w:rsidP="00913F04">
      <w:pPr>
        <w:pStyle w:val="ParaNum"/>
        <w:rPr>
          <w:snapToGrid/>
          <w:spacing w:val="-2"/>
        </w:rPr>
      </w:pPr>
      <w:r w:rsidRPr="00913F04">
        <w:rPr>
          <w:snapToGrid/>
        </w:rPr>
        <w:t xml:space="preserve">By this </w:t>
      </w:r>
      <w:r w:rsidRPr="00913F04">
        <w:rPr>
          <w:i/>
          <w:snapToGrid/>
        </w:rPr>
        <w:t>Revocation Order</w:t>
      </w:r>
      <w:r w:rsidRPr="00913F04">
        <w:rPr>
          <w:snapToGrid/>
        </w:rPr>
        <w:t>, we revoke the license held by Deane Brothers Broadcasting Corp. (DBB) for WJDF(FM), Orange, Massachusetts (Station), for failure to pay delinquent regulatory fees owed to the Commission.</w:t>
      </w:r>
      <w:r>
        <w:rPr>
          <w:snapToGrid/>
          <w:sz w:val="20"/>
          <w:vertAlign w:val="superscript"/>
        </w:rPr>
        <w:footnoteReference w:id="3"/>
      </w:r>
      <w:r w:rsidRPr="00913F04">
        <w:rPr>
          <w:snapToGrid/>
        </w:rPr>
        <w:t xml:space="preserve">  We also dismiss the pending application for renewal of the Station’s license.</w:t>
      </w:r>
      <w:r>
        <w:rPr>
          <w:snapToGrid/>
          <w:sz w:val="20"/>
          <w:vertAlign w:val="superscript"/>
        </w:rPr>
        <w:footnoteReference w:id="4"/>
      </w:r>
    </w:p>
    <w:p w:rsidR="00913F04" w:rsidRPr="00913F04" w:rsidP="00913F04">
      <w:pPr>
        <w:keepNext/>
        <w:numPr>
          <w:ilvl w:val="0"/>
          <w:numId w:val="3"/>
        </w:numPr>
        <w:tabs>
          <w:tab w:val="left" w:pos="720"/>
        </w:tabs>
        <w:suppressAutoHyphens/>
        <w:spacing w:after="160"/>
        <w:outlineLvl w:val="0"/>
        <w:rPr>
          <w:b/>
          <w:caps/>
          <w:snapToGrid/>
          <w:color w:val="000000"/>
          <w:szCs w:val="22"/>
        </w:rPr>
      </w:pPr>
      <w:r w:rsidRPr="00913F04">
        <w:rPr>
          <w:b/>
          <w:caps/>
          <w:snapToGrid/>
          <w:color w:val="000000"/>
          <w:szCs w:val="22"/>
        </w:rPr>
        <w:t>BACKGROUND</w:t>
      </w:r>
    </w:p>
    <w:p w:rsidR="00913F04" w:rsidP="00913F04">
      <w:pPr>
        <w:pStyle w:val="ParaNum"/>
        <w:rPr>
          <w:snapToGrid/>
        </w:rPr>
      </w:pPr>
      <w:r w:rsidRPr="00913F04">
        <w:rPr>
          <w:snapToGrid/>
        </w:rPr>
        <w:t>Under section 9 of the Communications Act of 1934, as amended (Act), and the Commission’s implementing rules, the Commission is required to “assess and collect regulatory fees” to recover the costs of certain regulatory activities.</w:t>
      </w:r>
      <w:r>
        <w:rPr>
          <w:snapToGrid/>
          <w:vertAlign w:val="superscript"/>
        </w:rPr>
        <w:footnoteReference w:id="5"/>
      </w:r>
      <w:r w:rsidRPr="00913F04">
        <w:rPr>
          <w:snapToGrid/>
        </w:rPr>
        <w:t xml:space="preserve">  When the required payment is received late or is incomplete, the Commission must assess a penalty equal to “25 percent of the amount of the fee that was not paid in a timely manner.”</w:t>
      </w:r>
      <w:r>
        <w:rPr>
          <w:snapToGrid/>
          <w:vertAlign w:val="superscript"/>
        </w:rPr>
        <w:footnoteReference w:id="6"/>
      </w:r>
      <w:r w:rsidRPr="00913F04">
        <w:rPr>
          <w:snapToGrid/>
        </w:rPr>
        <w:t xml:space="preserve">  In addition to financial penalties, section 9A(c)(4)(A) of the Act, and section 1.1164(f) of the Commission’s rules (Rules) grant the Commission the authority to revoke authorizations for failure to pay regulatory fees (or related interest and penalties) in a timely fashion.</w:t>
      </w:r>
      <w:r>
        <w:rPr>
          <w:snapToGrid/>
          <w:vertAlign w:val="superscript"/>
        </w:rPr>
        <w:footnoteReference w:id="7"/>
      </w:r>
    </w:p>
    <w:p w:rsidR="00913F04" w:rsidRPr="00913F04" w:rsidP="00F332A9">
      <w:pPr>
        <w:pStyle w:val="ParaNum"/>
        <w:keepNext/>
        <w:keepLines/>
        <w:widowControl/>
        <w:rPr>
          <w:snapToGrid/>
        </w:rPr>
      </w:pPr>
      <w:r w:rsidRPr="00913F04">
        <w:rPr>
          <w:snapToGrid/>
        </w:rPr>
        <w:t>For fiscal year (FY) 2014, the deadline for paying regulatory fees was September 23, 2014;</w:t>
      </w:r>
      <w:r>
        <w:rPr>
          <w:snapToGrid/>
          <w:vertAlign w:val="superscript"/>
        </w:rPr>
        <w:footnoteReference w:id="8"/>
      </w:r>
      <w:r w:rsidRPr="00913F04">
        <w:rPr>
          <w:snapToGrid/>
        </w:rPr>
        <w:t xml:space="preserve"> for FY 2015, it was September 24, 2015;</w:t>
      </w:r>
      <w:r>
        <w:rPr>
          <w:snapToGrid/>
          <w:vertAlign w:val="superscript"/>
        </w:rPr>
        <w:footnoteReference w:id="9"/>
      </w:r>
      <w:r w:rsidRPr="00913F04">
        <w:rPr>
          <w:snapToGrid/>
        </w:rPr>
        <w:t xml:space="preserve"> for FY 2016, it was September 27, 2016;</w:t>
      </w:r>
      <w:r>
        <w:rPr>
          <w:snapToGrid/>
          <w:sz w:val="20"/>
          <w:vertAlign w:val="superscript"/>
        </w:rPr>
        <w:footnoteReference w:id="10"/>
      </w:r>
      <w:r w:rsidRPr="00913F04">
        <w:rPr>
          <w:snapToGrid/>
        </w:rPr>
        <w:t xml:space="preserve"> for FY 2017, it was September 26, 2017;</w:t>
      </w:r>
      <w:r>
        <w:rPr>
          <w:snapToGrid/>
          <w:sz w:val="20"/>
          <w:vertAlign w:val="superscript"/>
        </w:rPr>
        <w:footnoteReference w:id="11"/>
      </w:r>
      <w:r w:rsidRPr="00913F04">
        <w:rPr>
          <w:snapToGrid/>
        </w:rPr>
        <w:t xml:space="preserve"> and for FY 2018, it was September 25, 2018.</w:t>
      </w:r>
      <w:r>
        <w:rPr>
          <w:snapToGrid/>
          <w:sz w:val="20"/>
          <w:vertAlign w:val="superscript"/>
        </w:rPr>
        <w:footnoteReference w:id="12"/>
      </w:r>
      <w:r w:rsidRPr="00913F04">
        <w:rPr>
          <w:snapToGrid/>
        </w:rPr>
        <w:t xml:space="preserve">  </w:t>
      </w:r>
    </w:p>
    <w:p w:rsidR="00913F04" w:rsidRPr="00913F04" w:rsidP="00913F04">
      <w:pPr>
        <w:pStyle w:val="ParaNum"/>
        <w:rPr>
          <w:snapToGrid/>
        </w:rPr>
      </w:pPr>
      <w:r w:rsidRPr="00913F04">
        <w:rPr>
          <w:snapToGrid/>
          <w:szCs w:val="22"/>
        </w:rPr>
        <w:t>DBB failed to timely pay the Station’s regulatory fees for FY 2014, FY 2015, FY 2016, FY 2017, and FY 2018.  Thus, the Commission assessed charges that included the statutory late payment penalty required by the Act,</w:t>
      </w:r>
      <w:r>
        <w:rPr>
          <w:snapToGrid/>
          <w:sz w:val="20"/>
          <w:vertAlign w:val="superscript"/>
        </w:rPr>
        <w:footnoteReference w:id="13"/>
      </w:r>
      <w:r w:rsidRPr="00913F04">
        <w:rPr>
          <w:snapToGrid/>
          <w:szCs w:val="22"/>
        </w:rPr>
        <w:t xml:space="preserve"> and sections 1.1157(c)(1) and 1.1164 of the Rules,</w:t>
      </w:r>
      <w:r>
        <w:rPr>
          <w:snapToGrid/>
          <w:vertAlign w:val="superscript"/>
        </w:rPr>
        <w:footnoteReference w:id="14"/>
      </w:r>
      <w:r w:rsidRPr="00913F04">
        <w:rPr>
          <w:snapToGrid/>
          <w:szCs w:val="22"/>
        </w:rPr>
        <w:t xml:space="preserve"> and additional charges of interest, penalties, and charges of collection required by section 3717 of Title 31 of the U.S. Code and section 1.1940 of the Rules for these fiscal years.</w:t>
      </w:r>
      <w:r>
        <w:rPr>
          <w:snapToGrid/>
          <w:vertAlign w:val="superscript"/>
        </w:rPr>
        <w:footnoteReference w:id="15"/>
      </w:r>
      <w:r w:rsidRPr="00913F04">
        <w:rPr>
          <w:snapToGrid/>
        </w:rPr>
        <w:t xml:space="preserve">  </w:t>
      </w:r>
      <w:r w:rsidRPr="00913F04">
        <w:rPr>
          <w:snapToGrid/>
          <w:szCs w:val="22"/>
        </w:rPr>
        <w:t>Demand Letters were sent to DBB, which demanded payment of DBB’s delinquent regulatory fees.</w:t>
      </w:r>
      <w:r>
        <w:rPr>
          <w:snapToGrid/>
          <w:sz w:val="20"/>
          <w:vertAlign w:val="superscript"/>
        </w:rPr>
        <w:footnoteReference w:id="16"/>
      </w:r>
      <w:r w:rsidRPr="00913F04">
        <w:rPr>
          <w:snapToGrid/>
          <w:szCs w:val="22"/>
        </w:rPr>
        <w:t xml:space="preserve">  DBB did not</w:t>
      </w:r>
      <w:bookmarkStart w:id="2" w:name="_GoBack"/>
      <w:bookmarkEnd w:id="2"/>
      <w:r w:rsidRPr="00913F04">
        <w:rPr>
          <w:snapToGrid/>
          <w:szCs w:val="22"/>
        </w:rPr>
        <w:t xml:space="preserve"> respond to these letters,</w:t>
      </w:r>
      <w:r w:rsidRPr="00913F04">
        <w:rPr>
          <w:i/>
          <w:snapToGrid/>
          <w:szCs w:val="22"/>
        </w:rPr>
        <w:t xml:space="preserve"> </w:t>
      </w:r>
      <w:r w:rsidRPr="00913F04">
        <w:rPr>
          <w:snapToGrid/>
          <w:szCs w:val="22"/>
        </w:rPr>
        <w:t>and</w:t>
      </w:r>
      <w:r w:rsidRPr="00913F04">
        <w:rPr>
          <w:i/>
          <w:snapToGrid/>
          <w:szCs w:val="22"/>
        </w:rPr>
        <w:t xml:space="preserve"> </w:t>
      </w:r>
      <w:r w:rsidRPr="00913F04">
        <w:rPr>
          <w:snapToGrid/>
          <w:szCs w:val="22"/>
        </w:rPr>
        <w:t>thereafter the delinquent debt for the FY 2014, FY 2015, FY 2016, and FY 2017 regulatory fees was transferred to the Secretary of Treasury for collection.</w:t>
      </w:r>
      <w:r>
        <w:rPr>
          <w:snapToGrid/>
          <w:vertAlign w:val="superscript"/>
        </w:rPr>
        <w:footnoteReference w:id="17"/>
      </w:r>
      <w:r w:rsidRPr="00913F04">
        <w:rPr>
          <w:snapToGrid/>
          <w:szCs w:val="22"/>
        </w:rPr>
        <w:t xml:space="preserve">  In November 2018, at the Commission’s request, the Secretary of Treasury returned all of the previously transferred debt to the Commission for further collection.  </w:t>
      </w:r>
    </w:p>
    <w:p w:rsidR="00913F04" w:rsidRPr="00913F04" w:rsidP="00913F04">
      <w:pPr>
        <w:pStyle w:val="ParaNum"/>
        <w:tabs>
          <w:tab w:val="clear" w:pos="1080"/>
          <w:tab w:val="num" w:pos="1440"/>
        </w:tabs>
        <w:rPr>
          <w:snapToGrid/>
        </w:rPr>
      </w:pPr>
      <w:r w:rsidRPr="00913F04">
        <w:rPr>
          <w:snapToGrid/>
          <w:szCs w:val="22"/>
        </w:rPr>
        <w:t xml:space="preserve">On November 30, 2018, the Media Bureau (Bureau) issued DBB an </w:t>
      </w:r>
      <w:r w:rsidRPr="00913F04">
        <w:rPr>
          <w:i/>
          <w:snapToGrid/>
          <w:szCs w:val="22"/>
        </w:rPr>
        <w:t xml:space="preserve">Order to Pay or to Show Cause </w:t>
      </w:r>
      <w:r w:rsidRPr="00913F04">
        <w:rPr>
          <w:snapToGrid/>
          <w:szCs w:val="22"/>
        </w:rPr>
        <w:t>(</w:t>
      </w:r>
      <w:r w:rsidRPr="00913F04">
        <w:rPr>
          <w:i/>
          <w:snapToGrid/>
          <w:szCs w:val="22"/>
        </w:rPr>
        <w:t>Order</w:t>
      </w:r>
      <w:r w:rsidRPr="00913F04">
        <w:rPr>
          <w:snapToGrid/>
          <w:szCs w:val="22"/>
        </w:rPr>
        <w:t>) and required DBB to file with the Bureau documented evidence within sixty (60) calendar days</w:t>
      </w:r>
      <w:r>
        <w:rPr>
          <w:snapToGrid/>
          <w:sz w:val="20"/>
          <w:vertAlign w:val="superscript"/>
        </w:rPr>
        <w:footnoteReference w:id="18"/>
      </w:r>
      <w:r w:rsidRPr="00913F04">
        <w:rPr>
          <w:snapToGrid/>
          <w:szCs w:val="22"/>
        </w:rPr>
        <w:t xml:space="preserve"> that full payment of all outstanding regulatory fees had been made, plus any associated penalties as calculated by the Commission in accordance with sections 1.1164(a) and 1.1940 of the Rules, or to show cause why the fees were inapplicable or should be waived or deferred.</w:t>
      </w:r>
      <w:r>
        <w:rPr>
          <w:snapToGrid/>
          <w:vertAlign w:val="superscript"/>
        </w:rPr>
        <w:footnoteReference w:id="19"/>
      </w:r>
      <w:r w:rsidRPr="00913F04">
        <w:rPr>
          <w:snapToGrid/>
          <w:szCs w:val="22"/>
        </w:rPr>
        <w:t xml:space="preserve">  The </w:t>
      </w:r>
      <w:r w:rsidRPr="00913F04">
        <w:rPr>
          <w:i/>
          <w:snapToGrid/>
          <w:szCs w:val="22"/>
        </w:rPr>
        <w:t>Order</w:t>
      </w:r>
      <w:r w:rsidRPr="00913F04">
        <w:rPr>
          <w:snapToGrid/>
          <w:szCs w:val="22"/>
        </w:rPr>
        <w:t xml:space="preserve"> further </w:t>
      </w:r>
      <w:r w:rsidRPr="00913F04">
        <w:rPr>
          <w:snapToGrid/>
          <w:szCs w:val="22"/>
        </w:rPr>
        <w:t>stated that failure to provide such evidence of payment or to show cause within the time specified could result in revocation of the Station’s license.</w:t>
      </w:r>
      <w:r>
        <w:rPr>
          <w:snapToGrid/>
          <w:vertAlign w:val="superscript"/>
        </w:rPr>
        <w:footnoteReference w:id="20"/>
      </w:r>
      <w:r w:rsidRPr="00913F04">
        <w:rPr>
          <w:snapToGrid/>
          <w:szCs w:val="22"/>
        </w:rPr>
        <w:t xml:space="preserve">  DBB did not file any response to the </w:t>
      </w:r>
      <w:r w:rsidRPr="00913F04">
        <w:rPr>
          <w:i/>
          <w:snapToGrid/>
          <w:szCs w:val="22"/>
        </w:rPr>
        <w:t>Order</w:t>
      </w:r>
      <w:r w:rsidRPr="00913F04">
        <w:rPr>
          <w:snapToGrid/>
          <w:szCs w:val="22"/>
        </w:rPr>
        <w:t>.</w:t>
      </w:r>
    </w:p>
    <w:p w:rsidR="00913F04" w:rsidRPr="00913F04" w:rsidP="00913F04">
      <w:pPr>
        <w:keepNext/>
        <w:numPr>
          <w:ilvl w:val="0"/>
          <w:numId w:val="3"/>
        </w:numPr>
        <w:tabs>
          <w:tab w:val="left" w:pos="720"/>
        </w:tabs>
        <w:suppressAutoHyphens/>
        <w:spacing w:after="160"/>
        <w:outlineLvl w:val="0"/>
        <w:rPr>
          <w:b/>
          <w:caps/>
          <w:snapToGrid/>
          <w:szCs w:val="22"/>
        </w:rPr>
      </w:pPr>
      <w:r w:rsidRPr="00913F04">
        <w:rPr>
          <w:b/>
          <w:caps/>
          <w:snapToGrid/>
          <w:szCs w:val="22"/>
        </w:rPr>
        <w:t>DISCUSSION</w:t>
      </w:r>
    </w:p>
    <w:p w:rsidR="00913F04" w:rsidRPr="00913F04" w:rsidP="00913F04">
      <w:pPr>
        <w:pStyle w:val="ParaNum"/>
        <w:widowControl/>
        <w:rPr>
          <w:snapToGrid/>
          <w:spacing w:val="-2"/>
        </w:rPr>
      </w:pPr>
      <w:r w:rsidRPr="00913F04">
        <w:rPr>
          <w:snapToGrid/>
        </w:rPr>
        <w:t>We revoke the Station’s license.</w:t>
      </w:r>
      <w:r>
        <w:rPr>
          <w:snapToGrid/>
          <w:sz w:val="20"/>
          <w:vertAlign w:val="superscript"/>
        </w:rPr>
        <w:footnoteReference w:id="21"/>
      </w:r>
      <w:r w:rsidRPr="00913F04">
        <w:rPr>
          <w:snapToGrid/>
        </w:rPr>
        <w:t xml:space="preserve">  The Bureau issued the </w:t>
      </w:r>
      <w:r w:rsidRPr="00913F04">
        <w:rPr>
          <w:i/>
          <w:snapToGrid/>
        </w:rPr>
        <w:t xml:space="preserve">Order </w:t>
      </w:r>
      <w:r w:rsidRPr="00913F04">
        <w:rPr>
          <w:snapToGrid/>
        </w:rPr>
        <w:t>on November 30, 2018, and it required DBB to respond within 60 days.</w:t>
      </w:r>
      <w:r>
        <w:rPr>
          <w:snapToGrid/>
          <w:sz w:val="20"/>
          <w:vertAlign w:val="superscript"/>
        </w:rPr>
        <w:footnoteReference w:id="22"/>
      </w:r>
      <w:r w:rsidRPr="00913F04">
        <w:rPr>
          <w:snapToGrid/>
        </w:rPr>
        <w:t xml:space="preserve">  The </w:t>
      </w:r>
      <w:r w:rsidRPr="00913F04">
        <w:rPr>
          <w:i/>
          <w:snapToGrid/>
        </w:rPr>
        <w:t xml:space="preserve">Order </w:t>
      </w:r>
      <w:r w:rsidRPr="00913F04">
        <w:rPr>
          <w:snapToGrid/>
        </w:rPr>
        <w:t>specified that failure to provide evidence of payment or show cause within the time specified could result in revocation of the Station’s license.</w:t>
      </w:r>
      <w:r>
        <w:rPr>
          <w:snapToGrid/>
          <w:sz w:val="20"/>
          <w:vertAlign w:val="superscript"/>
        </w:rPr>
        <w:footnoteReference w:id="23"/>
      </w:r>
      <w:r w:rsidRPr="00913F04">
        <w:rPr>
          <w:snapToGrid/>
        </w:rPr>
        <w:t xml:space="preserve">  As stated above, DBB </w:t>
      </w:r>
      <w:r w:rsidRPr="00913F04">
        <w:rPr>
          <w:snapToGrid/>
          <w:spacing w:val="-2"/>
          <w:szCs w:val="22"/>
        </w:rPr>
        <w:t>did</w:t>
      </w:r>
      <w:r w:rsidRPr="00913F04">
        <w:rPr>
          <w:snapToGrid/>
        </w:rPr>
        <w:t xml:space="preserve"> not file evidence of payment of its outstanding regulatory fees or show cause why such payment is inapplicable or should be waived or deferred within the time provided.</w:t>
      </w:r>
      <w:r>
        <w:rPr>
          <w:snapToGrid/>
          <w:sz w:val="20"/>
          <w:vertAlign w:val="superscript"/>
        </w:rPr>
        <w:footnoteReference w:id="24"/>
      </w:r>
      <w:r w:rsidRPr="00913F04">
        <w:rPr>
          <w:snapToGrid/>
        </w:rPr>
        <w:t xml:space="preserve">  In these circumstances, where DBB has failed to pay its regulatory fees for multiple years and failed to respond to multiple letters regarding those delinquent debts, revocation is appropriate.</w:t>
      </w:r>
      <w:r>
        <w:rPr>
          <w:snapToGrid/>
          <w:sz w:val="20"/>
          <w:vertAlign w:val="superscript"/>
        </w:rPr>
        <w:footnoteReference w:id="25"/>
      </w:r>
      <w:r w:rsidRPr="00913F04">
        <w:rPr>
          <w:snapToGrid/>
        </w:rPr>
        <w:t xml:space="preserve">  </w:t>
      </w:r>
    </w:p>
    <w:p w:rsidR="00913F04" w:rsidRPr="00913F04" w:rsidP="00913F04">
      <w:pPr>
        <w:pStyle w:val="ParaNum"/>
        <w:tabs>
          <w:tab w:val="num" w:pos="1440"/>
        </w:tabs>
        <w:rPr>
          <w:snapToGrid/>
          <w:spacing w:val="-2"/>
        </w:rPr>
      </w:pPr>
      <w:r w:rsidRPr="00913F04">
        <w:rPr>
          <w:snapToGrid/>
        </w:rPr>
        <w:t xml:space="preserve">This </w:t>
      </w:r>
      <w:r w:rsidRPr="00913F04">
        <w:rPr>
          <w:i/>
          <w:snapToGrid/>
        </w:rPr>
        <w:t>Revocation Order</w:t>
      </w:r>
      <w:r w:rsidRPr="00913F04">
        <w:rPr>
          <w:snapToGrid/>
        </w:rPr>
        <w:t xml:space="preserve"> does not relieve DBB of its obligation to pay any debt, including any regulatory fee, or any other financial obligation that has or may become due resulting from the authorizations held until revocation.  </w:t>
      </w:r>
    </w:p>
    <w:p w:rsidR="00913F04" w:rsidRPr="00913F04" w:rsidP="00913F04">
      <w:pPr>
        <w:keepNext/>
        <w:numPr>
          <w:ilvl w:val="0"/>
          <w:numId w:val="3"/>
        </w:numPr>
        <w:tabs>
          <w:tab w:val="left" w:pos="720"/>
        </w:tabs>
        <w:suppressAutoHyphens/>
        <w:spacing w:after="120"/>
        <w:outlineLvl w:val="0"/>
        <w:rPr>
          <w:rFonts w:ascii="Times New Roman Bold" w:hAnsi="Times New Roman Bold"/>
          <w:b/>
          <w:caps/>
          <w:snapToGrid/>
        </w:rPr>
      </w:pPr>
      <w:r w:rsidRPr="00913F04">
        <w:rPr>
          <w:rFonts w:ascii="Times New Roman Bold" w:hAnsi="Times New Roman Bold"/>
          <w:b/>
          <w:caps/>
          <w:snapToGrid/>
        </w:rPr>
        <w:t>ORDERING CLAUSES</w:t>
      </w:r>
    </w:p>
    <w:p w:rsidR="00913F04" w:rsidRPr="00913F04" w:rsidP="00913F04">
      <w:pPr>
        <w:pStyle w:val="ParaNum"/>
        <w:rPr>
          <w:snapToGrid/>
          <w:spacing w:val="-2"/>
        </w:rPr>
      </w:pPr>
      <w:r w:rsidRPr="00913F04">
        <w:rPr>
          <w:snapToGrid/>
        </w:rPr>
        <w:t xml:space="preserve">Accordingly, </w:t>
      </w:r>
      <w:r w:rsidRPr="00913F04">
        <w:rPr>
          <w:b/>
          <w:snapToGrid/>
        </w:rPr>
        <w:t>IT IS ORDERED</w:t>
      </w:r>
      <w:r w:rsidRPr="00913F04">
        <w:rPr>
          <w:snapToGrid/>
        </w:rPr>
        <w:t xml:space="preserve"> that, pursuant to section 9A(c)(4) of the Act and sections 0.11, 0.61, 0.231, 0.283, and 1.1164(f) of the Rules,</w:t>
      </w:r>
      <w:r>
        <w:rPr>
          <w:snapToGrid/>
          <w:vertAlign w:val="superscript"/>
        </w:rPr>
        <w:footnoteReference w:id="26"/>
      </w:r>
      <w:r w:rsidRPr="00913F04">
        <w:rPr>
          <w:snapToGrid/>
        </w:rPr>
        <w:t xml:space="preserve"> the license of Deane Brothers Broadcasting Corp. for Station WJDF(FM) </w:t>
      </w:r>
      <w:r w:rsidRPr="00913F04">
        <w:rPr>
          <w:b/>
          <w:snapToGrid/>
        </w:rPr>
        <w:t>IS HEREBY</w:t>
      </w:r>
      <w:r w:rsidRPr="00913F04">
        <w:rPr>
          <w:snapToGrid/>
        </w:rPr>
        <w:t xml:space="preserve"> </w:t>
      </w:r>
      <w:r w:rsidRPr="00913F04">
        <w:rPr>
          <w:b/>
          <w:snapToGrid/>
        </w:rPr>
        <w:t>REVOKED</w:t>
      </w:r>
      <w:r w:rsidRPr="00913F04">
        <w:rPr>
          <w:snapToGrid/>
        </w:rPr>
        <w:t>.</w:t>
      </w:r>
    </w:p>
    <w:p w:rsidR="00913F04" w:rsidRPr="00913F04" w:rsidP="00913F04">
      <w:pPr>
        <w:pStyle w:val="ParaNum"/>
        <w:rPr>
          <w:snapToGrid/>
          <w:spacing w:val="-2"/>
        </w:rPr>
      </w:pPr>
      <w:r w:rsidRPr="00913F04">
        <w:rPr>
          <w:b/>
          <w:snapToGrid/>
          <w:spacing w:val="-2"/>
          <w:szCs w:val="22"/>
        </w:rPr>
        <w:t xml:space="preserve">IT IS FURTHER ORDERED </w:t>
      </w:r>
      <w:r w:rsidRPr="00913F04">
        <w:rPr>
          <w:snapToGrid/>
          <w:spacing w:val="-2"/>
          <w:szCs w:val="22"/>
        </w:rPr>
        <w:t xml:space="preserve">that all authority to operate this facility </w:t>
      </w:r>
      <w:r w:rsidRPr="00913F04">
        <w:rPr>
          <w:b/>
          <w:snapToGrid/>
          <w:spacing w:val="-2"/>
          <w:szCs w:val="22"/>
        </w:rPr>
        <w:t>IS TERMINATED</w:t>
      </w:r>
      <w:r w:rsidRPr="00913F04">
        <w:rPr>
          <w:snapToGrid/>
          <w:spacing w:val="-2"/>
          <w:szCs w:val="22"/>
        </w:rPr>
        <w:t xml:space="preserve"> and any operation of the facility </w:t>
      </w:r>
      <w:r w:rsidRPr="00913F04">
        <w:rPr>
          <w:b/>
          <w:snapToGrid/>
          <w:spacing w:val="-2"/>
          <w:szCs w:val="22"/>
        </w:rPr>
        <w:t>is now unauthorized and must cease immediately</w:t>
      </w:r>
      <w:r w:rsidRPr="00913F04">
        <w:rPr>
          <w:snapToGrid/>
          <w:spacing w:val="-2"/>
          <w:szCs w:val="22"/>
        </w:rPr>
        <w:t>.</w:t>
      </w:r>
    </w:p>
    <w:p w:rsidR="00913F04" w:rsidRPr="00913F04" w:rsidP="00913F04">
      <w:pPr>
        <w:pStyle w:val="ParaNum"/>
        <w:rPr>
          <w:snapToGrid/>
          <w:spacing w:val="-2"/>
        </w:rPr>
      </w:pPr>
      <w:r w:rsidRPr="00913F04">
        <w:rPr>
          <w:b/>
          <w:snapToGrid/>
          <w:spacing w:val="-2"/>
          <w:szCs w:val="22"/>
        </w:rPr>
        <w:t>IT IS FURTHER ORDERED</w:t>
      </w:r>
      <w:r w:rsidRPr="00913F04">
        <w:rPr>
          <w:snapToGrid/>
          <w:spacing w:val="-2"/>
          <w:szCs w:val="22"/>
        </w:rPr>
        <w:t xml:space="preserve"> that the Commission’s public and internal database will be modified to reflect the revocation and the Station’s call sign </w:t>
      </w:r>
      <w:r w:rsidRPr="00913F04">
        <w:rPr>
          <w:b/>
          <w:snapToGrid/>
          <w:spacing w:val="-2"/>
          <w:szCs w:val="22"/>
        </w:rPr>
        <w:t>IS HEREBY DELETED</w:t>
      </w:r>
      <w:r w:rsidRPr="00913F04">
        <w:rPr>
          <w:snapToGrid/>
          <w:spacing w:val="-2"/>
          <w:szCs w:val="22"/>
        </w:rPr>
        <w:t xml:space="preserve">. </w:t>
      </w:r>
    </w:p>
    <w:p w:rsidR="00913F04" w:rsidRPr="00913F04" w:rsidP="00913F04">
      <w:pPr>
        <w:pStyle w:val="ParaNum"/>
        <w:rPr>
          <w:snapToGrid/>
          <w:spacing w:val="-2"/>
        </w:rPr>
      </w:pPr>
      <w:r w:rsidRPr="00913F04">
        <w:rPr>
          <w:b/>
          <w:snapToGrid/>
          <w:spacing w:val="-2"/>
          <w:szCs w:val="22"/>
        </w:rPr>
        <w:t>IT IS FURTHER ORDERED</w:t>
      </w:r>
      <w:r w:rsidRPr="00913F04">
        <w:rPr>
          <w:snapToGrid/>
          <w:spacing w:val="-2"/>
          <w:szCs w:val="22"/>
        </w:rPr>
        <w:t xml:space="preserve"> that the </w:t>
      </w:r>
      <w:r w:rsidRPr="00913F04">
        <w:rPr>
          <w:snapToGrid/>
          <w:szCs w:val="22"/>
        </w:rPr>
        <w:t xml:space="preserve">renewal application filed on December 2, 2013 (File No. BRH-20131202BNX) </w:t>
      </w:r>
      <w:r w:rsidRPr="00913F04">
        <w:rPr>
          <w:b/>
          <w:snapToGrid/>
          <w:szCs w:val="22"/>
        </w:rPr>
        <w:t>IS DISMISSED</w:t>
      </w:r>
      <w:r w:rsidRPr="00913F04">
        <w:rPr>
          <w:snapToGrid/>
          <w:szCs w:val="22"/>
        </w:rPr>
        <w:t>.</w:t>
      </w:r>
    </w:p>
    <w:p w:rsidR="00913F04" w:rsidRPr="00913F04" w:rsidP="00913F04">
      <w:pPr>
        <w:pStyle w:val="ParaNum"/>
        <w:rPr>
          <w:snapToGrid/>
          <w:spacing w:val="-2"/>
        </w:rPr>
      </w:pPr>
      <w:r w:rsidRPr="00913F04">
        <w:rPr>
          <w:b/>
          <w:snapToGrid/>
          <w:szCs w:val="22"/>
        </w:rPr>
        <w:t xml:space="preserve">IT IS FURTHER ORDERED </w:t>
      </w:r>
      <w:r w:rsidRPr="00913F04">
        <w:rPr>
          <w:snapToGrid/>
          <w:szCs w:val="22"/>
        </w:rPr>
        <w:t xml:space="preserve">that a copy of this Order shall be sent by first class mail and registered mail, return receipt requested, to Deane Breathers Broadcasting Corp., Attn. Jay E. Deane, P.O. Box 973, Orange, MA 01364-0973; and to Deane Brothers Broadcasting Corp., 19 Howe Street, Orange, MA 01364.  </w:t>
      </w:r>
    </w:p>
    <w:p w:rsidR="00913F04" w:rsidRPr="00913F04" w:rsidP="00913F04">
      <w:pPr>
        <w:keepNext/>
        <w:keepLines/>
        <w:spacing w:before="240"/>
        <w:ind w:left="4320"/>
        <w:rPr>
          <w:snapToGrid/>
          <w:color w:val="000000"/>
          <w:szCs w:val="22"/>
        </w:rPr>
      </w:pPr>
      <w:r w:rsidRPr="00913F04">
        <w:rPr>
          <w:snapToGrid/>
          <w:color w:val="000000"/>
          <w:szCs w:val="22"/>
        </w:rPr>
        <w:t>FEDERAL COMMUNICATIONS COMMISSION</w:t>
      </w:r>
    </w:p>
    <w:p w:rsidR="00913F04" w:rsidRPr="00913F04" w:rsidP="00913F04">
      <w:pPr>
        <w:keepNext/>
        <w:keepLines/>
        <w:ind w:left="4320"/>
        <w:rPr>
          <w:snapToGrid/>
          <w:color w:val="000000"/>
          <w:szCs w:val="22"/>
        </w:rPr>
      </w:pPr>
    </w:p>
    <w:p w:rsidR="00913F04" w:rsidRPr="00913F04" w:rsidP="00913F04">
      <w:pPr>
        <w:keepNext/>
        <w:keepLines/>
        <w:ind w:left="4320"/>
        <w:rPr>
          <w:snapToGrid/>
          <w:color w:val="000000"/>
          <w:szCs w:val="22"/>
        </w:rPr>
      </w:pPr>
    </w:p>
    <w:p w:rsidR="00913F04" w:rsidRPr="00913F04" w:rsidP="00913F04">
      <w:pPr>
        <w:keepNext/>
        <w:keepLines/>
        <w:ind w:left="4320"/>
        <w:rPr>
          <w:snapToGrid/>
          <w:color w:val="000000"/>
          <w:szCs w:val="22"/>
        </w:rPr>
      </w:pPr>
      <w:r w:rsidRPr="00913F04">
        <w:rPr>
          <w:snapToGrid/>
          <w:color w:val="000000"/>
          <w:szCs w:val="22"/>
        </w:rPr>
        <w:tab/>
      </w:r>
      <w:r w:rsidRPr="00913F04">
        <w:rPr>
          <w:snapToGrid/>
          <w:color w:val="000000"/>
          <w:szCs w:val="22"/>
        </w:rPr>
        <w:tab/>
      </w:r>
      <w:r w:rsidRPr="00913F04">
        <w:rPr>
          <w:snapToGrid/>
          <w:color w:val="000000"/>
          <w:szCs w:val="22"/>
        </w:rPr>
        <w:tab/>
      </w:r>
      <w:r w:rsidRPr="00913F04">
        <w:rPr>
          <w:snapToGrid/>
          <w:color w:val="000000"/>
          <w:szCs w:val="22"/>
        </w:rPr>
        <w:tab/>
      </w:r>
      <w:r w:rsidRPr="00913F04">
        <w:rPr>
          <w:snapToGrid/>
          <w:color w:val="000000"/>
          <w:szCs w:val="22"/>
        </w:rPr>
        <w:tab/>
      </w:r>
    </w:p>
    <w:p w:rsidR="00913F04" w:rsidRPr="00913F04" w:rsidP="00913F04">
      <w:pPr>
        <w:ind w:left="4320"/>
        <w:rPr>
          <w:snapToGrid/>
          <w:szCs w:val="22"/>
        </w:rPr>
      </w:pPr>
      <w:r w:rsidRPr="00913F04">
        <w:rPr>
          <w:snapToGrid/>
          <w:szCs w:val="22"/>
        </w:rPr>
        <w:t>Michelle M. Carey</w:t>
      </w:r>
    </w:p>
    <w:p w:rsidR="00913F04" w:rsidRPr="00913F04" w:rsidP="00913F04">
      <w:pPr>
        <w:ind w:left="4320"/>
        <w:rPr>
          <w:snapToGrid/>
          <w:szCs w:val="22"/>
        </w:rPr>
      </w:pPr>
      <w:r w:rsidRPr="00913F04">
        <w:rPr>
          <w:snapToGrid/>
          <w:szCs w:val="22"/>
        </w:rPr>
        <w:t>Chief, Media Bureau</w:t>
      </w:r>
    </w:p>
    <w:p w:rsidR="00913F04" w:rsidRPr="00913F04" w:rsidP="00913F04">
      <w:pPr>
        <w:ind w:left="4320"/>
        <w:rPr>
          <w:i/>
          <w:snapToGrid/>
          <w:szCs w:val="22"/>
        </w:rPr>
      </w:pPr>
    </w:p>
    <w:p w:rsidR="00913F04" w:rsidRPr="00913F04" w:rsidP="00913F04">
      <w:pPr>
        <w:ind w:left="4320"/>
        <w:rPr>
          <w:i/>
          <w:snapToGrid/>
          <w:szCs w:val="22"/>
        </w:rPr>
      </w:pPr>
    </w:p>
    <w:p w:rsidR="00913F04" w:rsidRPr="00913F04" w:rsidP="00913F04">
      <w:pPr>
        <w:rPr>
          <w:snapToGrid/>
          <w:szCs w:val="22"/>
        </w:rPr>
      </w:pPr>
    </w:p>
    <w:p w:rsidR="00913F04" w:rsidP="00913F04">
      <w:pPr>
        <w:ind w:left="3600" w:firstLine="720"/>
        <w:rPr>
          <w:snapToGrid/>
          <w:szCs w:val="22"/>
        </w:rPr>
      </w:pPr>
      <w:r w:rsidRPr="00913F04">
        <w:rPr>
          <w:snapToGrid/>
          <w:szCs w:val="22"/>
        </w:rPr>
        <w:t>Mark Stephens</w:t>
      </w:r>
    </w:p>
    <w:p w:rsidR="00412FC5" w:rsidRPr="00913F04" w:rsidP="00913F04">
      <w:pPr>
        <w:ind w:left="3600" w:firstLine="720"/>
        <w:rPr>
          <w:snapToGrid/>
          <w:szCs w:val="22"/>
        </w:rPr>
      </w:pPr>
      <w:r w:rsidRPr="00913F04">
        <w:rPr>
          <w:snapToGrid/>
          <w:szCs w:val="22"/>
        </w:rPr>
        <w:t xml:space="preserve">Managing Director, Office of </w:t>
      </w:r>
      <w:r w:rsidR="005735C6">
        <w:rPr>
          <w:snapToGrid/>
          <w:szCs w:val="22"/>
        </w:rPr>
        <w:t xml:space="preserve">the </w:t>
      </w:r>
      <w:r w:rsidRPr="00913F04">
        <w:rPr>
          <w:snapToGrid/>
          <w:szCs w:val="22"/>
        </w:rPr>
        <w:t>Ma</w:t>
      </w:r>
      <w:r w:rsidR="00E16DC0">
        <w:rPr>
          <w:snapToGrid/>
          <w:szCs w:val="22"/>
        </w:rPr>
        <w:t>naging Director</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13F04">
      <w:r>
        <w:separator/>
      </w:r>
    </w:p>
  </w:footnote>
  <w:footnote w:type="continuationSeparator" w:id="1">
    <w:p w:rsidR="00913F04" w:rsidP="00C721AC">
      <w:pPr>
        <w:spacing w:before="120"/>
        <w:rPr>
          <w:sz w:val="20"/>
        </w:rPr>
      </w:pPr>
      <w:r>
        <w:rPr>
          <w:sz w:val="20"/>
        </w:rPr>
        <w:t xml:space="preserve">(Continued from previous page)  </w:t>
      </w:r>
      <w:r>
        <w:rPr>
          <w:sz w:val="20"/>
        </w:rPr>
        <w:separator/>
      </w:r>
    </w:p>
  </w:footnote>
  <w:footnote w:type="continuationNotice" w:id="2">
    <w:p w:rsidR="00913F04" w:rsidP="00C721AC">
      <w:pPr>
        <w:jc w:val="right"/>
        <w:rPr>
          <w:sz w:val="20"/>
        </w:rPr>
      </w:pPr>
      <w:r>
        <w:rPr>
          <w:sz w:val="20"/>
        </w:rPr>
        <w:t>(continued….)</w:t>
      </w:r>
    </w:p>
  </w:footnote>
  <w:footnote w:id="3">
    <w:p w:rsidR="00913F04" w:rsidRPr="00B35627" w:rsidP="00913F04">
      <w:pPr>
        <w:pStyle w:val="FootnoteText"/>
      </w:pPr>
      <w:r w:rsidRPr="00B35627">
        <w:rPr>
          <w:rStyle w:val="FootnoteReference"/>
        </w:rPr>
        <w:footnoteRef/>
      </w:r>
      <w:r w:rsidRPr="00B35627">
        <w:t xml:space="preserve"> Although this </w:t>
      </w:r>
      <w:r w:rsidRPr="00B35627">
        <w:rPr>
          <w:i/>
        </w:rPr>
        <w:t xml:space="preserve">Revocation Order </w:t>
      </w:r>
      <w:r w:rsidRPr="00B35627">
        <w:t xml:space="preserve">addresses </w:t>
      </w:r>
      <w:r>
        <w:t>DBB’s</w:t>
      </w:r>
      <w:r w:rsidRPr="00B35627">
        <w:t xml:space="preserve"> failure to pay the Station’s regulatory fees for </w:t>
      </w:r>
      <w:r w:rsidRPr="00B35627">
        <w:t>a number of</w:t>
      </w:r>
      <w:r w:rsidRPr="00B35627">
        <w:t xml:space="preserve"> fiscal years, we note that </w:t>
      </w:r>
      <w:r>
        <w:t xml:space="preserve">failure to pay any </w:t>
      </w:r>
      <w:r w:rsidRPr="00B35627">
        <w:t>regulatory fee</w:t>
      </w:r>
      <w:r>
        <w:t xml:space="preserve">, related interest or penalties, or any portion thereof </w:t>
      </w:r>
      <w:r w:rsidRPr="00B35627">
        <w:t>is ground</w:t>
      </w:r>
      <w:r>
        <w:t>s</w:t>
      </w:r>
      <w:r w:rsidRPr="00B35627">
        <w:t xml:space="preserve"> for revocation.  </w:t>
      </w:r>
      <w:r w:rsidRPr="00834854">
        <w:rPr>
          <w:i/>
        </w:rPr>
        <w:t>See</w:t>
      </w:r>
      <w:r w:rsidRPr="00B35627">
        <w:t xml:space="preserve"> 47 U.S.C. § 159</w:t>
      </w:r>
      <w:r>
        <w:t>A</w:t>
      </w:r>
      <w:r w:rsidRPr="00B35627">
        <w:t>(c)(</w:t>
      </w:r>
      <w:r>
        <w:t>4</w:t>
      </w:r>
      <w:r w:rsidRPr="00B35627">
        <w:t>)</w:t>
      </w:r>
      <w:r>
        <w:t>(A)</w:t>
      </w:r>
      <w:r w:rsidRPr="00B35627">
        <w:t xml:space="preserve"> (“</w:t>
      </w:r>
      <w:r w:rsidRPr="00B35627">
        <w:rPr>
          <w:shd w:val="clear" w:color="auto" w:fill="FFFFFF"/>
        </w:rPr>
        <w:t xml:space="preserve">[T]he Commission may revoke any instrument of authorization held by any </w:t>
      </w:r>
      <w:r>
        <w:rPr>
          <w:shd w:val="clear" w:color="auto" w:fill="FFFFFF"/>
        </w:rPr>
        <w:t>licensee</w:t>
      </w:r>
      <w:r w:rsidRPr="00B35627">
        <w:rPr>
          <w:shd w:val="clear" w:color="auto" w:fill="FFFFFF"/>
        </w:rPr>
        <w:t xml:space="preserve"> that has</w:t>
      </w:r>
      <w:r>
        <w:rPr>
          <w:shd w:val="clear" w:color="auto" w:fill="FFFFFF"/>
        </w:rPr>
        <w:t xml:space="preserve"> not paid in a timely manner a regulatory fee assessed under section 9 …</w:t>
      </w:r>
      <w:r w:rsidRPr="00B35627">
        <w:rPr>
          <w:shd w:val="clear" w:color="auto" w:fill="FFFFFF"/>
        </w:rPr>
        <w:t>”)</w:t>
      </w:r>
      <w:r w:rsidRPr="00B35627">
        <w:t xml:space="preserve">.  </w:t>
      </w:r>
    </w:p>
  </w:footnote>
  <w:footnote w:id="4">
    <w:p w:rsidR="00913F04" w:rsidP="00913F04">
      <w:pPr>
        <w:pStyle w:val="FootnoteText"/>
      </w:pPr>
      <w:r>
        <w:rPr>
          <w:rStyle w:val="FootnoteReference"/>
        </w:rPr>
        <w:footnoteRef/>
      </w:r>
      <w:r>
        <w:t xml:space="preserve"> File No. </w:t>
      </w:r>
      <w:r w:rsidRPr="00F30DCE">
        <w:t>BRH-20131202BNX</w:t>
      </w:r>
      <w:r>
        <w:t>.</w:t>
      </w:r>
    </w:p>
  </w:footnote>
  <w:footnote w:id="5">
    <w:p w:rsidR="00913F04" w:rsidP="00913F04">
      <w:pPr>
        <w:pStyle w:val="FootnoteText"/>
      </w:pPr>
      <w:r w:rsidRPr="004E0214">
        <w:rPr>
          <w:rStyle w:val="FootnoteReference"/>
        </w:rPr>
        <w:footnoteRef/>
      </w:r>
      <w:r w:rsidRPr="004E0214">
        <w:t xml:space="preserve"> </w:t>
      </w:r>
      <w:bookmarkStart w:id="0" w:name="_Hlk511235271"/>
      <w:r w:rsidRPr="004E0214">
        <w:t>47 U.S.C. §</w:t>
      </w:r>
      <w:r>
        <w:t xml:space="preserve"> </w:t>
      </w:r>
      <w:r w:rsidRPr="004E0214">
        <w:t xml:space="preserve">159(a); </w:t>
      </w:r>
      <w:r>
        <w:t xml:space="preserve">47 CFR </w:t>
      </w:r>
      <w:r w:rsidRPr="00141957">
        <w:t>§§</w:t>
      </w:r>
      <w:r>
        <w:t xml:space="preserve"> 1.1151</w:t>
      </w:r>
      <w:bookmarkEnd w:id="0"/>
      <w:r>
        <w:t>-1.1167.</w:t>
      </w:r>
    </w:p>
  </w:footnote>
  <w:footnote w:id="6">
    <w:p w:rsidR="00913F04" w:rsidP="00913F04">
      <w:pPr>
        <w:pStyle w:val="FootnoteText"/>
      </w:pPr>
      <w:r w:rsidRPr="004E0214">
        <w:rPr>
          <w:rStyle w:val="FootnoteReference"/>
        </w:rPr>
        <w:footnoteRef/>
      </w:r>
      <w:r w:rsidRPr="004E0214">
        <w:t xml:space="preserve"> 47 U.S.C. §</w:t>
      </w:r>
      <w:r>
        <w:t xml:space="preserve"> </w:t>
      </w:r>
      <w:r w:rsidRPr="004E0214">
        <w:t>159</w:t>
      </w:r>
      <w:r>
        <w:t>A</w:t>
      </w:r>
      <w:r w:rsidRPr="004E0214">
        <w:t xml:space="preserve">(c)(1); 47 CFR §§ </w:t>
      </w:r>
      <w:r>
        <w:t>1.1157(c)(1),</w:t>
      </w:r>
      <w:r w:rsidRPr="004E0214">
        <w:t xml:space="preserve"> 1.1164.</w:t>
      </w:r>
    </w:p>
  </w:footnote>
  <w:footnote w:id="7">
    <w:p w:rsidR="00913F04" w:rsidP="00913F04">
      <w:pPr>
        <w:pStyle w:val="FootnoteText"/>
      </w:pPr>
      <w:r>
        <w:rPr>
          <w:rStyle w:val="FootnoteReference"/>
        </w:rPr>
        <w:footnoteRef/>
      </w:r>
      <w:r>
        <w:t xml:space="preserve"> 47 U.S.C. § 159A(c)(4); </w:t>
      </w:r>
      <w:r w:rsidRPr="005E2D50">
        <w:t>47 CFR § 1.1164(f).</w:t>
      </w:r>
      <w:r>
        <w:t xml:space="preserve">  </w:t>
      </w:r>
    </w:p>
  </w:footnote>
  <w:footnote w:id="8">
    <w:p w:rsidR="00913F04" w:rsidRPr="004C557E" w:rsidP="00913F04">
      <w:pPr>
        <w:pStyle w:val="FootnoteText"/>
      </w:pPr>
      <w:bookmarkStart w:id="1" w:name="_Hlk513206466"/>
      <w:bookmarkEnd w:id="1"/>
      <w:r>
        <w:rPr>
          <w:rStyle w:val="FootnoteReference"/>
        </w:rPr>
        <w:footnoteRef/>
      </w:r>
      <w:r>
        <w:rPr>
          <w:i/>
        </w:rPr>
        <w:t xml:space="preserve"> See FY 2014 Regulatory Fees Due No Later Than September 23, 2014</w:t>
      </w:r>
      <w:r w:rsidRPr="004C557E">
        <w:rPr>
          <w:i/>
        </w:rPr>
        <w:t>, 11:59 pm Eastern Time (ET),</w:t>
      </w:r>
      <w:r>
        <w:t xml:space="preserve"> Public Notice, 29 FCC Rcd 10414 (2014).</w:t>
      </w:r>
    </w:p>
  </w:footnote>
  <w:footnote w:id="9">
    <w:p w:rsidR="00913F04" w:rsidP="00913F04">
      <w:pPr>
        <w:pStyle w:val="FootnoteText"/>
      </w:pPr>
      <w:r>
        <w:rPr>
          <w:rStyle w:val="FootnoteReference"/>
        </w:rPr>
        <w:footnoteRef/>
      </w:r>
      <w:r>
        <w:t xml:space="preserve"> </w:t>
      </w:r>
      <w:r w:rsidRPr="0040421C">
        <w:rPr>
          <w:i/>
        </w:rPr>
        <w:t>See</w:t>
      </w:r>
      <w:r>
        <w:rPr>
          <w:i/>
        </w:rPr>
        <w:t xml:space="preserve"> </w:t>
      </w:r>
      <w:r w:rsidRPr="008A7F9C">
        <w:rPr>
          <w:i/>
        </w:rPr>
        <w:t>Payment Methods and</w:t>
      </w:r>
      <w:r>
        <w:rPr>
          <w:i/>
        </w:rPr>
        <w:t xml:space="preserve"> Procedures for Fiscal Year 2015</w:t>
      </w:r>
      <w:r w:rsidRPr="008A7F9C">
        <w:rPr>
          <w:i/>
        </w:rPr>
        <w:t xml:space="preserve"> Regulatory Fees</w:t>
      </w:r>
      <w:r w:rsidRPr="003B619A">
        <w:t xml:space="preserve">, </w:t>
      </w:r>
      <w:r w:rsidRPr="008A7F9C">
        <w:t>Public Notice,</w:t>
      </w:r>
      <w:r w:rsidRPr="003B619A">
        <w:t xml:space="preserve"> </w:t>
      </w:r>
      <w:r>
        <w:t>30 FCC Rcd 9941</w:t>
      </w:r>
      <w:r w:rsidRPr="003B619A">
        <w:t xml:space="preserve"> (</w:t>
      </w:r>
      <w:r>
        <w:t>OMD 2015</w:t>
      </w:r>
      <w:r w:rsidRPr="003B619A">
        <w:t>)</w:t>
      </w:r>
      <w:r>
        <w:t xml:space="preserve">.  </w:t>
      </w:r>
    </w:p>
  </w:footnote>
  <w:footnote w:id="10">
    <w:p w:rsidR="00913F04" w:rsidP="00913F04">
      <w:pPr>
        <w:pStyle w:val="FootnoteText"/>
      </w:pPr>
      <w:r>
        <w:rPr>
          <w:rStyle w:val="FootnoteReference"/>
        </w:rPr>
        <w:footnoteRef/>
      </w:r>
      <w:r>
        <w:t xml:space="preserve"> </w:t>
      </w:r>
      <w:r w:rsidRPr="0040421C">
        <w:rPr>
          <w:i/>
        </w:rPr>
        <w:t>See</w:t>
      </w:r>
      <w:r>
        <w:rPr>
          <w:i/>
        </w:rPr>
        <w:t xml:space="preserve"> </w:t>
      </w:r>
      <w:r w:rsidRPr="008A7F9C">
        <w:rPr>
          <w:i/>
        </w:rPr>
        <w:t>Payment Methods and</w:t>
      </w:r>
      <w:r>
        <w:rPr>
          <w:i/>
        </w:rPr>
        <w:t xml:space="preserve"> Procedures for Fiscal Year 2016</w:t>
      </w:r>
      <w:r w:rsidRPr="008A7F9C">
        <w:rPr>
          <w:i/>
        </w:rPr>
        <w:t xml:space="preserve"> Regulatory Fees</w:t>
      </w:r>
      <w:r w:rsidRPr="003B619A">
        <w:t xml:space="preserve">, </w:t>
      </w:r>
      <w:r w:rsidRPr="008A7F9C">
        <w:t>Public Notice,</w:t>
      </w:r>
      <w:r w:rsidRPr="003B619A">
        <w:t xml:space="preserve"> </w:t>
      </w:r>
      <w:r>
        <w:t>2016 FCC LEXIS 2985</w:t>
      </w:r>
      <w:r w:rsidRPr="003B619A">
        <w:t xml:space="preserve"> (</w:t>
      </w:r>
      <w:r>
        <w:t>OMD 2016</w:t>
      </w:r>
      <w:r w:rsidRPr="003B619A">
        <w:t>)</w:t>
      </w:r>
      <w:r>
        <w:t xml:space="preserve">.  </w:t>
      </w:r>
    </w:p>
  </w:footnote>
  <w:footnote w:id="11">
    <w:p w:rsidR="00913F04" w:rsidP="00913F04">
      <w:pPr>
        <w:pStyle w:val="FootnoteText"/>
      </w:pPr>
      <w:r>
        <w:rPr>
          <w:rStyle w:val="FootnoteReference"/>
        </w:rPr>
        <w:footnoteRef/>
      </w:r>
      <w:r>
        <w:t xml:space="preserve"> </w:t>
      </w:r>
      <w:r w:rsidRPr="0040421C">
        <w:rPr>
          <w:i/>
        </w:rPr>
        <w:t>See</w:t>
      </w:r>
      <w:r>
        <w:rPr>
          <w:i/>
        </w:rPr>
        <w:t xml:space="preserve"> </w:t>
      </w:r>
      <w:r w:rsidRPr="008A7F9C">
        <w:rPr>
          <w:i/>
        </w:rPr>
        <w:t>Payment Methods and</w:t>
      </w:r>
      <w:r>
        <w:rPr>
          <w:i/>
        </w:rPr>
        <w:t xml:space="preserve"> Procedures for Fiscal Year 2017</w:t>
      </w:r>
      <w:r w:rsidRPr="008A7F9C">
        <w:rPr>
          <w:i/>
        </w:rPr>
        <w:t xml:space="preserve"> Regulatory Fees</w:t>
      </w:r>
      <w:r w:rsidRPr="003B619A">
        <w:t xml:space="preserve">, </w:t>
      </w:r>
      <w:r w:rsidRPr="008A7F9C">
        <w:t>Public Notice,</w:t>
      </w:r>
      <w:r w:rsidRPr="003B619A">
        <w:t xml:space="preserve"> </w:t>
      </w:r>
      <w:r>
        <w:t>2017 FCC LEXIS 2779</w:t>
      </w:r>
      <w:r w:rsidRPr="003B619A">
        <w:t xml:space="preserve"> (</w:t>
      </w:r>
      <w:r>
        <w:t>OMD 2017</w:t>
      </w:r>
      <w:r w:rsidRPr="003B619A">
        <w:t>)</w:t>
      </w:r>
      <w:r>
        <w:t xml:space="preserve">.  </w:t>
      </w:r>
    </w:p>
  </w:footnote>
  <w:footnote w:id="12">
    <w:p w:rsidR="00913F04" w:rsidP="00913F04">
      <w:pPr>
        <w:pStyle w:val="FootnoteText"/>
      </w:pPr>
      <w:r>
        <w:rPr>
          <w:rStyle w:val="FootnoteReference"/>
        </w:rPr>
        <w:footnoteRef/>
      </w:r>
      <w:r>
        <w:t xml:space="preserve"> </w:t>
      </w:r>
      <w:r w:rsidRPr="0040421C">
        <w:rPr>
          <w:i/>
        </w:rPr>
        <w:t>See</w:t>
      </w:r>
      <w:r>
        <w:rPr>
          <w:i/>
        </w:rPr>
        <w:t xml:space="preserve"> </w:t>
      </w:r>
      <w:r w:rsidRPr="008A7F9C">
        <w:rPr>
          <w:i/>
        </w:rPr>
        <w:t>Payment Methods and</w:t>
      </w:r>
      <w:r>
        <w:rPr>
          <w:i/>
        </w:rPr>
        <w:t xml:space="preserve"> Procedures for Fiscal Year 2018</w:t>
      </w:r>
      <w:r w:rsidRPr="008A7F9C">
        <w:rPr>
          <w:i/>
        </w:rPr>
        <w:t xml:space="preserve"> Regulatory Fees</w:t>
      </w:r>
      <w:r w:rsidRPr="003B619A">
        <w:t xml:space="preserve">, </w:t>
      </w:r>
      <w:r w:rsidRPr="008A7F9C">
        <w:t>Public Notic</w:t>
      </w:r>
      <w:r>
        <w:t xml:space="preserve">e (rel. Aug. 30, 2018), available at </w:t>
      </w:r>
      <w:hyperlink r:id="rId1" w:history="1">
        <w:r w:rsidRPr="007D1835">
          <w:rPr>
            <w:rStyle w:val="Hyperlink"/>
          </w:rPr>
          <w:t>https://docs.fcc.gov/public/attachments/DOC-353883A1.pdf</w:t>
        </w:r>
      </w:hyperlink>
      <w:r>
        <w:t xml:space="preserve">.  </w:t>
      </w:r>
    </w:p>
  </w:footnote>
  <w:footnote w:id="13">
    <w:p w:rsidR="00913F04" w:rsidP="00913F04">
      <w:pPr>
        <w:pStyle w:val="FootnoteText"/>
      </w:pPr>
      <w:r>
        <w:rPr>
          <w:rStyle w:val="FootnoteReference"/>
        </w:rPr>
        <w:footnoteRef/>
      </w:r>
      <w:r>
        <w:t xml:space="preserve"> 47 U.S.C. </w:t>
      </w:r>
      <w:r w:rsidRPr="008A536E">
        <w:rPr>
          <w:szCs w:val="22"/>
        </w:rPr>
        <w:t>§</w:t>
      </w:r>
      <w:r>
        <w:rPr>
          <w:szCs w:val="22"/>
        </w:rPr>
        <w:t xml:space="preserve"> 159A(c)(1); 47 U.S.C. </w:t>
      </w:r>
      <w:r w:rsidRPr="008A536E">
        <w:rPr>
          <w:szCs w:val="22"/>
        </w:rPr>
        <w:t>§</w:t>
      </w:r>
      <w:r>
        <w:rPr>
          <w:szCs w:val="22"/>
        </w:rPr>
        <w:t xml:space="preserve"> 159(c)(1) (2017).  The RAY BAUM’s Act, Repack Airwaves Yielding Better Access for Users of Modern Services Act of 2018, Pub. L. No. 115-141, 132 Stat. 348, 1095, modified Section 9 of the Act and added a new Section 9A.  Prior to October 1, 2018, when the RAY BAUM’s Act became effective, Section 9(c)(1) set forth the penalties for late payment of regulatory fees.  As amended by the RAY BAUM’s Act, Section 9A(c)(1) now sets forth those penalties.</w:t>
      </w:r>
    </w:p>
  </w:footnote>
  <w:footnote w:id="14">
    <w:p w:rsidR="00913F04" w:rsidP="00913F04">
      <w:pPr>
        <w:pStyle w:val="FootnoteText"/>
      </w:pPr>
      <w:r>
        <w:rPr>
          <w:rStyle w:val="FootnoteReference"/>
        </w:rPr>
        <w:footnoteRef/>
      </w:r>
      <w:r>
        <w:t xml:space="preserve"> 47 CFR </w:t>
      </w:r>
      <w:r w:rsidRPr="00141957">
        <w:t>§§</w:t>
      </w:r>
      <w:r>
        <w:t xml:space="preserve"> 1.1157(c)(1), 1.1164.</w:t>
      </w:r>
    </w:p>
  </w:footnote>
  <w:footnote w:id="15">
    <w:p w:rsidR="00913F04" w:rsidP="00913F04">
      <w:pPr>
        <w:pStyle w:val="FootnoteText"/>
      </w:pPr>
      <w:r>
        <w:rPr>
          <w:rStyle w:val="FootnoteReference"/>
        </w:rPr>
        <w:footnoteRef/>
      </w:r>
      <w:r>
        <w:t xml:space="preserve"> 31 U.S.C. </w:t>
      </w:r>
      <w:r w:rsidRPr="008A536E">
        <w:rPr>
          <w:szCs w:val="22"/>
        </w:rPr>
        <w:t>§</w:t>
      </w:r>
      <w:r>
        <w:rPr>
          <w:szCs w:val="22"/>
        </w:rPr>
        <w:t xml:space="preserve"> 3717; 47 CFR § 1.1940.</w:t>
      </w:r>
    </w:p>
  </w:footnote>
  <w:footnote w:id="16">
    <w:p w:rsidR="00913F04" w:rsidP="00913F04">
      <w:pPr>
        <w:pStyle w:val="FootnoteText"/>
      </w:pPr>
      <w:r>
        <w:rPr>
          <w:rStyle w:val="FootnoteReference"/>
        </w:rPr>
        <w:footnoteRef/>
      </w:r>
      <w:r>
        <w:t xml:space="preserve"> In addition to these Demand Letters, the Bureau notified DBB of its delinquency in paying the Station’s regulatory fees for FY 2014.  Letter from Peter H. Doyle, Chief, Audio Division, Media Bureau, to Jay E. Deane, Deane Bros. Broad. Corp. (MB dated July 1, 2015).  </w:t>
      </w:r>
    </w:p>
  </w:footnote>
  <w:footnote w:id="17">
    <w:p w:rsidR="00913F04" w:rsidP="00913F04">
      <w:pPr>
        <w:pStyle w:val="FootnoteText"/>
      </w:pPr>
      <w:r>
        <w:rPr>
          <w:rStyle w:val="FootnoteReference"/>
        </w:rPr>
        <w:footnoteRef/>
      </w:r>
      <w:r>
        <w:t xml:space="preserve"> </w:t>
      </w:r>
      <w:r w:rsidRPr="000071D5">
        <w:rPr>
          <w:i/>
        </w:rPr>
        <w:t>See</w:t>
      </w:r>
      <w:r>
        <w:t xml:space="preserve"> </w:t>
      </w:r>
      <w:r w:rsidRPr="007F4AF9">
        <w:rPr>
          <w:szCs w:val="24"/>
        </w:rPr>
        <w:t>31 U.S.C. § 3711(g</w:t>
      </w:r>
      <w:r>
        <w:rPr>
          <w:szCs w:val="24"/>
        </w:rPr>
        <w:t xml:space="preserve">), 31 CFR §§ 285.12(c) and 901.1; </w:t>
      </w:r>
      <w:r w:rsidRPr="007F4AF9">
        <w:rPr>
          <w:szCs w:val="24"/>
        </w:rPr>
        <w:t>47 CFR § 1.1917.</w:t>
      </w:r>
    </w:p>
  </w:footnote>
  <w:footnote w:id="18">
    <w:p w:rsidR="00913F04" w:rsidP="00913F04">
      <w:pPr>
        <w:pStyle w:val="FootnoteText"/>
      </w:pPr>
      <w:r>
        <w:rPr>
          <w:rStyle w:val="FootnoteReference"/>
        </w:rPr>
        <w:footnoteRef/>
      </w:r>
      <w:r>
        <w:t xml:space="preserve"> While not required by the statute, the Commission adopted the 60-day response period for </w:t>
      </w:r>
      <w:r>
        <w:t>regulatees</w:t>
      </w:r>
      <w:r>
        <w:t xml:space="preserve"> “</w:t>
      </w:r>
      <w:r w:rsidRPr="005C5B7E">
        <w:t xml:space="preserve">to assure that the subject </w:t>
      </w:r>
      <w:r w:rsidRPr="005C5B7E">
        <w:t>regulatee</w:t>
      </w:r>
      <w:r w:rsidRPr="005C5B7E">
        <w:t xml:space="preserve"> will have a full opportunity to obtain the funds needed to make payment and to prepare its case.</w:t>
      </w:r>
      <w:r>
        <w:t>”</w:t>
      </w:r>
      <w:r w:rsidRPr="005C5B7E">
        <w:t xml:space="preserve"> </w:t>
      </w:r>
      <w:r>
        <w:t xml:space="preserve"> </w:t>
      </w:r>
      <w:r w:rsidRPr="00DB52EC">
        <w:rPr>
          <w:i/>
        </w:rPr>
        <w:t>Implementation of Section 9 of the Communications Act</w:t>
      </w:r>
      <w:r w:rsidRPr="005C5B7E">
        <w:t xml:space="preserve">, </w:t>
      </w:r>
      <w:r>
        <w:t xml:space="preserve">Report and </w:t>
      </w:r>
      <w:r w:rsidRPr="005C5B7E">
        <w:t>Order, 9 FCC Rcd 5333</w:t>
      </w:r>
      <w:r>
        <w:t xml:space="preserve">, 5354, para. 62 (1994). </w:t>
      </w:r>
    </w:p>
  </w:footnote>
  <w:footnote w:id="19">
    <w:p w:rsidR="00913F04" w:rsidP="00913F04">
      <w:pPr>
        <w:pStyle w:val="FootnoteText"/>
      </w:pPr>
      <w:r w:rsidRPr="00174F4C">
        <w:rPr>
          <w:rStyle w:val="FootnoteReference"/>
        </w:rPr>
        <w:footnoteRef/>
      </w:r>
      <w:r w:rsidRPr="00174F4C">
        <w:t xml:space="preserve"> </w:t>
      </w:r>
      <w:r>
        <w:rPr>
          <w:i/>
        </w:rPr>
        <w:t>Deane Bros. Broad. Corp</w:t>
      </w:r>
      <w:r w:rsidRPr="00174F4C">
        <w:t xml:space="preserve">., Order to Pay or to Show Cause, </w:t>
      </w:r>
      <w:r>
        <w:t>DA 18-1218</w:t>
      </w:r>
      <w:r w:rsidRPr="00174F4C">
        <w:t xml:space="preserve"> (MB </w:t>
      </w:r>
      <w:r>
        <w:t>Nov. 30, 2018</w:t>
      </w:r>
      <w:r w:rsidRPr="00174F4C">
        <w:t>) (</w:t>
      </w:r>
      <w:r w:rsidRPr="0032560F">
        <w:rPr>
          <w:i/>
        </w:rPr>
        <w:t xml:space="preserve">Show Cause </w:t>
      </w:r>
      <w:r w:rsidRPr="00F2435D">
        <w:rPr>
          <w:i/>
        </w:rPr>
        <w:t>Order</w:t>
      </w:r>
      <w:r w:rsidRPr="00174F4C">
        <w:t xml:space="preserve">).  At that time, the </w:t>
      </w:r>
      <w:r w:rsidRPr="00174F4C">
        <w:rPr>
          <w:color w:val="212121"/>
        </w:rPr>
        <w:t>Commission's records show</w:t>
      </w:r>
      <w:r>
        <w:rPr>
          <w:color w:val="212121"/>
        </w:rPr>
        <w:t>ed</w:t>
      </w:r>
      <w:r w:rsidRPr="00174F4C">
        <w:rPr>
          <w:color w:val="212121"/>
        </w:rPr>
        <w:t xml:space="preserve"> that </w:t>
      </w:r>
      <w:r>
        <w:rPr>
          <w:color w:val="212121"/>
        </w:rPr>
        <w:t>DBB</w:t>
      </w:r>
      <w:r w:rsidRPr="00174F4C">
        <w:rPr>
          <w:color w:val="212121"/>
        </w:rPr>
        <w:t xml:space="preserve"> had unpaid regulatory fees of $</w:t>
      </w:r>
      <w:r>
        <w:rPr>
          <w:color w:val="212121"/>
        </w:rPr>
        <w:t>1,946.50</w:t>
      </w:r>
      <w:r w:rsidRPr="00174F4C">
        <w:rPr>
          <w:color w:val="212121"/>
        </w:rPr>
        <w:t xml:space="preserve"> for FY 20</w:t>
      </w:r>
      <w:r>
        <w:rPr>
          <w:color w:val="212121"/>
        </w:rPr>
        <w:t>14</w:t>
      </w:r>
      <w:r w:rsidRPr="00174F4C">
        <w:rPr>
          <w:color w:val="212121"/>
        </w:rPr>
        <w:t>, $</w:t>
      </w:r>
      <w:r>
        <w:rPr>
          <w:color w:val="212121"/>
        </w:rPr>
        <w:t>1,921.17</w:t>
      </w:r>
      <w:r w:rsidRPr="00174F4C">
        <w:rPr>
          <w:color w:val="212121"/>
        </w:rPr>
        <w:t xml:space="preserve"> for FY 201</w:t>
      </w:r>
      <w:r>
        <w:rPr>
          <w:color w:val="212121"/>
        </w:rPr>
        <w:t>5</w:t>
      </w:r>
      <w:r w:rsidRPr="00174F4C">
        <w:rPr>
          <w:color w:val="212121"/>
        </w:rPr>
        <w:t>, $</w:t>
      </w:r>
      <w:r>
        <w:rPr>
          <w:color w:val="212121"/>
        </w:rPr>
        <w:t>2,063.20</w:t>
      </w:r>
      <w:r w:rsidRPr="00174F4C">
        <w:rPr>
          <w:color w:val="212121"/>
        </w:rPr>
        <w:t xml:space="preserve"> for FY 201</w:t>
      </w:r>
      <w:r>
        <w:rPr>
          <w:color w:val="212121"/>
        </w:rPr>
        <w:t>6</w:t>
      </w:r>
      <w:r w:rsidRPr="00174F4C">
        <w:rPr>
          <w:color w:val="212121"/>
        </w:rPr>
        <w:t>, $</w:t>
      </w:r>
      <w:r>
        <w:rPr>
          <w:color w:val="212121"/>
        </w:rPr>
        <w:t>1,898.36</w:t>
      </w:r>
      <w:r w:rsidRPr="00174F4C">
        <w:rPr>
          <w:color w:val="212121"/>
        </w:rPr>
        <w:t xml:space="preserve"> for FY 201</w:t>
      </w:r>
      <w:r>
        <w:rPr>
          <w:color w:val="212121"/>
        </w:rPr>
        <w:t>7</w:t>
      </w:r>
      <w:r w:rsidRPr="00174F4C">
        <w:rPr>
          <w:color w:val="212121"/>
        </w:rPr>
        <w:t>, $</w:t>
      </w:r>
      <w:r>
        <w:rPr>
          <w:color w:val="212121"/>
        </w:rPr>
        <w:t xml:space="preserve"> 1,812.50</w:t>
      </w:r>
      <w:r w:rsidRPr="00174F4C">
        <w:rPr>
          <w:color w:val="212121"/>
        </w:rPr>
        <w:t xml:space="preserve"> for FY 201</w:t>
      </w:r>
      <w:r>
        <w:rPr>
          <w:color w:val="212121"/>
        </w:rPr>
        <w:t>8</w:t>
      </w:r>
      <w:r w:rsidRPr="00174F4C">
        <w:rPr>
          <w:color w:val="212121"/>
        </w:rPr>
        <w:t>.</w:t>
      </w:r>
      <w:r>
        <w:rPr>
          <w:color w:val="212121"/>
        </w:rPr>
        <w:t xml:space="preserve">  </w:t>
      </w:r>
      <w:r w:rsidRPr="00804C01">
        <w:rPr>
          <w:i/>
          <w:color w:val="212121"/>
        </w:rPr>
        <w:t>Id</w:t>
      </w:r>
      <w:r w:rsidRPr="00804C01">
        <w:rPr>
          <w:color w:val="212121"/>
        </w:rPr>
        <w:t>. at para. 3.</w:t>
      </w:r>
    </w:p>
  </w:footnote>
  <w:footnote w:id="20">
    <w:p w:rsidR="00913F04" w:rsidP="00913F04">
      <w:pPr>
        <w:pStyle w:val="FootnoteText"/>
      </w:pPr>
      <w:r w:rsidRPr="005E2D50">
        <w:rPr>
          <w:rStyle w:val="FootnoteReference"/>
        </w:rPr>
        <w:footnoteRef/>
      </w:r>
      <w:r w:rsidRPr="005E2D50">
        <w:t xml:space="preserve"> </w:t>
      </w:r>
      <w:r w:rsidRPr="00CD2B6A">
        <w:rPr>
          <w:i/>
        </w:rPr>
        <w:t>Id</w:t>
      </w:r>
      <w:r>
        <w:t>. at para. 4.</w:t>
      </w:r>
      <w:r w:rsidRPr="005E2D50">
        <w:t xml:space="preserve">  </w:t>
      </w:r>
      <w:r w:rsidRPr="001D7B01">
        <w:rPr>
          <w:i/>
        </w:rPr>
        <w:t>See also</w:t>
      </w:r>
      <w:r>
        <w:t xml:space="preserve"> 47 U.S.C.</w:t>
      </w:r>
      <w:r w:rsidRPr="00B92234">
        <w:rPr>
          <w:szCs w:val="22"/>
        </w:rPr>
        <w:t xml:space="preserve"> </w:t>
      </w:r>
      <w:r w:rsidRPr="008A536E">
        <w:rPr>
          <w:szCs w:val="22"/>
        </w:rPr>
        <w:t>§</w:t>
      </w:r>
      <w:r>
        <w:rPr>
          <w:szCs w:val="22"/>
        </w:rPr>
        <w:t>159A(c)(4).</w:t>
      </w:r>
      <w:r>
        <w:t xml:space="preserve"> </w:t>
      </w:r>
    </w:p>
  </w:footnote>
  <w:footnote w:id="21">
    <w:p w:rsidR="00913F04" w:rsidRPr="005E2D50" w:rsidP="00913F04">
      <w:pPr>
        <w:pStyle w:val="FootnoteText"/>
      </w:pPr>
      <w:r w:rsidRPr="00913F04">
        <w:rPr>
          <w:rStyle w:val="FootnoteReference"/>
        </w:rPr>
        <w:footnoteRef/>
      </w:r>
      <w:r w:rsidRPr="005E2D50">
        <w:t xml:space="preserve"> We note that </w:t>
      </w:r>
      <w:r>
        <w:t>DBB</w:t>
      </w:r>
      <w:r w:rsidRPr="005E2D50">
        <w:t xml:space="preserve"> may have been or continue </w:t>
      </w:r>
      <w:r>
        <w:t>to be</w:t>
      </w:r>
      <w:r w:rsidRPr="005E2D50">
        <w:t xml:space="preserve"> a respondent in other administrative proceedings.  Action in this proceeding is without prejudice to action in those proceedings, and the existence of those proceedings and matters raised therein are not considered by the Commission in this proceeding.</w:t>
      </w:r>
    </w:p>
  </w:footnote>
  <w:footnote w:id="22">
    <w:p w:rsidR="00913F04" w:rsidRPr="005E2D50" w:rsidP="00913F04">
      <w:pPr>
        <w:pStyle w:val="FootnoteText"/>
      </w:pPr>
      <w:r w:rsidRPr="00913F04">
        <w:rPr>
          <w:rStyle w:val="FootnoteReference"/>
        </w:rPr>
        <w:footnoteRef/>
      </w:r>
      <w:r w:rsidRPr="002C6025">
        <w:t xml:space="preserve"> </w:t>
      </w:r>
      <w:r w:rsidRPr="002C6025">
        <w:rPr>
          <w:i/>
        </w:rPr>
        <w:t>Id</w:t>
      </w:r>
      <w:r w:rsidRPr="002C6025">
        <w:t>.</w:t>
      </w:r>
    </w:p>
  </w:footnote>
  <w:footnote w:id="23">
    <w:p w:rsidR="00913F04" w:rsidRPr="005E2D50" w:rsidP="00913F04">
      <w:pPr>
        <w:pStyle w:val="FootnoteText"/>
      </w:pPr>
      <w:r w:rsidRPr="00913F04">
        <w:rPr>
          <w:rStyle w:val="FootnoteReference"/>
        </w:rPr>
        <w:footnoteRef/>
      </w:r>
      <w:r w:rsidRPr="005E2D50">
        <w:t xml:space="preserve"> </w:t>
      </w:r>
      <w:r w:rsidRPr="005E2D50">
        <w:rPr>
          <w:i/>
        </w:rPr>
        <w:t>Id</w:t>
      </w:r>
      <w:r w:rsidRPr="005E2D50">
        <w:t>.</w:t>
      </w:r>
    </w:p>
  </w:footnote>
  <w:footnote w:id="24">
    <w:p w:rsidR="00913F04" w:rsidRPr="005E2D50" w:rsidP="00913F04">
      <w:pPr>
        <w:pStyle w:val="FootnoteText"/>
      </w:pPr>
      <w:r w:rsidRPr="00913F04">
        <w:rPr>
          <w:rStyle w:val="FootnoteReference"/>
        </w:rPr>
        <w:footnoteRef/>
      </w:r>
      <w:r w:rsidRPr="005E2D50">
        <w:t xml:space="preserve"> </w:t>
      </w:r>
      <w:r>
        <w:t xml:space="preserve">DBB’s response was due on Feb. 8, 2019.  </w:t>
      </w:r>
      <w:r w:rsidRPr="00405DC7">
        <w:rPr>
          <w:i/>
        </w:rPr>
        <w:t>Revisions to Filing and Other Deadlines Following Resumption of Normal Commission Operations</w:t>
      </w:r>
      <w:r>
        <w:t xml:space="preserve">, Public Notice, DA 19-26 (Jan. 29, 2019).  </w:t>
      </w:r>
      <w:r w:rsidRPr="005E2D50">
        <w:t xml:space="preserve">As of the date of this </w:t>
      </w:r>
      <w:r w:rsidRPr="002C6025">
        <w:rPr>
          <w:i/>
        </w:rPr>
        <w:t>Revocation</w:t>
      </w:r>
      <w:r>
        <w:t xml:space="preserve"> </w:t>
      </w:r>
      <w:r w:rsidRPr="00DF5552">
        <w:rPr>
          <w:i/>
        </w:rPr>
        <w:t>Order</w:t>
      </w:r>
      <w:r w:rsidRPr="005E2D50">
        <w:t xml:space="preserve">, </w:t>
      </w:r>
      <w:r>
        <w:t>DBB</w:t>
      </w:r>
      <w:r w:rsidRPr="005E2D50">
        <w:t xml:space="preserve"> still has not </w:t>
      </w:r>
      <w:r w:rsidRPr="005E2D50">
        <w:rPr>
          <w:szCs w:val="24"/>
        </w:rPr>
        <w:t xml:space="preserve">filed evidence of payment of its outstanding regulatory fees or </w:t>
      </w:r>
      <w:r>
        <w:rPr>
          <w:szCs w:val="24"/>
        </w:rPr>
        <w:t xml:space="preserve">filed a response in which it has </w:t>
      </w:r>
      <w:r w:rsidRPr="005E2D50">
        <w:rPr>
          <w:szCs w:val="24"/>
        </w:rPr>
        <w:t>shown cause why such payment is inapplicable or should be waived or deferred</w:t>
      </w:r>
      <w:r w:rsidRPr="005E2D50">
        <w:t>.</w:t>
      </w:r>
    </w:p>
  </w:footnote>
  <w:footnote w:id="25">
    <w:p w:rsidR="00913F04" w:rsidP="00913F04">
      <w:pPr>
        <w:pStyle w:val="FootnoteText"/>
      </w:pPr>
      <w:r>
        <w:rPr>
          <w:rStyle w:val="FootnoteReference"/>
        </w:rPr>
        <w:footnoteRef/>
      </w:r>
      <w:r>
        <w:t xml:space="preserve"> </w:t>
      </w:r>
      <w:r w:rsidRPr="00087649">
        <w:rPr>
          <w:i/>
        </w:rPr>
        <w:t>See</w:t>
      </w:r>
      <w:r>
        <w:t xml:space="preserve"> </w:t>
      </w:r>
      <w:r w:rsidRPr="0073490A">
        <w:rPr>
          <w:i/>
        </w:rPr>
        <w:t>LDC Telecomm</w:t>
      </w:r>
      <w:r>
        <w:rPr>
          <w:i/>
        </w:rPr>
        <w:t>.</w:t>
      </w:r>
      <w:r w:rsidRPr="0073490A">
        <w:rPr>
          <w:i/>
        </w:rPr>
        <w:t>, Inc</w:t>
      </w:r>
      <w:r>
        <w:t xml:space="preserve">., </w:t>
      </w:r>
      <w:r w:rsidRPr="0073490A">
        <w:t>Revocation Order</w:t>
      </w:r>
      <w:r>
        <w:t>, 31 FCC 11662 (2016) (revoking authorizations held by LDC for failure to pay delinquent regulatory fees).</w:t>
      </w:r>
    </w:p>
  </w:footnote>
  <w:footnote w:id="26">
    <w:p w:rsidR="00913F04" w:rsidP="00913F04">
      <w:pPr>
        <w:pStyle w:val="FootnoteText"/>
      </w:pPr>
      <w:r w:rsidRPr="005E2D50">
        <w:rPr>
          <w:rStyle w:val="FootnoteReference"/>
          <w:color w:val="000000"/>
        </w:rPr>
        <w:footnoteRef/>
      </w:r>
      <w:r w:rsidRPr="00403518">
        <w:rPr>
          <w:color w:val="000000"/>
        </w:rPr>
        <w:t xml:space="preserve"> </w:t>
      </w:r>
      <w:r w:rsidRPr="005E2D50">
        <w:t>47 U.S.C. § 159</w:t>
      </w:r>
      <w:r>
        <w:t>A</w:t>
      </w:r>
      <w:r w:rsidRPr="005E2D50">
        <w:t>(c)(</w:t>
      </w:r>
      <w:r>
        <w:t>4</w:t>
      </w:r>
      <w:r w:rsidRPr="005E2D50">
        <w:t xml:space="preserve">); </w:t>
      </w:r>
      <w:r w:rsidRPr="00403518">
        <w:rPr>
          <w:color w:val="000000"/>
        </w:rPr>
        <w:t xml:space="preserve">47 CFR §§ </w:t>
      </w:r>
      <w:r>
        <w:t>0.11, 0.61, 0.23</w:t>
      </w:r>
      <w:r w:rsidRPr="005E2D50">
        <w:t>1, 0.</w:t>
      </w:r>
      <w:r>
        <w:t>283</w:t>
      </w:r>
      <w:r w:rsidRPr="005E2D50">
        <w:t>, 1.1164(f).</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913F04">
      <w:t>DA 19-</w:t>
    </w:r>
    <w:r w:rsidR="00D6075B">
      <w:t>255</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913F04">
      <w:rPr>
        <w:spacing w:val="-2"/>
      </w:rPr>
      <w:t>DA 19-</w:t>
    </w:r>
    <w:r>
      <w:rPr>
        <w:spacing w:val="-2"/>
      </w:rPr>
      <w:t>255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F04"/>
    <w:rsid w:val="000071D5"/>
    <w:rsid w:val="00036039"/>
    <w:rsid w:val="00037F90"/>
    <w:rsid w:val="000875BF"/>
    <w:rsid w:val="00087649"/>
    <w:rsid w:val="00096D8C"/>
    <w:rsid w:val="000C0B65"/>
    <w:rsid w:val="000E05FE"/>
    <w:rsid w:val="000E3D42"/>
    <w:rsid w:val="00122BD5"/>
    <w:rsid w:val="00133F79"/>
    <w:rsid w:val="00141957"/>
    <w:rsid w:val="00174F4C"/>
    <w:rsid w:val="00194A66"/>
    <w:rsid w:val="001D6BCF"/>
    <w:rsid w:val="001D7B01"/>
    <w:rsid w:val="001E01CA"/>
    <w:rsid w:val="00275CF5"/>
    <w:rsid w:val="0028301F"/>
    <w:rsid w:val="00285017"/>
    <w:rsid w:val="002A2D2E"/>
    <w:rsid w:val="002C00E8"/>
    <w:rsid w:val="002C6025"/>
    <w:rsid w:val="0032560F"/>
    <w:rsid w:val="00343749"/>
    <w:rsid w:val="003660ED"/>
    <w:rsid w:val="003B0550"/>
    <w:rsid w:val="003B619A"/>
    <w:rsid w:val="003B694F"/>
    <w:rsid w:val="003F171C"/>
    <w:rsid w:val="00403518"/>
    <w:rsid w:val="0040421C"/>
    <w:rsid w:val="00405DC7"/>
    <w:rsid w:val="00412FC5"/>
    <w:rsid w:val="00422276"/>
    <w:rsid w:val="004242F1"/>
    <w:rsid w:val="00445A00"/>
    <w:rsid w:val="00451B0F"/>
    <w:rsid w:val="004C2EE3"/>
    <w:rsid w:val="004C557E"/>
    <w:rsid w:val="004E0214"/>
    <w:rsid w:val="004E4A22"/>
    <w:rsid w:val="00511968"/>
    <w:rsid w:val="0055614C"/>
    <w:rsid w:val="00566D06"/>
    <w:rsid w:val="005735C6"/>
    <w:rsid w:val="005C5B7E"/>
    <w:rsid w:val="005E14C2"/>
    <w:rsid w:val="005E2D50"/>
    <w:rsid w:val="00607BA5"/>
    <w:rsid w:val="0061180A"/>
    <w:rsid w:val="00626EB6"/>
    <w:rsid w:val="00655D03"/>
    <w:rsid w:val="00683388"/>
    <w:rsid w:val="00683F84"/>
    <w:rsid w:val="006A6A81"/>
    <w:rsid w:val="006F7393"/>
    <w:rsid w:val="0070224F"/>
    <w:rsid w:val="007115F7"/>
    <w:rsid w:val="0073490A"/>
    <w:rsid w:val="00785689"/>
    <w:rsid w:val="0079754B"/>
    <w:rsid w:val="007A1E6D"/>
    <w:rsid w:val="007B0EB2"/>
    <w:rsid w:val="007D1835"/>
    <w:rsid w:val="007F4AF9"/>
    <w:rsid w:val="00804C01"/>
    <w:rsid w:val="00810B6F"/>
    <w:rsid w:val="00822CE0"/>
    <w:rsid w:val="00834854"/>
    <w:rsid w:val="00841AB1"/>
    <w:rsid w:val="008A536E"/>
    <w:rsid w:val="008A7F9C"/>
    <w:rsid w:val="008C68F1"/>
    <w:rsid w:val="00913F04"/>
    <w:rsid w:val="00921803"/>
    <w:rsid w:val="00926503"/>
    <w:rsid w:val="009726D8"/>
    <w:rsid w:val="009D7308"/>
    <w:rsid w:val="009F76DB"/>
    <w:rsid w:val="00A32C3B"/>
    <w:rsid w:val="00A45F4F"/>
    <w:rsid w:val="00A600A9"/>
    <w:rsid w:val="00AA55B7"/>
    <w:rsid w:val="00AA5B9E"/>
    <w:rsid w:val="00AB2407"/>
    <w:rsid w:val="00AB53DF"/>
    <w:rsid w:val="00B07E5C"/>
    <w:rsid w:val="00B35627"/>
    <w:rsid w:val="00B811F7"/>
    <w:rsid w:val="00B92234"/>
    <w:rsid w:val="00BA5DC6"/>
    <w:rsid w:val="00BA6196"/>
    <w:rsid w:val="00BC6D8C"/>
    <w:rsid w:val="00C34006"/>
    <w:rsid w:val="00C36B4C"/>
    <w:rsid w:val="00C426B1"/>
    <w:rsid w:val="00C66160"/>
    <w:rsid w:val="00C721AC"/>
    <w:rsid w:val="00C90D6A"/>
    <w:rsid w:val="00CA247E"/>
    <w:rsid w:val="00CA6D21"/>
    <w:rsid w:val="00CC72B6"/>
    <w:rsid w:val="00CD2B6A"/>
    <w:rsid w:val="00D0218D"/>
    <w:rsid w:val="00D25FB5"/>
    <w:rsid w:val="00D44223"/>
    <w:rsid w:val="00D6075B"/>
    <w:rsid w:val="00DA2529"/>
    <w:rsid w:val="00DB130A"/>
    <w:rsid w:val="00DB2EBB"/>
    <w:rsid w:val="00DB52EC"/>
    <w:rsid w:val="00DC10A1"/>
    <w:rsid w:val="00DC655F"/>
    <w:rsid w:val="00DD0B59"/>
    <w:rsid w:val="00DD7EBD"/>
    <w:rsid w:val="00DF5552"/>
    <w:rsid w:val="00DF62B6"/>
    <w:rsid w:val="00E07225"/>
    <w:rsid w:val="00E16DC0"/>
    <w:rsid w:val="00E5409F"/>
    <w:rsid w:val="00EE6488"/>
    <w:rsid w:val="00F021FA"/>
    <w:rsid w:val="00F2435D"/>
    <w:rsid w:val="00F30DCE"/>
    <w:rsid w:val="00F332A9"/>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5DB8E9C9-5001-49BB-9C55-94FF02125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uiPriority w:val="9"/>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uiPriority w:val="9"/>
    <w:qFormat/>
    <w:rsid w:val="007A1E6D"/>
    <w:pPr>
      <w:keepNext/>
      <w:numPr>
        <w:ilvl w:val="1"/>
        <w:numId w:val="3"/>
      </w:numPr>
      <w:spacing w:after="120"/>
      <w:outlineLvl w:val="1"/>
    </w:pPr>
    <w:rPr>
      <w:b/>
    </w:rPr>
  </w:style>
  <w:style w:type="paragraph" w:styleId="Heading3">
    <w:name w:val="heading 3"/>
    <w:basedOn w:val="Normal"/>
    <w:next w:val="ParaNum"/>
    <w:uiPriority w:val="9"/>
    <w:qFormat/>
    <w:rsid w:val="00BA6196"/>
    <w:pPr>
      <w:keepNext/>
      <w:numPr>
        <w:ilvl w:val="2"/>
        <w:numId w:val="3"/>
      </w:numPr>
      <w:tabs>
        <w:tab w:val="left" w:pos="2160"/>
      </w:tabs>
      <w:spacing w:after="120"/>
      <w:outlineLvl w:val="2"/>
    </w:pPr>
    <w:rPr>
      <w:b/>
    </w:rPr>
  </w:style>
  <w:style w:type="paragraph" w:styleId="Heading4">
    <w:name w:val="heading 4"/>
    <w:basedOn w:val="Normal"/>
    <w:next w:val="ParaNum"/>
    <w:uiPriority w:val="9"/>
    <w:qFormat/>
    <w:rsid w:val="00C426B1"/>
    <w:pPr>
      <w:keepNext/>
      <w:numPr>
        <w:ilvl w:val="3"/>
        <w:numId w:val="3"/>
      </w:numPr>
      <w:tabs>
        <w:tab w:val="left" w:pos="2880"/>
      </w:tabs>
      <w:spacing w:after="120"/>
      <w:outlineLvl w:val="3"/>
    </w:pPr>
    <w:rPr>
      <w:b/>
    </w:rPr>
  </w:style>
  <w:style w:type="paragraph" w:styleId="Heading5">
    <w:name w:val="heading 5"/>
    <w:basedOn w:val="Normal"/>
    <w:next w:val="ParaNum"/>
    <w:uiPriority w:val="9"/>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uiPriority w:val="9"/>
    <w:qFormat/>
    <w:rsid w:val="00036039"/>
    <w:pPr>
      <w:numPr>
        <w:ilvl w:val="5"/>
        <w:numId w:val="3"/>
      </w:numPr>
      <w:tabs>
        <w:tab w:val="left" w:pos="4320"/>
      </w:tabs>
      <w:spacing w:after="120"/>
      <w:outlineLvl w:val="5"/>
    </w:pPr>
    <w:rPr>
      <w:b/>
    </w:rPr>
  </w:style>
  <w:style w:type="paragraph" w:styleId="Heading7">
    <w:name w:val="heading 7"/>
    <w:basedOn w:val="Normal"/>
    <w:next w:val="ParaNum"/>
    <w:uiPriority w:val="9"/>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uiPriority w:val="9"/>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uiPriority w:val="9"/>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Style 5 Char Char,fn,rrfootnote Char Char"/>
    <w:link w:val="FootnoteTextChar1"/>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Style 5 Char Char Char,fn Char,rrfootnote Char Char Char"/>
    <w:link w:val="FootnoteText"/>
    <w:locked/>
    <w:rsid w:val="00913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docs.fcc.gov/public/attachments/DOC-353883A1.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