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24E47" w:rsidP="001D0C6F" w14:paraId="60792DC6" w14:textId="7FB603F1">
      <w:pPr>
        <w:jc w:val="center"/>
        <w:rPr>
          <w:sz w:val="22"/>
          <w:szCs w:val="22"/>
        </w:rPr>
      </w:pPr>
      <w:r>
        <w:rPr>
          <w:sz w:val="22"/>
          <w:szCs w:val="22"/>
        </w:rPr>
        <w:fldChar w:fldCharType="begin"/>
      </w:r>
      <w:r>
        <w:rPr>
          <w:sz w:val="22"/>
          <w:szCs w:val="22"/>
        </w:rPr>
        <w:instrText xml:space="preserve"> DATE \@ "MMMM d, yyyy" </w:instrText>
      </w:r>
      <w:r>
        <w:rPr>
          <w:sz w:val="22"/>
          <w:szCs w:val="22"/>
        </w:rPr>
        <w:fldChar w:fldCharType="separate"/>
      </w:r>
      <w:r w:rsidR="00F6786B">
        <w:rPr>
          <w:noProof/>
          <w:sz w:val="22"/>
          <w:szCs w:val="22"/>
        </w:rPr>
        <w:t>April 4, 2019</w:t>
      </w:r>
      <w:r>
        <w:rPr>
          <w:sz w:val="22"/>
          <w:szCs w:val="22"/>
        </w:rPr>
        <w:fldChar w:fldCharType="end"/>
      </w:r>
    </w:p>
    <w:p w:rsidR="001D0C6F" w:rsidP="001D0C6F" w14:paraId="23DDE72A" w14:textId="77777777">
      <w:pPr>
        <w:jc w:val="center"/>
        <w:rPr>
          <w:sz w:val="22"/>
          <w:szCs w:val="22"/>
        </w:rPr>
      </w:pPr>
    </w:p>
    <w:p w:rsidR="00303867" w14:paraId="12F9EEC2" w14:textId="01A55495">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D0C6F">
        <w:rPr>
          <w:b/>
          <w:sz w:val="22"/>
          <w:szCs w:val="22"/>
        </w:rPr>
        <w:t>DA 1</w:t>
      </w:r>
      <w:r w:rsidR="001B1778">
        <w:rPr>
          <w:b/>
          <w:sz w:val="22"/>
          <w:szCs w:val="22"/>
        </w:rPr>
        <w:t>9</w:t>
      </w:r>
      <w:r>
        <w:rPr>
          <w:b/>
          <w:sz w:val="22"/>
          <w:szCs w:val="22"/>
        </w:rPr>
        <w:t>-</w:t>
      </w:r>
      <w:r w:rsidR="00F55E62">
        <w:rPr>
          <w:b/>
          <w:sz w:val="22"/>
          <w:szCs w:val="22"/>
        </w:rPr>
        <w:t>259</w:t>
      </w:r>
    </w:p>
    <w:p w:rsidR="00303867" w14:paraId="19493A4E" w14:textId="5FBF292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Released: </w:t>
      </w:r>
      <w:r w:rsidR="00F55E62">
        <w:rPr>
          <w:b/>
          <w:sz w:val="22"/>
          <w:szCs w:val="22"/>
        </w:rPr>
        <w:t xml:space="preserve"> April </w:t>
      </w:r>
      <w:r w:rsidR="00F6786B">
        <w:rPr>
          <w:b/>
          <w:sz w:val="22"/>
          <w:szCs w:val="22"/>
        </w:rPr>
        <w:t>4</w:t>
      </w:r>
      <w:r w:rsidR="00F55E62">
        <w:rPr>
          <w:b/>
          <w:sz w:val="22"/>
          <w:szCs w:val="22"/>
        </w:rPr>
        <w:t>, 2019</w:t>
      </w:r>
    </w:p>
    <w:p w:rsidR="00303867" w14:paraId="294E9429" w14:textId="77777777">
      <w:pPr>
        <w:rPr>
          <w:sz w:val="22"/>
          <w:szCs w:val="22"/>
        </w:rPr>
      </w:pPr>
    </w:p>
    <w:p w:rsidR="006E0D1A" w14:paraId="4696A9DB" w14:textId="77777777">
      <w:pPr>
        <w:jc w:val="both"/>
        <w:rPr>
          <w:sz w:val="22"/>
          <w:szCs w:val="22"/>
        </w:rPr>
      </w:pPr>
      <w:r>
        <w:rPr>
          <w:sz w:val="22"/>
          <w:szCs w:val="22"/>
        </w:rPr>
        <w:t>Cordillera Communications, LLC</w:t>
      </w:r>
    </w:p>
    <w:p w:rsidR="007D21A1" w14:paraId="1CFF22E8" w14:textId="77777777">
      <w:pPr>
        <w:jc w:val="both"/>
        <w:rPr>
          <w:sz w:val="22"/>
          <w:szCs w:val="22"/>
        </w:rPr>
      </w:pPr>
      <w:r>
        <w:rPr>
          <w:sz w:val="22"/>
          <w:szCs w:val="22"/>
        </w:rPr>
        <w:t xml:space="preserve">c/o </w:t>
      </w:r>
      <w:r w:rsidR="005D3A41">
        <w:rPr>
          <w:sz w:val="22"/>
          <w:szCs w:val="22"/>
        </w:rPr>
        <w:t>Michael D. Basile</w:t>
      </w:r>
    </w:p>
    <w:p w:rsidR="007D21A1" w14:paraId="02EAEAC9" w14:textId="77777777">
      <w:pPr>
        <w:jc w:val="both"/>
        <w:rPr>
          <w:sz w:val="22"/>
          <w:szCs w:val="22"/>
        </w:rPr>
      </w:pPr>
      <w:r>
        <w:rPr>
          <w:sz w:val="22"/>
          <w:szCs w:val="22"/>
        </w:rPr>
        <w:t>Co</w:t>
      </w:r>
      <w:r w:rsidR="005D3A41">
        <w:rPr>
          <w:sz w:val="22"/>
          <w:szCs w:val="22"/>
        </w:rPr>
        <w:t>oley</w:t>
      </w:r>
      <w:r w:rsidR="00CB6E0B">
        <w:rPr>
          <w:sz w:val="22"/>
          <w:szCs w:val="22"/>
        </w:rPr>
        <w:t xml:space="preserve"> LLP</w:t>
      </w:r>
      <w:r>
        <w:rPr>
          <w:sz w:val="22"/>
          <w:szCs w:val="22"/>
        </w:rPr>
        <w:t xml:space="preserve"> </w:t>
      </w:r>
    </w:p>
    <w:p w:rsidR="005D3A41" w14:paraId="093DE5F5" w14:textId="77777777">
      <w:pPr>
        <w:jc w:val="both"/>
        <w:rPr>
          <w:sz w:val="22"/>
          <w:szCs w:val="22"/>
        </w:rPr>
      </w:pPr>
      <w:r>
        <w:rPr>
          <w:sz w:val="22"/>
          <w:szCs w:val="22"/>
        </w:rPr>
        <w:t>1299 Pennsylvania Avenue</w:t>
      </w:r>
      <w:r w:rsidR="00CB6E0B">
        <w:rPr>
          <w:sz w:val="22"/>
          <w:szCs w:val="22"/>
        </w:rPr>
        <w:t>, NW</w:t>
      </w:r>
      <w:r w:rsidR="0075780F">
        <w:rPr>
          <w:sz w:val="22"/>
          <w:szCs w:val="22"/>
        </w:rPr>
        <w:t xml:space="preserve">, </w:t>
      </w:r>
      <w:r>
        <w:rPr>
          <w:sz w:val="22"/>
          <w:szCs w:val="22"/>
        </w:rPr>
        <w:t>Suite 700</w:t>
      </w:r>
    </w:p>
    <w:p w:rsidR="007D21A1" w14:paraId="26AB9FAE" w14:textId="77777777">
      <w:pPr>
        <w:jc w:val="both"/>
        <w:rPr>
          <w:sz w:val="22"/>
          <w:szCs w:val="22"/>
        </w:rPr>
      </w:pPr>
      <w:r>
        <w:rPr>
          <w:sz w:val="22"/>
          <w:szCs w:val="22"/>
        </w:rPr>
        <w:t>Washington</w:t>
      </w:r>
      <w:r>
        <w:rPr>
          <w:sz w:val="22"/>
          <w:szCs w:val="22"/>
        </w:rPr>
        <w:t xml:space="preserve">, </w:t>
      </w:r>
      <w:r w:rsidR="005D3A41">
        <w:rPr>
          <w:sz w:val="22"/>
          <w:szCs w:val="22"/>
        </w:rPr>
        <w:t>DC</w:t>
      </w:r>
      <w:r>
        <w:rPr>
          <w:sz w:val="22"/>
          <w:szCs w:val="22"/>
        </w:rPr>
        <w:t xml:space="preserve"> 2</w:t>
      </w:r>
      <w:r>
        <w:rPr>
          <w:sz w:val="22"/>
          <w:szCs w:val="22"/>
        </w:rPr>
        <w:t>000</w:t>
      </w:r>
      <w:r w:rsidR="005D3A41">
        <w:rPr>
          <w:sz w:val="22"/>
          <w:szCs w:val="22"/>
        </w:rPr>
        <w:t>4</w:t>
      </w:r>
    </w:p>
    <w:p w:rsidR="00303867" w14:paraId="21199F1C" w14:textId="77777777">
      <w:pPr>
        <w:jc w:val="both"/>
        <w:rPr>
          <w:sz w:val="22"/>
          <w:szCs w:val="22"/>
        </w:rPr>
      </w:pPr>
      <w:bookmarkStart w:id="0" w:name="_GoBack"/>
      <w:bookmarkEnd w:id="0"/>
    </w:p>
    <w:p w:rsidR="006E0D1A" w:rsidP="00303867" w14:paraId="6EF9B5A5" w14:textId="77777777">
      <w:pPr>
        <w:jc w:val="both"/>
        <w:rPr>
          <w:sz w:val="22"/>
          <w:szCs w:val="22"/>
        </w:rPr>
      </w:pPr>
      <w:r>
        <w:rPr>
          <w:sz w:val="22"/>
          <w:szCs w:val="22"/>
        </w:rPr>
        <w:t>Scripps Media, Inc.</w:t>
      </w:r>
    </w:p>
    <w:p w:rsidR="00AB6F06" w:rsidP="00303867" w14:paraId="7CBA7389" w14:textId="77777777">
      <w:pPr>
        <w:jc w:val="both"/>
        <w:rPr>
          <w:sz w:val="22"/>
          <w:szCs w:val="22"/>
        </w:rPr>
      </w:pPr>
      <w:r>
        <w:rPr>
          <w:sz w:val="22"/>
          <w:szCs w:val="22"/>
        </w:rPr>
        <w:t>c/</w:t>
      </w:r>
      <w:r w:rsidR="005D3A41">
        <w:rPr>
          <w:sz w:val="22"/>
          <w:szCs w:val="22"/>
        </w:rPr>
        <w:t>o Kenneth C. Howard, Jr.</w:t>
      </w:r>
    </w:p>
    <w:p w:rsidR="00AB6F06" w:rsidP="00303867" w14:paraId="17EF4948" w14:textId="77777777">
      <w:pPr>
        <w:jc w:val="both"/>
        <w:rPr>
          <w:sz w:val="22"/>
          <w:szCs w:val="22"/>
        </w:rPr>
      </w:pPr>
      <w:r>
        <w:rPr>
          <w:sz w:val="22"/>
          <w:szCs w:val="22"/>
        </w:rPr>
        <w:t>Baker &amp; Hostetler LLP</w:t>
      </w:r>
    </w:p>
    <w:p w:rsidR="005D3A41" w:rsidP="00303867" w14:paraId="51DB0208" w14:textId="77777777">
      <w:pPr>
        <w:jc w:val="both"/>
        <w:rPr>
          <w:sz w:val="22"/>
          <w:szCs w:val="22"/>
        </w:rPr>
      </w:pPr>
      <w:r>
        <w:rPr>
          <w:sz w:val="22"/>
          <w:szCs w:val="22"/>
        </w:rPr>
        <w:t>1050 Connecticut Ave.,</w:t>
      </w:r>
      <w:r w:rsidR="00AB6F06">
        <w:rPr>
          <w:sz w:val="22"/>
          <w:szCs w:val="22"/>
        </w:rPr>
        <w:t xml:space="preserve"> NW</w:t>
      </w:r>
      <w:r w:rsidR="0075780F">
        <w:rPr>
          <w:sz w:val="22"/>
          <w:szCs w:val="22"/>
        </w:rPr>
        <w:t xml:space="preserve">, </w:t>
      </w:r>
      <w:r>
        <w:rPr>
          <w:sz w:val="22"/>
          <w:szCs w:val="22"/>
        </w:rPr>
        <w:t>Suite 1100</w:t>
      </w:r>
    </w:p>
    <w:p w:rsidR="00AB6F06" w:rsidP="00303867" w14:paraId="59E9D38F" w14:textId="77777777">
      <w:pPr>
        <w:jc w:val="both"/>
        <w:rPr>
          <w:sz w:val="22"/>
          <w:szCs w:val="22"/>
        </w:rPr>
      </w:pPr>
      <w:r>
        <w:rPr>
          <w:sz w:val="22"/>
          <w:szCs w:val="22"/>
        </w:rPr>
        <w:t xml:space="preserve">Washington, D.C. 20036 </w:t>
      </w:r>
    </w:p>
    <w:p w:rsidR="007D21A1" w:rsidP="00303867" w14:paraId="7A65E8F1" w14:textId="77777777">
      <w:pPr>
        <w:jc w:val="both"/>
        <w:rPr>
          <w:sz w:val="22"/>
          <w:szCs w:val="22"/>
        </w:rPr>
      </w:pPr>
    </w:p>
    <w:p w:rsidR="00A96B4C" w:rsidP="00303867" w14:paraId="32A65725" w14:textId="77777777">
      <w:pPr>
        <w:jc w:val="both"/>
        <w:rPr>
          <w:sz w:val="22"/>
          <w:szCs w:val="22"/>
        </w:rPr>
      </w:pPr>
      <w:r>
        <w:rPr>
          <w:sz w:val="22"/>
          <w:szCs w:val="22"/>
        </w:rPr>
        <w:t>Quincy Media, Inc.</w:t>
      </w:r>
    </w:p>
    <w:p w:rsidR="00A96B4C" w:rsidP="00303867" w14:paraId="3269E801" w14:textId="77777777">
      <w:pPr>
        <w:jc w:val="both"/>
        <w:rPr>
          <w:sz w:val="22"/>
          <w:szCs w:val="22"/>
        </w:rPr>
      </w:pPr>
      <w:r>
        <w:rPr>
          <w:sz w:val="22"/>
          <w:szCs w:val="22"/>
        </w:rPr>
        <w:t>c/o Elizabeth E. Spainhour</w:t>
      </w:r>
    </w:p>
    <w:p w:rsidR="00E64795" w:rsidP="00303867" w14:paraId="23F645BB" w14:textId="77777777">
      <w:pPr>
        <w:jc w:val="both"/>
        <w:rPr>
          <w:sz w:val="22"/>
          <w:szCs w:val="22"/>
        </w:rPr>
      </w:pPr>
      <w:r>
        <w:rPr>
          <w:sz w:val="22"/>
          <w:szCs w:val="22"/>
        </w:rPr>
        <w:t xml:space="preserve">Brooks, Pierce </w:t>
      </w:r>
      <w:r w:rsidRPr="0075780F">
        <w:rPr>
          <w:i/>
          <w:sz w:val="22"/>
          <w:szCs w:val="22"/>
        </w:rPr>
        <w:t>et al</w:t>
      </w:r>
      <w:r>
        <w:rPr>
          <w:sz w:val="22"/>
          <w:szCs w:val="22"/>
        </w:rPr>
        <w:t>.</w:t>
      </w:r>
    </w:p>
    <w:p w:rsidR="00E64795" w:rsidP="00303867" w14:paraId="39DDE8D5" w14:textId="77777777">
      <w:pPr>
        <w:jc w:val="both"/>
        <w:rPr>
          <w:sz w:val="22"/>
          <w:szCs w:val="22"/>
        </w:rPr>
      </w:pPr>
      <w:r>
        <w:rPr>
          <w:sz w:val="22"/>
          <w:szCs w:val="22"/>
        </w:rPr>
        <w:t>150 Fayetteville Street, Suite 1700</w:t>
      </w:r>
    </w:p>
    <w:p w:rsidR="0075780F" w:rsidP="00303867" w14:paraId="1139FB50" w14:textId="77777777">
      <w:pPr>
        <w:jc w:val="both"/>
        <w:rPr>
          <w:sz w:val="22"/>
          <w:szCs w:val="22"/>
        </w:rPr>
      </w:pPr>
      <w:r>
        <w:rPr>
          <w:sz w:val="22"/>
          <w:szCs w:val="22"/>
        </w:rPr>
        <w:t>Raleigh, NC  27601</w:t>
      </w:r>
    </w:p>
    <w:p w:rsidR="00A96B4C" w:rsidP="00303867" w14:paraId="786AEDEC" w14:textId="77777777">
      <w:pPr>
        <w:jc w:val="both"/>
        <w:rPr>
          <w:sz w:val="22"/>
          <w:szCs w:val="22"/>
        </w:rPr>
      </w:pPr>
    </w:p>
    <w:p w:rsidR="00303867" w:rsidRPr="00992DB9" w:rsidP="006147F6" w14:paraId="393669FA" w14:textId="77777777">
      <w:pPr>
        <w:pStyle w:val="Footer"/>
        <w:tabs>
          <w:tab w:val="clear" w:pos="4320"/>
          <w:tab w:val="clear" w:pos="8640"/>
        </w:tabs>
        <w:ind w:left="4320" w:hanging="720"/>
        <w:rPr>
          <w:sz w:val="22"/>
          <w:szCs w:val="22"/>
        </w:rPr>
      </w:pPr>
      <w:r>
        <w:rPr>
          <w:sz w:val="22"/>
          <w:szCs w:val="22"/>
        </w:rPr>
        <w:t>Re:</w:t>
      </w:r>
      <w:r>
        <w:rPr>
          <w:sz w:val="22"/>
          <w:szCs w:val="22"/>
        </w:rPr>
        <w:tab/>
      </w:r>
      <w:r w:rsidRPr="00992DB9" w:rsidR="00907233">
        <w:rPr>
          <w:i/>
          <w:sz w:val="22"/>
          <w:szCs w:val="22"/>
          <w:u w:val="single"/>
        </w:rPr>
        <w:t>Application</w:t>
      </w:r>
      <w:r w:rsidR="001B1778">
        <w:rPr>
          <w:i/>
          <w:sz w:val="22"/>
          <w:szCs w:val="22"/>
          <w:u w:val="single"/>
        </w:rPr>
        <w:t>s</w:t>
      </w:r>
      <w:r w:rsidRPr="00992DB9">
        <w:rPr>
          <w:i/>
          <w:sz w:val="22"/>
          <w:szCs w:val="22"/>
          <w:u w:val="single"/>
        </w:rPr>
        <w:t xml:space="preserve"> for Consent to </w:t>
      </w:r>
      <w:r w:rsidRPr="00992DB9" w:rsidR="00F90812">
        <w:rPr>
          <w:i/>
          <w:sz w:val="22"/>
          <w:szCs w:val="22"/>
          <w:u w:val="single"/>
        </w:rPr>
        <w:t xml:space="preserve">Transfer Control </w:t>
      </w:r>
      <w:r w:rsidRPr="00992DB9">
        <w:rPr>
          <w:i/>
          <w:sz w:val="22"/>
          <w:szCs w:val="22"/>
          <w:u w:val="single"/>
        </w:rPr>
        <w:t>of License</w:t>
      </w:r>
      <w:r w:rsidRPr="00992DB9" w:rsidR="00907233">
        <w:rPr>
          <w:i/>
          <w:sz w:val="22"/>
          <w:szCs w:val="22"/>
          <w:u w:val="single"/>
        </w:rPr>
        <w:t xml:space="preserve"> and Request for Continued Satellite Authority </w:t>
      </w:r>
    </w:p>
    <w:p w:rsidR="001E301A" w:rsidRPr="00992DB9" w14:paraId="778C5D61" w14:textId="77777777">
      <w:pPr>
        <w:pStyle w:val="Footer"/>
        <w:tabs>
          <w:tab w:val="clear" w:pos="4320"/>
          <w:tab w:val="clear" w:pos="8640"/>
        </w:tabs>
        <w:ind w:left="4320"/>
        <w:rPr>
          <w:sz w:val="22"/>
        </w:rPr>
      </w:pPr>
      <w:r w:rsidRPr="00992DB9">
        <w:rPr>
          <w:sz w:val="22"/>
        </w:rPr>
        <w:t>KATC</w:t>
      </w:r>
      <w:r w:rsidRPr="00992DB9">
        <w:rPr>
          <w:sz w:val="22"/>
        </w:rPr>
        <w:t xml:space="preserve">, </w:t>
      </w:r>
      <w:r w:rsidRPr="00992DB9">
        <w:rPr>
          <w:sz w:val="22"/>
        </w:rPr>
        <w:t>Lafayette, LA</w:t>
      </w:r>
      <w:r w:rsidRPr="00992DB9">
        <w:rPr>
          <w:sz w:val="22"/>
        </w:rPr>
        <w:t xml:space="preserve">, Fac. ID No. </w:t>
      </w:r>
      <w:r w:rsidRPr="00992DB9">
        <w:rPr>
          <w:sz w:val="22"/>
        </w:rPr>
        <w:t>33471</w:t>
      </w:r>
    </w:p>
    <w:p w:rsidR="001E301A" w:rsidRPr="00992DB9" w14:paraId="5EE74FF7" w14:textId="77777777">
      <w:pPr>
        <w:pStyle w:val="Footer"/>
        <w:tabs>
          <w:tab w:val="clear" w:pos="4320"/>
          <w:tab w:val="clear" w:pos="8640"/>
        </w:tabs>
        <w:ind w:left="4320"/>
        <w:rPr>
          <w:sz w:val="22"/>
        </w:rPr>
      </w:pPr>
      <w:r w:rsidRPr="00992DB9">
        <w:rPr>
          <w:sz w:val="22"/>
        </w:rPr>
        <w:t>KBZK</w:t>
      </w:r>
      <w:r w:rsidRPr="00992DB9">
        <w:rPr>
          <w:sz w:val="22"/>
        </w:rPr>
        <w:t xml:space="preserve">, </w:t>
      </w:r>
      <w:r w:rsidRPr="00992DB9">
        <w:rPr>
          <w:sz w:val="22"/>
        </w:rPr>
        <w:t>Bozeman, MT</w:t>
      </w:r>
      <w:r w:rsidRPr="00992DB9">
        <w:rPr>
          <w:sz w:val="22"/>
        </w:rPr>
        <w:t xml:space="preserve">, Fac. ID No. </w:t>
      </w:r>
      <w:r w:rsidRPr="00992DB9" w:rsidR="00AD4784">
        <w:rPr>
          <w:sz w:val="22"/>
        </w:rPr>
        <w:t>33756</w:t>
      </w:r>
    </w:p>
    <w:p w:rsidR="001E301A" w:rsidRPr="00992DB9" w14:paraId="6AF3AF23" w14:textId="77777777">
      <w:pPr>
        <w:pStyle w:val="Footer"/>
        <w:tabs>
          <w:tab w:val="clear" w:pos="4320"/>
          <w:tab w:val="clear" w:pos="8640"/>
        </w:tabs>
        <w:ind w:left="4320"/>
        <w:rPr>
          <w:sz w:val="22"/>
        </w:rPr>
      </w:pPr>
      <w:r w:rsidRPr="00992DB9">
        <w:rPr>
          <w:sz w:val="22"/>
        </w:rPr>
        <w:t>KPAX-TV</w:t>
      </w:r>
      <w:r w:rsidRPr="00992DB9">
        <w:rPr>
          <w:sz w:val="22"/>
        </w:rPr>
        <w:t xml:space="preserve">, </w:t>
      </w:r>
      <w:r w:rsidRPr="00992DB9" w:rsidR="00723529">
        <w:rPr>
          <w:sz w:val="22"/>
        </w:rPr>
        <w:t>Missoula, MT</w:t>
      </w:r>
      <w:r w:rsidRPr="00992DB9">
        <w:rPr>
          <w:sz w:val="22"/>
        </w:rPr>
        <w:t xml:space="preserve">, Fac. ID No. </w:t>
      </w:r>
      <w:r w:rsidRPr="00992DB9">
        <w:rPr>
          <w:sz w:val="22"/>
        </w:rPr>
        <w:t>35455</w:t>
      </w:r>
    </w:p>
    <w:p w:rsidR="00C8758D" w:rsidP="00C8758D" w14:paraId="2192CDF3" w14:textId="77777777">
      <w:pPr>
        <w:pStyle w:val="Footer"/>
        <w:tabs>
          <w:tab w:val="clear" w:pos="4320"/>
          <w:tab w:val="clear" w:pos="8640"/>
        </w:tabs>
        <w:ind w:left="4320"/>
        <w:rPr>
          <w:sz w:val="22"/>
          <w:szCs w:val="22"/>
        </w:rPr>
      </w:pPr>
      <w:r>
        <w:rPr>
          <w:sz w:val="22"/>
          <w:szCs w:val="22"/>
        </w:rPr>
        <w:t>KOAA-TV, Pueblo, CO, Fac. ID No. 59014</w:t>
      </w:r>
    </w:p>
    <w:p w:rsidR="00E01042" w:rsidRPr="00992DB9" w14:paraId="17F39D0D" w14:textId="77777777">
      <w:pPr>
        <w:pStyle w:val="Footer"/>
        <w:tabs>
          <w:tab w:val="clear" w:pos="4320"/>
          <w:tab w:val="clear" w:pos="8640"/>
        </w:tabs>
        <w:ind w:left="4320"/>
        <w:rPr>
          <w:sz w:val="22"/>
        </w:rPr>
      </w:pPr>
      <w:r w:rsidRPr="00992DB9">
        <w:rPr>
          <w:sz w:val="22"/>
        </w:rPr>
        <w:t>KRIS-TV</w:t>
      </w:r>
      <w:r w:rsidRPr="00992DB9" w:rsidR="001E301A">
        <w:rPr>
          <w:sz w:val="22"/>
        </w:rPr>
        <w:t xml:space="preserve">, </w:t>
      </w:r>
      <w:r w:rsidRPr="00992DB9">
        <w:rPr>
          <w:sz w:val="22"/>
        </w:rPr>
        <w:t>Corpus Christi, TX</w:t>
      </w:r>
      <w:r w:rsidRPr="00992DB9" w:rsidR="001E301A">
        <w:rPr>
          <w:sz w:val="22"/>
        </w:rPr>
        <w:t xml:space="preserve">, Fac. ID No. </w:t>
      </w:r>
      <w:r w:rsidRPr="00992DB9">
        <w:rPr>
          <w:sz w:val="22"/>
        </w:rPr>
        <w:t>25559</w:t>
      </w:r>
    </w:p>
    <w:p w:rsidR="001B1778" w:rsidP="001B1778" w14:paraId="77DCB0EB" w14:textId="77777777">
      <w:pPr>
        <w:pStyle w:val="Footer"/>
        <w:tabs>
          <w:tab w:val="clear" w:pos="4320"/>
          <w:tab w:val="clear" w:pos="8640"/>
        </w:tabs>
        <w:ind w:left="4320"/>
        <w:rPr>
          <w:snapToGrid w:val="0"/>
          <w:spacing w:val="-2"/>
          <w:sz w:val="22"/>
          <w:szCs w:val="22"/>
        </w:rPr>
      </w:pPr>
      <w:r>
        <w:rPr>
          <w:snapToGrid w:val="0"/>
          <w:spacing w:val="-2"/>
          <w:sz w:val="22"/>
          <w:szCs w:val="22"/>
        </w:rPr>
        <w:t>KSBY, San Luis Obispo, CA</w:t>
      </w:r>
      <w:r w:rsidRPr="00992DB9">
        <w:rPr>
          <w:snapToGrid w:val="0"/>
          <w:spacing w:val="-2"/>
          <w:sz w:val="22"/>
          <w:szCs w:val="22"/>
        </w:rPr>
        <w:t xml:space="preserve">, Fac. ID No. </w:t>
      </w:r>
      <w:r>
        <w:rPr>
          <w:snapToGrid w:val="0"/>
          <w:spacing w:val="-2"/>
          <w:sz w:val="22"/>
          <w:szCs w:val="22"/>
        </w:rPr>
        <w:t>19654</w:t>
      </w:r>
    </w:p>
    <w:p w:rsidR="001B1778" w:rsidP="001B1778" w14:paraId="687C2639" w14:textId="77777777">
      <w:pPr>
        <w:pStyle w:val="Footer"/>
        <w:tabs>
          <w:tab w:val="clear" w:pos="4320"/>
          <w:tab w:val="clear" w:pos="8640"/>
        </w:tabs>
        <w:ind w:left="4320"/>
        <w:rPr>
          <w:sz w:val="22"/>
          <w:szCs w:val="22"/>
        </w:rPr>
      </w:pPr>
      <w:r>
        <w:rPr>
          <w:sz w:val="22"/>
          <w:szCs w:val="22"/>
        </w:rPr>
        <w:t>KXLF-TV, Butte, MT, Fac. ID No. 35959</w:t>
      </w:r>
    </w:p>
    <w:p w:rsidR="001B1778" w:rsidRPr="00992DB9" w:rsidP="001B1778" w14:paraId="7DD34679" w14:textId="77777777">
      <w:pPr>
        <w:pStyle w:val="Footer"/>
        <w:tabs>
          <w:tab w:val="clear" w:pos="4320"/>
          <w:tab w:val="clear" w:pos="8640"/>
        </w:tabs>
        <w:ind w:left="4320"/>
        <w:rPr>
          <w:sz w:val="22"/>
          <w:szCs w:val="22"/>
        </w:rPr>
      </w:pPr>
      <w:r>
        <w:rPr>
          <w:sz w:val="22"/>
          <w:szCs w:val="22"/>
        </w:rPr>
        <w:t>WLEX-TV, Lexington, KY, Fac. ID No. 73203</w:t>
      </w:r>
    </w:p>
    <w:p w:rsidR="00E01042" w:rsidRPr="00992DB9" w14:paraId="2D439422" w14:textId="77777777">
      <w:pPr>
        <w:pStyle w:val="Footer"/>
        <w:tabs>
          <w:tab w:val="clear" w:pos="4320"/>
          <w:tab w:val="clear" w:pos="8640"/>
        </w:tabs>
        <w:ind w:left="4320"/>
        <w:rPr>
          <w:sz w:val="22"/>
        </w:rPr>
      </w:pPr>
      <w:r w:rsidRPr="00992DB9">
        <w:rPr>
          <w:sz w:val="22"/>
        </w:rPr>
        <w:t>KRTV</w:t>
      </w:r>
      <w:r w:rsidRPr="00992DB9" w:rsidR="001E301A">
        <w:rPr>
          <w:sz w:val="22"/>
        </w:rPr>
        <w:t xml:space="preserve">, </w:t>
      </w:r>
      <w:r w:rsidRPr="00992DB9">
        <w:rPr>
          <w:sz w:val="22"/>
        </w:rPr>
        <w:t>Great Falls</w:t>
      </w:r>
      <w:r w:rsidRPr="00992DB9" w:rsidR="001E301A">
        <w:rPr>
          <w:sz w:val="22"/>
        </w:rPr>
        <w:t>, M</w:t>
      </w:r>
      <w:r w:rsidRPr="00992DB9">
        <w:rPr>
          <w:sz w:val="22"/>
        </w:rPr>
        <w:t xml:space="preserve">T, Fac. ID No. </w:t>
      </w:r>
      <w:r w:rsidRPr="00992DB9">
        <w:rPr>
          <w:sz w:val="22"/>
        </w:rPr>
        <w:t>35567</w:t>
      </w:r>
    </w:p>
    <w:p w:rsidR="00E01042" w:rsidRPr="00992DB9" w14:paraId="14969FB7" w14:textId="77777777">
      <w:pPr>
        <w:pStyle w:val="Footer"/>
        <w:tabs>
          <w:tab w:val="clear" w:pos="4320"/>
          <w:tab w:val="clear" w:pos="8640"/>
        </w:tabs>
        <w:ind w:left="4320"/>
        <w:rPr>
          <w:snapToGrid w:val="0"/>
          <w:spacing w:val="-2"/>
          <w:sz w:val="22"/>
          <w:szCs w:val="22"/>
        </w:rPr>
      </w:pPr>
      <w:r w:rsidRPr="00992DB9">
        <w:rPr>
          <w:snapToGrid w:val="0"/>
          <w:spacing w:val="-2"/>
          <w:sz w:val="22"/>
          <w:szCs w:val="22"/>
        </w:rPr>
        <w:t>KTVH-DT</w:t>
      </w:r>
      <w:r w:rsidRPr="00992DB9">
        <w:rPr>
          <w:snapToGrid w:val="0"/>
          <w:spacing w:val="-2"/>
          <w:sz w:val="22"/>
          <w:szCs w:val="22"/>
        </w:rPr>
        <w:t>,</w:t>
      </w:r>
      <w:r w:rsidRPr="00992DB9" w:rsidR="001E301A">
        <w:rPr>
          <w:snapToGrid w:val="0"/>
          <w:spacing w:val="-2"/>
          <w:sz w:val="22"/>
          <w:szCs w:val="22"/>
        </w:rPr>
        <w:t xml:space="preserve"> </w:t>
      </w:r>
      <w:r w:rsidR="001B1778">
        <w:rPr>
          <w:snapToGrid w:val="0"/>
          <w:spacing w:val="-2"/>
          <w:sz w:val="22"/>
          <w:szCs w:val="22"/>
        </w:rPr>
        <w:t>Helena</w:t>
      </w:r>
      <w:r w:rsidRPr="00992DB9" w:rsidR="001E301A">
        <w:rPr>
          <w:snapToGrid w:val="0"/>
          <w:spacing w:val="-2"/>
          <w:sz w:val="22"/>
          <w:szCs w:val="22"/>
        </w:rPr>
        <w:t>, M</w:t>
      </w:r>
      <w:r w:rsidRPr="00992DB9">
        <w:rPr>
          <w:snapToGrid w:val="0"/>
          <w:spacing w:val="-2"/>
          <w:sz w:val="22"/>
          <w:szCs w:val="22"/>
        </w:rPr>
        <w:t xml:space="preserve">T, Fac. ID No. </w:t>
      </w:r>
      <w:r w:rsidRPr="00992DB9">
        <w:rPr>
          <w:snapToGrid w:val="0"/>
          <w:spacing w:val="-2"/>
          <w:sz w:val="22"/>
          <w:szCs w:val="22"/>
        </w:rPr>
        <w:t>5290</w:t>
      </w:r>
    </w:p>
    <w:p w:rsidR="00992DB9" w14:paraId="7179EE45" w14:textId="77777777">
      <w:pPr>
        <w:pStyle w:val="Footer"/>
        <w:tabs>
          <w:tab w:val="clear" w:pos="4320"/>
          <w:tab w:val="clear" w:pos="8640"/>
        </w:tabs>
        <w:ind w:left="4320"/>
        <w:rPr>
          <w:sz w:val="22"/>
          <w:szCs w:val="22"/>
        </w:rPr>
      </w:pPr>
      <w:r>
        <w:rPr>
          <w:sz w:val="22"/>
          <w:szCs w:val="22"/>
        </w:rPr>
        <w:t>KTVQ, Billings, MT, Fac. ID No. 35694</w:t>
      </w:r>
    </w:p>
    <w:p w:rsidR="00E01042" w:rsidRPr="00180E8F" w:rsidP="00E01042" w14:paraId="6DB6AF25" w14:textId="77777777">
      <w:pPr>
        <w:pStyle w:val="Footer"/>
        <w:tabs>
          <w:tab w:val="clear" w:pos="4320"/>
          <w:tab w:val="clear" w:pos="8640"/>
        </w:tabs>
        <w:ind w:left="4320"/>
        <w:rPr>
          <w:sz w:val="22"/>
          <w:szCs w:val="22"/>
        </w:rPr>
      </w:pPr>
      <w:r w:rsidRPr="00180E8F">
        <w:rPr>
          <w:sz w:val="22"/>
          <w:szCs w:val="22"/>
        </w:rPr>
        <w:t>File No</w:t>
      </w:r>
      <w:r w:rsidRPr="00180E8F" w:rsidR="00AD4784">
        <w:rPr>
          <w:sz w:val="22"/>
          <w:szCs w:val="22"/>
        </w:rPr>
        <w:t>s</w:t>
      </w:r>
      <w:r w:rsidRPr="00180E8F">
        <w:rPr>
          <w:sz w:val="22"/>
          <w:szCs w:val="22"/>
        </w:rPr>
        <w:t>. BTCCDT-201</w:t>
      </w:r>
      <w:r w:rsidRPr="00180E8F" w:rsidR="00AD4784">
        <w:rPr>
          <w:sz w:val="22"/>
          <w:szCs w:val="22"/>
        </w:rPr>
        <w:t xml:space="preserve">81109AAK, </w:t>
      </w:r>
      <w:r w:rsidRPr="00180E8F" w:rsidR="00C8758D">
        <w:rPr>
          <w:sz w:val="22"/>
          <w:szCs w:val="22"/>
        </w:rPr>
        <w:t xml:space="preserve">AAM, AAN, AAR, </w:t>
      </w:r>
      <w:r w:rsidRPr="00180E8F" w:rsidR="001B1778">
        <w:rPr>
          <w:sz w:val="22"/>
          <w:szCs w:val="22"/>
        </w:rPr>
        <w:t xml:space="preserve">AAU, AAY, ABC, ABE, ABF, ABG, </w:t>
      </w:r>
      <w:r w:rsidRPr="00180E8F" w:rsidR="007D0DDF">
        <w:rPr>
          <w:sz w:val="22"/>
          <w:szCs w:val="22"/>
        </w:rPr>
        <w:t>ABP</w:t>
      </w:r>
    </w:p>
    <w:p w:rsidR="00030053" w:rsidRPr="00180E8F" w14:paraId="146A15CE" w14:textId="77777777">
      <w:pPr>
        <w:pStyle w:val="Footer"/>
        <w:tabs>
          <w:tab w:val="clear" w:pos="4320"/>
          <w:tab w:val="clear" w:pos="8640"/>
        </w:tabs>
        <w:ind w:left="4320"/>
        <w:rPr>
          <w:sz w:val="22"/>
          <w:szCs w:val="22"/>
        </w:rPr>
      </w:pPr>
    </w:p>
    <w:p w:rsidR="001B1778" w:rsidRPr="00180E8F" w:rsidP="001B1778" w14:paraId="44D340F3" w14:textId="77777777">
      <w:pPr>
        <w:pStyle w:val="Footer"/>
        <w:tabs>
          <w:tab w:val="clear" w:pos="4320"/>
          <w:tab w:val="clear" w:pos="8640"/>
        </w:tabs>
        <w:ind w:left="4320"/>
        <w:rPr>
          <w:i/>
          <w:sz w:val="22"/>
          <w:szCs w:val="22"/>
        </w:rPr>
      </w:pPr>
      <w:r w:rsidRPr="00180E8F">
        <w:rPr>
          <w:i/>
          <w:sz w:val="22"/>
          <w:szCs w:val="22"/>
          <w:u w:val="single"/>
        </w:rPr>
        <w:t>Application for Consent to Assign License</w:t>
      </w:r>
    </w:p>
    <w:p w:rsidR="001B1778" w:rsidRPr="00180E8F" w:rsidP="001B1778" w14:paraId="776F7E32" w14:textId="77777777">
      <w:pPr>
        <w:pStyle w:val="Footer"/>
        <w:tabs>
          <w:tab w:val="clear" w:pos="4320"/>
          <w:tab w:val="clear" w:pos="8640"/>
        </w:tabs>
        <w:ind w:left="4320"/>
        <w:rPr>
          <w:sz w:val="22"/>
          <w:szCs w:val="22"/>
        </w:rPr>
      </w:pPr>
      <w:r w:rsidRPr="00180E8F">
        <w:rPr>
          <w:sz w:val="22"/>
          <w:szCs w:val="22"/>
        </w:rPr>
        <w:t>KVOA(TV), Tucson, AZ, Fac. ID No. 25735</w:t>
      </w:r>
    </w:p>
    <w:p w:rsidR="001B1778" w:rsidRPr="00180E8F" w14:paraId="0B492ECA" w14:textId="77777777">
      <w:pPr>
        <w:pStyle w:val="Footer"/>
        <w:tabs>
          <w:tab w:val="clear" w:pos="4320"/>
          <w:tab w:val="clear" w:pos="8640"/>
        </w:tabs>
        <w:ind w:left="4320"/>
        <w:rPr>
          <w:sz w:val="22"/>
          <w:szCs w:val="22"/>
        </w:rPr>
      </w:pPr>
      <w:r w:rsidRPr="00180E8F">
        <w:rPr>
          <w:sz w:val="22"/>
          <w:szCs w:val="22"/>
        </w:rPr>
        <w:t>File No. BALCDT-20181109AAC</w:t>
      </w:r>
    </w:p>
    <w:p w:rsidR="00303867" w:rsidRPr="00180E8F" w14:paraId="1194C125" w14:textId="77777777">
      <w:pPr>
        <w:rPr>
          <w:sz w:val="22"/>
          <w:szCs w:val="22"/>
        </w:rPr>
      </w:pPr>
      <w:r w:rsidRPr="00180E8F">
        <w:rPr>
          <w:sz w:val="22"/>
          <w:szCs w:val="22"/>
        </w:rPr>
        <w:t>Dear Counsel:</w:t>
      </w:r>
    </w:p>
    <w:p w:rsidR="00303867" w:rsidRPr="00180E8F" w14:paraId="12C2600B" w14:textId="77777777">
      <w:pPr>
        <w:ind w:firstLine="720"/>
        <w:rPr>
          <w:sz w:val="22"/>
          <w:szCs w:val="22"/>
        </w:rPr>
      </w:pPr>
    </w:p>
    <w:p w:rsidR="00BA5849" w:rsidP="00E94D0F" w14:paraId="45EB30EE" w14:textId="5883E9C7">
      <w:pPr>
        <w:spacing w:after="220"/>
        <w:ind w:firstLine="720"/>
        <w:rPr>
          <w:sz w:val="22"/>
          <w:szCs w:val="22"/>
        </w:rPr>
      </w:pPr>
      <w:r w:rsidRPr="00180E8F">
        <w:rPr>
          <w:snapToGrid w:val="0"/>
          <w:spacing w:val="-2"/>
          <w:sz w:val="22"/>
          <w:szCs w:val="22"/>
        </w:rPr>
        <w:t>By this letter, we grant the above-captioned uncontested application</w:t>
      </w:r>
      <w:r w:rsidR="00180E8F">
        <w:rPr>
          <w:snapToGrid w:val="0"/>
          <w:spacing w:val="-2"/>
          <w:sz w:val="22"/>
          <w:szCs w:val="22"/>
        </w:rPr>
        <w:t>s</w:t>
      </w:r>
      <w:r w:rsidRPr="00180E8F">
        <w:rPr>
          <w:snapToGrid w:val="0"/>
          <w:spacing w:val="-2"/>
          <w:sz w:val="22"/>
          <w:szCs w:val="22"/>
        </w:rPr>
        <w:t xml:space="preserve"> (</w:t>
      </w:r>
      <w:r w:rsidR="00180E8F">
        <w:rPr>
          <w:snapToGrid w:val="0"/>
          <w:spacing w:val="-2"/>
          <w:sz w:val="22"/>
          <w:szCs w:val="22"/>
        </w:rPr>
        <w:t xml:space="preserve">Transfer </w:t>
      </w:r>
      <w:r w:rsidRPr="00180E8F">
        <w:rPr>
          <w:snapToGrid w:val="0"/>
          <w:spacing w:val="-2"/>
          <w:sz w:val="22"/>
          <w:szCs w:val="22"/>
        </w:rPr>
        <w:t>Application</w:t>
      </w:r>
      <w:r w:rsidR="009C1275">
        <w:rPr>
          <w:snapToGrid w:val="0"/>
          <w:spacing w:val="-2"/>
          <w:sz w:val="22"/>
          <w:szCs w:val="22"/>
        </w:rPr>
        <w:t>s)</w:t>
      </w:r>
      <w:r w:rsidRPr="00180E8F">
        <w:rPr>
          <w:snapToGrid w:val="0"/>
          <w:spacing w:val="-2"/>
          <w:sz w:val="22"/>
          <w:szCs w:val="22"/>
        </w:rPr>
        <w:t xml:space="preserve"> for the </w:t>
      </w:r>
      <w:r w:rsidRPr="00180E8F" w:rsidR="00180E8F">
        <w:rPr>
          <w:snapToGrid w:val="0"/>
          <w:spacing w:val="-2"/>
          <w:sz w:val="22"/>
          <w:szCs w:val="22"/>
        </w:rPr>
        <w:t>transfer of control</w:t>
      </w:r>
      <w:r w:rsidRPr="00180E8F">
        <w:rPr>
          <w:snapToGrid w:val="0"/>
          <w:spacing w:val="-2"/>
          <w:sz w:val="22"/>
          <w:szCs w:val="22"/>
        </w:rPr>
        <w:t xml:space="preserve"> of </w:t>
      </w:r>
      <w:r w:rsidRPr="00180E8F" w:rsidR="00180E8F">
        <w:rPr>
          <w:sz w:val="22"/>
          <w:szCs w:val="22"/>
        </w:rPr>
        <w:t xml:space="preserve">certain subsidiaries of </w:t>
      </w:r>
      <w:r w:rsidRPr="00180E8F" w:rsidR="00180E8F">
        <w:rPr>
          <w:spacing w:val="-2"/>
          <w:sz w:val="22"/>
          <w:szCs w:val="22"/>
        </w:rPr>
        <w:t>Cordillera Communications, LLC</w:t>
      </w:r>
      <w:r w:rsidRPr="00180E8F" w:rsidR="00180E8F">
        <w:rPr>
          <w:sz w:val="22"/>
          <w:szCs w:val="22"/>
        </w:rPr>
        <w:t xml:space="preserve"> </w:t>
      </w:r>
      <w:r w:rsidR="0019546E">
        <w:rPr>
          <w:sz w:val="22"/>
          <w:szCs w:val="22"/>
        </w:rPr>
        <w:t xml:space="preserve">(Cordillera) </w:t>
      </w:r>
      <w:r w:rsidRPr="00180E8F" w:rsidR="00180E8F">
        <w:rPr>
          <w:sz w:val="22"/>
          <w:szCs w:val="22"/>
        </w:rPr>
        <w:t xml:space="preserve">holding television broadcast licenses to </w:t>
      </w:r>
      <w:r w:rsidRPr="00180E8F" w:rsidR="00180E8F">
        <w:rPr>
          <w:spacing w:val="-2"/>
          <w:sz w:val="22"/>
          <w:szCs w:val="22"/>
        </w:rPr>
        <w:t>Scripps Media, LLC</w:t>
      </w:r>
      <w:r>
        <w:rPr>
          <w:spacing w:val="-2"/>
          <w:sz w:val="22"/>
          <w:szCs w:val="22"/>
        </w:rPr>
        <w:t xml:space="preserve"> </w:t>
      </w:r>
      <w:r w:rsidR="0019546E">
        <w:rPr>
          <w:spacing w:val="-2"/>
          <w:sz w:val="22"/>
          <w:szCs w:val="22"/>
        </w:rPr>
        <w:t xml:space="preserve">(Scripps) </w:t>
      </w:r>
      <w:r>
        <w:rPr>
          <w:spacing w:val="-2"/>
          <w:sz w:val="22"/>
          <w:szCs w:val="22"/>
        </w:rPr>
        <w:t>(collective</w:t>
      </w:r>
      <w:r w:rsidR="0019546E">
        <w:rPr>
          <w:spacing w:val="-2"/>
          <w:sz w:val="22"/>
          <w:szCs w:val="22"/>
        </w:rPr>
        <w:t>ly</w:t>
      </w:r>
      <w:r>
        <w:rPr>
          <w:spacing w:val="-2"/>
          <w:sz w:val="22"/>
          <w:szCs w:val="22"/>
        </w:rPr>
        <w:t>, the Transfer Applicants)</w:t>
      </w:r>
      <w:r w:rsidRPr="00180E8F">
        <w:rPr>
          <w:sz w:val="22"/>
          <w:szCs w:val="22"/>
        </w:rPr>
        <w:t>.</w:t>
      </w:r>
      <w:r>
        <w:rPr>
          <w:rStyle w:val="FootnoteReference"/>
        </w:rPr>
        <w:footnoteReference w:id="3"/>
      </w:r>
      <w:r>
        <w:rPr>
          <w:sz w:val="22"/>
          <w:szCs w:val="22"/>
        </w:rPr>
        <w:t xml:space="preserve">  In connection with the sale, we grant </w:t>
      </w:r>
      <w:r w:rsidR="00180E8F">
        <w:rPr>
          <w:sz w:val="22"/>
          <w:szCs w:val="22"/>
        </w:rPr>
        <w:t>Scripps</w:t>
      </w:r>
      <w:r>
        <w:rPr>
          <w:snapToGrid w:val="0"/>
          <w:spacing w:val="-2"/>
          <w:sz w:val="22"/>
          <w:szCs w:val="22"/>
        </w:rPr>
        <w:t xml:space="preserve"> continued authority to operate station </w:t>
      </w:r>
      <w:r w:rsidRPr="00992DB9" w:rsidR="00180E8F">
        <w:rPr>
          <w:sz w:val="22"/>
        </w:rPr>
        <w:t>KBZK, Bozeman</w:t>
      </w:r>
      <w:r>
        <w:rPr>
          <w:snapToGrid w:val="0"/>
          <w:spacing w:val="-2"/>
          <w:sz w:val="22"/>
          <w:szCs w:val="22"/>
        </w:rPr>
        <w:t xml:space="preserve">, Montana, as a satellite of </w:t>
      </w:r>
      <w:r w:rsidR="00180E8F">
        <w:rPr>
          <w:sz w:val="22"/>
          <w:szCs w:val="22"/>
        </w:rPr>
        <w:t>KXLF-TV, Butte,</w:t>
      </w:r>
      <w:r>
        <w:rPr>
          <w:snapToGrid w:val="0"/>
          <w:spacing w:val="-2"/>
          <w:sz w:val="22"/>
          <w:szCs w:val="22"/>
        </w:rPr>
        <w:t xml:space="preserve"> Montana, pursuant to the satellite ex</w:t>
      </w:r>
      <w:r w:rsidR="008F1281">
        <w:rPr>
          <w:snapToGrid w:val="0"/>
          <w:spacing w:val="-2"/>
          <w:sz w:val="22"/>
          <w:szCs w:val="22"/>
        </w:rPr>
        <w:t>c</w:t>
      </w:r>
      <w:r>
        <w:rPr>
          <w:snapToGrid w:val="0"/>
          <w:spacing w:val="-2"/>
          <w:sz w:val="22"/>
          <w:szCs w:val="22"/>
        </w:rPr>
        <w:t xml:space="preserve">eption to the </w:t>
      </w:r>
      <w:r w:rsidR="008F1281">
        <w:rPr>
          <w:snapToGrid w:val="0"/>
          <w:spacing w:val="-2"/>
          <w:sz w:val="22"/>
          <w:szCs w:val="22"/>
        </w:rPr>
        <w:t>L</w:t>
      </w:r>
      <w:r>
        <w:rPr>
          <w:snapToGrid w:val="0"/>
          <w:spacing w:val="-2"/>
          <w:sz w:val="22"/>
          <w:szCs w:val="22"/>
        </w:rPr>
        <w:t xml:space="preserve">ocal </w:t>
      </w:r>
      <w:r w:rsidR="008F1281">
        <w:rPr>
          <w:snapToGrid w:val="0"/>
          <w:spacing w:val="-2"/>
          <w:sz w:val="22"/>
          <w:szCs w:val="22"/>
        </w:rPr>
        <w:t>T</w:t>
      </w:r>
      <w:r>
        <w:rPr>
          <w:snapToGrid w:val="0"/>
          <w:spacing w:val="-2"/>
          <w:sz w:val="22"/>
          <w:szCs w:val="22"/>
        </w:rPr>
        <w:t xml:space="preserve">elevision </w:t>
      </w:r>
      <w:r w:rsidR="008F1281">
        <w:rPr>
          <w:snapToGrid w:val="0"/>
          <w:spacing w:val="-2"/>
          <w:sz w:val="22"/>
          <w:szCs w:val="22"/>
        </w:rPr>
        <w:t>O</w:t>
      </w:r>
      <w:r>
        <w:rPr>
          <w:snapToGrid w:val="0"/>
          <w:spacing w:val="-2"/>
          <w:sz w:val="22"/>
          <w:szCs w:val="22"/>
        </w:rPr>
        <w:t xml:space="preserve">wnership </w:t>
      </w:r>
      <w:r w:rsidR="008F1281">
        <w:rPr>
          <w:snapToGrid w:val="0"/>
          <w:spacing w:val="-2"/>
          <w:sz w:val="22"/>
          <w:szCs w:val="22"/>
        </w:rPr>
        <w:t>R</w:t>
      </w:r>
      <w:r>
        <w:rPr>
          <w:snapToGrid w:val="0"/>
          <w:spacing w:val="-2"/>
          <w:sz w:val="22"/>
          <w:szCs w:val="22"/>
        </w:rPr>
        <w:t>ule</w:t>
      </w:r>
      <w:r w:rsidR="00303867">
        <w:rPr>
          <w:sz w:val="22"/>
          <w:szCs w:val="22"/>
        </w:rPr>
        <w:t>.</w:t>
      </w:r>
      <w:r>
        <w:rPr>
          <w:rStyle w:val="FootnoteReference"/>
          <w:sz w:val="22"/>
          <w:szCs w:val="22"/>
        </w:rPr>
        <w:footnoteReference w:id="4"/>
      </w:r>
      <w:r w:rsidR="008D0412">
        <w:rPr>
          <w:sz w:val="22"/>
          <w:szCs w:val="22"/>
        </w:rPr>
        <w:t xml:space="preserve"> </w:t>
      </w:r>
      <w:r w:rsidR="00537339">
        <w:rPr>
          <w:sz w:val="22"/>
          <w:szCs w:val="22"/>
        </w:rPr>
        <w:t xml:space="preserve"> </w:t>
      </w:r>
      <w:r w:rsidR="00180E8F">
        <w:rPr>
          <w:sz w:val="22"/>
          <w:szCs w:val="22"/>
        </w:rPr>
        <w:t xml:space="preserve">We also grant the above-captioned uncontested application for the assignment of license </w:t>
      </w:r>
      <w:r w:rsidR="008F1281">
        <w:rPr>
          <w:sz w:val="22"/>
          <w:szCs w:val="22"/>
        </w:rPr>
        <w:t xml:space="preserve">of station </w:t>
      </w:r>
      <w:r w:rsidR="00180E8F">
        <w:rPr>
          <w:sz w:val="22"/>
          <w:szCs w:val="22"/>
        </w:rPr>
        <w:t xml:space="preserve">KVOA(TV), Tucson, Arizona from </w:t>
      </w:r>
      <w:r w:rsidR="00E71202">
        <w:rPr>
          <w:sz w:val="22"/>
          <w:szCs w:val="22"/>
        </w:rPr>
        <w:t>Cordillera to</w:t>
      </w:r>
      <w:r w:rsidR="009C1275">
        <w:rPr>
          <w:sz w:val="22"/>
          <w:szCs w:val="22"/>
        </w:rPr>
        <w:t xml:space="preserve"> Quincy Media, Inc. (Quincy) (Assignment Application)</w:t>
      </w:r>
      <w:r w:rsidR="00637DD7">
        <w:rPr>
          <w:sz w:val="22"/>
          <w:szCs w:val="22"/>
        </w:rPr>
        <w:t>.</w:t>
      </w:r>
      <w:r w:rsidR="008F1281">
        <w:rPr>
          <w:sz w:val="22"/>
          <w:szCs w:val="22"/>
        </w:rPr>
        <w:t xml:space="preserve">  We will condition the grant of the above-captioned applications on the prior and/or concurrent consummation of the sale of KVOA(TV).</w:t>
      </w:r>
    </w:p>
    <w:p w:rsidR="00226BAB" w:rsidP="00E94D0F" w14:paraId="57AC4CEF" w14:textId="212B523E">
      <w:pPr>
        <w:spacing w:after="220"/>
        <w:ind w:firstLine="720"/>
        <w:rPr>
          <w:sz w:val="22"/>
          <w:szCs w:val="22"/>
        </w:rPr>
      </w:pPr>
      <w:r w:rsidRPr="00D548A8">
        <w:rPr>
          <w:sz w:val="22"/>
          <w:szCs w:val="22"/>
        </w:rPr>
        <w:t xml:space="preserve">The Transfer Applicants do not assert that common ownership of KBZK and KXLF-TV would violate the Local Television Ownership Rule but do state that “KBZK has been operated as a satellite of KXLF pursuant to Commission authority for the past 25 years,” and that </w:t>
      </w:r>
      <w:r>
        <w:rPr>
          <w:sz w:val="22"/>
          <w:szCs w:val="22"/>
        </w:rPr>
        <w:t>“p</w:t>
      </w:r>
      <w:r w:rsidRPr="00D548A8">
        <w:rPr>
          <w:sz w:val="22"/>
          <w:szCs w:val="22"/>
        </w:rPr>
        <w:t>ermitting Scripps to operate KBZK as a satellite of KXLF will allow Scripps to continue rebroadcasting the locally produced, network, and syndicated programming that KXLF airs to the terrain challenged area in and around Bozeman.</w:t>
      </w:r>
      <w:r>
        <w:rPr>
          <w:sz w:val="22"/>
          <w:szCs w:val="22"/>
        </w:rPr>
        <w:t>”</w:t>
      </w:r>
      <w:r>
        <w:rPr>
          <w:rStyle w:val="FootnoteReference"/>
          <w:szCs w:val="22"/>
        </w:rPr>
        <w:footnoteReference w:id="5"/>
      </w:r>
      <w:r>
        <w:rPr>
          <w:sz w:val="22"/>
          <w:szCs w:val="22"/>
        </w:rPr>
        <w:t xml:space="preserve"> </w:t>
      </w:r>
    </w:p>
    <w:p w:rsidR="008B204D" w:rsidRPr="008B204D" w:rsidP="008B204D" w14:paraId="07DEDA59" w14:textId="380FD82B">
      <w:pPr>
        <w:spacing w:after="220"/>
        <w:ind w:firstLine="720"/>
        <w:rPr>
          <w:sz w:val="22"/>
          <w:szCs w:val="22"/>
        </w:rPr>
      </w:pPr>
      <w:r>
        <w:rPr>
          <w:sz w:val="22"/>
          <w:szCs w:val="22"/>
        </w:rPr>
        <w:t>Applying the satellite authorization rules</w:t>
      </w:r>
      <w:r w:rsidR="00A63A0A">
        <w:rPr>
          <w:sz w:val="22"/>
          <w:szCs w:val="22"/>
        </w:rPr>
        <w:t xml:space="preserve"> that are currently in</w:t>
      </w:r>
      <w:r w:rsidR="00E143A3">
        <w:rPr>
          <w:sz w:val="22"/>
          <w:szCs w:val="22"/>
        </w:rPr>
        <w:t xml:space="preserve"> place, </w:t>
      </w:r>
      <w:r>
        <w:rPr>
          <w:sz w:val="22"/>
          <w:szCs w:val="22"/>
        </w:rPr>
        <w:t xml:space="preserve">we </w:t>
      </w:r>
      <w:r>
        <w:rPr>
          <w:sz w:val="22"/>
          <w:szCs w:val="22"/>
        </w:rPr>
        <w:t>find that the Transfer Applicants have satisfied the requirements</w:t>
      </w:r>
      <w:r w:rsidR="00A9524E">
        <w:rPr>
          <w:sz w:val="22"/>
          <w:szCs w:val="22"/>
        </w:rPr>
        <w:t xml:space="preserve"> </w:t>
      </w:r>
      <w:r w:rsidR="008F1281">
        <w:rPr>
          <w:sz w:val="22"/>
          <w:szCs w:val="22"/>
        </w:rPr>
        <w:t xml:space="preserve">to permit </w:t>
      </w:r>
      <w:r w:rsidR="00226BAB">
        <w:rPr>
          <w:sz w:val="22"/>
          <w:szCs w:val="22"/>
        </w:rPr>
        <w:t xml:space="preserve">continued authorization </w:t>
      </w:r>
      <w:r>
        <w:rPr>
          <w:sz w:val="22"/>
          <w:szCs w:val="22"/>
        </w:rPr>
        <w:t xml:space="preserve">of KBZK </w:t>
      </w:r>
      <w:r w:rsidR="009F63E7">
        <w:rPr>
          <w:sz w:val="22"/>
          <w:szCs w:val="22"/>
        </w:rPr>
        <w:t xml:space="preserve">to operate </w:t>
      </w:r>
      <w:r>
        <w:rPr>
          <w:sz w:val="22"/>
          <w:szCs w:val="22"/>
        </w:rPr>
        <w:t>as a satellite of KXLF-TV</w:t>
      </w:r>
      <w:r w:rsidR="0019546E">
        <w:rPr>
          <w:sz w:val="22"/>
          <w:szCs w:val="22"/>
        </w:rPr>
        <w:t>.</w:t>
      </w:r>
      <w:r>
        <w:rPr>
          <w:rStyle w:val="FootnoteReference"/>
          <w:szCs w:val="22"/>
        </w:rPr>
        <w:footnoteReference w:id="6"/>
      </w:r>
      <w:r>
        <w:rPr>
          <w:sz w:val="22"/>
          <w:szCs w:val="22"/>
        </w:rPr>
        <w:t xml:space="preserve">  </w:t>
      </w:r>
      <w:r w:rsidRPr="008B204D">
        <w:rPr>
          <w:sz w:val="22"/>
          <w:szCs w:val="22"/>
        </w:rPr>
        <w:t xml:space="preserve">In </w:t>
      </w:r>
      <w:r w:rsidRPr="008B204D">
        <w:rPr>
          <w:i/>
          <w:sz w:val="22"/>
          <w:szCs w:val="22"/>
        </w:rPr>
        <w:t>Television Satellite Stations</w:t>
      </w:r>
      <w:r w:rsidRPr="008B204D">
        <w:rPr>
          <w:sz w:val="22"/>
          <w:szCs w:val="22"/>
        </w:rPr>
        <w:t>,</w:t>
      </w:r>
      <w:r>
        <w:rPr>
          <w:sz w:val="22"/>
          <w:szCs w:val="22"/>
          <w:vertAlign w:val="superscript"/>
        </w:rPr>
        <w:footnoteReference w:id="7"/>
      </w:r>
      <w:r w:rsidRPr="008B204D">
        <w:rPr>
          <w:sz w:val="22"/>
          <w:szCs w:val="22"/>
        </w:rPr>
        <w:t xml:space="preserve"> the Commission stated that applicants seeking to </w:t>
      </w:r>
      <w:r w:rsidRPr="008B204D">
        <w:rPr>
          <w:sz w:val="22"/>
          <w:szCs w:val="22"/>
        </w:rPr>
        <w:t xml:space="preserve">transfer or assign a television satellite station are entitled to “presumptive” </w:t>
      </w:r>
      <w:r w:rsidR="00D75243">
        <w:rPr>
          <w:sz w:val="22"/>
          <w:szCs w:val="22"/>
        </w:rPr>
        <w:t xml:space="preserve">satellite </w:t>
      </w:r>
      <w:r w:rsidR="00185C1A">
        <w:rPr>
          <w:sz w:val="22"/>
          <w:szCs w:val="22"/>
        </w:rPr>
        <w:t>status</w:t>
      </w:r>
      <w:r w:rsidR="00AA37CD">
        <w:rPr>
          <w:sz w:val="22"/>
          <w:szCs w:val="22"/>
        </w:rPr>
        <w:t xml:space="preserve"> </w:t>
      </w:r>
      <w:r w:rsidRPr="008B204D">
        <w:rPr>
          <w:sz w:val="22"/>
          <w:szCs w:val="22"/>
        </w:rPr>
        <w:t>if the parent/satellite combination meets three criteria: (1) there is no City Grade overlap between the parent and the satellite; (</w:t>
      </w:r>
      <w:bookmarkStart w:id="2" w:name="SR;249"/>
      <w:bookmarkEnd w:id="2"/>
      <w:r w:rsidRPr="008B204D">
        <w:rPr>
          <w:sz w:val="22"/>
          <w:szCs w:val="22"/>
        </w:rPr>
        <w:t>2) the proposed satellite</w:t>
      </w:r>
      <w:bookmarkStart w:id="3" w:name="SR;253"/>
      <w:bookmarkEnd w:id="3"/>
      <w:r w:rsidRPr="008B204D">
        <w:rPr>
          <w:sz w:val="22"/>
          <w:szCs w:val="22"/>
        </w:rPr>
        <w:t xml:space="preserve"> would provide service to an underserved area; and (3) no alternative operator is ready and able to construct or to purchase and operate the satellite</w:t>
      </w:r>
      <w:bookmarkStart w:id="4" w:name="SR;278"/>
      <w:bookmarkEnd w:id="4"/>
      <w:r w:rsidRPr="008B204D">
        <w:rPr>
          <w:sz w:val="22"/>
          <w:szCs w:val="22"/>
        </w:rPr>
        <w:t xml:space="preserve"> as a full-service station.</w:t>
      </w:r>
      <w:r>
        <w:rPr>
          <w:sz w:val="22"/>
          <w:szCs w:val="22"/>
          <w:vertAlign w:val="superscript"/>
        </w:rPr>
        <w:footnoteReference w:id="8"/>
      </w:r>
      <w:r w:rsidRPr="008B204D">
        <w:rPr>
          <w:sz w:val="22"/>
          <w:szCs w:val="22"/>
        </w:rPr>
        <w:t xml:space="preserve">  If an applicant cannot qualify for the presumption, the Commission will evaluate the proposal on an </w:t>
      </w:r>
      <w:r w:rsidRPr="008B204D">
        <w:rPr>
          <w:i/>
          <w:sz w:val="22"/>
          <w:szCs w:val="22"/>
        </w:rPr>
        <w:t>ad hoc</w:t>
      </w:r>
      <w:r w:rsidRPr="008B204D">
        <w:rPr>
          <w:sz w:val="22"/>
          <w:szCs w:val="22"/>
        </w:rPr>
        <w:t xml:space="preserve"> basis and grant the application if there are compelling circumstances that warrant approval.</w:t>
      </w:r>
      <w:r>
        <w:rPr>
          <w:sz w:val="22"/>
          <w:szCs w:val="22"/>
          <w:vertAlign w:val="superscript"/>
        </w:rPr>
        <w:footnoteReference w:id="9"/>
      </w:r>
      <w:r w:rsidRPr="008B204D">
        <w:rPr>
          <w:sz w:val="22"/>
          <w:szCs w:val="22"/>
        </w:rPr>
        <w:t xml:space="preserve">  In the </w:t>
      </w:r>
      <w:r w:rsidRPr="008B204D">
        <w:rPr>
          <w:i/>
          <w:sz w:val="22"/>
          <w:szCs w:val="22"/>
        </w:rPr>
        <w:t>Quadrennial Report and Order</w:t>
      </w:r>
      <w:r w:rsidRPr="008B204D">
        <w:rPr>
          <w:sz w:val="22"/>
          <w:szCs w:val="22"/>
        </w:rPr>
        <w:t xml:space="preserve">, the Commission stated that there “is no digital counterpart to a station’s analog [C]ity [G]rade contour,” and “[a]ccordingly, consistent with case law developed after the digital transition, [the staff will] evaluate all future requests for new or continued satellite status on an </w:t>
      </w:r>
      <w:r w:rsidRPr="008B204D">
        <w:rPr>
          <w:i/>
          <w:sz w:val="22"/>
          <w:szCs w:val="22"/>
        </w:rPr>
        <w:t>ad hoc</w:t>
      </w:r>
      <w:r w:rsidRPr="008B204D">
        <w:rPr>
          <w:sz w:val="22"/>
          <w:szCs w:val="22"/>
        </w:rPr>
        <w:t xml:space="preserve"> basis.”</w:t>
      </w:r>
      <w:r>
        <w:rPr>
          <w:sz w:val="22"/>
          <w:szCs w:val="22"/>
          <w:vertAlign w:val="superscript"/>
        </w:rPr>
        <w:footnoteReference w:id="10"/>
      </w:r>
      <w:r w:rsidRPr="008B204D">
        <w:rPr>
          <w:sz w:val="22"/>
          <w:szCs w:val="22"/>
        </w:rPr>
        <w:t xml:space="preserve">  Therefore, criterion one is no longer relevant in the digital context.  The </w:t>
      </w:r>
      <w:r>
        <w:rPr>
          <w:sz w:val="22"/>
          <w:szCs w:val="22"/>
        </w:rPr>
        <w:t>Commission</w:t>
      </w:r>
      <w:r w:rsidRPr="008B204D">
        <w:rPr>
          <w:sz w:val="22"/>
          <w:szCs w:val="22"/>
        </w:rPr>
        <w:t xml:space="preserve"> granted</w:t>
      </w:r>
      <w:r>
        <w:rPr>
          <w:sz w:val="22"/>
          <w:szCs w:val="22"/>
        </w:rPr>
        <w:t xml:space="preserve"> </w:t>
      </w:r>
      <w:r w:rsidR="00D75243">
        <w:rPr>
          <w:sz w:val="22"/>
          <w:szCs w:val="22"/>
        </w:rPr>
        <w:t>satellite status to</w:t>
      </w:r>
      <w:r w:rsidR="00AA37CD">
        <w:rPr>
          <w:sz w:val="22"/>
          <w:szCs w:val="22"/>
        </w:rPr>
        <w:t xml:space="preserve"> </w:t>
      </w:r>
      <w:r>
        <w:rPr>
          <w:sz w:val="22"/>
          <w:szCs w:val="22"/>
        </w:rPr>
        <w:t>KBZK in 1993</w:t>
      </w:r>
      <w:r w:rsidRPr="008B204D">
        <w:rPr>
          <w:sz w:val="22"/>
          <w:szCs w:val="22"/>
        </w:rPr>
        <w:t>.</w:t>
      </w:r>
      <w:r>
        <w:rPr>
          <w:sz w:val="22"/>
          <w:szCs w:val="22"/>
          <w:vertAlign w:val="superscript"/>
        </w:rPr>
        <w:footnoteReference w:id="11"/>
      </w:r>
      <w:r w:rsidRPr="008B204D">
        <w:rPr>
          <w:sz w:val="22"/>
          <w:szCs w:val="22"/>
        </w:rPr>
        <w:t xml:space="preserve"> </w:t>
      </w:r>
    </w:p>
    <w:p w:rsidR="008B204D" w:rsidRPr="008B204D" w:rsidP="008B204D" w14:paraId="0B6B2BDA" w14:textId="77777777">
      <w:pPr>
        <w:spacing w:after="220"/>
        <w:ind w:firstLine="720"/>
        <w:rPr>
          <w:sz w:val="22"/>
          <w:szCs w:val="22"/>
        </w:rPr>
      </w:pPr>
      <w:r w:rsidRPr="008B204D">
        <w:rPr>
          <w:sz w:val="22"/>
          <w:szCs w:val="22"/>
        </w:rPr>
        <w:t>With regard to the second criterion of the three-prong traditional analysis, a proposed satellite serves an underserved area if either: (a) there are two or fewer full-service television stations licensed to the station’s community of license (the “transmission test”), or (b) 25% or more of the area within the satellite’s Grade B contour, but outside the parent station’s Grade B contour, is served by four or fewer services (the “reception test”).</w:t>
      </w:r>
      <w:r>
        <w:rPr>
          <w:sz w:val="22"/>
          <w:szCs w:val="22"/>
          <w:vertAlign w:val="superscript"/>
        </w:rPr>
        <w:footnoteReference w:id="12"/>
      </w:r>
      <w:r w:rsidRPr="008B204D">
        <w:rPr>
          <w:sz w:val="22"/>
          <w:szCs w:val="22"/>
        </w:rPr>
        <w:t xml:space="preserve">  As demonstrated by the</w:t>
      </w:r>
      <w:r w:rsidR="00275E81">
        <w:rPr>
          <w:sz w:val="22"/>
          <w:szCs w:val="22"/>
        </w:rPr>
        <w:t xml:space="preserve"> Transfer</w:t>
      </w:r>
      <w:r w:rsidRPr="008B204D">
        <w:rPr>
          <w:sz w:val="22"/>
          <w:szCs w:val="22"/>
        </w:rPr>
        <w:t xml:space="preserve"> Applicants, </w:t>
      </w:r>
      <w:r w:rsidR="00576339">
        <w:rPr>
          <w:sz w:val="22"/>
          <w:szCs w:val="22"/>
        </w:rPr>
        <w:t>KBZK</w:t>
      </w:r>
      <w:r w:rsidRPr="008B204D">
        <w:rPr>
          <w:sz w:val="22"/>
          <w:szCs w:val="22"/>
        </w:rPr>
        <w:t xml:space="preserve"> qualifies under the “transmission test,” since </w:t>
      </w:r>
      <w:r w:rsidR="001B1846">
        <w:rPr>
          <w:sz w:val="22"/>
          <w:szCs w:val="22"/>
        </w:rPr>
        <w:t>there is only one other</w:t>
      </w:r>
      <w:r w:rsidRPr="008B204D">
        <w:rPr>
          <w:sz w:val="22"/>
          <w:szCs w:val="22"/>
        </w:rPr>
        <w:t xml:space="preserve"> full-service station licensed to the community of </w:t>
      </w:r>
      <w:r w:rsidR="001B1846">
        <w:rPr>
          <w:sz w:val="22"/>
          <w:szCs w:val="22"/>
        </w:rPr>
        <w:t>Bozeman, Montana</w:t>
      </w:r>
      <w:r w:rsidR="0019546E">
        <w:rPr>
          <w:sz w:val="22"/>
          <w:szCs w:val="22"/>
        </w:rPr>
        <w:t xml:space="preserve"> --</w:t>
      </w:r>
      <w:r w:rsidR="001B1846">
        <w:rPr>
          <w:sz w:val="22"/>
          <w:szCs w:val="22"/>
        </w:rPr>
        <w:t xml:space="preserve"> non-commercial station KUSM-TV</w:t>
      </w:r>
      <w:r w:rsidRPr="008B204D">
        <w:rPr>
          <w:sz w:val="22"/>
          <w:szCs w:val="22"/>
        </w:rPr>
        <w:t>.</w:t>
      </w:r>
      <w:r>
        <w:rPr>
          <w:sz w:val="22"/>
          <w:szCs w:val="22"/>
          <w:vertAlign w:val="superscript"/>
        </w:rPr>
        <w:footnoteReference w:id="13"/>
      </w:r>
    </w:p>
    <w:p w:rsidR="008B204D" w:rsidRPr="008B204D" w:rsidP="004D1845" w14:paraId="297E016B" w14:textId="77777777">
      <w:pPr>
        <w:spacing w:after="220"/>
        <w:ind w:firstLine="720"/>
        <w:rPr>
          <w:sz w:val="22"/>
          <w:szCs w:val="22"/>
        </w:rPr>
      </w:pPr>
      <w:r w:rsidRPr="008B204D">
        <w:rPr>
          <w:sz w:val="22"/>
          <w:szCs w:val="22"/>
        </w:rPr>
        <w:t xml:space="preserve">To demonstrate compliance with the third criterion of the traditional analysis, the </w:t>
      </w:r>
      <w:r w:rsidR="00443AEC">
        <w:rPr>
          <w:sz w:val="22"/>
          <w:szCs w:val="22"/>
        </w:rPr>
        <w:t xml:space="preserve">transfer </w:t>
      </w:r>
      <w:r w:rsidRPr="008B204D">
        <w:rPr>
          <w:sz w:val="22"/>
          <w:szCs w:val="22"/>
        </w:rPr>
        <w:t xml:space="preserve">Applicants provide a letter from Mr. </w:t>
      </w:r>
      <w:r w:rsidR="001B1846">
        <w:rPr>
          <w:sz w:val="22"/>
          <w:szCs w:val="22"/>
        </w:rPr>
        <w:t>Louis G. Zachary, Jr., Managing Principal, Methuselah Advisors</w:t>
      </w:r>
      <w:r w:rsidRPr="008B204D">
        <w:rPr>
          <w:sz w:val="22"/>
          <w:szCs w:val="22"/>
        </w:rPr>
        <w:t xml:space="preserve">.  Mr. </w:t>
      </w:r>
      <w:r w:rsidR="001B1846">
        <w:rPr>
          <w:sz w:val="22"/>
          <w:szCs w:val="22"/>
        </w:rPr>
        <w:t>Zachar</w:t>
      </w:r>
      <w:r w:rsidRPr="008B204D">
        <w:rPr>
          <w:sz w:val="22"/>
          <w:szCs w:val="22"/>
        </w:rPr>
        <w:t xml:space="preserve">y states that </w:t>
      </w:r>
      <w:r w:rsidR="001B1846">
        <w:rPr>
          <w:sz w:val="22"/>
          <w:szCs w:val="22"/>
        </w:rPr>
        <w:t>he has years of experience in assi</w:t>
      </w:r>
      <w:r w:rsidR="00952BA0">
        <w:rPr>
          <w:sz w:val="22"/>
          <w:szCs w:val="22"/>
        </w:rPr>
        <w:t>s</w:t>
      </w:r>
      <w:r w:rsidR="001B1846">
        <w:rPr>
          <w:sz w:val="22"/>
          <w:szCs w:val="22"/>
        </w:rPr>
        <w:t>ting b</w:t>
      </w:r>
      <w:r w:rsidR="00952BA0">
        <w:rPr>
          <w:sz w:val="22"/>
          <w:szCs w:val="22"/>
        </w:rPr>
        <w:t>u</w:t>
      </w:r>
      <w:r w:rsidR="001B1846">
        <w:rPr>
          <w:sz w:val="22"/>
          <w:szCs w:val="22"/>
        </w:rPr>
        <w:t>yers and sellers of broadcast television properties.</w:t>
      </w:r>
      <w:r>
        <w:rPr>
          <w:sz w:val="22"/>
          <w:szCs w:val="22"/>
          <w:vertAlign w:val="superscript"/>
        </w:rPr>
        <w:footnoteReference w:id="14"/>
      </w:r>
      <w:r w:rsidRPr="008B204D">
        <w:rPr>
          <w:sz w:val="22"/>
          <w:szCs w:val="22"/>
        </w:rPr>
        <w:t xml:space="preserve">  Mr. </w:t>
      </w:r>
      <w:r w:rsidR="00993831">
        <w:rPr>
          <w:sz w:val="22"/>
          <w:szCs w:val="22"/>
        </w:rPr>
        <w:t>Zachar</w:t>
      </w:r>
      <w:r w:rsidRPr="008B204D">
        <w:rPr>
          <w:sz w:val="22"/>
          <w:szCs w:val="22"/>
        </w:rPr>
        <w:t xml:space="preserve">y states that </w:t>
      </w:r>
      <w:r w:rsidR="000F2A93">
        <w:rPr>
          <w:sz w:val="22"/>
          <w:szCs w:val="22"/>
        </w:rPr>
        <w:t xml:space="preserve">during </w:t>
      </w:r>
      <w:r w:rsidR="0019546E">
        <w:rPr>
          <w:sz w:val="22"/>
          <w:szCs w:val="22"/>
        </w:rPr>
        <w:t>his firm’</w:t>
      </w:r>
      <w:r w:rsidR="000F2A93">
        <w:rPr>
          <w:sz w:val="22"/>
          <w:szCs w:val="22"/>
        </w:rPr>
        <w:t>s extensive open marketing process on behalf of Cordillera, it received no expression of interest for KBZK as a stand-alone operation.  He further explains that this lack of interest was expected because a licensee’s ability to serve both of the market’s distinct population centers, Butte and Bozeman, is critical to any station</w:t>
      </w:r>
      <w:r w:rsidR="0019546E">
        <w:rPr>
          <w:sz w:val="22"/>
          <w:szCs w:val="22"/>
        </w:rPr>
        <w:t>’</w:t>
      </w:r>
      <w:r w:rsidR="000F2A93">
        <w:rPr>
          <w:sz w:val="22"/>
          <w:szCs w:val="22"/>
        </w:rPr>
        <w:t>s success, but KBZK’s over-the-air signal does not re</w:t>
      </w:r>
      <w:r w:rsidR="00032955">
        <w:rPr>
          <w:sz w:val="22"/>
          <w:szCs w:val="22"/>
        </w:rPr>
        <w:t>a</w:t>
      </w:r>
      <w:r w:rsidR="000F2A93">
        <w:rPr>
          <w:sz w:val="22"/>
          <w:szCs w:val="22"/>
        </w:rPr>
        <w:t xml:space="preserve">ch Butte – which is 75 miles away </w:t>
      </w:r>
      <w:r w:rsidR="0019546E">
        <w:rPr>
          <w:sz w:val="22"/>
          <w:szCs w:val="22"/>
        </w:rPr>
        <w:t xml:space="preserve">from Bozeman </w:t>
      </w:r>
      <w:r w:rsidR="000F2A93">
        <w:rPr>
          <w:sz w:val="22"/>
          <w:szCs w:val="22"/>
        </w:rPr>
        <w:t>over rugged terrain.</w:t>
      </w:r>
      <w:r>
        <w:rPr>
          <w:rStyle w:val="FootnoteReference"/>
          <w:szCs w:val="22"/>
        </w:rPr>
        <w:footnoteReference w:id="15"/>
      </w:r>
      <w:r w:rsidR="000F2A93">
        <w:rPr>
          <w:sz w:val="22"/>
          <w:szCs w:val="22"/>
        </w:rPr>
        <w:t xml:space="preserve"> </w:t>
      </w:r>
      <w:r w:rsidRPr="008B204D">
        <w:rPr>
          <w:sz w:val="22"/>
          <w:szCs w:val="22"/>
        </w:rPr>
        <w:t xml:space="preserve"> Moreover, Mr. Levy represents that were </w:t>
      </w:r>
      <w:r w:rsidR="004D1845">
        <w:rPr>
          <w:sz w:val="22"/>
          <w:szCs w:val="22"/>
        </w:rPr>
        <w:t>KBZK</w:t>
      </w:r>
      <w:r w:rsidRPr="008B204D">
        <w:rPr>
          <w:sz w:val="22"/>
          <w:szCs w:val="22"/>
        </w:rPr>
        <w:t xml:space="preserve"> not a satellite station, it would no longer have access to K</w:t>
      </w:r>
      <w:r w:rsidR="004D1845">
        <w:rPr>
          <w:sz w:val="22"/>
          <w:szCs w:val="22"/>
        </w:rPr>
        <w:t>XLF-TV</w:t>
      </w:r>
      <w:r w:rsidRPr="008B204D">
        <w:rPr>
          <w:sz w:val="22"/>
          <w:szCs w:val="22"/>
        </w:rPr>
        <w:t xml:space="preserve">’s </w:t>
      </w:r>
      <w:r w:rsidR="004D1845">
        <w:rPr>
          <w:sz w:val="22"/>
          <w:szCs w:val="22"/>
        </w:rPr>
        <w:t>CBS</w:t>
      </w:r>
      <w:r w:rsidRPr="008B204D">
        <w:rPr>
          <w:sz w:val="22"/>
          <w:szCs w:val="22"/>
        </w:rPr>
        <w:t xml:space="preserve"> programming and would </w:t>
      </w:r>
      <w:r w:rsidR="004D1845">
        <w:rPr>
          <w:sz w:val="22"/>
          <w:szCs w:val="22"/>
        </w:rPr>
        <w:t>have to find alternate programing of sufficient interest to support advertising sales.  Since each of the t</w:t>
      </w:r>
      <w:r w:rsidR="0012012C">
        <w:rPr>
          <w:sz w:val="22"/>
          <w:szCs w:val="22"/>
        </w:rPr>
        <w:t>op</w:t>
      </w:r>
      <w:r w:rsidR="004D1845">
        <w:rPr>
          <w:sz w:val="22"/>
          <w:szCs w:val="22"/>
        </w:rPr>
        <w:t xml:space="preserve"> networks already has an affiliate in the market, KBZK’s owner </w:t>
      </w:r>
      <w:r w:rsidR="004D1845">
        <w:rPr>
          <w:sz w:val="22"/>
          <w:szCs w:val="22"/>
        </w:rPr>
        <w:t>would</w:t>
      </w:r>
      <w:r w:rsidR="0019546E">
        <w:rPr>
          <w:sz w:val="22"/>
          <w:szCs w:val="22"/>
        </w:rPr>
        <w:t xml:space="preserve"> likely</w:t>
      </w:r>
      <w:r w:rsidR="004D1845">
        <w:rPr>
          <w:sz w:val="22"/>
          <w:szCs w:val="22"/>
        </w:rPr>
        <w:t xml:space="preserve"> face insurmountable challenges to acquire programming that is of interest to viewers in the market.  According to Mr. Zachary, without popular programming KBZK would not attract the audience needed to capture sufficient advertising or retransmission consent revenues to operate the station and would likely lose its news product.</w:t>
      </w:r>
      <w:r>
        <w:rPr>
          <w:sz w:val="22"/>
          <w:szCs w:val="22"/>
          <w:vertAlign w:val="superscript"/>
        </w:rPr>
        <w:footnoteReference w:id="16"/>
      </w:r>
    </w:p>
    <w:p w:rsidR="008B204D" w:rsidRPr="008B204D" w:rsidP="008B204D" w14:paraId="62093AB0" w14:textId="57BE17F4">
      <w:pPr>
        <w:spacing w:after="220"/>
        <w:ind w:firstLine="720"/>
        <w:rPr>
          <w:sz w:val="22"/>
          <w:szCs w:val="22"/>
        </w:rPr>
      </w:pPr>
      <w:r w:rsidRPr="008B204D">
        <w:rPr>
          <w:sz w:val="22"/>
          <w:szCs w:val="22"/>
        </w:rPr>
        <w:t xml:space="preserve">We find that the </w:t>
      </w:r>
      <w:r w:rsidR="004D1845">
        <w:rPr>
          <w:sz w:val="22"/>
          <w:szCs w:val="22"/>
        </w:rPr>
        <w:t xml:space="preserve">Transfer </w:t>
      </w:r>
      <w:r w:rsidRPr="008B204D">
        <w:rPr>
          <w:sz w:val="22"/>
          <w:szCs w:val="22"/>
        </w:rPr>
        <w:t xml:space="preserve">Applicants have set forth information sufficient to warrant continued satellite status for </w:t>
      </w:r>
      <w:r w:rsidR="004D1845">
        <w:rPr>
          <w:sz w:val="22"/>
          <w:szCs w:val="22"/>
        </w:rPr>
        <w:t>KBZK</w:t>
      </w:r>
      <w:r w:rsidRPr="008B204D">
        <w:rPr>
          <w:sz w:val="22"/>
          <w:szCs w:val="22"/>
        </w:rPr>
        <w:t xml:space="preserve"> pursuant to our </w:t>
      </w:r>
      <w:r w:rsidRPr="008B204D">
        <w:rPr>
          <w:i/>
          <w:sz w:val="22"/>
          <w:szCs w:val="22"/>
        </w:rPr>
        <w:t>ad hoc</w:t>
      </w:r>
      <w:r w:rsidRPr="008B204D">
        <w:rPr>
          <w:sz w:val="22"/>
          <w:szCs w:val="22"/>
        </w:rPr>
        <w:t xml:space="preserve"> analysis.  Given that </w:t>
      </w:r>
      <w:r w:rsidR="004D1845">
        <w:rPr>
          <w:sz w:val="22"/>
          <w:szCs w:val="22"/>
        </w:rPr>
        <w:t>KBZK</w:t>
      </w:r>
      <w:r w:rsidRPr="008B204D">
        <w:rPr>
          <w:sz w:val="22"/>
          <w:szCs w:val="22"/>
        </w:rPr>
        <w:t xml:space="preserve"> is the only full</w:t>
      </w:r>
      <w:r w:rsidRPr="008B204D">
        <w:rPr>
          <w:sz w:val="22"/>
          <w:szCs w:val="22"/>
        </w:rPr>
        <w:noBreakHyphen/>
        <w:t>power</w:t>
      </w:r>
      <w:r w:rsidR="004D1845">
        <w:rPr>
          <w:sz w:val="22"/>
          <w:szCs w:val="22"/>
        </w:rPr>
        <w:t xml:space="preserve"> commercial</w:t>
      </w:r>
      <w:r w:rsidRPr="008B204D">
        <w:rPr>
          <w:sz w:val="22"/>
          <w:szCs w:val="22"/>
        </w:rPr>
        <w:t xml:space="preserve"> television station in its community of license</w:t>
      </w:r>
      <w:r w:rsidR="004D1845">
        <w:rPr>
          <w:sz w:val="22"/>
          <w:szCs w:val="22"/>
        </w:rPr>
        <w:t xml:space="preserve"> and only one of two full power stations;</w:t>
      </w:r>
      <w:r w:rsidRPr="008B204D">
        <w:rPr>
          <w:sz w:val="22"/>
          <w:szCs w:val="22"/>
        </w:rPr>
        <w:t xml:space="preserve"> does not cover the major population centers in the DMA</w:t>
      </w:r>
      <w:r w:rsidR="004D1845">
        <w:rPr>
          <w:sz w:val="22"/>
          <w:szCs w:val="22"/>
        </w:rPr>
        <w:t>;</w:t>
      </w:r>
      <w:r w:rsidRPr="008B204D">
        <w:rPr>
          <w:sz w:val="22"/>
          <w:szCs w:val="22"/>
        </w:rPr>
        <w:t xml:space="preserve"> and would be costly to operate as a stand-alone station with little prospect for significant revenue, we find it unlikely that an alternative operator would be willing and able to purchase or operate the station as a stand-alone facility.  Moreover, </w:t>
      </w:r>
      <w:r w:rsidR="004D1845">
        <w:rPr>
          <w:sz w:val="22"/>
          <w:szCs w:val="22"/>
        </w:rPr>
        <w:t>KBZK</w:t>
      </w:r>
      <w:r w:rsidRPr="008B204D">
        <w:rPr>
          <w:sz w:val="22"/>
          <w:szCs w:val="22"/>
        </w:rPr>
        <w:t xml:space="preserve"> has operated as a satellite of K</w:t>
      </w:r>
      <w:r w:rsidR="00443AEC">
        <w:rPr>
          <w:sz w:val="22"/>
          <w:szCs w:val="22"/>
        </w:rPr>
        <w:t>XLF-TV</w:t>
      </w:r>
      <w:r w:rsidRPr="008B204D">
        <w:rPr>
          <w:sz w:val="22"/>
          <w:szCs w:val="22"/>
        </w:rPr>
        <w:t xml:space="preserve"> under Commission authority for more than </w:t>
      </w:r>
      <w:r w:rsidR="004D1845">
        <w:rPr>
          <w:sz w:val="22"/>
          <w:szCs w:val="22"/>
        </w:rPr>
        <w:t>25</w:t>
      </w:r>
      <w:r w:rsidRPr="008B204D">
        <w:rPr>
          <w:sz w:val="22"/>
          <w:szCs w:val="22"/>
        </w:rPr>
        <w:t xml:space="preserve"> years, and we see no evidence in the record that continuing the satellite exception will harm competition in that market</w:t>
      </w:r>
      <w:r w:rsidR="00185C1A">
        <w:rPr>
          <w:sz w:val="22"/>
          <w:szCs w:val="22"/>
        </w:rPr>
        <w:t>, or that the factors underlying the most recent grant of satellite status has materially changed</w:t>
      </w:r>
      <w:r w:rsidRPr="008B204D">
        <w:rPr>
          <w:sz w:val="22"/>
          <w:szCs w:val="22"/>
        </w:rPr>
        <w:t>.</w:t>
      </w:r>
    </w:p>
    <w:p w:rsidR="00303867" w:rsidRPr="001E5D5D" w:rsidP="00A05565" w14:paraId="171D6375" w14:textId="52E4AB2F">
      <w:pPr>
        <w:spacing w:after="220"/>
        <w:ind w:firstLine="720"/>
        <w:rPr>
          <w:sz w:val="22"/>
          <w:szCs w:val="22"/>
        </w:rPr>
      </w:pPr>
      <w:r>
        <w:rPr>
          <w:sz w:val="22"/>
          <w:szCs w:val="22"/>
          <w:lang w:val="x-none"/>
        </w:rPr>
        <w:t>H</w:t>
      </w:r>
      <w:r w:rsidR="00A003D0">
        <w:rPr>
          <w:sz w:val="22"/>
          <w:szCs w:val="22"/>
          <w:lang w:val="x-none"/>
        </w:rPr>
        <w:t xml:space="preserve">aving reviewed the </w:t>
      </w:r>
      <w:r w:rsidR="004D1845">
        <w:rPr>
          <w:sz w:val="22"/>
          <w:szCs w:val="22"/>
        </w:rPr>
        <w:t xml:space="preserve">Transfer </w:t>
      </w:r>
      <w:r w:rsidR="009C5493">
        <w:rPr>
          <w:sz w:val="22"/>
          <w:szCs w:val="22"/>
        </w:rPr>
        <w:t>A</w:t>
      </w:r>
      <w:r w:rsidR="00A003D0">
        <w:rPr>
          <w:sz w:val="22"/>
          <w:szCs w:val="22"/>
          <w:lang w:val="x-none"/>
        </w:rPr>
        <w:t>pplication</w:t>
      </w:r>
      <w:r w:rsidR="004D1845">
        <w:rPr>
          <w:sz w:val="22"/>
          <w:szCs w:val="22"/>
        </w:rPr>
        <w:t>s</w:t>
      </w:r>
      <w:r w:rsidR="00A003D0">
        <w:rPr>
          <w:sz w:val="22"/>
          <w:szCs w:val="22"/>
          <w:lang w:val="x-none"/>
        </w:rPr>
        <w:t xml:space="preserve"> </w:t>
      </w:r>
      <w:r w:rsidRPr="0008625F">
        <w:rPr>
          <w:sz w:val="22"/>
          <w:szCs w:val="22"/>
          <w:lang w:val="x-none"/>
        </w:rPr>
        <w:t>and other facts before us, we conclude that, not onl</w:t>
      </w:r>
      <w:r w:rsidRPr="0008625F" w:rsidR="0008625F">
        <w:rPr>
          <w:sz w:val="22"/>
          <w:szCs w:val="22"/>
          <w:lang w:val="x-none"/>
        </w:rPr>
        <w:t>y will grant</w:t>
      </w:r>
      <w:r w:rsidR="00A05565">
        <w:rPr>
          <w:sz w:val="22"/>
          <w:szCs w:val="22"/>
        </w:rPr>
        <w:t>ing</w:t>
      </w:r>
      <w:r w:rsidRPr="0008625F" w:rsidR="0008625F">
        <w:rPr>
          <w:sz w:val="22"/>
          <w:szCs w:val="22"/>
          <w:lang w:val="x-none"/>
        </w:rPr>
        <w:t xml:space="preserve"> </w:t>
      </w:r>
      <w:r w:rsidR="004D1845">
        <w:rPr>
          <w:sz w:val="22"/>
          <w:szCs w:val="22"/>
        </w:rPr>
        <w:t>these applications</w:t>
      </w:r>
      <w:r w:rsidR="00464C1F">
        <w:rPr>
          <w:sz w:val="22"/>
          <w:szCs w:val="22"/>
        </w:rPr>
        <w:t xml:space="preserve"> and </w:t>
      </w:r>
      <w:r w:rsidRPr="0008625F" w:rsidR="0008625F">
        <w:rPr>
          <w:sz w:val="22"/>
          <w:szCs w:val="22"/>
          <w:lang w:val="x-none"/>
        </w:rPr>
        <w:t xml:space="preserve">the </w:t>
      </w:r>
      <w:r w:rsidR="0055017A">
        <w:rPr>
          <w:sz w:val="22"/>
          <w:szCs w:val="22"/>
        </w:rPr>
        <w:t xml:space="preserve">request for </w:t>
      </w:r>
      <w:r w:rsidR="004D1845">
        <w:rPr>
          <w:sz w:val="22"/>
          <w:szCs w:val="22"/>
        </w:rPr>
        <w:t xml:space="preserve">satellite exemption </w:t>
      </w:r>
      <w:r w:rsidR="0055017A">
        <w:rPr>
          <w:sz w:val="22"/>
          <w:szCs w:val="22"/>
        </w:rPr>
        <w:t>reauthorization</w:t>
      </w:r>
      <w:r w:rsidRPr="0008625F" w:rsidR="0055017A">
        <w:rPr>
          <w:sz w:val="22"/>
          <w:szCs w:val="22"/>
          <w:lang w:val="x-none"/>
        </w:rPr>
        <w:t xml:space="preserve"> </w:t>
      </w:r>
      <w:r w:rsidRPr="0008625F">
        <w:rPr>
          <w:sz w:val="22"/>
          <w:szCs w:val="22"/>
          <w:lang w:val="x-none"/>
        </w:rPr>
        <w:t>comply with Commission rules, but will</w:t>
      </w:r>
      <w:r w:rsidR="00A05565">
        <w:rPr>
          <w:sz w:val="22"/>
          <w:szCs w:val="22"/>
        </w:rPr>
        <w:t xml:space="preserve"> also</w:t>
      </w:r>
      <w:r w:rsidRPr="0008625F">
        <w:rPr>
          <w:sz w:val="22"/>
          <w:szCs w:val="22"/>
          <w:lang w:val="x-none"/>
        </w:rPr>
        <w:t xml:space="preserve"> serve the public interest, convenience, and necessity.</w:t>
      </w:r>
      <w:r w:rsidR="00CA4CF8">
        <w:rPr>
          <w:sz w:val="22"/>
          <w:szCs w:val="22"/>
        </w:rPr>
        <w:t xml:space="preserve">  </w:t>
      </w:r>
      <w:r w:rsidR="001E5D5D">
        <w:rPr>
          <w:sz w:val="22"/>
          <w:szCs w:val="22"/>
        </w:rPr>
        <w:t xml:space="preserve">We also conclude that granting the Assignment Application </w:t>
      </w:r>
      <w:r w:rsidRPr="0008625F" w:rsidR="001E5D5D">
        <w:rPr>
          <w:sz w:val="22"/>
          <w:szCs w:val="22"/>
          <w:lang w:val="x-none"/>
        </w:rPr>
        <w:t>will</w:t>
      </w:r>
      <w:r w:rsidR="001E5D5D">
        <w:rPr>
          <w:sz w:val="22"/>
          <w:szCs w:val="22"/>
        </w:rPr>
        <w:t xml:space="preserve"> </w:t>
      </w:r>
      <w:r w:rsidRPr="0008625F" w:rsidR="001E5D5D">
        <w:rPr>
          <w:sz w:val="22"/>
          <w:szCs w:val="22"/>
          <w:lang w:val="x-none"/>
        </w:rPr>
        <w:t>serve the public interest, convenience, and necessity</w:t>
      </w:r>
      <w:r w:rsidR="001E5D5D">
        <w:rPr>
          <w:sz w:val="22"/>
          <w:szCs w:val="22"/>
        </w:rPr>
        <w:t>.</w:t>
      </w:r>
      <w:r>
        <w:rPr>
          <w:rStyle w:val="FootnoteReference"/>
          <w:szCs w:val="22"/>
          <w:lang w:val="x-none"/>
        </w:rPr>
        <w:footnoteReference w:id="17"/>
      </w:r>
    </w:p>
    <w:p w:rsidR="00464C1F" w:rsidP="00464C1F" w14:paraId="5D7D3A19" w14:textId="61AC1DF2">
      <w:pPr>
        <w:suppressAutoHyphens/>
        <w:spacing w:line="227" w:lineRule="auto"/>
        <w:rPr>
          <w:sz w:val="22"/>
          <w:szCs w:val="22"/>
        </w:rPr>
      </w:pPr>
      <w:r w:rsidRPr="0008625F">
        <w:rPr>
          <w:sz w:val="24"/>
          <w:szCs w:val="24"/>
        </w:rPr>
        <w:tab/>
      </w:r>
      <w:r w:rsidRPr="00717267">
        <w:rPr>
          <w:b/>
          <w:sz w:val="22"/>
          <w:szCs w:val="22"/>
        </w:rPr>
        <w:t>ACCORDINGLY, IT IS ORDERED</w:t>
      </w:r>
      <w:r>
        <w:rPr>
          <w:sz w:val="22"/>
          <w:szCs w:val="22"/>
        </w:rPr>
        <w:t xml:space="preserve">, pursuant to </w:t>
      </w:r>
      <w:r w:rsidR="00C778B0">
        <w:rPr>
          <w:sz w:val="22"/>
          <w:szCs w:val="22"/>
        </w:rPr>
        <w:t xml:space="preserve">section </w:t>
      </w:r>
      <w:r>
        <w:rPr>
          <w:sz w:val="22"/>
          <w:szCs w:val="22"/>
        </w:rPr>
        <w:t>154(</w:t>
      </w:r>
      <w:r>
        <w:rPr>
          <w:sz w:val="22"/>
          <w:szCs w:val="22"/>
        </w:rPr>
        <w:t>i</w:t>
      </w:r>
      <w:r>
        <w:rPr>
          <w:sz w:val="22"/>
          <w:szCs w:val="22"/>
        </w:rPr>
        <w:t>) of the Communications Act, as amended,</w:t>
      </w:r>
      <w:r>
        <w:rPr>
          <w:rStyle w:val="FootnoteReference"/>
          <w:szCs w:val="22"/>
        </w:rPr>
        <w:footnoteReference w:id="18"/>
      </w:r>
      <w:r>
        <w:rPr>
          <w:sz w:val="22"/>
          <w:szCs w:val="22"/>
        </w:rPr>
        <w:t xml:space="preserve"> and by the authority delegated by </w:t>
      </w:r>
      <w:r w:rsidR="00C778B0">
        <w:rPr>
          <w:sz w:val="22"/>
          <w:szCs w:val="22"/>
        </w:rPr>
        <w:t>s</w:t>
      </w:r>
      <w:r>
        <w:rPr>
          <w:sz w:val="22"/>
          <w:szCs w:val="22"/>
        </w:rPr>
        <w:t>ections 0.61 and 0.283 of the Commission’s rules,</w:t>
      </w:r>
      <w:r>
        <w:rPr>
          <w:rStyle w:val="FootnoteReference"/>
          <w:szCs w:val="22"/>
        </w:rPr>
        <w:footnoteReference w:id="19"/>
      </w:r>
      <w:r>
        <w:rPr>
          <w:sz w:val="22"/>
          <w:szCs w:val="22"/>
        </w:rPr>
        <w:t xml:space="preserve"> t</w:t>
      </w:r>
      <w:r w:rsidRPr="00B519FB">
        <w:rPr>
          <w:sz w:val="22"/>
          <w:szCs w:val="22"/>
        </w:rPr>
        <w:t>hat the above-referenced application</w:t>
      </w:r>
      <w:r w:rsidR="001E5D5D">
        <w:rPr>
          <w:sz w:val="22"/>
          <w:szCs w:val="22"/>
        </w:rPr>
        <w:t>s</w:t>
      </w:r>
      <w:r w:rsidRPr="00B519FB">
        <w:rPr>
          <w:sz w:val="22"/>
          <w:szCs w:val="22"/>
        </w:rPr>
        <w:t xml:space="preserve"> for consent to </w:t>
      </w:r>
      <w:r>
        <w:rPr>
          <w:sz w:val="22"/>
          <w:szCs w:val="22"/>
        </w:rPr>
        <w:t>transfer control of</w:t>
      </w:r>
      <w:r w:rsidRPr="00B519FB">
        <w:rPr>
          <w:sz w:val="22"/>
          <w:szCs w:val="22"/>
        </w:rPr>
        <w:t xml:space="preserve"> the licenses of </w:t>
      </w:r>
      <w:r w:rsidR="001E5D5D">
        <w:rPr>
          <w:sz w:val="22"/>
          <w:szCs w:val="22"/>
        </w:rPr>
        <w:t>1</w:t>
      </w:r>
      <w:r w:rsidR="0019546E">
        <w:rPr>
          <w:sz w:val="22"/>
          <w:szCs w:val="22"/>
        </w:rPr>
        <w:t>1</w:t>
      </w:r>
      <w:r>
        <w:rPr>
          <w:sz w:val="22"/>
          <w:szCs w:val="22"/>
        </w:rPr>
        <w:t xml:space="preserve"> stations from </w:t>
      </w:r>
      <w:r w:rsidR="001E5D5D">
        <w:rPr>
          <w:snapToGrid w:val="0"/>
          <w:spacing w:val="-2"/>
          <w:sz w:val="22"/>
          <w:szCs w:val="22"/>
        </w:rPr>
        <w:t>Cordillera Communications,</w:t>
      </w:r>
      <w:r>
        <w:rPr>
          <w:snapToGrid w:val="0"/>
          <w:spacing w:val="-2"/>
          <w:sz w:val="22"/>
          <w:szCs w:val="22"/>
        </w:rPr>
        <w:t xml:space="preserve"> LLC </w:t>
      </w:r>
      <w:r>
        <w:rPr>
          <w:sz w:val="22"/>
          <w:szCs w:val="22"/>
        </w:rPr>
        <w:t>to S</w:t>
      </w:r>
      <w:r w:rsidR="001E5D5D">
        <w:rPr>
          <w:sz w:val="22"/>
          <w:szCs w:val="22"/>
        </w:rPr>
        <w:t xml:space="preserve">cripps Media, Inc. </w:t>
      </w:r>
      <w:r w:rsidRPr="00B519FB">
        <w:rPr>
          <w:sz w:val="22"/>
          <w:szCs w:val="22"/>
        </w:rPr>
        <w:t>(</w:t>
      </w:r>
      <w:r w:rsidRPr="00717267">
        <w:rPr>
          <w:sz w:val="22"/>
          <w:szCs w:val="22"/>
        </w:rPr>
        <w:t>File N</w:t>
      </w:r>
      <w:r w:rsidR="00C53BA6">
        <w:rPr>
          <w:sz w:val="22"/>
          <w:szCs w:val="22"/>
        </w:rPr>
        <w:t>o</w:t>
      </w:r>
      <w:r w:rsidR="001E5D5D">
        <w:rPr>
          <w:sz w:val="22"/>
          <w:szCs w:val="22"/>
        </w:rPr>
        <w:t>s</w:t>
      </w:r>
      <w:r w:rsidR="00C53BA6">
        <w:rPr>
          <w:sz w:val="22"/>
          <w:szCs w:val="22"/>
        </w:rPr>
        <w:t>.</w:t>
      </w:r>
      <w:r w:rsidR="001E5D5D">
        <w:rPr>
          <w:sz w:val="22"/>
          <w:szCs w:val="22"/>
        </w:rPr>
        <w:t xml:space="preserve"> </w:t>
      </w:r>
      <w:r w:rsidRPr="00180E8F" w:rsidR="001E5D5D">
        <w:rPr>
          <w:sz w:val="22"/>
          <w:szCs w:val="22"/>
        </w:rPr>
        <w:t>BTCCDT-20181109AAK, AAM, AAN, AAR, AAU, AAY, ABC, ABE, ABF, ABG, ABP</w:t>
      </w:r>
      <w:r w:rsidRPr="00717267">
        <w:rPr>
          <w:sz w:val="22"/>
          <w:szCs w:val="22"/>
        </w:rPr>
        <w:t>)</w:t>
      </w:r>
      <w:r>
        <w:rPr>
          <w:sz w:val="22"/>
          <w:szCs w:val="22"/>
        </w:rPr>
        <w:t xml:space="preserve"> </w:t>
      </w:r>
      <w:r w:rsidR="00C53BA6">
        <w:rPr>
          <w:b/>
          <w:sz w:val="22"/>
          <w:szCs w:val="22"/>
        </w:rPr>
        <w:t xml:space="preserve">ARE </w:t>
      </w:r>
      <w:r w:rsidRPr="00717267">
        <w:rPr>
          <w:b/>
          <w:sz w:val="22"/>
          <w:szCs w:val="22"/>
        </w:rPr>
        <w:t>GRANTED</w:t>
      </w:r>
      <w:r w:rsidRPr="00443AEC" w:rsidR="00443AEC">
        <w:rPr>
          <w:snapToGrid w:val="0"/>
          <w:spacing w:val="-2"/>
          <w:sz w:val="22"/>
          <w:szCs w:val="22"/>
        </w:rPr>
        <w:t xml:space="preserve">, conditioned upon </w:t>
      </w:r>
      <w:r w:rsidR="00185C1A">
        <w:rPr>
          <w:snapToGrid w:val="0"/>
          <w:spacing w:val="-2"/>
          <w:sz w:val="22"/>
          <w:szCs w:val="22"/>
        </w:rPr>
        <w:t xml:space="preserve">prior and/or concurrent </w:t>
      </w:r>
      <w:r w:rsidRPr="00443AEC" w:rsidR="00443AEC">
        <w:rPr>
          <w:snapToGrid w:val="0"/>
          <w:spacing w:val="-2"/>
          <w:sz w:val="22"/>
          <w:szCs w:val="22"/>
        </w:rPr>
        <w:t>consummation of</w:t>
      </w:r>
      <w:r w:rsidR="00443AEC">
        <w:rPr>
          <w:snapToGrid w:val="0"/>
          <w:spacing w:val="-2"/>
          <w:sz w:val="22"/>
          <w:szCs w:val="22"/>
        </w:rPr>
        <w:t xml:space="preserve"> </w:t>
      </w:r>
      <w:r w:rsidR="008F5252">
        <w:rPr>
          <w:snapToGrid w:val="0"/>
          <w:spacing w:val="-2"/>
          <w:sz w:val="22"/>
          <w:szCs w:val="22"/>
        </w:rPr>
        <w:t>the sale of KVOA(TV), Tucson, Arizona</w:t>
      </w:r>
      <w:r>
        <w:rPr>
          <w:sz w:val="22"/>
          <w:szCs w:val="22"/>
        </w:rPr>
        <w:t>.</w:t>
      </w:r>
    </w:p>
    <w:p w:rsidR="00464C1F" w:rsidP="00464C1F" w14:paraId="282AAC92" w14:textId="77777777">
      <w:pPr>
        <w:suppressAutoHyphens/>
        <w:spacing w:line="227" w:lineRule="auto"/>
        <w:ind w:firstLine="720"/>
        <w:rPr>
          <w:b/>
          <w:sz w:val="22"/>
          <w:szCs w:val="22"/>
        </w:rPr>
      </w:pPr>
    </w:p>
    <w:p w:rsidR="00464C1F" w:rsidRPr="0008625F" w:rsidP="00464C1F" w14:paraId="082B2E91" w14:textId="2305BB36">
      <w:pPr>
        <w:suppressAutoHyphens/>
        <w:spacing w:line="227" w:lineRule="auto"/>
        <w:ind w:firstLine="720"/>
        <w:rPr>
          <w:sz w:val="22"/>
          <w:szCs w:val="22"/>
        </w:rPr>
      </w:pPr>
      <w:r w:rsidRPr="00717267">
        <w:rPr>
          <w:b/>
          <w:sz w:val="22"/>
          <w:szCs w:val="22"/>
        </w:rPr>
        <w:t>IT IS FURTHER ORDERED</w:t>
      </w:r>
      <w:r>
        <w:rPr>
          <w:sz w:val="22"/>
          <w:szCs w:val="22"/>
        </w:rPr>
        <w:t>, t</w:t>
      </w:r>
      <w:r w:rsidRPr="0008625F">
        <w:rPr>
          <w:sz w:val="22"/>
          <w:szCs w:val="22"/>
        </w:rPr>
        <w:t xml:space="preserve">hat the request for the continued operation of </w:t>
      </w:r>
      <w:r w:rsidRPr="0008625F">
        <w:rPr>
          <w:snapToGrid w:val="0"/>
          <w:spacing w:val="-2"/>
          <w:sz w:val="22"/>
          <w:szCs w:val="22"/>
        </w:rPr>
        <w:t>station</w:t>
      </w:r>
      <w:r>
        <w:rPr>
          <w:snapToGrid w:val="0"/>
          <w:spacing w:val="-2"/>
          <w:sz w:val="22"/>
          <w:szCs w:val="22"/>
        </w:rPr>
        <w:t xml:space="preserve"> </w:t>
      </w:r>
      <w:r w:rsidR="001E5D5D">
        <w:rPr>
          <w:snapToGrid w:val="0"/>
          <w:spacing w:val="-2"/>
          <w:sz w:val="22"/>
          <w:szCs w:val="22"/>
        </w:rPr>
        <w:t>KBZK</w:t>
      </w:r>
      <w:r w:rsidR="00443AEC">
        <w:rPr>
          <w:snapToGrid w:val="0"/>
          <w:spacing w:val="-2"/>
          <w:sz w:val="22"/>
          <w:szCs w:val="22"/>
        </w:rPr>
        <w:t>, Bozeman, Montana</w:t>
      </w:r>
      <w:r>
        <w:rPr>
          <w:snapToGrid w:val="0"/>
          <w:spacing w:val="-2"/>
          <w:sz w:val="22"/>
          <w:szCs w:val="22"/>
        </w:rPr>
        <w:t xml:space="preserve"> as a satellite of </w:t>
      </w:r>
      <w:r w:rsidR="001E5D5D">
        <w:rPr>
          <w:snapToGrid w:val="0"/>
          <w:spacing w:val="-2"/>
          <w:sz w:val="22"/>
          <w:szCs w:val="22"/>
        </w:rPr>
        <w:t>KXLF-T</w:t>
      </w:r>
      <w:r>
        <w:rPr>
          <w:snapToGrid w:val="0"/>
          <w:spacing w:val="-2"/>
          <w:sz w:val="22"/>
          <w:szCs w:val="22"/>
        </w:rPr>
        <w:t xml:space="preserve">V, </w:t>
      </w:r>
      <w:r w:rsidR="001E5D5D">
        <w:rPr>
          <w:snapToGrid w:val="0"/>
          <w:spacing w:val="-2"/>
          <w:sz w:val="22"/>
          <w:szCs w:val="22"/>
        </w:rPr>
        <w:t>Butte</w:t>
      </w:r>
      <w:r>
        <w:rPr>
          <w:snapToGrid w:val="0"/>
          <w:spacing w:val="-2"/>
          <w:sz w:val="22"/>
          <w:szCs w:val="22"/>
        </w:rPr>
        <w:t>, Montana</w:t>
      </w:r>
      <w:r w:rsidRPr="0008625F">
        <w:rPr>
          <w:sz w:val="22"/>
          <w:szCs w:val="22"/>
        </w:rPr>
        <w:t xml:space="preserve">, </w:t>
      </w:r>
      <w:r w:rsidR="00185C1A">
        <w:rPr>
          <w:sz w:val="22"/>
          <w:szCs w:val="22"/>
        </w:rPr>
        <w:t>pursuant</w:t>
      </w:r>
      <w:r w:rsidR="00AA37CD">
        <w:rPr>
          <w:sz w:val="22"/>
          <w:szCs w:val="22"/>
        </w:rPr>
        <w:t xml:space="preserve"> </w:t>
      </w:r>
      <w:r w:rsidRPr="0008625F">
        <w:rPr>
          <w:sz w:val="22"/>
          <w:szCs w:val="22"/>
        </w:rPr>
        <w:t xml:space="preserve">to </w:t>
      </w:r>
      <w:r w:rsidR="00C778B0">
        <w:rPr>
          <w:sz w:val="22"/>
          <w:szCs w:val="22"/>
        </w:rPr>
        <w:t>s</w:t>
      </w:r>
      <w:r w:rsidRPr="0008625F">
        <w:rPr>
          <w:sz w:val="22"/>
          <w:szCs w:val="22"/>
        </w:rPr>
        <w:t xml:space="preserve">ection 73.3555, Note 5, of the Commission’s rules, </w:t>
      </w:r>
      <w:r w:rsidRPr="00717267">
        <w:rPr>
          <w:b/>
          <w:sz w:val="22"/>
          <w:szCs w:val="22"/>
        </w:rPr>
        <w:t>IS GRANTED</w:t>
      </w:r>
      <w:r w:rsidRPr="0008625F">
        <w:rPr>
          <w:sz w:val="22"/>
          <w:szCs w:val="22"/>
        </w:rPr>
        <w:t>.</w:t>
      </w:r>
    </w:p>
    <w:p w:rsidR="00303867" w:rsidP="00464C1F" w14:paraId="7BA615C3" w14:textId="77777777">
      <w:pPr>
        <w:ind w:firstLine="720"/>
        <w:rPr>
          <w:sz w:val="22"/>
          <w:szCs w:val="22"/>
        </w:rPr>
      </w:pPr>
    </w:p>
    <w:p w:rsidR="001E5D5D" w:rsidP="00C53BA6" w14:paraId="2D9DD6AC" w14:textId="4976E38F">
      <w:pPr>
        <w:suppressAutoHyphens/>
        <w:spacing w:line="227" w:lineRule="auto"/>
        <w:ind w:firstLine="720"/>
        <w:rPr>
          <w:sz w:val="22"/>
          <w:szCs w:val="22"/>
        </w:rPr>
      </w:pPr>
      <w:r>
        <w:rPr>
          <w:b/>
          <w:sz w:val="22"/>
          <w:szCs w:val="22"/>
        </w:rPr>
        <w:br w:type="page"/>
      </w:r>
      <w:r w:rsidRPr="00717267">
        <w:rPr>
          <w:b/>
          <w:sz w:val="22"/>
          <w:szCs w:val="22"/>
        </w:rPr>
        <w:t xml:space="preserve">IT IS </w:t>
      </w:r>
      <w:r>
        <w:rPr>
          <w:b/>
          <w:sz w:val="22"/>
          <w:szCs w:val="22"/>
        </w:rPr>
        <w:t xml:space="preserve">FURTHER </w:t>
      </w:r>
      <w:r w:rsidRPr="00717267">
        <w:rPr>
          <w:b/>
          <w:sz w:val="22"/>
          <w:szCs w:val="22"/>
        </w:rPr>
        <w:t>ORDERED</w:t>
      </w:r>
      <w:r>
        <w:rPr>
          <w:sz w:val="22"/>
          <w:szCs w:val="22"/>
        </w:rPr>
        <w:t xml:space="preserve">, pursuant to </w:t>
      </w:r>
      <w:r w:rsidR="003F6BA2">
        <w:rPr>
          <w:sz w:val="22"/>
          <w:szCs w:val="22"/>
        </w:rPr>
        <w:t>s</w:t>
      </w:r>
      <w:r>
        <w:rPr>
          <w:sz w:val="22"/>
          <w:szCs w:val="22"/>
        </w:rPr>
        <w:t>ection 154(</w:t>
      </w:r>
      <w:r>
        <w:rPr>
          <w:sz w:val="22"/>
          <w:szCs w:val="22"/>
        </w:rPr>
        <w:t>i</w:t>
      </w:r>
      <w:r>
        <w:rPr>
          <w:sz w:val="22"/>
          <w:szCs w:val="22"/>
        </w:rPr>
        <w:t>) of the Communications Act, as amended,</w:t>
      </w:r>
      <w:r>
        <w:rPr>
          <w:rStyle w:val="FootnoteReference"/>
          <w:szCs w:val="22"/>
        </w:rPr>
        <w:footnoteReference w:id="20"/>
      </w:r>
      <w:r>
        <w:rPr>
          <w:sz w:val="22"/>
          <w:szCs w:val="22"/>
        </w:rPr>
        <w:t xml:space="preserve"> and by the authority delegated by </w:t>
      </w:r>
      <w:r w:rsidR="003F6BA2">
        <w:rPr>
          <w:sz w:val="22"/>
          <w:szCs w:val="22"/>
        </w:rPr>
        <w:t>s</w:t>
      </w:r>
      <w:r>
        <w:rPr>
          <w:sz w:val="22"/>
          <w:szCs w:val="22"/>
        </w:rPr>
        <w:t>ections 0.61 and 0.283 of the Commission’s rules,</w:t>
      </w:r>
      <w:r>
        <w:rPr>
          <w:rStyle w:val="FootnoteReference"/>
          <w:szCs w:val="22"/>
        </w:rPr>
        <w:footnoteReference w:id="21"/>
      </w:r>
      <w:r>
        <w:rPr>
          <w:sz w:val="22"/>
          <w:szCs w:val="22"/>
        </w:rPr>
        <w:t xml:space="preserve"> t</w:t>
      </w:r>
      <w:r w:rsidRPr="00B519FB">
        <w:rPr>
          <w:sz w:val="22"/>
          <w:szCs w:val="22"/>
        </w:rPr>
        <w:t xml:space="preserve">hat the above-referenced application for consent to </w:t>
      </w:r>
      <w:r>
        <w:rPr>
          <w:sz w:val="22"/>
          <w:szCs w:val="22"/>
        </w:rPr>
        <w:t xml:space="preserve">assign </w:t>
      </w:r>
      <w:r w:rsidR="00C53BA6">
        <w:rPr>
          <w:sz w:val="22"/>
          <w:szCs w:val="22"/>
        </w:rPr>
        <w:t xml:space="preserve">the license for </w:t>
      </w:r>
      <w:r w:rsidRPr="00180E8F">
        <w:rPr>
          <w:sz w:val="22"/>
          <w:szCs w:val="22"/>
        </w:rPr>
        <w:t>KVOA(TV), Tucson, A</w:t>
      </w:r>
      <w:r w:rsidR="00443AEC">
        <w:rPr>
          <w:sz w:val="22"/>
          <w:szCs w:val="22"/>
        </w:rPr>
        <w:t>rizona,</w:t>
      </w:r>
      <w:r w:rsidR="00C53BA6">
        <w:rPr>
          <w:sz w:val="22"/>
          <w:szCs w:val="22"/>
        </w:rPr>
        <w:t xml:space="preserve"> </w:t>
      </w:r>
      <w:r w:rsidR="00C53BA6">
        <w:rPr>
          <w:b/>
          <w:sz w:val="22"/>
          <w:szCs w:val="22"/>
        </w:rPr>
        <w:t>IS</w:t>
      </w:r>
      <w:r w:rsidRPr="00717267">
        <w:rPr>
          <w:b/>
          <w:sz w:val="22"/>
          <w:szCs w:val="22"/>
        </w:rPr>
        <w:t xml:space="preserve"> GRANTED</w:t>
      </w:r>
      <w:r>
        <w:rPr>
          <w:sz w:val="22"/>
          <w:szCs w:val="22"/>
        </w:rPr>
        <w:t>.</w:t>
      </w:r>
    </w:p>
    <w:p w:rsidR="00464C1F" w:rsidP="00464C1F" w14:paraId="1B414FA4" w14:textId="77777777">
      <w:pPr>
        <w:ind w:firstLine="720"/>
        <w:rPr>
          <w:sz w:val="22"/>
          <w:szCs w:val="22"/>
        </w:rPr>
      </w:pPr>
    </w:p>
    <w:p w:rsidR="00303867" w14:paraId="3399012C" w14:textId="77777777">
      <w:pPr>
        <w:keepN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303867" w14:paraId="0FCED07A" w14:textId="77777777">
      <w:pPr>
        <w:keepNext/>
        <w:rPr>
          <w:b/>
          <w:sz w:val="22"/>
          <w:szCs w:val="22"/>
        </w:rPr>
      </w:pPr>
    </w:p>
    <w:p w:rsidR="00303867" w14:paraId="0C20837C" w14:textId="77777777">
      <w:pPr>
        <w:keepNext/>
        <w:rPr>
          <w:b/>
          <w:sz w:val="22"/>
          <w:szCs w:val="22"/>
        </w:rPr>
      </w:pPr>
    </w:p>
    <w:p w:rsidR="00303867" w14:paraId="5660D123" w14:textId="77777777">
      <w:pPr>
        <w:keepNext/>
        <w:rPr>
          <w:b/>
          <w:sz w:val="22"/>
          <w:szCs w:val="22"/>
        </w:rPr>
      </w:pPr>
      <w:r>
        <w:rPr>
          <w:b/>
          <w:sz w:val="22"/>
          <w:szCs w:val="22"/>
        </w:rPr>
        <w:tab/>
      </w:r>
    </w:p>
    <w:p w:rsidR="00303867" w14:paraId="5B44022E" w14:textId="77777777">
      <w:pPr>
        <w:keepN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Barbara A. Kreisman</w:t>
      </w:r>
      <w:r>
        <w:rPr>
          <w:sz w:val="22"/>
          <w:szCs w:val="22"/>
        </w:rPr>
        <w:tab/>
      </w:r>
    </w:p>
    <w:p w:rsidR="00303867" w14:paraId="5B149013" w14:textId="77777777">
      <w:pPr>
        <w:keepN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Chief, Video Division</w:t>
      </w:r>
    </w:p>
    <w:p w:rsidR="00303867" w14:paraId="3EE82249" w14:textId="7777777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Media Bureau</w:t>
      </w:r>
    </w:p>
    <w:p w:rsidR="00303867" w14:paraId="6A782E3F" w14:textId="77777777">
      <w:pPr>
        <w:ind w:firstLine="720"/>
        <w:rPr>
          <w:sz w:val="22"/>
          <w:szCs w:val="22"/>
        </w:rPr>
      </w:pPr>
    </w:p>
    <w:sectPr>
      <w:foot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EDB" w14:paraId="0F098DFA" w14:textId="77777777">
    <w:pPr>
      <w:pStyle w:val="Footer"/>
    </w:pPr>
    <w:r>
      <w:tab/>
      <w:t xml:space="preserve">- </w:t>
    </w:r>
    <w:r>
      <w:fldChar w:fldCharType="begin"/>
    </w:r>
    <w:r>
      <w:instrText xml:space="preserve"> PAGE </w:instrText>
    </w:r>
    <w:r>
      <w:fldChar w:fldCharType="separate"/>
    </w:r>
    <w:r w:rsidR="009C5493">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EDB" w14:paraId="54EB68B3" w14:textId="77777777">
    <w:pPr>
      <w:pStyle w:val="Footer"/>
    </w:pPr>
    <w:r>
      <w:tab/>
      <w:t xml:space="preserve">- </w:t>
    </w:r>
    <w:r>
      <w:fldChar w:fldCharType="begin"/>
    </w:r>
    <w:r>
      <w:instrText xml:space="preserve"> PAGE </w:instrText>
    </w:r>
    <w:r>
      <w:fldChar w:fldCharType="separate"/>
    </w:r>
    <w:r w:rsidR="009C549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03ED" w14:paraId="5B46F610" w14:textId="77777777">
      <w:r>
        <w:separator/>
      </w:r>
    </w:p>
  </w:footnote>
  <w:footnote w:type="continuationSeparator" w:id="1">
    <w:p w:rsidR="00DC03ED" w14:paraId="4F58738F" w14:textId="77777777">
      <w:r>
        <w:continuationSeparator/>
      </w:r>
    </w:p>
  </w:footnote>
  <w:footnote w:type="continuationNotice" w:id="2">
    <w:p w:rsidR="00DC03ED" w14:paraId="69E646E1" w14:textId="77777777"/>
  </w:footnote>
  <w:footnote w:id="3">
    <w:p w:rsidR="00BA5849" w:rsidRPr="00443AEC" w:rsidP="00BA5849" w14:paraId="1F931E06" w14:textId="788CB53F">
      <w:pPr>
        <w:pStyle w:val="FootnoteText"/>
        <w:spacing w:after="120"/>
      </w:pPr>
      <w:r>
        <w:rPr>
          <w:rStyle w:val="FootnoteReference"/>
        </w:rPr>
        <w:footnoteRef/>
      </w:r>
      <w:r>
        <w:t xml:space="preserve"> The Transfer Applicants are filing or have filed separate applications requesting Commission consent for the transfer of control and subsequent assignment of private radio and satellite earth station licenses held</w:t>
      </w:r>
      <w:r w:rsidR="008B204D">
        <w:t xml:space="preserve"> by Cordillera</w:t>
      </w:r>
      <w:r>
        <w:t xml:space="preserve"> subsidiaries.</w:t>
      </w:r>
      <w:r w:rsidR="001B1846">
        <w:t xml:space="preserve">  Transfer Applications, Exh. 20, “Transaction Description and Request for Continued Satellite Station Status Under Rule Section 73.3555, Note 5” (Comprehensive Exhibit) at 1.</w:t>
      </w:r>
      <w:r w:rsidR="000617E5">
        <w:t xml:space="preserve">  </w:t>
      </w:r>
      <w:r w:rsidR="00443AEC">
        <w:t xml:space="preserve">As a second step after consummation of the proposed transfer of control </w:t>
      </w:r>
      <w:r w:rsidR="00226BAB">
        <w:t>the licenses will be assigned to a wholly owned subsidiary of Scripps</w:t>
      </w:r>
      <w:r w:rsidR="00AA37CD">
        <w:t xml:space="preserve"> </w:t>
      </w:r>
      <w:r w:rsidR="00443AEC">
        <w:t>via Form 316 application</w:t>
      </w:r>
      <w:r w:rsidR="00226BAB">
        <w:t>s</w:t>
      </w:r>
      <w:r w:rsidR="00443AEC">
        <w:t xml:space="preserve">.  </w:t>
      </w:r>
      <w:r w:rsidR="00443AEC">
        <w:rPr>
          <w:i/>
        </w:rPr>
        <w:t>Id</w:t>
      </w:r>
      <w:r w:rsidR="00443AEC">
        <w:t>. at 1, Att. B.</w:t>
      </w:r>
    </w:p>
  </w:footnote>
  <w:footnote w:id="4">
    <w:p w:rsidR="00B32EDB" w:rsidRPr="00CE2ED9" w:rsidP="00CE2ED9" w14:paraId="69F39EAC" w14:textId="77777777">
      <w:pPr>
        <w:pStyle w:val="FootnoteText"/>
        <w:spacing w:after="120"/>
      </w:pPr>
      <w:r w:rsidRPr="00CE2ED9">
        <w:rPr>
          <w:rStyle w:val="FootnoteReference"/>
        </w:rPr>
        <w:footnoteRef/>
      </w:r>
      <w:r w:rsidRPr="00CE2ED9">
        <w:t xml:space="preserve"> 47 CFR § 73.3555, Note 5.</w:t>
      </w:r>
      <w:r w:rsidR="001E301A">
        <w:t xml:space="preserve">  </w:t>
      </w:r>
    </w:p>
  </w:footnote>
  <w:footnote w:id="5">
    <w:p w:rsidR="00D548A8" w:rsidP="00AA37CD" w14:paraId="44D6BAB1" w14:textId="09699840">
      <w:pPr>
        <w:pStyle w:val="FootnoteText"/>
        <w:spacing w:after="120"/>
      </w:pPr>
      <w:r>
        <w:rPr>
          <w:rStyle w:val="FootnoteReference"/>
        </w:rPr>
        <w:footnoteRef/>
      </w:r>
      <w:r>
        <w:t xml:space="preserve"> </w:t>
      </w:r>
      <w:r w:rsidRPr="00D548A8">
        <w:t xml:space="preserve">Comprehensive Exhibit, Amendment - Third Supplement/Revised Exhibit 20 at </w:t>
      </w:r>
      <w:r>
        <w:t>1-</w:t>
      </w:r>
      <w:r w:rsidRPr="00D548A8">
        <w:t>2.</w:t>
      </w:r>
    </w:p>
  </w:footnote>
  <w:footnote w:id="6">
    <w:p w:rsidR="00C778B0" w:rsidP="0049335E" w14:paraId="71C1E7E1" w14:textId="572705BD">
      <w:pPr>
        <w:pStyle w:val="FootnoteText"/>
        <w:spacing w:after="120"/>
      </w:pPr>
      <w:r>
        <w:rPr>
          <w:rStyle w:val="FootnoteReference"/>
        </w:rPr>
        <w:footnoteRef/>
      </w:r>
      <w:r>
        <w:t xml:space="preserve"> </w:t>
      </w:r>
      <w:r w:rsidRPr="0049335E">
        <w:t xml:space="preserve">The Commission recently adopted new rules streamlining the reauthorization of existing satellite television stations as part of a transfer of control.  </w:t>
      </w:r>
      <w:r w:rsidRPr="00AC5AE1">
        <w:rPr>
          <w:i/>
        </w:rPr>
        <w:t>Streamlined Reauthorization Procedures for Assigned or Transferred Television Satellite Stations</w:t>
      </w:r>
      <w:r w:rsidRPr="00AC5AE1">
        <w:t>, Report and Order, MB Docket No. 18-63, FCC 19-17 at 3, para. 6 (rel. Mar. 12, 2019) (</w:t>
      </w:r>
      <w:r w:rsidRPr="00AC5AE1">
        <w:rPr>
          <w:i/>
        </w:rPr>
        <w:t>Streamlined Procedures Order</w:t>
      </w:r>
      <w:r w:rsidRPr="00AC5AE1">
        <w:t>).  The Commission defined a satellite as a “full-power terrestrial broadcast station</w:t>
      </w:r>
      <w:r w:rsidR="00E97938">
        <w:t>[]</w:t>
      </w:r>
      <w:r w:rsidRPr="00AC5AE1">
        <w:t xml:space="preserve"> authorized under </w:t>
      </w:r>
      <w:r w:rsidR="00F558CE">
        <w:t>P</w:t>
      </w:r>
      <w:r w:rsidRPr="00AC5AE1">
        <w:t xml:space="preserve">art 73 of the Commission’s rules . . . [that] generally retransmits some or all of the programming of another full-power television station, known as the parent station, which typically is commonly owned or operated with the satellite station.”  </w:t>
      </w:r>
      <w:r w:rsidRPr="00AC5AE1">
        <w:rPr>
          <w:i/>
        </w:rPr>
        <w:t xml:space="preserve">Id. </w:t>
      </w:r>
      <w:r w:rsidRPr="00AC5AE1">
        <w:t xml:space="preserve">at 1, para. 2.  The Commission further noted that satellites were initially authorized in “sparsely populated areas with insufficient economic bases to support full-service stations and then later in larger markets when a proposed satellite could not viably operate as a full-service station.”  </w:t>
      </w:r>
      <w:r w:rsidRPr="00AC5AE1">
        <w:rPr>
          <w:i/>
        </w:rPr>
        <w:t>Id.</w:t>
      </w:r>
      <w:r w:rsidRPr="00AC5AE1">
        <w:t xml:space="preserve">  </w:t>
      </w:r>
      <w:r w:rsidRPr="0049335E">
        <w:t>Specifically, the new rules allow applicants to use streamlined procedures in those situations where there has been no material change in the circumstances that warranted the grant of a station’s existing authorization and upon submission of a complete copy of the most recent written Commission decision granting satellite authorization.  While the Transfer Applications submit that the circumstances have not materially changed since the most recent grant of satellite status and that their request would qualify under the new streamlined procedures,</w:t>
      </w:r>
      <w:r w:rsidRPr="00AC5AE1">
        <w:t xml:space="preserve"> </w:t>
      </w:r>
      <w:r w:rsidRPr="0049335E">
        <w:t xml:space="preserve">the </w:t>
      </w:r>
      <w:r w:rsidRPr="0049335E">
        <w:rPr>
          <w:i/>
        </w:rPr>
        <w:t>Streamlined Procedures Order</w:t>
      </w:r>
      <w:r w:rsidRPr="0049335E">
        <w:t xml:space="preserve"> is not yet effective.</w:t>
      </w:r>
      <w:r w:rsidR="00E97938">
        <w:t xml:space="preserve">  </w:t>
      </w:r>
      <w:r w:rsidRPr="00AC5AE1" w:rsidR="00E97938">
        <w:t>Comprehensive Exhibit, Amendment - Third Supplement/Revised Exhibit 20 at 2</w:t>
      </w:r>
      <w:r w:rsidR="00E97938">
        <w:t>.</w:t>
      </w:r>
      <w:r w:rsidRPr="00AC5AE1">
        <w:t xml:space="preserve">  If a licensee of a satellite station seeks to assign or transfer the license to a new owner that wishes to continue operating the station as a satellite, the Commission’s current procedures require the applicants to the transaction to make the same showing that is required for initial satellite authorization.  47 CFR § 73.3555, Note 5</w:t>
      </w:r>
      <w:r w:rsidRPr="00CE2ED9">
        <w:t>.</w:t>
      </w:r>
    </w:p>
  </w:footnote>
  <w:footnote w:id="7">
    <w:p w:rsidR="008B204D" w:rsidRPr="008C7C9E" w:rsidP="008B204D" w14:paraId="5998699E" w14:textId="5E430B42">
      <w:pPr>
        <w:pStyle w:val="FootnoteText"/>
        <w:spacing w:after="120"/>
      </w:pPr>
      <w:r w:rsidRPr="008C7C9E">
        <w:rPr>
          <w:rStyle w:val="FootnoteReference"/>
        </w:rPr>
        <w:footnoteRef/>
      </w:r>
      <w:r w:rsidRPr="008C7C9E">
        <w:t xml:space="preserve"> </w:t>
      </w:r>
      <w:r w:rsidRPr="008C7C9E">
        <w:rPr>
          <w:i/>
        </w:rPr>
        <w:t xml:space="preserve">Television Satellite Stations Review of Policies and Rules, </w:t>
      </w:r>
      <w:r w:rsidRPr="008C7C9E">
        <w:t>Report and Order</w:t>
      </w:r>
      <w:r w:rsidRPr="008C7C9E">
        <w:rPr>
          <w:i/>
        </w:rPr>
        <w:t>,</w:t>
      </w:r>
      <w:r w:rsidRPr="008C7C9E">
        <w:t xml:space="preserve"> 6 FCC Rcd 4212 (1991)</w:t>
      </w:r>
      <w:bookmarkStart w:id="1" w:name="SR;881"/>
      <w:bookmarkEnd w:id="1"/>
      <w:r w:rsidRPr="008C7C9E">
        <w:t xml:space="preserve">, </w:t>
      </w:r>
      <w:r w:rsidRPr="008C7C9E">
        <w:rPr>
          <w:i/>
        </w:rPr>
        <w:t>sub</w:t>
      </w:r>
      <w:r>
        <w:rPr>
          <w:i/>
        </w:rPr>
        <w:t>sequent history</w:t>
      </w:r>
      <w:r w:rsidRPr="008C7C9E">
        <w:rPr>
          <w:i/>
        </w:rPr>
        <w:t xml:space="preserve"> omitted </w:t>
      </w:r>
      <w:r w:rsidRPr="008C7C9E">
        <w:t>(</w:t>
      </w:r>
      <w:r w:rsidRPr="008C7C9E">
        <w:rPr>
          <w:i/>
        </w:rPr>
        <w:t>Television Satellite Station</w:t>
      </w:r>
      <w:r w:rsidRPr="008C7C9E">
        <w:t>).</w:t>
      </w:r>
    </w:p>
  </w:footnote>
  <w:footnote w:id="8">
    <w:p w:rsidR="008B204D" w:rsidRPr="008C7C9E" w:rsidP="008B204D" w14:paraId="4718B6CD" w14:textId="77777777">
      <w:pPr>
        <w:spacing w:after="120"/>
      </w:pPr>
      <w:r w:rsidRPr="008C7C9E">
        <w:rPr>
          <w:rStyle w:val="FootnoteReference"/>
        </w:rPr>
        <w:footnoteRef/>
      </w:r>
      <w:r w:rsidRPr="008C7C9E">
        <w:t xml:space="preserve"> </w:t>
      </w:r>
      <w:r w:rsidRPr="008C7C9E">
        <w:rPr>
          <w:i/>
        </w:rPr>
        <w:t xml:space="preserve">Id. </w:t>
      </w:r>
      <w:r>
        <w:t>at 4213-4214, para.</w:t>
      </w:r>
      <w:r w:rsidRPr="008C7C9E">
        <w:t xml:space="preserve"> 12</w:t>
      </w:r>
      <w:r>
        <w:t>.</w:t>
      </w:r>
    </w:p>
  </w:footnote>
  <w:footnote w:id="9">
    <w:p w:rsidR="008B204D" w:rsidRPr="008C7C9E" w:rsidP="008B204D" w14:paraId="1A29BF9A" w14:textId="77777777">
      <w:pPr>
        <w:pStyle w:val="FootnoteText"/>
        <w:spacing w:after="120"/>
      </w:pPr>
      <w:r w:rsidRPr="008C7C9E">
        <w:rPr>
          <w:rStyle w:val="FootnoteReference"/>
        </w:rPr>
        <w:footnoteRef/>
      </w:r>
      <w:r w:rsidRPr="008C7C9E">
        <w:t xml:space="preserve"> </w:t>
      </w:r>
      <w:r w:rsidRPr="008C7C9E">
        <w:rPr>
          <w:i/>
        </w:rPr>
        <w:t xml:space="preserve">Id. </w:t>
      </w:r>
      <w:r>
        <w:t>at 4214, para.</w:t>
      </w:r>
      <w:r w:rsidRPr="008C7C9E">
        <w:t xml:space="preserve"> 14.</w:t>
      </w:r>
    </w:p>
  </w:footnote>
  <w:footnote w:id="10">
    <w:p w:rsidR="008B204D" w:rsidRPr="001027A7" w:rsidP="002C3328" w14:paraId="4EA8245A" w14:textId="77777777">
      <w:pPr>
        <w:pStyle w:val="FootnoteText"/>
        <w:spacing w:after="120"/>
      </w:pPr>
      <w:r>
        <w:rPr>
          <w:rStyle w:val="FootnoteReference"/>
        </w:rPr>
        <w:footnoteRef/>
      </w:r>
      <w:r>
        <w:t xml:space="preserve"> </w:t>
      </w:r>
      <w:r w:rsidRPr="002C3328" w:rsidR="002C3328">
        <w:rPr>
          <w:i/>
        </w:rPr>
        <w:t>2014 Quadrennial Regulatory Review — Review of the Commission's Broadcast Ownership Rules and Other Rules Adopted Pursuant to Section 202 of the Telecommunications Act of 1996 et al.</w:t>
      </w:r>
      <w:r w:rsidR="002C3328">
        <w:t>, MB Docket No. 14-50, Report and Order, 31 FCC Rcd 9864, 9876 n. 72 (2016) (</w:t>
      </w:r>
      <w:r w:rsidRPr="0049335E" w:rsidR="002C3328">
        <w:rPr>
          <w:i/>
        </w:rPr>
        <w:t>Quadrennial Report and Order</w:t>
      </w:r>
      <w:r w:rsidR="002C3328">
        <w:t xml:space="preserve">), </w:t>
      </w:r>
      <w:r w:rsidRPr="002C3328" w:rsidR="002C3328">
        <w:rPr>
          <w:i/>
        </w:rPr>
        <w:t>recon. granted in part and denied in part</w:t>
      </w:r>
      <w:r w:rsidR="002C3328">
        <w:t>, 32 FCC Rcd 9802 (2017)</w:t>
      </w:r>
      <w:r>
        <w:t>.</w:t>
      </w:r>
    </w:p>
  </w:footnote>
  <w:footnote w:id="11">
    <w:p w:rsidR="008B204D" w:rsidRPr="00263E27" w:rsidP="00C53BA6" w14:paraId="23876D62" w14:textId="77777777">
      <w:pPr>
        <w:pStyle w:val="FootnoteText"/>
        <w:spacing w:after="120"/>
      </w:pPr>
      <w:r>
        <w:rPr>
          <w:rStyle w:val="FootnoteReference"/>
        </w:rPr>
        <w:footnoteRef/>
      </w:r>
      <w:r>
        <w:t xml:space="preserve"> </w:t>
      </w:r>
      <w:r>
        <w:rPr>
          <w:i/>
        </w:rPr>
        <w:t>See Big Horn Communications, Inc.</w:t>
      </w:r>
      <w:r>
        <w:t>, Memorandum Opinion and Order, 8 FCC Rcd 6765 (1993).</w:t>
      </w:r>
    </w:p>
  </w:footnote>
  <w:footnote w:id="12">
    <w:p w:rsidR="008B204D" w:rsidRPr="00CE2ED9" w:rsidP="00C53BA6" w14:paraId="1D7C1688" w14:textId="77777777">
      <w:pPr>
        <w:pStyle w:val="FootnoteText"/>
        <w:spacing w:after="120"/>
        <w:rPr>
          <w:b/>
          <w:i/>
        </w:rPr>
      </w:pPr>
      <w:r w:rsidRPr="00CE2ED9">
        <w:rPr>
          <w:rStyle w:val="FootnoteReference"/>
        </w:rPr>
        <w:footnoteRef/>
      </w:r>
      <w:r w:rsidRPr="00CE2ED9">
        <w:t xml:space="preserve"> </w:t>
      </w:r>
      <w:r w:rsidRPr="00CE2ED9">
        <w:rPr>
          <w:i/>
        </w:rPr>
        <w:t>See Television Satellite Stations</w:t>
      </w:r>
      <w:r w:rsidRPr="00CE2ED9">
        <w:t>, 6 FCC Rcd at 4215.</w:t>
      </w:r>
    </w:p>
    <w:p w:rsidR="008B204D" w:rsidRPr="00CE2ED9" w:rsidP="0019546E" w14:paraId="3C790F49" w14:textId="77777777">
      <w:pPr>
        <w:pStyle w:val="FootnoteText"/>
        <w:spacing w:after="120"/>
      </w:pPr>
      <w:r w:rsidRPr="00CE2ED9">
        <w:rPr>
          <w:rStyle w:val="FootnoteReference"/>
        </w:rPr>
        <w:footnoteRef/>
      </w:r>
      <w:r w:rsidRPr="00CE2ED9">
        <w:t xml:space="preserve"> </w:t>
      </w:r>
      <w:r>
        <w:rPr>
          <w:i/>
        </w:rPr>
        <w:t>Id.</w:t>
      </w:r>
    </w:p>
  </w:footnote>
  <w:footnote w:id="13">
    <w:p w:rsidR="008B204D" w:rsidP="00C53BA6" w14:paraId="0B4C3FFC" w14:textId="77777777">
      <w:pPr>
        <w:pStyle w:val="FootnoteText"/>
        <w:spacing w:after="120"/>
      </w:pPr>
      <w:r>
        <w:rPr>
          <w:rStyle w:val="FootnoteReference"/>
        </w:rPr>
        <w:footnoteRef/>
      </w:r>
      <w:r w:rsidR="001B1846">
        <w:t xml:space="preserve"> Comprehensive Exhibit at 2.</w:t>
      </w:r>
    </w:p>
  </w:footnote>
  <w:footnote w:id="14">
    <w:p w:rsidR="008B204D" w:rsidRPr="00CE2ED9" w:rsidP="00C53BA6" w14:paraId="073F5F92" w14:textId="77777777">
      <w:pPr>
        <w:pStyle w:val="FootnoteText"/>
        <w:spacing w:after="120"/>
      </w:pPr>
      <w:r w:rsidRPr="00CE2ED9">
        <w:rPr>
          <w:rStyle w:val="FootnoteReference"/>
        </w:rPr>
        <w:footnoteRef/>
      </w:r>
      <w:r w:rsidRPr="00CE2ED9">
        <w:t xml:space="preserve"> </w:t>
      </w:r>
      <w:r>
        <w:t>Comprehensive Exhibit</w:t>
      </w:r>
      <w:r w:rsidR="001B1846">
        <w:t>, Att. D,</w:t>
      </w:r>
      <w:r>
        <w:t xml:space="preserve"> Letter from</w:t>
      </w:r>
      <w:r w:rsidRPr="006605BC">
        <w:rPr>
          <w:spacing w:val="-2"/>
        </w:rPr>
        <w:t xml:space="preserve"> </w:t>
      </w:r>
      <w:r w:rsidR="001B1846">
        <w:rPr>
          <w:spacing w:val="-2"/>
        </w:rPr>
        <w:t>Louis G. Zachary, Jr.</w:t>
      </w:r>
      <w:r>
        <w:rPr>
          <w:spacing w:val="-2"/>
        </w:rPr>
        <w:t xml:space="preserve">, Managing </w:t>
      </w:r>
      <w:r w:rsidR="001B1846">
        <w:rPr>
          <w:spacing w:val="-2"/>
        </w:rPr>
        <w:t>Principal</w:t>
      </w:r>
      <w:r>
        <w:rPr>
          <w:spacing w:val="-2"/>
        </w:rPr>
        <w:t xml:space="preserve">, </w:t>
      </w:r>
      <w:r w:rsidR="001B1846">
        <w:rPr>
          <w:spacing w:val="-2"/>
        </w:rPr>
        <w:t>Methuselah Advisors</w:t>
      </w:r>
      <w:r>
        <w:rPr>
          <w:spacing w:val="-2"/>
        </w:rPr>
        <w:t xml:space="preserve"> Securities to Marlene H. Dortch, Secretary, FCC (dated </w:t>
      </w:r>
      <w:r w:rsidR="001B1846">
        <w:rPr>
          <w:spacing w:val="-2"/>
        </w:rPr>
        <w:t>Nov. 6</w:t>
      </w:r>
      <w:r>
        <w:rPr>
          <w:spacing w:val="-2"/>
        </w:rPr>
        <w:t>, 2018)</w:t>
      </w:r>
      <w:r w:rsidRPr="00CE2ED9">
        <w:t>.</w:t>
      </w:r>
    </w:p>
  </w:footnote>
  <w:footnote w:id="15">
    <w:p w:rsidR="000F2A93" w:rsidRPr="000F2A93" w:rsidP="00C53BA6" w14:paraId="25422049" w14:textId="77777777">
      <w:pPr>
        <w:pStyle w:val="FootnoteText"/>
        <w:spacing w:after="120"/>
      </w:pPr>
      <w:r>
        <w:rPr>
          <w:rStyle w:val="FootnoteReference"/>
        </w:rPr>
        <w:footnoteRef/>
      </w:r>
      <w:r>
        <w:t xml:space="preserve"> </w:t>
      </w:r>
      <w:r>
        <w:rPr>
          <w:i/>
        </w:rPr>
        <w:t>Id</w:t>
      </w:r>
      <w:r>
        <w:t>. at 2.</w:t>
      </w:r>
    </w:p>
  </w:footnote>
  <w:footnote w:id="16">
    <w:p w:rsidR="008B204D" w:rsidRPr="00605E74" w:rsidP="00C53BA6" w14:paraId="74DD457E" w14:textId="77777777">
      <w:pPr>
        <w:pStyle w:val="FootnoteText"/>
        <w:spacing w:after="120"/>
        <w:rPr>
          <w:i/>
        </w:rPr>
      </w:pPr>
      <w:r>
        <w:rPr>
          <w:rStyle w:val="FootnoteReference"/>
        </w:rPr>
        <w:footnoteRef/>
      </w:r>
      <w:r>
        <w:t xml:space="preserve"> </w:t>
      </w:r>
      <w:r>
        <w:rPr>
          <w:i/>
        </w:rPr>
        <w:t>Id.</w:t>
      </w:r>
    </w:p>
  </w:footnote>
  <w:footnote w:id="17">
    <w:p w:rsidR="001E5D5D" w:rsidRPr="00CF586B" w:rsidP="00C53BA6" w14:paraId="67BFDCB8" w14:textId="77777777">
      <w:pPr>
        <w:pStyle w:val="FootnoteText"/>
        <w:spacing w:after="120"/>
      </w:pPr>
      <w:r>
        <w:rPr>
          <w:rStyle w:val="FootnoteReference"/>
        </w:rPr>
        <w:footnoteRef/>
      </w:r>
      <w:r>
        <w:t xml:space="preserve"> The Transfer Applicants submit that the reach of the Scripps stations post-transaction would extend to only 12.690% of U.S. television households when applying the UHF discount and to 20.096% of U.S. households without applying that discount – well below the 39% national ownership cap.  Transfer Applications, Supplement to Exh. 20 at 1; </w:t>
      </w:r>
      <w:r>
        <w:rPr>
          <w:i/>
        </w:rPr>
        <w:t>see</w:t>
      </w:r>
      <w:r>
        <w:t xml:space="preserve"> </w:t>
      </w:r>
      <w:r w:rsidRPr="00B651F9">
        <w:t>47 CFR § 73.3555(e)(1)</w:t>
      </w:r>
      <w:r>
        <w:t xml:space="preserve"> (</w:t>
      </w:r>
      <w:r w:rsidRPr="00CF586B">
        <w:t>prohibit</w:t>
      </w:r>
      <w:r>
        <w:t>ing</w:t>
      </w:r>
      <w:r w:rsidRPr="00CF586B">
        <w:t xml:space="preserve"> a single entity from owning television stations that, in the aggregate, reach more than 39 percent of the total television households in the United States</w:t>
      </w:r>
      <w:r>
        <w:t>).</w:t>
      </w:r>
    </w:p>
  </w:footnote>
  <w:footnote w:id="18">
    <w:p w:rsidR="00464C1F" w:rsidRPr="00CE2ED9" w:rsidP="00464C1F" w14:paraId="4683790D" w14:textId="77777777">
      <w:pPr>
        <w:pStyle w:val="FootnoteText"/>
        <w:spacing w:after="120"/>
      </w:pPr>
      <w:r w:rsidRPr="00CE2ED9">
        <w:rPr>
          <w:rStyle w:val="FootnoteReference"/>
        </w:rPr>
        <w:footnoteRef/>
      </w:r>
      <w:r w:rsidRPr="00CE2ED9">
        <w:t xml:space="preserve"> 47 U.S.C. § 154(i).</w:t>
      </w:r>
    </w:p>
  </w:footnote>
  <w:footnote w:id="19">
    <w:p w:rsidR="00464C1F" w:rsidRPr="00CE2ED9" w:rsidP="00464C1F" w14:paraId="3CC7CB61" w14:textId="77777777">
      <w:pPr>
        <w:pStyle w:val="FootnoteText"/>
        <w:spacing w:after="120"/>
      </w:pPr>
      <w:r w:rsidRPr="00CE2ED9">
        <w:rPr>
          <w:rStyle w:val="FootnoteReference"/>
        </w:rPr>
        <w:footnoteRef/>
      </w:r>
      <w:r w:rsidRPr="00CE2ED9">
        <w:t xml:space="preserve"> 47 CFR §§ 0.61, 0.283.</w:t>
      </w:r>
    </w:p>
  </w:footnote>
  <w:footnote w:id="20">
    <w:p w:rsidR="001E5D5D" w:rsidRPr="00CE2ED9" w:rsidP="001E5D5D" w14:paraId="57D2120B" w14:textId="77777777">
      <w:pPr>
        <w:pStyle w:val="FootnoteText"/>
        <w:spacing w:after="120"/>
      </w:pPr>
      <w:r w:rsidRPr="00CE2ED9">
        <w:rPr>
          <w:rStyle w:val="FootnoteReference"/>
        </w:rPr>
        <w:footnoteRef/>
      </w:r>
      <w:r w:rsidRPr="00CE2ED9">
        <w:t xml:space="preserve"> 47 U.S.C. § 154(i).</w:t>
      </w:r>
    </w:p>
  </w:footnote>
  <w:footnote w:id="21">
    <w:p w:rsidR="001E5D5D" w:rsidRPr="00CE2ED9" w:rsidP="001E5D5D" w14:paraId="310B069D" w14:textId="77777777">
      <w:pPr>
        <w:pStyle w:val="FootnoteText"/>
        <w:spacing w:after="120"/>
      </w:pPr>
      <w:r w:rsidRPr="00CE2ED9">
        <w:rPr>
          <w:rStyle w:val="FootnoteReference"/>
        </w:rPr>
        <w:footnoteRef/>
      </w:r>
      <w:r w:rsidRPr="00CE2ED9">
        <w:t xml:space="preserve"> 47 CFR §§ 0.61,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EDB" w14:paraId="00A42411" w14:textId="77777777">
    <w:pPr>
      <w:pStyle w:val="Header"/>
      <w:tabs>
        <w:tab w:val="clear" w:pos="4320"/>
        <w:tab w:val="clear" w:pos="8640"/>
      </w:tabs>
      <w:spacing w:before="360" w:line="228"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8.15pt;height:64.8pt;margin-top:0;margin-left:-31.8pt;position:absolute;z-index:251658240" o:allowincell="f" filled="t" fillcolor="#3cc">
          <v:imagedata r:id="rId1" o:title="" gain="69719f"/>
          <w10:wrap type="topAndBottom"/>
        </v:shape>
      </w:pict>
    </w:r>
    <w:r>
      <w:rPr>
        <w:rFonts w:ascii="CG Times (W1)" w:hAnsi="CG Times (W1)"/>
        <w:sz w:val="28"/>
      </w:rPr>
      <w:t>Federal Communications Commission</w:t>
    </w:r>
  </w:p>
  <w:p w:rsidR="00B32EDB" w14:paraId="3408439E" w14:textId="77777777">
    <w:pPr>
      <w:jc w:val="center"/>
    </w:pPr>
    <w:r>
      <w:rPr>
        <w:rFonts w:ascii="CG Times (W1)" w:hAnsi="CG Times (W1)"/>
        <w:sz w:val="28"/>
      </w:rPr>
      <w:t>Washington, D.C. 20554</w:t>
    </w:r>
  </w:p>
  <w:p w:rsidR="00B32EDB" w14:paraId="3C16DB04" w14:textId="77777777">
    <w:pPr>
      <w:pStyle w:val="Header"/>
      <w:tabs>
        <w:tab w:val="clear" w:pos="4320"/>
      </w:tabs>
      <w:jc w:val="center"/>
      <w:rPr>
        <w:sz w:val="22"/>
      </w:rPr>
    </w:pPr>
  </w:p>
  <w:p w:rsidR="00B32EDB" w14:paraId="53DD0CE5" w14:textId="77777777">
    <w:pPr>
      <w:pStyle w:val="Header"/>
      <w:tabs>
        <w:tab w:val="clear" w:pos="4320"/>
      </w:tabs>
      <w:jc w:val="center"/>
      <w:rPr>
        <w:sz w:val="22"/>
      </w:rPr>
    </w:pPr>
  </w:p>
  <w:p w:rsidR="00B32EDB" w14:paraId="624486A7" w14:textId="77777777">
    <w:pPr>
      <w:pStyle w:val="Header"/>
      <w:tabs>
        <w:tab w:val="clear" w:pos="43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EF1C11"/>
    <w:multiLevelType w:val="hybridMultilevel"/>
    <w:tmpl w:val="B75852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6C0B31FC"/>
    <w:multiLevelType w:val="singleLevel"/>
    <w:tmpl w:val="75024346"/>
    <w:lvl w:ilvl="0">
      <w:start w:val="1"/>
      <w:numFmt w:val="decimal"/>
      <w:pStyle w:val="BodyText"/>
      <w:lvlText w:val="%1."/>
      <w:lvlJc w:val="left"/>
      <w:pPr>
        <w:tabs>
          <w:tab w:val="num" w:pos="1080"/>
        </w:tabs>
        <w:ind w:left="0" w:firstLine="720"/>
      </w:pPr>
      <w:rPr>
        <w:rFonts w:ascii="Times New Roman" w:hAnsi="Times New Roman" w:hint="default"/>
        <w:b w:val="0"/>
        <w:i w:val="0"/>
      </w:rPr>
    </w:lvl>
  </w:abstractNum>
  <w:abstractNum w:abstractNumId="3">
    <w:nsid w:val="7F762CD3"/>
    <w:multiLevelType w:val="hybridMultilevel"/>
    <w:tmpl w:val="BB2AC9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16"/>
    <w:rsid w:val="00002755"/>
    <w:rsid w:val="00015C27"/>
    <w:rsid w:val="00030053"/>
    <w:rsid w:val="000302BD"/>
    <w:rsid w:val="00030E35"/>
    <w:rsid w:val="00032955"/>
    <w:rsid w:val="0004046E"/>
    <w:rsid w:val="000438BF"/>
    <w:rsid w:val="0004668C"/>
    <w:rsid w:val="0005602F"/>
    <w:rsid w:val="000617E5"/>
    <w:rsid w:val="00061FC1"/>
    <w:rsid w:val="00073091"/>
    <w:rsid w:val="000769A3"/>
    <w:rsid w:val="00077E63"/>
    <w:rsid w:val="00081847"/>
    <w:rsid w:val="0008625F"/>
    <w:rsid w:val="00091605"/>
    <w:rsid w:val="00096180"/>
    <w:rsid w:val="000A30F0"/>
    <w:rsid w:val="000A5C7A"/>
    <w:rsid w:val="000B277C"/>
    <w:rsid w:val="000D1C8A"/>
    <w:rsid w:val="000E474A"/>
    <w:rsid w:val="000F2A93"/>
    <w:rsid w:val="001027A7"/>
    <w:rsid w:val="0012012C"/>
    <w:rsid w:val="00124DAE"/>
    <w:rsid w:val="001263CE"/>
    <w:rsid w:val="00157A94"/>
    <w:rsid w:val="001664C0"/>
    <w:rsid w:val="00180E8F"/>
    <w:rsid w:val="00185C1A"/>
    <w:rsid w:val="00190CEF"/>
    <w:rsid w:val="00192E69"/>
    <w:rsid w:val="0019546E"/>
    <w:rsid w:val="001A4BD4"/>
    <w:rsid w:val="001A6702"/>
    <w:rsid w:val="001B1778"/>
    <w:rsid w:val="001B1846"/>
    <w:rsid w:val="001B32B7"/>
    <w:rsid w:val="001C126B"/>
    <w:rsid w:val="001C27E0"/>
    <w:rsid w:val="001C3913"/>
    <w:rsid w:val="001C6F47"/>
    <w:rsid w:val="001C79AA"/>
    <w:rsid w:val="001D0C6F"/>
    <w:rsid w:val="001E301A"/>
    <w:rsid w:val="001E3279"/>
    <w:rsid w:val="001E5D5D"/>
    <w:rsid w:val="001F32F3"/>
    <w:rsid w:val="001F5B4B"/>
    <w:rsid w:val="00210927"/>
    <w:rsid w:val="002114D4"/>
    <w:rsid w:val="00217133"/>
    <w:rsid w:val="00224E47"/>
    <w:rsid w:val="0022558D"/>
    <w:rsid w:val="00226BAB"/>
    <w:rsid w:val="00231008"/>
    <w:rsid w:val="00231660"/>
    <w:rsid w:val="0023694E"/>
    <w:rsid w:val="00254EA5"/>
    <w:rsid w:val="002550F0"/>
    <w:rsid w:val="00263B8F"/>
    <w:rsid w:val="00263E27"/>
    <w:rsid w:val="00275E81"/>
    <w:rsid w:val="0028238F"/>
    <w:rsid w:val="00284A5F"/>
    <w:rsid w:val="00290F4E"/>
    <w:rsid w:val="00297387"/>
    <w:rsid w:val="002C1051"/>
    <w:rsid w:val="002C3328"/>
    <w:rsid w:val="002C5472"/>
    <w:rsid w:val="00303867"/>
    <w:rsid w:val="003274C0"/>
    <w:rsid w:val="00331AEA"/>
    <w:rsid w:val="003421B8"/>
    <w:rsid w:val="00346B8A"/>
    <w:rsid w:val="003844DB"/>
    <w:rsid w:val="003A163E"/>
    <w:rsid w:val="003A2F13"/>
    <w:rsid w:val="003B12B0"/>
    <w:rsid w:val="003D2D86"/>
    <w:rsid w:val="003E2346"/>
    <w:rsid w:val="003E7236"/>
    <w:rsid w:val="003F6BA2"/>
    <w:rsid w:val="00402B07"/>
    <w:rsid w:val="00443AEC"/>
    <w:rsid w:val="004516F9"/>
    <w:rsid w:val="00452C11"/>
    <w:rsid w:val="00464C1F"/>
    <w:rsid w:val="0049335E"/>
    <w:rsid w:val="00495164"/>
    <w:rsid w:val="00496CA4"/>
    <w:rsid w:val="004A2A7F"/>
    <w:rsid w:val="004A4AAE"/>
    <w:rsid w:val="004C44BB"/>
    <w:rsid w:val="004C5878"/>
    <w:rsid w:val="004D1845"/>
    <w:rsid w:val="004D2AC2"/>
    <w:rsid w:val="004E6034"/>
    <w:rsid w:val="004F051A"/>
    <w:rsid w:val="00504773"/>
    <w:rsid w:val="00506CDC"/>
    <w:rsid w:val="00524D8A"/>
    <w:rsid w:val="00533383"/>
    <w:rsid w:val="00537339"/>
    <w:rsid w:val="00544FB8"/>
    <w:rsid w:val="0055017A"/>
    <w:rsid w:val="00551780"/>
    <w:rsid w:val="0055579C"/>
    <w:rsid w:val="005566CA"/>
    <w:rsid w:val="005578DA"/>
    <w:rsid w:val="00561207"/>
    <w:rsid w:val="00562933"/>
    <w:rsid w:val="005659E6"/>
    <w:rsid w:val="00566BFF"/>
    <w:rsid w:val="005670F7"/>
    <w:rsid w:val="00575E16"/>
    <w:rsid w:val="00576339"/>
    <w:rsid w:val="00580E49"/>
    <w:rsid w:val="00590998"/>
    <w:rsid w:val="00597CFD"/>
    <w:rsid w:val="005A423E"/>
    <w:rsid w:val="005C4222"/>
    <w:rsid w:val="005D2F71"/>
    <w:rsid w:val="005D3A41"/>
    <w:rsid w:val="005E3402"/>
    <w:rsid w:val="005E58B3"/>
    <w:rsid w:val="005E5D5F"/>
    <w:rsid w:val="00605E74"/>
    <w:rsid w:val="0061363B"/>
    <w:rsid w:val="006147F6"/>
    <w:rsid w:val="00624C93"/>
    <w:rsid w:val="00630C2D"/>
    <w:rsid w:val="00637779"/>
    <w:rsid w:val="00637DD7"/>
    <w:rsid w:val="00652AAF"/>
    <w:rsid w:val="006605BC"/>
    <w:rsid w:val="00661BD8"/>
    <w:rsid w:val="0066431F"/>
    <w:rsid w:val="006766E2"/>
    <w:rsid w:val="006D4C45"/>
    <w:rsid w:val="006E0D1A"/>
    <w:rsid w:val="006E0D28"/>
    <w:rsid w:val="006F1B2B"/>
    <w:rsid w:val="0071493A"/>
    <w:rsid w:val="00717267"/>
    <w:rsid w:val="00723529"/>
    <w:rsid w:val="007342BD"/>
    <w:rsid w:val="00734FC7"/>
    <w:rsid w:val="0075285A"/>
    <w:rsid w:val="007529B2"/>
    <w:rsid w:val="0075780F"/>
    <w:rsid w:val="0078196A"/>
    <w:rsid w:val="0078246F"/>
    <w:rsid w:val="00791A9E"/>
    <w:rsid w:val="00793564"/>
    <w:rsid w:val="0079430A"/>
    <w:rsid w:val="007A03D1"/>
    <w:rsid w:val="007A1405"/>
    <w:rsid w:val="007A19B8"/>
    <w:rsid w:val="007D0DDF"/>
    <w:rsid w:val="007D21A1"/>
    <w:rsid w:val="007D5D33"/>
    <w:rsid w:val="007E3179"/>
    <w:rsid w:val="007E42C0"/>
    <w:rsid w:val="007F06CF"/>
    <w:rsid w:val="007F2824"/>
    <w:rsid w:val="007F6B55"/>
    <w:rsid w:val="00806610"/>
    <w:rsid w:val="00815BFE"/>
    <w:rsid w:val="00815D9B"/>
    <w:rsid w:val="00817185"/>
    <w:rsid w:val="00830870"/>
    <w:rsid w:val="00834E68"/>
    <w:rsid w:val="00847C42"/>
    <w:rsid w:val="008604D4"/>
    <w:rsid w:val="00861BB7"/>
    <w:rsid w:val="008952D0"/>
    <w:rsid w:val="008A2588"/>
    <w:rsid w:val="008A3A3D"/>
    <w:rsid w:val="008A4851"/>
    <w:rsid w:val="008B204D"/>
    <w:rsid w:val="008C7C9E"/>
    <w:rsid w:val="008D0412"/>
    <w:rsid w:val="008E36C2"/>
    <w:rsid w:val="008F1281"/>
    <w:rsid w:val="008F5252"/>
    <w:rsid w:val="00907233"/>
    <w:rsid w:val="00920418"/>
    <w:rsid w:val="00921D42"/>
    <w:rsid w:val="00940B16"/>
    <w:rsid w:val="0095016F"/>
    <w:rsid w:val="00952BA0"/>
    <w:rsid w:val="00953255"/>
    <w:rsid w:val="00975D6C"/>
    <w:rsid w:val="00980D6B"/>
    <w:rsid w:val="009816D3"/>
    <w:rsid w:val="0098489C"/>
    <w:rsid w:val="00992DB9"/>
    <w:rsid w:val="00993831"/>
    <w:rsid w:val="00996B1B"/>
    <w:rsid w:val="009A1FD9"/>
    <w:rsid w:val="009A2746"/>
    <w:rsid w:val="009C1275"/>
    <w:rsid w:val="009C5493"/>
    <w:rsid w:val="009F00B1"/>
    <w:rsid w:val="009F63E7"/>
    <w:rsid w:val="00A003D0"/>
    <w:rsid w:val="00A05565"/>
    <w:rsid w:val="00A15841"/>
    <w:rsid w:val="00A26F51"/>
    <w:rsid w:val="00A30517"/>
    <w:rsid w:val="00A4711C"/>
    <w:rsid w:val="00A63A0A"/>
    <w:rsid w:val="00A81749"/>
    <w:rsid w:val="00A82376"/>
    <w:rsid w:val="00A9524E"/>
    <w:rsid w:val="00A96B4C"/>
    <w:rsid w:val="00AA37CD"/>
    <w:rsid w:val="00AB000D"/>
    <w:rsid w:val="00AB6F06"/>
    <w:rsid w:val="00AC2B23"/>
    <w:rsid w:val="00AC5AE1"/>
    <w:rsid w:val="00AD46D5"/>
    <w:rsid w:val="00AD4784"/>
    <w:rsid w:val="00AE5911"/>
    <w:rsid w:val="00AF02DB"/>
    <w:rsid w:val="00AF464E"/>
    <w:rsid w:val="00B06729"/>
    <w:rsid w:val="00B147F1"/>
    <w:rsid w:val="00B252ED"/>
    <w:rsid w:val="00B32EDB"/>
    <w:rsid w:val="00B35F83"/>
    <w:rsid w:val="00B519FB"/>
    <w:rsid w:val="00B607AA"/>
    <w:rsid w:val="00B60F66"/>
    <w:rsid w:val="00B651F9"/>
    <w:rsid w:val="00B67051"/>
    <w:rsid w:val="00B67105"/>
    <w:rsid w:val="00B817D5"/>
    <w:rsid w:val="00B90348"/>
    <w:rsid w:val="00BA4278"/>
    <w:rsid w:val="00BA5849"/>
    <w:rsid w:val="00BB3481"/>
    <w:rsid w:val="00BB638F"/>
    <w:rsid w:val="00BC047B"/>
    <w:rsid w:val="00BD3103"/>
    <w:rsid w:val="00BE7AC5"/>
    <w:rsid w:val="00C10DD8"/>
    <w:rsid w:val="00C122E6"/>
    <w:rsid w:val="00C2524C"/>
    <w:rsid w:val="00C2675C"/>
    <w:rsid w:val="00C34040"/>
    <w:rsid w:val="00C40A1E"/>
    <w:rsid w:val="00C50337"/>
    <w:rsid w:val="00C53BA6"/>
    <w:rsid w:val="00C7102B"/>
    <w:rsid w:val="00C743E5"/>
    <w:rsid w:val="00C778B0"/>
    <w:rsid w:val="00C82D5A"/>
    <w:rsid w:val="00C84D82"/>
    <w:rsid w:val="00C85EF4"/>
    <w:rsid w:val="00C8758D"/>
    <w:rsid w:val="00C96D0F"/>
    <w:rsid w:val="00CA4CF8"/>
    <w:rsid w:val="00CB6E0B"/>
    <w:rsid w:val="00CC122B"/>
    <w:rsid w:val="00CD5326"/>
    <w:rsid w:val="00CE2ED9"/>
    <w:rsid w:val="00CE343C"/>
    <w:rsid w:val="00CE531D"/>
    <w:rsid w:val="00CE5895"/>
    <w:rsid w:val="00CF586B"/>
    <w:rsid w:val="00CF601A"/>
    <w:rsid w:val="00D05D21"/>
    <w:rsid w:val="00D139A1"/>
    <w:rsid w:val="00D14D9F"/>
    <w:rsid w:val="00D17A18"/>
    <w:rsid w:val="00D17B8B"/>
    <w:rsid w:val="00D2300A"/>
    <w:rsid w:val="00D23875"/>
    <w:rsid w:val="00D30F0D"/>
    <w:rsid w:val="00D44DD0"/>
    <w:rsid w:val="00D46C94"/>
    <w:rsid w:val="00D50B66"/>
    <w:rsid w:val="00D548A8"/>
    <w:rsid w:val="00D55700"/>
    <w:rsid w:val="00D6134D"/>
    <w:rsid w:val="00D64B3F"/>
    <w:rsid w:val="00D75243"/>
    <w:rsid w:val="00D90814"/>
    <w:rsid w:val="00DC03ED"/>
    <w:rsid w:val="00E00B46"/>
    <w:rsid w:val="00E01042"/>
    <w:rsid w:val="00E07536"/>
    <w:rsid w:val="00E109DC"/>
    <w:rsid w:val="00E143A3"/>
    <w:rsid w:val="00E204F6"/>
    <w:rsid w:val="00E31AD3"/>
    <w:rsid w:val="00E3512A"/>
    <w:rsid w:val="00E414CA"/>
    <w:rsid w:val="00E50EBB"/>
    <w:rsid w:val="00E53D53"/>
    <w:rsid w:val="00E5599B"/>
    <w:rsid w:val="00E624A8"/>
    <w:rsid w:val="00E64795"/>
    <w:rsid w:val="00E67625"/>
    <w:rsid w:val="00E71202"/>
    <w:rsid w:val="00E755C0"/>
    <w:rsid w:val="00E76F2E"/>
    <w:rsid w:val="00E77C68"/>
    <w:rsid w:val="00E94D0F"/>
    <w:rsid w:val="00E97938"/>
    <w:rsid w:val="00EA1C43"/>
    <w:rsid w:val="00EA2DBD"/>
    <w:rsid w:val="00EA2F7A"/>
    <w:rsid w:val="00EA326E"/>
    <w:rsid w:val="00EA66B7"/>
    <w:rsid w:val="00EB762F"/>
    <w:rsid w:val="00EC3921"/>
    <w:rsid w:val="00EC6B70"/>
    <w:rsid w:val="00ED2E95"/>
    <w:rsid w:val="00EE3FB7"/>
    <w:rsid w:val="00EE5245"/>
    <w:rsid w:val="00EE5E91"/>
    <w:rsid w:val="00EF0D08"/>
    <w:rsid w:val="00EF2121"/>
    <w:rsid w:val="00F14135"/>
    <w:rsid w:val="00F162E1"/>
    <w:rsid w:val="00F25B32"/>
    <w:rsid w:val="00F52268"/>
    <w:rsid w:val="00F558CE"/>
    <w:rsid w:val="00F55E62"/>
    <w:rsid w:val="00F64DF5"/>
    <w:rsid w:val="00F6786B"/>
    <w:rsid w:val="00F7328D"/>
    <w:rsid w:val="00F90812"/>
    <w:rsid w:val="00F91618"/>
    <w:rsid w:val="00F95E51"/>
    <w:rsid w:val="00FC741B"/>
    <w:rsid w:val="00FE14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 Char Char Char,Footnote Text Char Char1,Footnote Text Char1 Char Char,Footnote Text Char1 Char Char Char Char Char,Footnote Text Char2,Footnote Text Char2 Char Char1 Char Char,Footnote Text Char3 Char"/>
    <w:basedOn w:val="Normal"/>
    <w:link w:val="FootnoteTextCha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sz w:val="20"/>
      <w:vertAlign w:val="superscript"/>
    </w:rPr>
  </w:style>
  <w:style w:type="paragraph" w:styleId="BodyText">
    <w:name w:val="Body Text"/>
    <w:basedOn w:val="Normal"/>
    <w:pPr>
      <w:widowControl w:val="0"/>
      <w:numPr>
        <w:numId w:val="1"/>
      </w:numPr>
      <w:spacing w:after="120"/>
      <w:jc w:val="both"/>
    </w:pPr>
    <w:rPr>
      <w:snapToGrid w:val="0"/>
      <w:kern w:val="28"/>
      <w:sz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emphi1">
    <w:name w:val="emphi1"/>
    <w:rPr>
      <w:i/>
      <w:iC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style>
  <w:style w:type="character" w:customStyle="1" w:styleId="FootnoteTextChar">
    <w:name w:val="Footnote Text Char"/>
    <w:aliases w:val="Footnote Text Char Char Char Char Char1,Footnote Text Char Char1 Char1,Footnote Text Char1 Char Char Char Char Char Char1,Footnote Text Char1 Char Char Char1,Footnote Text Char2 Char Char1 Char Char Char1,Footnote Text Char2 Char1"/>
    <w:link w:val="FootnoteText"/>
  </w:style>
  <w:style w:type="character" w:customStyle="1" w:styleId="searchterm">
    <w:name w:val="searchterm"/>
  </w:style>
  <w:style w:type="paragraph" w:customStyle="1" w:styleId="ParaNum">
    <w:name w:val="ParaNum"/>
    <w:basedOn w:val="Normal"/>
    <w:link w:val="ParaNumChar"/>
    <w:pPr>
      <w:widowControl w:val="0"/>
      <w:numPr>
        <w:numId w:val="4"/>
      </w:numPr>
      <w:spacing w:after="120"/>
    </w:pPr>
    <w:rPr>
      <w:snapToGrid w:val="0"/>
      <w:kern w:val="28"/>
      <w:sz w:val="22"/>
    </w:rPr>
  </w:style>
  <w:style w:type="character" w:customStyle="1" w:styleId="FootnoteTextChar1">
    <w:name w:val="Footnote Text Char1"/>
    <w:aliases w:val="Footnote Text Char Char Char Char Char,Footnote Text Char Char1 Char,Footnote Text Char1 Char Char Char,Footnote Text Char1 Char Char Char Char Char Char,Footnote Text Char2 Char,Footnote Text Char2 Char Char1 Char Char Char"/>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