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534C6C">
      <w:pPr>
        <w:spacing w:after="0" w:line="240" w:lineRule="auto"/>
        <w:jc w:val="center"/>
        <w:rPr>
          <w:b w:val="0"/>
        </w:rPr>
      </w:pPr>
      <w:r>
        <w:rPr>
          <w:rFonts w:ascii="Times New Roman Bold" w:hAnsi="Times New Roman Bold"/>
          <w:szCs w:val="22"/>
        </w:rPr>
        <w:t xml:space="preserve"> </w:t>
      </w:r>
      <w:r w:rsidRPr="0070224F">
        <w:rPr>
          <w:rFonts w:ascii="Times New Roman Bold" w:hAnsi="Times New Roman Bold"/>
          <w:szCs w:val="22"/>
        </w:rPr>
        <w:t>Before</w:t>
      </w:r>
      <w:r>
        <w:t xml:space="preserve"> the</w:t>
      </w:r>
    </w:p>
    <w:p w:rsidR="00921803" w:rsidP="006F061C">
      <w:pPr>
        <w:pStyle w:val="StyleBoldCentered"/>
      </w:pPr>
      <w:r>
        <w:t>F</w:t>
      </w:r>
      <w:r>
        <w:rPr>
          <w:caps w:val="0"/>
        </w:rPr>
        <w:t>ederal Communications Commission</w:t>
      </w:r>
    </w:p>
    <w:p w:rsidR="004C2EE3">
      <w:pPr>
        <w:pStyle w:val="StyleBoldCentered"/>
      </w:pPr>
      <w:r>
        <w:rPr>
          <w:caps w:val="0"/>
        </w:rPr>
        <w:t>Washington, D.C. 20554</w:t>
      </w:r>
    </w:p>
    <w:p w:rsidR="004C2EE3" w:rsidP="00534C6C">
      <w:pPr>
        <w:spacing w:after="0" w:line="240" w:lineRule="auto"/>
      </w:pPr>
    </w:p>
    <w:p w:rsidR="004C2EE3" w:rsidP="00534C6C">
      <w:pPr>
        <w:spacing w:after="0" w:line="240" w:lineRule="auto"/>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534C6C" w:rsidP="00534C6C">
            <w:pPr>
              <w:tabs>
                <w:tab w:val="center" w:pos="4680"/>
              </w:tabs>
              <w:suppressAutoHyphens/>
              <w:spacing w:after="0" w:line="240" w:lineRule="auto"/>
              <w:rPr>
                <w:b w:val="0"/>
                <w:spacing w:val="-2"/>
              </w:rPr>
            </w:pPr>
            <w:r w:rsidRPr="00534C6C">
              <w:rPr>
                <w:b w:val="0"/>
                <w:spacing w:val="-2"/>
              </w:rPr>
              <w:t xml:space="preserve">In the Matter </w:t>
            </w:r>
            <w:r w:rsidRPr="00534C6C" w:rsidR="00727C12">
              <w:rPr>
                <w:b w:val="0"/>
                <w:spacing w:val="-2"/>
              </w:rPr>
              <w:t>of</w:t>
            </w:r>
          </w:p>
          <w:p w:rsidR="004C2EE3" w:rsidRPr="00534C6C" w:rsidP="00534C6C">
            <w:pPr>
              <w:tabs>
                <w:tab w:val="center" w:pos="4680"/>
              </w:tabs>
              <w:suppressAutoHyphens/>
              <w:spacing w:after="0" w:line="240" w:lineRule="auto"/>
              <w:rPr>
                <w:b w:val="0"/>
                <w:spacing w:val="-2"/>
              </w:rPr>
            </w:pPr>
          </w:p>
          <w:p w:rsidR="00727C12" w:rsidRPr="00534C6C" w:rsidP="00534C6C">
            <w:pPr>
              <w:tabs>
                <w:tab w:val="center" w:pos="4680"/>
              </w:tabs>
              <w:suppressAutoHyphens/>
              <w:spacing w:after="0" w:line="240" w:lineRule="auto"/>
              <w:rPr>
                <w:b w:val="0"/>
                <w:spacing w:val="-2"/>
              </w:rPr>
            </w:pPr>
          </w:p>
          <w:p w:rsidR="003179B7" w:rsidRPr="00534C6C" w:rsidP="00534C6C">
            <w:pPr>
              <w:autoSpaceDE w:val="0"/>
              <w:autoSpaceDN w:val="0"/>
              <w:adjustRightInd w:val="0"/>
              <w:spacing w:after="0" w:line="240" w:lineRule="auto"/>
              <w:rPr>
                <w:b w:val="0"/>
                <w:spacing w:val="-2"/>
              </w:rPr>
            </w:pPr>
            <w:r w:rsidRPr="00534C6C">
              <w:rPr>
                <w:b w:val="0"/>
                <w:spacing w:val="-2"/>
              </w:rPr>
              <w:t>Amendment of Section 73.</w:t>
            </w:r>
            <w:r w:rsidRPr="00534C6C" w:rsidR="00671F04">
              <w:rPr>
                <w:b w:val="0"/>
                <w:spacing w:val="-2"/>
              </w:rPr>
              <w:t>622(</w:t>
            </w:r>
            <w:r w:rsidRPr="00534C6C" w:rsidR="00671F04">
              <w:rPr>
                <w:b w:val="0"/>
                <w:spacing w:val="-2"/>
              </w:rPr>
              <w:t>i</w:t>
            </w:r>
            <w:r w:rsidRPr="00534C6C" w:rsidR="00671F04">
              <w:rPr>
                <w:b w:val="0"/>
                <w:spacing w:val="-2"/>
              </w:rPr>
              <w:t>)</w:t>
            </w:r>
            <w:r w:rsidRPr="00534C6C">
              <w:rPr>
                <w:b w:val="0"/>
                <w:spacing w:val="-2"/>
              </w:rPr>
              <w:t xml:space="preserve"> </w:t>
            </w:r>
          </w:p>
          <w:p w:rsidR="003179B7" w:rsidRPr="00534C6C" w:rsidP="00534C6C">
            <w:pPr>
              <w:autoSpaceDE w:val="0"/>
              <w:autoSpaceDN w:val="0"/>
              <w:adjustRightInd w:val="0"/>
              <w:spacing w:after="0" w:line="240" w:lineRule="auto"/>
              <w:rPr>
                <w:b w:val="0"/>
                <w:spacing w:val="-2"/>
              </w:rPr>
            </w:pPr>
            <w:r w:rsidRPr="00534C6C">
              <w:rPr>
                <w:b w:val="0"/>
                <w:spacing w:val="-2"/>
              </w:rPr>
              <w:t xml:space="preserve">Post-Transition Table of </w:t>
            </w:r>
            <w:r w:rsidRPr="00534C6C">
              <w:rPr>
                <w:b w:val="0"/>
                <w:spacing w:val="-2"/>
              </w:rPr>
              <w:t>DT</w:t>
            </w:r>
            <w:r w:rsidRPr="00534C6C">
              <w:rPr>
                <w:b w:val="0"/>
                <w:spacing w:val="-2"/>
              </w:rPr>
              <w:t>V Allotments</w:t>
            </w:r>
          </w:p>
          <w:p w:rsidR="003179B7" w:rsidRPr="00534C6C" w:rsidP="00534C6C">
            <w:pPr>
              <w:autoSpaceDE w:val="0"/>
              <w:autoSpaceDN w:val="0"/>
              <w:adjustRightInd w:val="0"/>
              <w:spacing w:after="0" w:line="240" w:lineRule="auto"/>
              <w:rPr>
                <w:b w:val="0"/>
                <w:spacing w:val="-2"/>
              </w:rPr>
            </w:pPr>
            <w:r w:rsidRPr="00534C6C">
              <w:rPr>
                <w:b w:val="0"/>
                <w:spacing w:val="-2"/>
              </w:rPr>
              <w:t>(Bridgeport</w:t>
            </w:r>
            <w:r w:rsidRPr="00534C6C">
              <w:rPr>
                <w:b w:val="0"/>
                <w:spacing w:val="-2"/>
              </w:rPr>
              <w:t xml:space="preserve"> and </w:t>
            </w:r>
            <w:r w:rsidRPr="00534C6C">
              <w:rPr>
                <w:b w:val="0"/>
                <w:spacing w:val="-2"/>
              </w:rPr>
              <w:t>Stamford</w:t>
            </w:r>
            <w:r w:rsidRPr="00534C6C">
              <w:rPr>
                <w:b w:val="0"/>
                <w:spacing w:val="-2"/>
              </w:rPr>
              <w:t xml:space="preserve">, </w:t>
            </w:r>
            <w:r w:rsidRPr="00534C6C">
              <w:rPr>
                <w:b w:val="0"/>
                <w:spacing w:val="-2"/>
              </w:rPr>
              <w:t>Connecticut</w:t>
            </w:r>
            <w:r w:rsidRPr="00534C6C">
              <w:rPr>
                <w:b w:val="0"/>
                <w:spacing w:val="-2"/>
              </w:rPr>
              <w:t>)</w:t>
            </w:r>
          </w:p>
          <w:p w:rsidR="004C2EE3" w:rsidRPr="007115F7" w:rsidP="00534C6C">
            <w:pPr>
              <w:autoSpaceDE w:val="0"/>
              <w:autoSpaceDN w:val="0"/>
              <w:adjustRightInd w:val="0"/>
              <w:spacing w:after="0" w:line="240" w:lineRule="auto"/>
              <w:rPr>
                <w:spacing w:val="-2"/>
              </w:rPr>
            </w:pPr>
          </w:p>
        </w:tc>
        <w:tc>
          <w:tcPr>
            <w:tcW w:w="630" w:type="dxa"/>
          </w:tcPr>
          <w:p w:rsidR="004C2EE3" w:rsidRPr="00105057" w:rsidP="00534C6C">
            <w:pPr>
              <w:tabs>
                <w:tab w:val="center" w:pos="4680"/>
              </w:tabs>
              <w:suppressAutoHyphens/>
              <w:spacing w:after="0" w:line="240" w:lineRule="auto"/>
              <w:rPr>
                <w:spacing w:val="-2"/>
              </w:rPr>
            </w:pPr>
            <w:r w:rsidRPr="00105057">
              <w:rPr>
                <w:spacing w:val="-2"/>
              </w:rPr>
              <w:t>)</w:t>
            </w:r>
          </w:p>
          <w:p w:rsidR="004C2EE3" w:rsidRPr="00105057" w:rsidP="00534C6C">
            <w:pPr>
              <w:tabs>
                <w:tab w:val="center" w:pos="4680"/>
              </w:tabs>
              <w:suppressAutoHyphens/>
              <w:spacing w:after="0" w:line="240" w:lineRule="auto"/>
              <w:rPr>
                <w:spacing w:val="-2"/>
              </w:rPr>
            </w:pPr>
            <w:r w:rsidRPr="00105057">
              <w:rPr>
                <w:spacing w:val="-2"/>
              </w:rPr>
              <w:t>)</w:t>
            </w:r>
          </w:p>
          <w:p w:rsidR="004C2EE3" w:rsidRPr="00105057" w:rsidP="00534C6C">
            <w:pPr>
              <w:tabs>
                <w:tab w:val="center" w:pos="4680"/>
              </w:tabs>
              <w:suppressAutoHyphens/>
              <w:spacing w:after="0" w:line="240" w:lineRule="auto"/>
              <w:rPr>
                <w:spacing w:val="-2"/>
              </w:rPr>
            </w:pPr>
            <w:r w:rsidRPr="00105057">
              <w:rPr>
                <w:spacing w:val="-2"/>
              </w:rPr>
              <w:t>)</w:t>
            </w:r>
          </w:p>
          <w:p w:rsidR="004C2EE3" w:rsidRPr="00105057" w:rsidP="00534C6C">
            <w:pPr>
              <w:tabs>
                <w:tab w:val="center" w:pos="4680"/>
              </w:tabs>
              <w:suppressAutoHyphens/>
              <w:spacing w:after="0" w:line="240" w:lineRule="auto"/>
              <w:rPr>
                <w:spacing w:val="-2"/>
              </w:rPr>
            </w:pPr>
            <w:r w:rsidRPr="00105057">
              <w:rPr>
                <w:spacing w:val="-2"/>
              </w:rPr>
              <w:t>)</w:t>
            </w:r>
          </w:p>
          <w:p w:rsidR="004C2EE3" w:rsidRPr="00105057" w:rsidP="00534C6C">
            <w:pPr>
              <w:tabs>
                <w:tab w:val="center" w:pos="4680"/>
              </w:tabs>
              <w:suppressAutoHyphens/>
              <w:spacing w:after="0" w:line="240" w:lineRule="auto"/>
              <w:rPr>
                <w:spacing w:val="-2"/>
              </w:rPr>
            </w:pPr>
            <w:r w:rsidRPr="00105057">
              <w:rPr>
                <w:spacing w:val="-2"/>
              </w:rPr>
              <w:t>)</w:t>
            </w:r>
          </w:p>
          <w:p w:rsidR="00CF0B5C" w:rsidP="00534C6C">
            <w:pPr>
              <w:tabs>
                <w:tab w:val="center" w:pos="4680"/>
              </w:tabs>
              <w:suppressAutoHyphens/>
              <w:spacing w:after="0" w:line="240" w:lineRule="auto"/>
              <w:rPr>
                <w:spacing w:val="-2"/>
              </w:rPr>
            </w:pPr>
            <w:r>
              <w:rPr>
                <w:spacing w:val="-2"/>
              </w:rPr>
              <w:t>)</w:t>
            </w:r>
          </w:p>
        </w:tc>
        <w:tc>
          <w:tcPr>
            <w:tcW w:w="4248" w:type="dxa"/>
          </w:tcPr>
          <w:p w:rsidR="004C2EE3" w:rsidP="00534C6C">
            <w:pPr>
              <w:tabs>
                <w:tab w:val="center" w:pos="4680"/>
              </w:tabs>
              <w:suppressAutoHyphens/>
              <w:spacing w:after="0" w:line="240" w:lineRule="auto"/>
              <w:rPr>
                <w:spacing w:val="-2"/>
              </w:rPr>
            </w:pPr>
          </w:p>
          <w:p w:rsidR="004C2EE3" w:rsidP="006F061C">
            <w:pPr>
              <w:pStyle w:val="TOAHeading"/>
              <w:tabs>
                <w:tab w:val="center" w:pos="4680"/>
                <w:tab w:val="clear" w:pos="9360"/>
              </w:tabs>
              <w:rPr>
                <w:spacing w:val="-2"/>
              </w:rPr>
            </w:pPr>
          </w:p>
          <w:p w:rsidR="00727C12" w:rsidP="00534C6C">
            <w:pPr>
              <w:tabs>
                <w:tab w:val="center" w:pos="4680"/>
              </w:tabs>
              <w:suppressAutoHyphens/>
              <w:spacing w:after="0" w:line="240" w:lineRule="auto"/>
              <w:rPr>
                <w:spacing w:val="-2"/>
              </w:rPr>
            </w:pPr>
            <w:bookmarkStart w:id="0" w:name="_Hlk500146806"/>
          </w:p>
          <w:p w:rsidR="00D04D72" w:rsidRPr="00534C6C" w:rsidP="00534C6C">
            <w:pPr>
              <w:tabs>
                <w:tab w:val="center" w:pos="4680"/>
              </w:tabs>
              <w:suppressAutoHyphens/>
              <w:spacing w:after="0" w:line="240" w:lineRule="auto"/>
              <w:rPr>
                <w:b w:val="0"/>
                <w:spacing w:val="-2"/>
              </w:rPr>
            </w:pPr>
            <w:r w:rsidRPr="00534C6C">
              <w:rPr>
                <w:b w:val="0"/>
                <w:spacing w:val="-2"/>
              </w:rPr>
              <w:t>MB Docket No.</w:t>
            </w:r>
            <w:r w:rsidRPr="00534C6C" w:rsidR="00EF26ED">
              <w:rPr>
                <w:b w:val="0"/>
                <w:spacing w:val="-2"/>
              </w:rPr>
              <w:t xml:space="preserve"> 18-</w:t>
            </w:r>
            <w:r w:rsidRPr="00534C6C">
              <w:rPr>
                <w:b w:val="0"/>
                <w:spacing w:val="-2"/>
              </w:rPr>
              <w:t>126</w:t>
            </w:r>
          </w:p>
          <w:p w:rsidR="00C7372D" w:rsidRPr="00534C6C" w:rsidP="00534C6C">
            <w:pPr>
              <w:tabs>
                <w:tab w:val="center" w:pos="4680"/>
              </w:tabs>
              <w:suppressAutoHyphens/>
              <w:spacing w:after="0" w:line="240" w:lineRule="auto"/>
              <w:rPr>
                <w:b w:val="0"/>
                <w:spacing w:val="-2"/>
              </w:rPr>
            </w:pPr>
            <w:r w:rsidRPr="00534C6C">
              <w:rPr>
                <w:b w:val="0"/>
                <w:spacing w:val="-2"/>
              </w:rPr>
              <w:t>RM-</w:t>
            </w:r>
            <w:r w:rsidRPr="00534C6C" w:rsidR="00D04D72">
              <w:rPr>
                <w:b w:val="0"/>
                <w:spacing w:val="-2"/>
              </w:rPr>
              <w:t>11800</w:t>
            </w:r>
          </w:p>
          <w:bookmarkEnd w:id="0"/>
          <w:p w:rsidR="00105057" w:rsidP="00534C6C">
            <w:pPr>
              <w:autoSpaceDE w:val="0"/>
              <w:autoSpaceDN w:val="0"/>
              <w:adjustRightInd w:val="0"/>
              <w:spacing w:after="0" w:line="240" w:lineRule="auto"/>
              <w:rPr>
                <w:spacing w:val="-2"/>
              </w:rPr>
            </w:pPr>
          </w:p>
        </w:tc>
      </w:tr>
    </w:tbl>
    <w:p w:rsidR="004C2EE3" w:rsidP="00534C6C">
      <w:pPr>
        <w:spacing w:after="0" w:line="240" w:lineRule="auto"/>
      </w:pPr>
    </w:p>
    <w:p w:rsidR="00841AB1" w:rsidP="006F061C">
      <w:pPr>
        <w:pStyle w:val="StyleBoldCentered"/>
      </w:pPr>
      <w:r>
        <w:t>Report and Order</w:t>
      </w:r>
      <w:r w:rsidR="00C7372D">
        <w:t xml:space="preserve"> </w:t>
      </w:r>
    </w:p>
    <w:p w:rsidR="00EF0AF7" w:rsidP="00534C6C">
      <w:pPr>
        <w:tabs>
          <w:tab w:val="left" w:pos="720"/>
          <w:tab w:val="right" w:pos="9360"/>
        </w:tabs>
        <w:suppressAutoHyphens/>
        <w:spacing w:after="0" w:line="240" w:lineRule="auto"/>
        <w:jc w:val="center"/>
        <w:rPr>
          <w:b w:val="0"/>
          <w:spacing w:val="-2"/>
        </w:rPr>
      </w:pPr>
      <w:r>
        <w:rPr>
          <w:spacing w:val="-2"/>
        </w:rPr>
        <w:t>(Proceeding Terminated)</w:t>
      </w:r>
    </w:p>
    <w:p w:rsidR="00EF0AF7" w:rsidP="00534C6C">
      <w:pPr>
        <w:tabs>
          <w:tab w:val="left" w:pos="720"/>
          <w:tab w:val="right" w:pos="9360"/>
        </w:tabs>
        <w:suppressAutoHyphens/>
        <w:spacing w:after="0" w:line="240" w:lineRule="auto"/>
        <w:rPr>
          <w:b w:val="0"/>
          <w:spacing w:val="-2"/>
        </w:rPr>
      </w:pPr>
    </w:p>
    <w:p w:rsidR="00C7372D" w:rsidP="00105362">
      <w:pPr>
        <w:tabs>
          <w:tab w:val="left" w:pos="720"/>
          <w:tab w:val="right" w:pos="9360"/>
        </w:tabs>
        <w:suppressAutoHyphens/>
        <w:spacing w:after="0" w:line="240" w:lineRule="auto"/>
        <w:rPr>
          <w:spacing w:val="-2"/>
        </w:rPr>
      </w:pPr>
      <w:r>
        <w:rPr>
          <w:spacing w:val="-2"/>
        </w:rPr>
        <w:t xml:space="preserve">Adopted:  </w:t>
      </w:r>
      <w:r w:rsidR="00105362">
        <w:rPr>
          <w:spacing w:val="-2"/>
        </w:rPr>
        <w:t>April 8, 2019</w:t>
      </w:r>
      <w:r w:rsidR="00CE1F7C">
        <w:rPr>
          <w:spacing w:val="-2"/>
        </w:rPr>
        <w:t xml:space="preserve">                                                                                 </w:t>
      </w:r>
      <w:r w:rsidR="00822CE0">
        <w:rPr>
          <w:spacing w:val="-2"/>
        </w:rPr>
        <w:t>Released</w:t>
      </w:r>
      <w:r>
        <w:rPr>
          <w:spacing w:val="-2"/>
        </w:rPr>
        <w:t>:</w:t>
      </w:r>
      <w:r w:rsidR="00822CE0">
        <w:rPr>
          <w:spacing w:val="-2"/>
        </w:rPr>
        <w:t xml:space="preserve"> </w:t>
      </w:r>
      <w:r>
        <w:rPr>
          <w:spacing w:val="-2"/>
        </w:rPr>
        <w:t xml:space="preserve"> </w:t>
      </w:r>
      <w:r w:rsidR="00105362">
        <w:rPr>
          <w:spacing w:val="-2"/>
        </w:rPr>
        <w:t>April 8, 2019</w:t>
      </w:r>
    </w:p>
    <w:p w:rsidR="004C18E3" w:rsidRPr="00105362" w:rsidP="00105362">
      <w:pPr>
        <w:tabs>
          <w:tab w:val="left" w:pos="720"/>
          <w:tab w:val="right" w:pos="9360"/>
        </w:tabs>
        <w:suppressAutoHyphens/>
        <w:spacing w:after="0" w:line="240" w:lineRule="auto"/>
        <w:rPr>
          <w:spacing w:val="-2"/>
        </w:rPr>
      </w:pPr>
      <w:bookmarkStart w:id="1" w:name="_GoBack"/>
      <w:bookmarkEnd w:id="1"/>
    </w:p>
    <w:p w:rsidR="004C2EE3" w:rsidRPr="00FC5FAA" w:rsidP="00534C6C">
      <w:pPr>
        <w:spacing w:after="0" w:line="240" w:lineRule="auto"/>
        <w:rPr>
          <w:b w:val="0"/>
          <w:spacing w:val="-2"/>
        </w:rPr>
      </w:pPr>
      <w:r w:rsidRPr="00FC5FAA">
        <w:rPr>
          <w:b w:val="0"/>
        </w:rPr>
        <w:t xml:space="preserve">By </w:t>
      </w:r>
      <w:r w:rsidRPr="00FC5FAA" w:rsidR="004E4A22">
        <w:rPr>
          <w:b w:val="0"/>
        </w:rPr>
        <w:t>the</w:t>
      </w:r>
      <w:r w:rsidRPr="00FC5FAA" w:rsidR="002A2D2E">
        <w:rPr>
          <w:b w:val="0"/>
        </w:rPr>
        <w:t xml:space="preserve"> </w:t>
      </w:r>
      <w:r w:rsidRPr="00FC5FAA" w:rsidR="003F47A5">
        <w:rPr>
          <w:b w:val="0"/>
        </w:rPr>
        <w:t>Chief, Video Division</w:t>
      </w:r>
      <w:r w:rsidRPr="00FC5FAA" w:rsidR="00E544C9">
        <w:rPr>
          <w:b w:val="0"/>
        </w:rPr>
        <w:t>, Media Bureau</w:t>
      </w:r>
      <w:r w:rsidRPr="00FC5FAA">
        <w:rPr>
          <w:b w:val="0"/>
          <w:spacing w:val="-2"/>
        </w:rPr>
        <w:t>:</w:t>
      </w:r>
    </w:p>
    <w:p w:rsidR="00412FC5" w:rsidP="00412FC5"/>
    <w:p w:rsidR="00BE45E7" w:rsidP="00BE45E7">
      <w:pPr>
        <w:pStyle w:val="ListParagraph"/>
        <w:numPr>
          <w:ilvl w:val="0"/>
          <w:numId w:val="17"/>
        </w:numPr>
        <w:ind w:left="720"/>
        <w:rPr>
          <w:b/>
        </w:rPr>
      </w:pPr>
      <w:r>
        <w:rPr>
          <w:b/>
        </w:rPr>
        <w:t>INTRODUCTION</w:t>
      </w:r>
    </w:p>
    <w:p w:rsidR="00BE45E7" w:rsidRPr="00BE45E7" w:rsidP="00BE45E7">
      <w:pPr>
        <w:rPr>
          <w:b w:val="0"/>
        </w:rPr>
      </w:pPr>
    </w:p>
    <w:p w:rsidR="00B87078" w:rsidP="00A25603">
      <w:pPr>
        <w:pStyle w:val="ParaNum"/>
        <w:tabs>
          <w:tab w:val="clear" w:pos="1080"/>
          <w:tab w:val="num" w:pos="1440"/>
        </w:tabs>
      </w:pPr>
      <w:r>
        <w:t xml:space="preserve">At the request of </w:t>
      </w:r>
      <w:r w:rsidR="00F2094D">
        <w:t>Connecticut Public Broadcasting</w:t>
      </w:r>
      <w:r w:rsidR="00757FA9">
        <w:t xml:space="preserve">, </w:t>
      </w:r>
      <w:r w:rsidR="00F2094D">
        <w:t xml:space="preserve">Inc. </w:t>
      </w:r>
      <w:r w:rsidR="00757FA9">
        <w:t>(</w:t>
      </w:r>
      <w:r w:rsidR="002E491E">
        <w:t>CPB</w:t>
      </w:r>
      <w:r w:rsidR="00F2094D">
        <w:t>I</w:t>
      </w:r>
      <w:r w:rsidR="00757FA9">
        <w:t>),</w:t>
      </w:r>
      <w:r w:rsidR="00C7372D">
        <w:t xml:space="preserve"> lic</w:t>
      </w:r>
      <w:r w:rsidR="00F2094D">
        <w:t>ensee of television station WEDW, channel *49</w:t>
      </w:r>
      <w:r w:rsidR="001947B7">
        <w:t xml:space="preserve">, </w:t>
      </w:r>
      <w:r w:rsidR="00F2094D">
        <w:t>Bridgeport</w:t>
      </w:r>
      <w:r w:rsidR="001947B7">
        <w:t xml:space="preserve">, </w:t>
      </w:r>
      <w:r w:rsidR="00F2094D">
        <w:t>Connecticut</w:t>
      </w:r>
      <w:r w:rsidR="00DF3050">
        <w:t xml:space="preserve"> (</w:t>
      </w:r>
      <w:r w:rsidR="00F2094D">
        <w:t>WEDW)</w:t>
      </w:r>
      <w:r>
        <w:t>, the Commission has before it a</w:t>
      </w:r>
      <w:r w:rsidR="00CF3CC5">
        <w:t xml:space="preserve"> contested </w:t>
      </w:r>
      <w:r>
        <w:rPr>
          <w:i/>
        </w:rPr>
        <w:t>Notice of Proposed Rulemaking</w:t>
      </w:r>
      <w:r>
        <w:t xml:space="preserve"> (</w:t>
      </w:r>
      <w:r>
        <w:rPr>
          <w:i/>
        </w:rPr>
        <w:t>NPRM</w:t>
      </w:r>
      <w:r w:rsidR="00D846EC">
        <w:t>)</w:t>
      </w:r>
      <w:r>
        <w:t xml:space="preserve"> </w:t>
      </w:r>
      <w:r w:rsidR="00E85EA2">
        <w:t xml:space="preserve">to </w:t>
      </w:r>
      <w:r w:rsidR="00950703">
        <w:t xml:space="preserve">change WEDW’s community of license </w:t>
      </w:r>
      <w:r>
        <w:t xml:space="preserve">from </w:t>
      </w:r>
      <w:r w:rsidR="00CF3CC5">
        <w:t>Bridgeport</w:t>
      </w:r>
      <w:r>
        <w:t xml:space="preserve"> to </w:t>
      </w:r>
      <w:r w:rsidR="00CF3CC5">
        <w:t>Stamford</w:t>
      </w:r>
      <w:r>
        <w:t xml:space="preserve">, </w:t>
      </w:r>
      <w:r w:rsidR="00CF3CC5">
        <w:t>Connecticut</w:t>
      </w:r>
      <w:r w:rsidR="001947B7">
        <w:t>.</w:t>
      </w:r>
      <w:r>
        <w:rPr>
          <w:rStyle w:val="FootnoteReference"/>
        </w:rPr>
        <w:footnoteReference w:id="3"/>
      </w:r>
      <w:r w:rsidR="00B635CE">
        <w:t xml:space="preserve"> </w:t>
      </w:r>
      <w:r w:rsidR="001947B7">
        <w:t xml:space="preserve"> </w:t>
      </w:r>
      <w:r w:rsidR="00CF3CC5">
        <w:t>CPBI</w:t>
      </w:r>
      <w:r>
        <w:t xml:space="preserve"> filed</w:t>
      </w:r>
      <w:r w:rsidR="004F790A">
        <w:t xml:space="preserve"> comments</w:t>
      </w:r>
      <w:r w:rsidR="00CF3CC5">
        <w:t xml:space="preserve"> support</w:t>
      </w:r>
      <w:r w:rsidR="00950703">
        <w:t>ing</w:t>
      </w:r>
      <w:r w:rsidR="00CF3CC5">
        <w:t xml:space="preserve"> the </w:t>
      </w:r>
      <w:r w:rsidR="00CF3CC5">
        <w:rPr>
          <w:i/>
        </w:rPr>
        <w:t>NPRM</w:t>
      </w:r>
      <w:r w:rsidR="00CF3CC5">
        <w:t>.</w:t>
      </w:r>
      <w:r>
        <w:rPr>
          <w:rStyle w:val="FootnoteReference"/>
        </w:rPr>
        <w:footnoteReference w:id="4"/>
      </w:r>
      <w:r w:rsidR="00CF3CC5">
        <w:t xml:space="preserve">  PMCM TV, LLC</w:t>
      </w:r>
      <w:r w:rsidR="00434C9A">
        <w:t xml:space="preserve"> (PMCM)</w:t>
      </w:r>
      <w:r w:rsidR="00CF3CC5">
        <w:t xml:space="preserve"> </w:t>
      </w:r>
      <w:r w:rsidR="00950703">
        <w:t xml:space="preserve">subsequently </w:t>
      </w:r>
      <w:r w:rsidR="00CF3CC5">
        <w:t xml:space="preserve">filed </w:t>
      </w:r>
      <w:r w:rsidR="00434C9A">
        <w:t>comments in</w:t>
      </w:r>
      <w:r w:rsidR="00CF3CC5">
        <w:t xml:space="preserve"> opposition to</w:t>
      </w:r>
      <w:r>
        <w:t xml:space="preserve"> </w:t>
      </w:r>
      <w:r w:rsidR="00CF3CC5">
        <w:t xml:space="preserve">the </w:t>
      </w:r>
      <w:r w:rsidR="00CF3CC5">
        <w:rPr>
          <w:i/>
        </w:rPr>
        <w:t>NPRM</w:t>
      </w:r>
      <w:r w:rsidR="00CF3CC5">
        <w:t>, to which CPBI filed a reply.</w:t>
      </w:r>
      <w:r>
        <w:rPr>
          <w:rStyle w:val="FootnoteReference"/>
        </w:rPr>
        <w:footnoteReference w:id="5"/>
      </w:r>
      <w:r w:rsidR="00CB115E">
        <w:t xml:space="preserve"> </w:t>
      </w:r>
      <w:r w:rsidR="00B635CE">
        <w:t xml:space="preserve"> </w:t>
      </w:r>
      <w:r w:rsidR="00CB115E">
        <w:t>For the reason</w:t>
      </w:r>
      <w:r w:rsidR="00C77CE3">
        <w:t>s</w:t>
      </w:r>
      <w:r w:rsidR="00670CA9">
        <w:t xml:space="preserve"> below, we:  (1) grant</w:t>
      </w:r>
      <w:r w:rsidR="002E491E">
        <w:t xml:space="preserve"> C</w:t>
      </w:r>
      <w:r w:rsidR="00340795">
        <w:t>P</w:t>
      </w:r>
      <w:r w:rsidR="002E491E">
        <w:t>B</w:t>
      </w:r>
      <w:r w:rsidR="00340795">
        <w:t>I</w:t>
      </w:r>
      <w:r w:rsidR="008A21E8">
        <w:t>’s</w:t>
      </w:r>
      <w:r w:rsidR="00CB115E">
        <w:t xml:space="preserve"> request to change </w:t>
      </w:r>
      <w:r w:rsidR="00340795">
        <w:t>WEDW</w:t>
      </w:r>
      <w:r w:rsidR="00CB115E">
        <w:t xml:space="preserve">’s community </w:t>
      </w:r>
      <w:r w:rsidR="008A21E8">
        <w:t xml:space="preserve">of license </w:t>
      </w:r>
      <w:r w:rsidR="00CB115E">
        <w:t xml:space="preserve">to </w:t>
      </w:r>
      <w:r w:rsidR="00340795">
        <w:t>Stamford</w:t>
      </w:r>
      <w:r w:rsidR="008A21E8">
        <w:t>,</w:t>
      </w:r>
      <w:r w:rsidR="00670CA9">
        <w:t xml:space="preserve"> </w:t>
      </w:r>
      <w:r w:rsidR="00340795">
        <w:t>Connecticut</w:t>
      </w:r>
      <w:r w:rsidR="0040322D">
        <w:t>;</w:t>
      </w:r>
      <w:r w:rsidR="00434C9A">
        <w:t xml:space="preserve"> (2) deny PMCM’s opposition;</w:t>
      </w:r>
      <w:r w:rsidR="0040322D">
        <w:t xml:space="preserve"> </w:t>
      </w:r>
      <w:r w:rsidR="00CB115E">
        <w:t>(</w:t>
      </w:r>
      <w:r w:rsidR="00434C9A">
        <w:t>3</w:t>
      </w:r>
      <w:r w:rsidR="00920850">
        <w:t>) amend</w:t>
      </w:r>
      <w:r w:rsidR="00CB115E">
        <w:t xml:space="preserve"> the</w:t>
      </w:r>
      <w:r w:rsidR="00C77CE3">
        <w:t xml:space="preserve"> Post-Transition Table of </w:t>
      </w:r>
      <w:r w:rsidR="006D49FB">
        <w:t xml:space="preserve">DTV </w:t>
      </w:r>
      <w:r w:rsidR="00CB115E">
        <w:t xml:space="preserve">Allotments to reflect the change; </w:t>
      </w:r>
      <w:r w:rsidR="00340795">
        <w:t xml:space="preserve">and </w:t>
      </w:r>
      <w:r w:rsidR="00CB115E">
        <w:t>(</w:t>
      </w:r>
      <w:r w:rsidR="00434C9A">
        <w:t>4</w:t>
      </w:r>
      <w:r w:rsidR="00CB115E">
        <w:t xml:space="preserve">) </w:t>
      </w:r>
      <w:r w:rsidR="00670CA9">
        <w:t>modify</w:t>
      </w:r>
      <w:r w:rsidR="00CB115E">
        <w:t xml:space="preserve"> W</w:t>
      </w:r>
      <w:r w:rsidR="00DA2C60">
        <w:t>EDW</w:t>
      </w:r>
      <w:r w:rsidR="00CB115E">
        <w:t>’s license to reflect that its comm</w:t>
      </w:r>
      <w:r w:rsidR="008A21E8">
        <w:t xml:space="preserve">unity of license is </w:t>
      </w:r>
      <w:r w:rsidR="00340795">
        <w:t>Stamford</w:t>
      </w:r>
      <w:r w:rsidR="00CB115E">
        <w:t xml:space="preserve">, </w:t>
      </w:r>
      <w:r w:rsidR="00340795">
        <w:t>Connecticut.</w:t>
      </w:r>
    </w:p>
    <w:p w:rsidR="00BE45E7" w:rsidP="00BE45E7">
      <w:pPr>
        <w:pStyle w:val="ParaNum"/>
        <w:numPr>
          <w:ilvl w:val="0"/>
          <w:numId w:val="17"/>
        </w:numPr>
        <w:ind w:left="720"/>
      </w:pPr>
      <w:r>
        <w:rPr>
          <w:b/>
        </w:rPr>
        <w:t>BACKGROUND</w:t>
      </w:r>
    </w:p>
    <w:p w:rsidR="005639FD" w:rsidP="00631BF7">
      <w:pPr>
        <w:pStyle w:val="ParaNum"/>
        <w:tabs>
          <w:tab w:val="clear" w:pos="1080"/>
          <w:tab w:val="num" w:pos="1440"/>
        </w:tabs>
      </w:pPr>
      <w:bookmarkStart w:id="2" w:name="_Hlk501539640"/>
      <w:r>
        <w:t xml:space="preserve"> </w:t>
      </w:r>
      <w:r w:rsidR="00340795">
        <w:t>On August 23, 2017, CP</w:t>
      </w:r>
      <w:r w:rsidR="00950703">
        <w:t>B</w:t>
      </w:r>
      <w:r w:rsidR="00340795">
        <w:t>I</w:t>
      </w:r>
      <w:r w:rsidR="008720D6">
        <w:t xml:space="preserve"> filed a petition for rulemaking</w:t>
      </w:r>
      <w:r w:rsidR="00340795">
        <w:t xml:space="preserve"> proposing to </w:t>
      </w:r>
      <w:r w:rsidR="00950703">
        <w:t xml:space="preserve">change WEDW’s community of license </w:t>
      </w:r>
      <w:r w:rsidR="008720D6">
        <w:t xml:space="preserve">from </w:t>
      </w:r>
      <w:r w:rsidR="00340795">
        <w:t>Bridgeport</w:t>
      </w:r>
      <w:r w:rsidR="008A21E8">
        <w:t xml:space="preserve"> to </w:t>
      </w:r>
      <w:r w:rsidR="00340795">
        <w:t>Stamford</w:t>
      </w:r>
      <w:r w:rsidR="00945E3A">
        <w:t xml:space="preserve"> (Petition</w:t>
      </w:r>
      <w:r w:rsidR="00920850">
        <w:t>)</w:t>
      </w:r>
      <w:r>
        <w:rPr>
          <w:rStyle w:val="FootnoteReference"/>
        </w:rPr>
        <w:footnoteReference w:id="6"/>
      </w:r>
      <w:r w:rsidR="00920850">
        <w:t xml:space="preserve"> </w:t>
      </w:r>
      <w:r w:rsidR="008D1E02">
        <w:t>pursuant</w:t>
      </w:r>
      <w:r w:rsidR="00EF0AF7">
        <w:t xml:space="preserve"> to Section </w:t>
      </w:r>
      <w:r w:rsidR="00CE1F7C">
        <w:t>1.</w:t>
      </w:r>
      <w:r w:rsidR="005052EA">
        <w:t>42</w:t>
      </w:r>
      <w:r w:rsidR="00CE1F7C">
        <w:t>0</w:t>
      </w:r>
      <w:r w:rsidR="005052EA">
        <w:t>(</w:t>
      </w:r>
      <w:r w:rsidR="005052EA">
        <w:t>i</w:t>
      </w:r>
      <w:r w:rsidR="005052EA">
        <w:t>) of the</w:t>
      </w:r>
      <w:r w:rsidR="00EF0AF7">
        <w:t xml:space="preserve"> Commission’s rul</w:t>
      </w:r>
      <w:r w:rsidR="00DC76CF">
        <w:t>es</w:t>
      </w:r>
      <w:r w:rsidR="00920850">
        <w:t>.</w:t>
      </w:r>
      <w:r>
        <w:rPr>
          <w:rStyle w:val="FootnoteReference"/>
        </w:rPr>
        <w:footnoteReference w:id="7"/>
      </w:r>
      <w:r w:rsidR="00670CA9">
        <w:t xml:space="preserve"> </w:t>
      </w:r>
      <w:r w:rsidR="00341124">
        <w:t xml:space="preserve"> </w:t>
      </w:r>
      <w:r w:rsidR="002E491E">
        <w:t>C</w:t>
      </w:r>
      <w:r w:rsidR="00340795">
        <w:t>P</w:t>
      </w:r>
      <w:r w:rsidR="002E491E">
        <w:t>B</w:t>
      </w:r>
      <w:r w:rsidR="00340795">
        <w:t>I</w:t>
      </w:r>
      <w:r>
        <w:t xml:space="preserve"> </w:t>
      </w:r>
      <w:r w:rsidR="00340795">
        <w:t>claimed that the propos</w:t>
      </w:r>
      <w:r w:rsidR="00950703">
        <w:t xml:space="preserve">al </w:t>
      </w:r>
      <w:r w:rsidR="00340795">
        <w:t xml:space="preserve">is mutually exclusive with its existing allotment </w:t>
      </w:r>
      <w:r w:rsidR="00340795">
        <w:t>because it would not affect the technical specifications currently authorized for WEDW.</w:t>
      </w:r>
      <w:r>
        <w:rPr>
          <w:rStyle w:val="FootnoteReference"/>
        </w:rPr>
        <w:footnoteReference w:id="8"/>
      </w:r>
      <w:r w:rsidR="00340795">
        <w:t xml:space="preserve"> </w:t>
      </w:r>
      <w:r w:rsidR="003B774C">
        <w:t xml:space="preserve"> </w:t>
      </w:r>
      <w:r w:rsidR="002E491E">
        <w:t>CPB</w:t>
      </w:r>
      <w:r w:rsidR="00340795">
        <w:t>I also claimed that Stamford qualifies as a community for allotment purposes and that the propos</w:t>
      </w:r>
      <w:r w:rsidR="00C77CE3">
        <w:t>al</w:t>
      </w:r>
      <w:r w:rsidR="00340795">
        <w:t xml:space="preserve"> would represent a preferential</w:t>
      </w:r>
      <w:r w:rsidR="00C77CE3">
        <w:t xml:space="preserve"> arrangement</w:t>
      </w:r>
      <w:r w:rsidR="00461346">
        <w:t>s</w:t>
      </w:r>
      <w:r w:rsidR="00C77CE3">
        <w:t xml:space="preserve"> of</w:t>
      </w:r>
      <w:r w:rsidR="00340795">
        <w:t xml:space="preserve"> allotment pursuant to the Commission’s second allotment priority (Priority 2).</w:t>
      </w:r>
      <w:r>
        <w:rPr>
          <w:rStyle w:val="FootnoteReference"/>
        </w:rPr>
        <w:footnoteReference w:id="9"/>
      </w:r>
      <w:r w:rsidR="002E491E">
        <w:t xml:space="preserve">  C</w:t>
      </w:r>
      <w:r w:rsidR="00340795">
        <w:t>P</w:t>
      </w:r>
      <w:r w:rsidR="002E491E">
        <w:t>B</w:t>
      </w:r>
      <w:r w:rsidR="00340795">
        <w:t>I noted that Stamford, with a 2010 U.S. Census population of 122,643, is the third largest city in Connecticut, the seventh largest city in New England, and a city where numerous Fortune 500 companies have located their corporate headquarters.</w:t>
      </w:r>
      <w:r>
        <w:rPr>
          <w:rStyle w:val="FootnoteReference"/>
        </w:rPr>
        <w:footnoteReference w:id="10"/>
      </w:r>
      <w:r w:rsidR="00340795">
        <w:t xml:space="preserve">  </w:t>
      </w:r>
      <w:r w:rsidR="0009147B">
        <w:t xml:space="preserve">However, </w:t>
      </w:r>
      <w:r w:rsidR="00340795">
        <w:t>Stamford</w:t>
      </w:r>
      <w:r w:rsidR="0009147B">
        <w:t xml:space="preserve"> does not </w:t>
      </w:r>
      <w:r w:rsidR="00340795">
        <w:t>have a full</w:t>
      </w:r>
      <w:r w:rsidR="00E544C9">
        <w:t>-</w:t>
      </w:r>
      <w:r w:rsidR="00340795">
        <w:t>power television station licensed to it.</w:t>
      </w:r>
      <w:r>
        <w:rPr>
          <w:rStyle w:val="FootnoteReference"/>
        </w:rPr>
        <w:footnoteReference w:id="11"/>
      </w:r>
      <w:r w:rsidR="002E491E">
        <w:t xml:space="preserve">  Finally, C</w:t>
      </w:r>
      <w:r w:rsidR="00340795">
        <w:t>P</w:t>
      </w:r>
      <w:r w:rsidR="002E491E">
        <w:t>B</w:t>
      </w:r>
      <w:r w:rsidR="00340795">
        <w:t xml:space="preserve">I </w:t>
      </w:r>
      <w:r w:rsidR="00E8008B">
        <w:t xml:space="preserve">states </w:t>
      </w:r>
      <w:r w:rsidR="00340795">
        <w:t>that the propos</w:t>
      </w:r>
      <w:r w:rsidR="00E544C9">
        <w:t xml:space="preserve">al </w:t>
      </w:r>
      <w:r w:rsidR="00340795">
        <w:t xml:space="preserve">would not deprive Bridgeport of its sole broadcast station as it will continue to be served by </w:t>
      </w:r>
      <w:r w:rsidR="004366E1">
        <w:t xml:space="preserve">full-power television </w:t>
      </w:r>
      <w:r w:rsidR="00340795">
        <w:t>station WZME</w:t>
      </w:r>
      <w:r w:rsidR="00C77CE3">
        <w:t xml:space="preserve">, Bridgeport, Connecticut (WZME), </w:t>
      </w:r>
      <w:r w:rsidRPr="00534C6C" w:rsidR="00565EE5">
        <w:t>licensed to NRJ TV NY License Co.</w:t>
      </w:r>
      <w:r w:rsidR="00984BCC">
        <w:t>,</w:t>
      </w:r>
      <w:r w:rsidR="00811B12">
        <w:t xml:space="preserve"> LLC</w:t>
      </w:r>
      <w:r w:rsidRPr="00534C6C" w:rsidR="00565EE5">
        <w:t xml:space="preserve"> (NRJ)</w:t>
      </w:r>
      <w:r w:rsidR="00340795">
        <w:t>.</w:t>
      </w:r>
      <w:r>
        <w:rPr>
          <w:rStyle w:val="FootnoteReference"/>
        </w:rPr>
        <w:footnoteReference w:id="12"/>
      </w:r>
      <w:r w:rsidR="00340795">
        <w:t xml:space="preserve"> </w:t>
      </w:r>
      <w:r w:rsidR="00BE45E7">
        <w:t xml:space="preserve"> </w:t>
      </w:r>
    </w:p>
    <w:p w:rsidR="00462865" w:rsidP="00CE531A">
      <w:pPr>
        <w:pStyle w:val="ParaNum"/>
        <w:widowControl/>
        <w:tabs>
          <w:tab w:val="clear" w:pos="1080"/>
          <w:tab w:val="num" w:pos="1440"/>
        </w:tabs>
      </w:pPr>
      <w:r>
        <w:t xml:space="preserve"> </w:t>
      </w:r>
      <w:r w:rsidR="008720D6">
        <w:t>On May 14, 2018, the Video Division</w:t>
      </w:r>
      <w:r w:rsidR="00757FA9">
        <w:t xml:space="preserve"> </w:t>
      </w:r>
      <w:r w:rsidR="007144DA">
        <w:t xml:space="preserve">issued the </w:t>
      </w:r>
      <w:r w:rsidR="007144DA">
        <w:rPr>
          <w:i/>
        </w:rPr>
        <w:t>NPRM</w:t>
      </w:r>
      <w:r w:rsidR="00873850">
        <w:t>, which</w:t>
      </w:r>
      <w:r w:rsidR="00873850">
        <w:rPr>
          <w:i/>
        </w:rPr>
        <w:t xml:space="preserve"> </w:t>
      </w:r>
      <w:r>
        <w:t>concluded that CPBI</w:t>
      </w:r>
      <w:r w:rsidR="00873850">
        <w:t xml:space="preserve"> provided sufficient information to warrant further consideration of its</w:t>
      </w:r>
      <w:r w:rsidRPr="00873850" w:rsidR="00873850">
        <w:t xml:space="preserve"> </w:t>
      </w:r>
      <w:r w:rsidR="00873850">
        <w:t>proposal.</w:t>
      </w:r>
      <w:r>
        <w:rPr>
          <w:rStyle w:val="FootnoteReference"/>
        </w:rPr>
        <w:footnoteReference w:id="13"/>
      </w:r>
      <w:r w:rsidR="00873850">
        <w:t xml:space="preserve"> </w:t>
      </w:r>
      <w:r w:rsidR="008720D6">
        <w:t xml:space="preserve"> </w:t>
      </w:r>
      <w:r w:rsidR="00F6492D">
        <w:t>Accordingly, t</w:t>
      </w:r>
      <w:r w:rsidR="009E6436">
        <w:t>he</w:t>
      </w:r>
      <w:r w:rsidR="00F6492D">
        <w:t xml:space="preserve"> Video Division</w:t>
      </w:r>
      <w:r w:rsidR="009E6436">
        <w:t xml:space="preserve"> </w:t>
      </w:r>
      <w:r w:rsidR="00CD615F">
        <w:t xml:space="preserve">sought </w:t>
      </w:r>
      <w:r w:rsidR="00873850">
        <w:t xml:space="preserve">public </w:t>
      </w:r>
      <w:r w:rsidR="00CD615F">
        <w:t xml:space="preserve">comment </w:t>
      </w:r>
      <w:r w:rsidR="00873850">
        <w:t xml:space="preserve">on whether </w:t>
      </w:r>
      <w:r w:rsidR="004F3488">
        <w:t xml:space="preserve">the Commission should grant </w:t>
      </w:r>
      <w:r w:rsidR="0079591E">
        <w:t>CP</w:t>
      </w:r>
      <w:r w:rsidR="00AC162F">
        <w:t>B</w:t>
      </w:r>
      <w:r w:rsidR="0079591E">
        <w:t>I’s</w:t>
      </w:r>
      <w:r w:rsidR="00873850">
        <w:t xml:space="preserve"> </w:t>
      </w:r>
      <w:r w:rsidR="004F3488">
        <w:t xml:space="preserve">proposed </w:t>
      </w:r>
      <w:r w:rsidR="00950703">
        <w:t>community of license change</w:t>
      </w:r>
      <w:r w:rsidR="004F3488">
        <w:t>.</w:t>
      </w:r>
      <w:r>
        <w:rPr>
          <w:rStyle w:val="FootnoteReference"/>
        </w:rPr>
        <w:footnoteReference w:id="14"/>
      </w:r>
      <w:bookmarkStart w:id="3" w:name="_Hlk506449115"/>
      <w:r>
        <w:t xml:space="preserve">  </w:t>
      </w:r>
    </w:p>
    <w:p w:rsidR="009E6436" w:rsidP="00CE531A">
      <w:pPr>
        <w:pStyle w:val="ParaNum"/>
        <w:widowControl/>
        <w:tabs>
          <w:tab w:val="clear" w:pos="1080"/>
          <w:tab w:val="num" w:pos="1440"/>
        </w:tabs>
      </w:pPr>
      <w:r>
        <w:t>CPB</w:t>
      </w:r>
      <w:r w:rsidR="0062356B">
        <w:t>I</w:t>
      </w:r>
      <w:r w:rsidR="00B1515D">
        <w:t xml:space="preserve"> filed comments in support of the </w:t>
      </w:r>
      <w:r w:rsidRPr="00CE531A" w:rsidR="00B1515D">
        <w:rPr>
          <w:i/>
        </w:rPr>
        <w:t>NPRM</w:t>
      </w:r>
      <w:r w:rsidRPr="00CE531A" w:rsidR="00EF2CC9">
        <w:rPr>
          <w:i/>
        </w:rPr>
        <w:t xml:space="preserve"> </w:t>
      </w:r>
      <w:r w:rsidR="00EF2CC9">
        <w:t>on A</w:t>
      </w:r>
      <w:r w:rsidR="004D08A4">
        <w:t>ugust</w:t>
      </w:r>
      <w:r w:rsidR="00EF2CC9">
        <w:t xml:space="preserve"> 6, 2018</w:t>
      </w:r>
      <w:r w:rsidR="00B635CE">
        <w:t>, reiterating its claims from</w:t>
      </w:r>
      <w:r w:rsidR="00B1515D">
        <w:t xml:space="preserve"> </w:t>
      </w:r>
      <w:r w:rsidR="0079591E">
        <w:t xml:space="preserve">the </w:t>
      </w:r>
      <w:r w:rsidR="00B1515D">
        <w:t>rulemaking petition</w:t>
      </w:r>
      <w:r w:rsidR="00671FBA">
        <w:t>.</w:t>
      </w:r>
      <w:r>
        <w:rPr>
          <w:rStyle w:val="FootnoteReference"/>
        </w:rPr>
        <w:footnoteReference w:id="15"/>
      </w:r>
      <w:r w:rsidR="00671FBA">
        <w:t xml:space="preserve"> </w:t>
      </w:r>
      <w:r>
        <w:t xml:space="preserve"> C</w:t>
      </w:r>
      <w:r w:rsidR="00B1515D">
        <w:t>P</w:t>
      </w:r>
      <w:r>
        <w:t>B</w:t>
      </w:r>
      <w:r w:rsidR="00B1515D">
        <w:t xml:space="preserve">I also stated that it “will promptly apply for a change of community </w:t>
      </w:r>
      <w:r w:rsidR="00B1515D">
        <w:t>of license when the change is made and will promptly implement that change within the time limit specified by the Commission.”</w:t>
      </w:r>
      <w:r>
        <w:rPr>
          <w:rStyle w:val="FootnoteReference"/>
        </w:rPr>
        <w:footnoteReference w:id="16"/>
      </w:r>
    </w:p>
    <w:p w:rsidR="00F572D5" w:rsidP="00F572D5">
      <w:pPr>
        <w:pStyle w:val="ParaNum"/>
        <w:tabs>
          <w:tab w:val="clear" w:pos="1080"/>
          <w:tab w:val="num" w:pos="1440"/>
        </w:tabs>
      </w:pPr>
      <w:r>
        <w:t xml:space="preserve">In </w:t>
      </w:r>
      <w:r w:rsidR="00DD53D9">
        <w:t>its</w:t>
      </w:r>
      <w:r w:rsidR="00B733BE">
        <w:t xml:space="preserve"> O</w:t>
      </w:r>
      <w:r w:rsidR="00EF2CC9">
        <w:t>pposition</w:t>
      </w:r>
      <w:r w:rsidR="004B50E2">
        <w:t>, PMCM raises</w:t>
      </w:r>
      <w:r w:rsidR="00A84D9A">
        <w:t xml:space="preserve"> four</w:t>
      </w:r>
      <w:r w:rsidR="002E491E">
        <w:t xml:space="preserve"> arguments</w:t>
      </w:r>
      <w:r w:rsidR="003E12A8">
        <w:t xml:space="preserve"> for</w:t>
      </w:r>
      <w:r w:rsidR="002E491E">
        <w:t xml:space="preserve"> why</w:t>
      </w:r>
      <w:r w:rsidR="000306C8">
        <w:t xml:space="preserve"> the Commission should not grant</w:t>
      </w:r>
      <w:r w:rsidR="002E491E">
        <w:t xml:space="preserve"> the proposed </w:t>
      </w:r>
      <w:r w:rsidR="00950703">
        <w:t>change in community of license</w:t>
      </w:r>
      <w:r w:rsidR="002E491E">
        <w:t xml:space="preserve">.  First, PMCM argues that </w:t>
      </w:r>
      <w:r w:rsidR="00BC32AA">
        <w:t>the</w:t>
      </w:r>
      <w:r w:rsidR="002E491E">
        <w:t xml:space="preserve"> </w:t>
      </w:r>
      <w:r w:rsidR="00775B2F">
        <w:t xml:space="preserve">proposal </w:t>
      </w:r>
      <w:r w:rsidR="00F44A2E">
        <w:t>is</w:t>
      </w:r>
      <w:r w:rsidR="006A7A17">
        <w:t xml:space="preserve"> </w:t>
      </w:r>
      <w:r w:rsidR="00775B2F">
        <w:t>inconsistent with the</w:t>
      </w:r>
      <w:r w:rsidR="00314765">
        <w:t xml:space="preserve"> </w:t>
      </w:r>
      <w:r w:rsidR="00121486">
        <w:t>Commission’s</w:t>
      </w:r>
      <w:r w:rsidR="00232481">
        <w:rPr>
          <w:i/>
        </w:rPr>
        <w:t xml:space="preserve"> </w:t>
      </w:r>
      <w:r w:rsidR="00AA29FB">
        <w:rPr>
          <w:i/>
        </w:rPr>
        <w:t>Public Notice</w:t>
      </w:r>
      <w:r w:rsidR="00232481">
        <w:rPr>
          <w:i/>
        </w:rPr>
        <w:t xml:space="preserve"> </w:t>
      </w:r>
      <w:r w:rsidR="00232481">
        <w:t xml:space="preserve">partially lifting the freeze on the filing </w:t>
      </w:r>
      <w:r w:rsidR="00BC7BE1">
        <w:t>of</w:t>
      </w:r>
      <w:r w:rsidR="00232481">
        <w:t xml:space="preserve"> change</w:t>
      </w:r>
      <w:r w:rsidR="00BC7BE1">
        <w:t>s</w:t>
      </w:r>
      <w:r w:rsidR="00232481">
        <w:t xml:space="preserve"> to a station’s community of license</w:t>
      </w:r>
      <w:r w:rsidR="00D669A8">
        <w:t>.</w:t>
      </w:r>
      <w:r>
        <w:rPr>
          <w:rStyle w:val="FootnoteReference"/>
        </w:rPr>
        <w:footnoteReference w:id="17"/>
      </w:r>
      <w:r w:rsidR="00C2238A">
        <w:t xml:space="preserve">  </w:t>
      </w:r>
      <w:r w:rsidR="00F44A2E">
        <w:t>A</w:t>
      </w:r>
      <w:r w:rsidR="005E73E0">
        <w:t xml:space="preserve">lthough the Petition did not propose </w:t>
      </w:r>
      <w:r w:rsidR="00E544C9">
        <w:t>to</w:t>
      </w:r>
      <w:r w:rsidR="00F44A2E">
        <w:t xml:space="preserve"> change WEDW’s </w:t>
      </w:r>
      <w:r w:rsidR="007D01C9">
        <w:t xml:space="preserve">currently authorized technical facilities </w:t>
      </w:r>
      <w:r w:rsidR="00591646">
        <w:t>at the time of filing</w:t>
      </w:r>
      <w:r w:rsidR="005E73E0">
        <w:t xml:space="preserve">, </w:t>
      </w:r>
      <w:r w:rsidR="009B05D2">
        <w:t xml:space="preserve"> </w:t>
      </w:r>
      <w:r w:rsidR="00F44A2E">
        <w:t xml:space="preserve">PMCM states that </w:t>
      </w:r>
      <w:r w:rsidR="00C61B3F">
        <w:t>C</w:t>
      </w:r>
      <w:r w:rsidR="006D3B6A">
        <w:t>PBI</w:t>
      </w:r>
      <w:r w:rsidR="00F92133">
        <w:t xml:space="preserve"> was attempting to “sidestep” the </w:t>
      </w:r>
      <w:r w:rsidR="007D01C9">
        <w:rPr>
          <w:i/>
        </w:rPr>
        <w:t xml:space="preserve">Public </w:t>
      </w:r>
      <w:r w:rsidRPr="004B0457" w:rsidR="007D01C9">
        <w:rPr>
          <w:i/>
        </w:rPr>
        <w:t>Notice</w:t>
      </w:r>
      <w:r w:rsidR="007D01C9">
        <w:t xml:space="preserve">’s </w:t>
      </w:r>
      <w:r w:rsidRPr="004B0457" w:rsidR="00834033">
        <w:t>restriction</w:t>
      </w:r>
      <w:r w:rsidR="007D01C9">
        <w:t xml:space="preserve"> </w:t>
      </w:r>
      <w:r w:rsidR="00E544C9">
        <w:t xml:space="preserve">on </w:t>
      </w:r>
      <w:r w:rsidR="007D01C9">
        <w:t>such changes</w:t>
      </w:r>
      <w:r w:rsidR="00834033">
        <w:t xml:space="preserve"> </w:t>
      </w:r>
      <w:r w:rsidR="007D01C9">
        <w:t>by</w:t>
      </w:r>
      <w:r w:rsidR="00CB0648">
        <w:t xml:space="preserve"> fil</w:t>
      </w:r>
      <w:r w:rsidR="00F92133">
        <w:t>ing</w:t>
      </w:r>
      <w:r w:rsidR="005E73E0">
        <w:t xml:space="preserve"> a reque</w:t>
      </w:r>
      <w:r w:rsidR="00D8193B">
        <w:t>st to relocate WEDW’s technical facilities from Bridgeport</w:t>
      </w:r>
      <w:r w:rsidR="005E73E0">
        <w:t xml:space="preserve"> to Stamford</w:t>
      </w:r>
      <w:r w:rsidR="00C2238A">
        <w:t xml:space="preserve"> after filing the Petition</w:t>
      </w:r>
      <w:r w:rsidR="00A84D9A">
        <w:t>.</w:t>
      </w:r>
      <w:r>
        <w:rPr>
          <w:rStyle w:val="FootnoteReference"/>
        </w:rPr>
        <w:footnoteReference w:id="18"/>
      </w:r>
      <w:r w:rsidR="00D669A8">
        <w:t xml:space="preserve">  </w:t>
      </w:r>
      <w:r w:rsidR="00706D02">
        <w:t>Second, PMCM argues that</w:t>
      </w:r>
      <w:r w:rsidR="007D01C9">
        <w:t xml:space="preserve"> </w:t>
      </w:r>
      <w:r w:rsidR="00706D02">
        <w:t>gran</w:t>
      </w:r>
      <w:r w:rsidR="007D01C9">
        <w:t>ting</w:t>
      </w:r>
      <w:r w:rsidR="00706D02">
        <w:t xml:space="preserve"> the propos</w:t>
      </w:r>
      <w:r w:rsidR="00E544C9">
        <w:t>al</w:t>
      </w:r>
      <w:r w:rsidR="00834033">
        <w:t>, coupled with that station’s granted application to move the station closer to New York,</w:t>
      </w:r>
      <w:r w:rsidR="00706D02">
        <w:t xml:space="preserve"> </w:t>
      </w:r>
      <w:r w:rsidR="007D01C9">
        <w:t xml:space="preserve">is inconsistent with the public interest because the grant </w:t>
      </w:r>
      <w:r w:rsidR="00706D02">
        <w:t xml:space="preserve">will result </w:t>
      </w:r>
      <w:r w:rsidR="005F1AC8">
        <w:t>i</w:t>
      </w:r>
      <w:r w:rsidR="00706D02">
        <w:t xml:space="preserve">n a loss of service to substantial parts of central and southwestern </w:t>
      </w:r>
      <w:r w:rsidRPr="00E544C9" w:rsidR="00706D02">
        <w:rPr>
          <w:szCs w:val="22"/>
        </w:rPr>
        <w:t>Connecticut.</w:t>
      </w:r>
      <w:r>
        <w:rPr>
          <w:rStyle w:val="FootnoteReference"/>
          <w:sz w:val="22"/>
          <w:szCs w:val="22"/>
        </w:rPr>
        <w:footnoteReference w:id="19"/>
      </w:r>
      <w:r w:rsidRPr="00E544C9" w:rsidR="00706D02">
        <w:rPr>
          <w:szCs w:val="22"/>
        </w:rPr>
        <w:t xml:space="preserve">  </w:t>
      </w:r>
      <w:r w:rsidRPr="00E544C9" w:rsidR="007D01C9">
        <w:rPr>
          <w:szCs w:val="22"/>
        </w:rPr>
        <w:t>Specifically</w:t>
      </w:r>
      <w:r w:rsidR="007D01C9">
        <w:t xml:space="preserve">, </w:t>
      </w:r>
      <w:r w:rsidR="00403FE4">
        <w:t>PMCM</w:t>
      </w:r>
      <w:r w:rsidR="00C2238A">
        <w:t xml:space="preserve"> </w:t>
      </w:r>
      <w:r w:rsidR="007D01C9">
        <w:t>claims that</w:t>
      </w:r>
      <w:r w:rsidR="00A83700">
        <w:t xml:space="preserve"> </w:t>
      </w:r>
      <w:r w:rsidR="00CB0648">
        <w:t xml:space="preserve">537,714 households - </w:t>
      </w:r>
      <w:r w:rsidR="00A83700">
        <w:t xml:space="preserve">representing 2,612,775 people - </w:t>
      </w:r>
      <w:r w:rsidR="007D01C9">
        <w:t>would</w:t>
      </w:r>
      <w:r w:rsidR="00A83700">
        <w:t xml:space="preserve"> l</w:t>
      </w:r>
      <w:r w:rsidR="00403FE4">
        <w:t>ose service</w:t>
      </w:r>
      <w:r w:rsidR="00A83700">
        <w:t>.</w:t>
      </w:r>
      <w:r>
        <w:rPr>
          <w:rStyle w:val="FootnoteReference"/>
        </w:rPr>
        <w:footnoteReference w:id="20"/>
      </w:r>
      <w:r w:rsidR="00A83700">
        <w:t xml:space="preserve"> </w:t>
      </w:r>
      <w:r w:rsidR="006A7481">
        <w:t xml:space="preserve"> </w:t>
      </w:r>
      <w:r w:rsidR="00A84D9A">
        <w:t xml:space="preserve">Third, </w:t>
      </w:r>
      <w:r w:rsidR="00697FF9">
        <w:t xml:space="preserve">PMCM argues that </w:t>
      </w:r>
      <w:r w:rsidR="00600766">
        <w:t>Stamford is merely “a dummy site” to achieve CPBI’s real goal to serve New York City</w:t>
      </w:r>
      <w:r w:rsidR="00697FF9">
        <w:t>.</w:t>
      </w:r>
      <w:r>
        <w:rPr>
          <w:rStyle w:val="FootnoteReference"/>
        </w:rPr>
        <w:footnoteReference w:id="21"/>
      </w:r>
      <w:r w:rsidR="002C4364">
        <w:t xml:space="preserve">  </w:t>
      </w:r>
      <w:r w:rsidR="00AA29FB">
        <w:t xml:space="preserve">PMCM claims that CPBI’s </w:t>
      </w:r>
      <w:r w:rsidR="00F30A38">
        <w:t>d</w:t>
      </w:r>
      <w:r w:rsidR="00A820E0">
        <w:t xml:space="preserve">istributed </w:t>
      </w:r>
      <w:r w:rsidR="00F30A38">
        <w:t>t</w:t>
      </w:r>
      <w:r w:rsidR="00A820E0">
        <w:t xml:space="preserve">ransmission </w:t>
      </w:r>
      <w:r w:rsidR="00F30A38">
        <w:t>s</w:t>
      </w:r>
      <w:r w:rsidR="00A820E0">
        <w:t>ystem (DTS)</w:t>
      </w:r>
      <w:r w:rsidR="00DE4FFD">
        <w:t xml:space="preserve"> </w:t>
      </w:r>
      <w:r w:rsidR="00AA29FB">
        <w:t>application for WEDW</w:t>
      </w:r>
      <w:r>
        <w:rPr>
          <w:rStyle w:val="FootnoteReference"/>
        </w:rPr>
        <w:footnoteReference w:id="22"/>
      </w:r>
      <w:r w:rsidR="00AA29FB">
        <w:t xml:space="preserve"> propos</w:t>
      </w:r>
      <w:r w:rsidR="007D01C9">
        <w:t xml:space="preserve">es </w:t>
      </w:r>
      <w:r w:rsidR="00AA29FB">
        <w:t>to “broadcast from the Empire State Building over a large swath of New York and northern New Jersey, including the same portions of Westchester County, New York, western Long Island, and a number of counties in New Jersey</w:t>
      </w:r>
      <w:r w:rsidR="00600766">
        <w:t>.”</w:t>
      </w:r>
      <w:r>
        <w:rPr>
          <w:rStyle w:val="FootnoteReference"/>
        </w:rPr>
        <w:footnoteReference w:id="23"/>
      </w:r>
      <w:r w:rsidR="00600766">
        <w:t xml:space="preserve">  PMCM states that the </w:t>
      </w:r>
      <w:r w:rsidR="00E544C9">
        <w:t xml:space="preserve">Media </w:t>
      </w:r>
      <w:r w:rsidR="00AA29FB">
        <w:t>Bureau</w:t>
      </w:r>
      <w:r w:rsidR="00600766">
        <w:t xml:space="preserve"> rejected a similar proposal</w:t>
      </w:r>
      <w:r w:rsidR="00AA29FB">
        <w:t xml:space="preserve"> </w:t>
      </w:r>
      <w:r w:rsidR="006B7EC9">
        <w:t>i</w:t>
      </w:r>
      <w:r w:rsidR="00AA29FB">
        <w:t xml:space="preserve">n </w:t>
      </w:r>
      <w:r w:rsidR="00600766">
        <w:t>2</w:t>
      </w:r>
      <w:r w:rsidR="00AA29FB">
        <w:t xml:space="preserve">009 </w:t>
      </w:r>
      <w:r w:rsidR="00600766">
        <w:t>after finding that such a proposal would</w:t>
      </w:r>
      <w:r w:rsidR="00AA29FB">
        <w:t xml:space="preserve"> </w:t>
      </w:r>
      <w:r w:rsidR="00600766">
        <w:t xml:space="preserve">“constitute[e] </w:t>
      </w:r>
      <w:r w:rsidR="00AA29FB">
        <w:t>an ‘effective reallocation’ to New York.</w:t>
      </w:r>
      <w:r w:rsidR="007D01C9">
        <w:t>”</w:t>
      </w:r>
      <w:r>
        <w:rPr>
          <w:rStyle w:val="FootnoteReference"/>
        </w:rPr>
        <w:footnoteReference w:id="24"/>
      </w:r>
      <w:r w:rsidR="006B7EC9">
        <w:t xml:space="preserve"> </w:t>
      </w:r>
      <w:r w:rsidR="00E46516">
        <w:t xml:space="preserve"> </w:t>
      </w:r>
      <w:r w:rsidR="006A7481">
        <w:t xml:space="preserve">Finally, PMCM </w:t>
      </w:r>
      <w:r w:rsidR="00FA6399">
        <w:t xml:space="preserve">argues </w:t>
      </w:r>
      <w:r w:rsidR="004B0457">
        <w:t xml:space="preserve">that </w:t>
      </w:r>
      <w:r w:rsidR="006A7481">
        <w:t xml:space="preserve">granting the proposed </w:t>
      </w:r>
      <w:r w:rsidR="00950703">
        <w:t xml:space="preserve">change </w:t>
      </w:r>
      <w:r w:rsidR="006A7481">
        <w:t xml:space="preserve">“will open the floodgates” to similar applications seeking to use the DTS rules “to </w:t>
      </w:r>
      <w:r w:rsidR="00FA6399">
        <w:t>effectively reallocate licenses,</w:t>
      </w:r>
      <w:r w:rsidR="006A7481">
        <w:t>”</w:t>
      </w:r>
      <w:r w:rsidR="00FA6399">
        <w:t xml:space="preserve"> which would be inconsistent with the goals of Section 307(b) of the Communications Act of 1934, as amended.</w:t>
      </w:r>
      <w:r>
        <w:rPr>
          <w:rStyle w:val="FootnoteReference"/>
        </w:rPr>
        <w:footnoteReference w:id="25"/>
      </w:r>
      <w:r w:rsidR="00834033">
        <w:t xml:space="preserve">  Thus, </w:t>
      </w:r>
      <w:r w:rsidR="00D9541E">
        <w:t>PMCM</w:t>
      </w:r>
      <w:r w:rsidR="00834033">
        <w:t xml:space="preserve"> suggests that the Commission expand this rulemaking proceeding, or open a new proceeding and hold the community of license proceeding in abeyance</w:t>
      </w:r>
      <w:r w:rsidR="002F29A8">
        <w:t xml:space="preserve">, while </w:t>
      </w:r>
      <w:r w:rsidR="00D9541E">
        <w:t>PMCM</w:t>
      </w:r>
      <w:r w:rsidR="002F29A8">
        <w:t xml:space="preserve"> seeks </w:t>
      </w:r>
      <w:r w:rsidR="002F29A8">
        <w:t>comment on a number of issues relating to the Commission’s rules and policies regarding DTS.</w:t>
      </w:r>
      <w:r>
        <w:rPr>
          <w:rStyle w:val="FootnoteReference"/>
        </w:rPr>
        <w:footnoteReference w:id="26"/>
      </w:r>
    </w:p>
    <w:p w:rsidR="00B1515D" w:rsidP="00F572D5">
      <w:pPr>
        <w:pStyle w:val="ParaNum"/>
        <w:tabs>
          <w:tab w:val="clear" w:pos="1080"/>
          <w:tab w:val="num" w:pos="1440"/>
        </w:tabs>
      </w:pPr>
      <w:r>
        <w:t>In its Reply, CPBI</w:t>
      </w:r>
      <w:r w:rsidR="004B0457">
        <w:t>, in addition to reiterating its claims in the Petition,</w:t>
      </w:r>
      <w:r>
        <w:t xml:space="preserve"> refutes PMCM’s arguments in a footnote, claiming that PMCM’s arguments should be rejected because they are “misplaced” and “without merit.”</w:t>
      </w:r>
      <w:r>
        <w:rPr>
          <w:rStyle w:val="FootnoteReference"/>
        </w:rPr>
        <w:footnoteReference w:id="27"/>
      </w:r>
      <w:r>
        <w:t xml:space="preserve"> </w:t>
      </w:r>
      <w:r>
        <w:t xml:space="preserve"> Specifically, CPBI </w:t>
      </w:r>
      <w:r w:rsidR="00126C33">
        <w:t xml:space="preserve">notes </w:t>
      </w:r>
      <w:r>
        <w:t>that the December 2017 grant</w:t>
      </w:r>
      <w:r w:rsidR="00126C33">
        <w:t xml:space="preserve"> of its modification application to move WEDW’s transmission facility to Stamford is final and </w:t>
      </w:r>
      <w:r w:rsidR="007D01C9">
        <w:t>therefore</w:t>
      </w:r>
      <w:r>
        <w:t xml:space="preserve"> not subject to review.</w:t>
      </w:r>
      <w:r>
        <w:rPr>
          <w:rStyle w:val="FootnoteReference"/>
        </w:rPr>
        <w:footnoteReference w:id="28"/>
      </w:r>
      <w:r>
        <w:t xml:space="preserve">  CPBI also </w:t>
      </w:r>
      <w:r w:rsidR="00126C33">
        <w:t xml:space="preserve">asserts </w:t>
      </w:r>
      <w:r>
        <w:t xml:space="preserve">that its pending DTS application is separate and apart from this </w:t>
      </w:r>
      <w:r w:rsidR="00126C33">
        <w:t>rul</w:t>
      </w:r>
      <w:r w:rsidR="008574B5">
        <w:t>e</w:t>
      </w:r>
      <w:r w:rsidR="00126C33">
        <w:t>making</w:t>
      </w:r>
      <w:r>
        <w:t xml:space="preserve"> proceeding, should be considered on its own merits, and has no bearing on the proposed </w:t>
      </w:r>
      <w:r w:rsidR="00126C33">
        <w:t>change in community of license.</w:t>
      </w:r>
      <w:r>
        <w:rPr>
          <w:rStyle w:val="FootnoteReference"/>
        </w:rPr>
        <w:footnoteReference w:id="29"/>
      </w:r>
      <w:r>
        <w:t xml:space="preserve"> </w:t>
      </w:r>
    </w:p>
    <w:p w:rsidR="00F6492D" w:rsidRPr="00F6492D" w:rsidP="00F6492D">
      <w:pPr>
        <w:pStyle w:val="ParaNum"/>
        <w:numPr>
          <w:ilvl w:val="0"/>
          <w:numId w:val="17"/>
        </w:numPr>
        <w:ind w:left="720"/>
        <w:rPr>
          <w:b/>
        </w:rPr>
      </w:pPr>
      <w:r w:rsidRPr="00F6492D">
        <w:rPr>
          <w:b/>
        </w:rPr>
        <w:t>DISCUSSION</w:t>
      </w:r>
    </w:p>
    <w:p w:rsidR="00BC7BE1" w:rsidP="00696E7C">
      <w:pPr>
        <w:pStyle w:val="ParaNum"/>
        <w:widowControl/>
        <w:tabs>
          <w:tab w:val="clear" w:pos="1080"/>
          <w:tab w:val="num" w:pos="1440"/>
        </w:tabs>
      </w:pPr>
      <w:r>
        <w:t>First</w:t>
      </w:r>
      <w:r w:rsidR="003220E4">
        <w:t>,</w:t>
      </w:r>
      <w:r w:rsidR="00D74EF3">
        <w:t xml:space="preserve"> we </w:t>
      </w:r>
      <w:r w:rsidR="003732BE">
        <w:t>reject PMCM’s argument</w:t>
      </w:r>
      <w:r w:rsidR="009118C4">
        <w:t xml:space="preserve"> that</w:t>
      </w:r>
      <w:r w:rsidR="00073B8A">
        <w:t xml:space="preserve"> </w:t>
      </w:r>
      <w:r w:rsidR="00E544C9">
        <w:t xml:space="preserve">granting the proposal </w:t>
      </w:r>
      <w:r w:rsidR="00CD2994">
        <w:t xml:space="preserve">is inconsistent with </w:t>
      </w:r>
      <w:r w:rsidR="009A45A1">
        <w:t xml:space="preserve">the </w:t>
      </w:r>
      <w:r w:rsidRPr="00696E7C" w:rsidR="00AA29FB">
        <w:rPr>
          <w:i/>
        </w:rPr>
        <w:t>Public Notice</w:t>
      </w:r>
      <w:r w:rsidR="00E544C9">
        <w:rPr>
          <w:i/>
        </w:rPr>
        <w:t xml:space="preserve"> </w:t>
      </w:r>
      <w:r w:rsidR="00E544C9">
        <w:t xml:space="preserve">partially lifting the freeze on the filing </w:t>
      </w:r>
      <w:r>
        <w:t>of</w:t>
      </w:r>
      <w:r w:rsidR="00E544C9">
        <w:t xml:space="preserve"> change</w:t>
      </w:r>
      <w:r w:rsidR="00AF299E">
        <w:t>s</w:t>
      </w:r>
      <w:r w:rsidR="00E544C9">
        <w:t xml:space="preserve"> to a station’s community of license</w:t>
      </w:r>
      <w:r w:rsidR="00E544C9">
        <w:rPr>
          <w:i/>
        </w:rPr>
        <w:t xml:space="preserve">.  </w:t>
      </w:r>
      <w:r w:rsidR="00E544C9">
        <w:t>As it relates here</w:t>
      </w:r>
      <w:r w:rsidR="00AD74ED">
        <w:t xml:space="preserve">, the Commission lifted the </w:t>
      </w:r>
      <w:r w:rsidR="00E544C9">
        <w:t>f</w:t>
      </w:r>
      <w:r w:rsidR="00AD74ED">
        <w:t xml:space="preserve">reeze </w:t>
      </w:r>
      <w:r w:rsidR="003732BE">
        <w:t>by</w:t>
      </w:r>
      <w:r w:rsidR="00C763C3">
        <w:t xml:space="preserve"> </w:t>
      </w:r>
      <w:r w:rsidR="003732BE">
        <w:t>restoring</w:t>
      </w:r>
      <w:r w:rsidR="001C52C1">
        <w:t xml:space="preserve"> the normal processing of</w:t>
      </w:r>
      <w:r w:rsidR="00CF6C0B">
        <w:t xml:space="preserve"> </w:t>
      </w:r>
      <w:r w:rsidR="003732BE">
        <w:t xml:space="preserve">such </w:t>
      </w:r>
      <w:r w:rsidR="001C52C1">
        <w:t>petitions</w:t>
      </w:r>
      <w:r w:rsidR="00CF6C0B">
        <w:t xml:space="preserve"> </w:t>
      </w:r>
      <w:r w:rsidR="00835858">
        <w:t>“</w:t>
      </w:r>
      <w:r w:rsidRPr="00696E7C" w:rsidR="00CF6C0B">
        <w:rPr>
          <w:i/>
        </w:rPr>
        <w:t>where no technical facility change</w:t>
      </w:r>
      <w:r w:rsidRPr="00696E7C" w:rsidR="003732BE">
        <w:rPr>
          <w:i/>
        </w:rPr>
        <w:t>s are</w:t>
      </w:r>
      <w:r w:rsidRPr="00980269" w:rsidR="00CF6C0B">
        <w:rPr>
          <w:i/>
        </w:rPr>
        <w:t xml:space="preserve"> required</w:t>
      </w:r>
      <w:r w:rsidR="00CF6C0B">
        <w:t xml:space="preserve"> to comply with the Commission’s principal community coverage requirements</w:t>
      </w:r>
      <w:r>
        <w:t>.</w:t>
      </w:r>
      <w:r w:rsidR="00835858">
        <w:t>"</w:t>
      </w:r>
      <w:r>
        <w:rPr>
          <w:rStyle w:val="FootnoteReference"/>
        </w:rPr>
        <w:footnoteReference w:id="30"/>
      </w:r>
      <w:r w:rsidR="00762955">
        <w:t xml:space="preserve"> </w:t>
      </w:r>
      <w:r>
        <w:t xml:space="preserve"> In this case</w:t>
      </w:r>
      <w:r w:rsidR="009118C4">
        <w:t>,</w:t>
      </w:r>
      <w:r w:rsidR="003732BE">
        <w:t xml:space="preserve"> the Petition</w:t>
      </w:r>
      <w:r w:rsidR="0009026C">
        <w:t xml:space="preserve"> </w:t>
      </w:r>
      <w:r w:rsidR="003732BE">
        <w:t>did not request to change WEDW’s authorized technical facilities</w:t>
      </w:r>
      <w:r w:rsidR="00835858">
        <w:t xml:space="preserve"> nor is </w:t>
      </w:r>
      <w:r>
        <w:t xml:space="preserve">such a change </w:t>
      </w:r>
      <w:r w:rsidR="00835858">
        <w:t>required to comply with the Commission’s community coverage requirements</w:t>
      </w:r>
      <w:r w:rsidR="003732BE">
        <w:t>.</w:t>
      </w:r>
      <w:r>
        <w:rPr>
          <w:rStyle w:val="FootnoteReference"/>
        </w:rPr>
        <w:footnoteReference w:id="31"/>
      </w:r>
      <w:r w:rsidR="003732BE">
        <w:t xml:space="preserve">  Therefore, </w:t>
      </w:r>
      <w:r w:rsidR="0090719F">
        <w:t xml:space="preserve">we find that the Petition is consistent with the </w:t>
      </w:r>
      <w:r w:rsidRPr="00696E7C" w:rsidR="00696E7C">
        <w:rPr>
          <w:i/>
        </w:rPr>
        <w:t>Public Notice</w:t>
      </w:r>
      <w:r w:rsidR="0090719F">
        <w:t xml:space="preserve"> and that CBPI did not need to file </w:t>
      </w:r>
      <w:r w:rsidR="00FE17F2">
        <w:t xml:space="preserve">for a waiver </w:t>
      </w:r>
      <w:r w:rsidR="0090719F">
        <w:t xml:space="preserve">of the 2004 Freeze. </w:t>
      </w:r>
      <w:r w:rsidR="00FD36AC">
        <w:t xml:space="preserve"> </w:t>
      </w:r>
    </w:p>
    <w:p w:rsidR="00BC7BE1" w:rsidP="00FC0786">
      <w:pPr>
        <w:pStyle w:val="ParaNum"/>
        <w:widowControl/>
        <w:tabs>
          <w:tab w:val="clear" w:pos="1080"/>
          <w:tab w:val="num" w:pos="1440"/>
        </w:tabs>
      </w:pPr>
      <w:r>
        <w:t xml:space="preserve">Second, we </w:t>
      </w:r>
      <w:r w:rsidR="00157B3F">
        <w:t xml:space="preserve">reject PMCM’s argument that </w:t>
      </w:r>
      <w:r w:rsidR="00835858">
        <w:t>the propos</w:t>
      </w:r>
      <w:r>
        <w:t>al</w:t>
      </w:r>
      <w:r w:rsidR="00980269">
        <w:t xml:space="preserve"> is inconsistent with the public interest because it</w:t>
      </w:r>
      <w:r w:rsidR="00835858">
        <w:t xml:space="preserve"> will cause substantial parts of central and southwestern Connecticut to lose service</w:t>
      </w:r>
      <w:r w:rsidR="00157B3F">
        <w:t>.</w:t>
      </w:r>
      <w:r w:rsidR="00E92B58">
        <w:t xml:space="preserve"> </w:t>
      </w:r>
      <w:r w:rsidR="00157B3F">
        <w:t xml:space="preserve"> </w:t>
      </w:r>
      <w:r w:rsidR="00DA6964">
        <w:t>B</w:t>
      </w:r>
      <w:r w:rsidR="00157B3F">
        <w:t xml:space="preserve">ecause </w:t>
      </w:r>
      <w:r w:rsidR="006E1F53">
        <w:t>the propos</w:t>
      </w:r>
      <w:r>
        <w:t>al</w:t>
      </w:r>
      <w:r w:rsidR="006E1F53">
        <w:t xml:space="preserve"> is based on WEDW’s currently aut</w:t>
      </w:r>
      <w:r w:rsidR="00010FAB">
        <w:t>horized facilities</w:t>
      </w:r>
      <w:r w:rsidR="00157B3F">
        <w:t xml:space="preserve">, </w:t>
      </w:r>
      <w:r w:rsidR="00666810">
        <w:t>t</w:t>
      </w:r>
      <w:r w:rsidR="00010FAB">
        <w:t xml:space="preserve">here will be no </w:t>
      </w:r>
      <w:r w:rsidR="00465691">
        <w:t xml:space="preserve">loss of </w:t>
      </w:r>
      <w:r w:rsidR="00010FAB">
        <w:t>service</w:t>
      </w:r>
      <w:r w:rsidR="00465691">
        <w:t xml:space="preserve"> </w:t>
      </w:r>
      <w:r w:rsidR="00010FAB">
        <w:t>to central and southwestern Connecticut</w:t>
      </w:r>
      <w:r w:rsidR="00465691">
        <w:t>,</w:t>
      </w:r>
      <w:r w:rsidR="00010FAB">
        <w:t xml:space="preserve"> as PMCM suggests</w:t>
      </w:r>
      <w:r w:rsidR="00462865">
        <w:t>.</w:t>
      </w:r>
      <w:r>
        <w:rPr>
          <w:rStyle w:val="FootnoteReference"/>
        </w:rPr>
        <w:footnoteReference w:id="32"/>
      </w:r>
      <w:r w:rsidR="00010FAB">
        <w:t xml:space="preserve">  </w:t>
      </w:r>
      <w:r>
        <w:t xml:space="preserve">In this regard, we conclude that the proposal is a preferential arrangement of allotments because it will provide Stamford, the third largest city in Connecticut, with its service first broadcast television service.  We also reiterate that our grant of the proposal will not deprive Bridgeport of its sole broadcast television service because Bridgeport will continue to be served by station WZME. </w:t>
      </w:r>
    </w:p>
    <w:p w:rsidR="00771C8A" w:rsidP="00696E7C">
      <w:pPr>
        <w:pStyle w:val="ParaNum"/>
        <w:widowControl/>
        <w:tabs>
          <w:tab w:val="clear" w:pos="1080"/>
          <w:tab w:val="num" w:pos="1440"/>
        </w:tabs>
      </w:pPr>
      <w:r>
        <w:t>Third</w:t>
      </w:r>
      <w:r>
        <w:t xml:space="preserve">, we </w:t>
      </w:r>
      <w:r w:rsidR="00157B3F">
        <w:t xml:space="preserve">reject </w:t>
      </w:r>
      <w:r>
        <w:t>PMCM’s argument that the propos</w:t>
      </w:r>
      <w:r>
        <w:t xml:space="preserve">al </w:t>
      </w:r>
      <w:r>
        <w:t>will effectively relocate WEDW to New York</w:t>
      </w:r>
      <w:r w:rsidR="00157B3F">
        <w:t xml:space="preserve"> City</w:t>
      </w:r>
      <w:r>
        <w:t>.</w:t>
      </w:r>
      <w:r w:rsidR="00157B3F">
        <w:t xml:space="preserve">  </w:t>
      </w:r>
      <w:r w:rsidR="00DA6964">
        <w:t xml:space="preserve">As stated above, </w:t>
      </w:r>
      <w:r>
        <w:t>CPBI</w:t>
      </w:r>
      <w:r w:rsidR="00DA6964">
        <w:t xml:space="preserve"> is not</w:t>
      </w:r>
      <w:r>
        <w:t xml:space="preserve"> </w:t>
      </w:r>
      <w:r w:rsidR="00DA6964">
        <w:t xml:space="preserve">moving its currently </w:t>
      </w:r>
      <w:r>
        <w:t>authori</w:t>
      </w:r>
      <w:r w:rsidR="00157B3F">
        <w:t>zed technica</w:t>
      </w:r>
      <w:r w:rsidR="00AD7FF5">
        <w:t xml:space="preserve">l facilities from </w:t>
      </w:r>
      <w:r w:rsidR="00BC7BE1">
        <w:t>its</w:t>
      </w:r>
      <w:r w:rsidR="00DA6964">
        <w:t xml:space="preserve"> </w:t>
      </w:r>
      <w:r>
        <w:t>si</w:t>
      </w:r>
      <w:r w:rsidR="00157B3F">
        <w:t>te near Bridgeport</w:t>
      </w:r>
      <w:r w:rsidR="00DA6964">
        <w:t>.  This means that</w:t>
      </w:r>
      <w:r w:rsidR="00157B3F">
        <w:t xml:space="preserve"> WEDW’s service area</w:t>
      </w:r>
      <w:r w:rsidR="00AD7FF5">
        <w:t xml:space="preserve"> will</w:t>
      </w:r>
      <w:r w:rsidR="00157B3F">
        <w:t xml:space="preserve"> remain </w:t>
      </w:r>
      <w:r w:rsidR="00E46516">
        <w:t>the same</w:t>
      </w:r>
      <w:r w:rsidR="00157B3F">
        <w:t xml:space="preserve">.  </w:t>
      </w:r>
      <w:r w:rsidR="00E92B58">
        <w:t>For these reasons, w</w:t>
      </w:r>
      <w:r w:rsidR="00157B3F">
        <w:t xml:space="preserve">e </w:t>
      </w:r>
      <w:r w:rsidR="00F72499">
        <w:t xml:space="preserve">find </w:t>
      </w:r>
      <w:r w:rsidR="00157B3F">
        <w:t>that the proposed reallotment will</w:t>
      </w:r>
      <w:r w:rsidR="00E92B58">
        <w:t xml:space="preserve"> not</w:t>
      </w:r>
      <w:r w:rsidR="00157B3F">
        <w:t xml:space="preserve"> cause any loss of service </w:t>
      </w:r>
      <w:r w:rsidR="00E92B58">
        <w:t>to central and southwestern Connecticu</w:t>
      </w:r>
      <w:r w:rsidR="00296FD7">
        <w:t>t</w:t>
      </w:r>
      <w:r w:rsidR="00B53C1C">
        <w:t xml:space="preserve">.  Moreover, we </w:t>
      </w:r>
      <w:r w:rsidR="007A511D">
        <w:t>will not consider any potential</w:t>
      </w:r>
      <w:r w:rsidR="00B53C1C">
        <w:t xml:space="preserve"> service gains</w:t>
      </w:r>
      <w:r w:rsidR="007A511D">
        <w:t xml:space="preserve"> o</w:t>
      </w:r>
      <w:r w:rsidR="00B53C1C">
        <w:t xml:space="preserve">r the merits of WEDW’s pending DTS application – which </w:t>
      </w:r>
      <w:r w:rsidR="00C43978">
        <w:t xml:space="preserve">PMCM </w:t>
      </w:r>
      <w:r w:rsidR="00B53C1C">
        <w:t>oppose</w:t>
      </w:r>
      <w:r w:rsidR="00C43978">
        <w:t>s</w:t>
      </w:r>
      <w:r w:rsidR="00B53C1C">
        <w:t xml:space="preserve"> – because the instant request for a change in </w:t>
      </w:r>
      <w:r w:rsidR="00B53C1C">
        <w:t xml:space="preserve">community of license </w:t>
      </w:r>
      <w:r w:rsidR="00C43978">
        <w:t>does not d</w:t>
      </w:r>
      <w:r w:rsidR="00B53C1C">
        <w:t>epend on Commission action on the pending DTS application.</w:t>
      </w:r>
      <w:r w:rsidR="00FD36AC">
        <w:t xml:space="preserve">  </w:t>
      </w:r>
      <w:r w:rsidR="00DA6964">
        <w:t>In other words</w:t>
      </w:r>
      <w:r w:rsidR="00FD36AC">
        <w:t>,</w:t>
      </w:r>
      <w:r w:rsidR="00C43978">
        <w:t xml:space="preserve"> </w:t>
      </w:r>
      <w:r w:rsidR="00FD36AC">
        <w:t xml:space="preserve">our </w:t>
      </w:r>
      <w:r w:rsidR="00C43978">
        <w:t>grant of the propos</w:t>
      </w:r>
      <w:r>
        <w:t xml:space="preserve">al is </w:t>
      </w:r>
      <w:r w:rsidR="00C43978">
        <w:t>separate and independent from</w:t>
      </w:r>
      <w:r w:rsidR="00FD36AC">
        <w:t xml:space="preserve"> </w:t>
      </w:r>
      <w:r w:rsidR="00C43978">
        <w:t>our</w:t>
      </w:r>
      <w:r w:rsidR="00FD36AC">
        <w:t xml:space="preserve"> December 2017 grant of WEDW’s minor modification application to move its transmission facility or its pending</w:t>
      </w:r>
      <w:r>
        <w:t xml:space="preserve"> </w:t>
      </w:r>
      <w:r w:rsidR="00FD36AC">
        <w:t>application for a DTS facility.</w:t>
      </w:r>
      <w:r w:rsidR="00157B3F">
        <w:t xml:space="preserve">  </w:t>
      </w:r>
    </w:p>
    <w:p w:rsidR="003220E4" w:rsidP="00867A2A">
      <w:pPr>
        <w:pStyle w:val="ParaNum"/>
        <w:tabs>
          <w:tab w:val="clear" w:pos="1080"/>
          <w:tab w:val="num" w:pos="1440"/>
        </w:tabs>
      </w:pPr>
      <w:r>
        <w:t>Finally</w:t>
      </w:r>
      <w:r w:rsidR="001C4DF8">
        <w:t xml:space="preserve">, we find </w:t>
      </w:r>
      <w:r w:rsidR="00771C8A">
        <w:t>it unnecessary to address</w:t>
      </w:r>
      <w:r w:rsidR="001C4DF8">
        <w:t xml:space="preserve"> </w:t>
      </w:r>
      <w:r w:rsidR="00010FAB">
        <w:t xml:space="preserve">PMCM’s </w:t>
      </w:r>
      <w:r w:rsidR="00771C8A">
        <w:t xml:space="preserve">argument that </w:t>
      </w:r>
      <w:r w:rsidR="00252E68">
        <w:t>grant</w:t>
      </w:r>
      <w:r w:rsidR="00771C8A">
        <w:t>ing</w:t>
      </w:r>
      <w:r w:rsidR="00252E68">
        <w:t xml:space="preserve"> of the proposed reallotment “will </w:t>
      </w:r>
      <w:r w:rsidR="00666810">
        <w:t xml:space="preserve">open the floodgates” to similar applications seeking to use the DTS rules </w:t>
      </w:r>
      <w:r w:rsidR="00771C8A">
        <w:t>“</w:t>
      </w:r>
      <w:r w:rsidR="00666810">
        <w:t>to effectively reallocate licenses.</w:t>
      </w:r>
      <w:r w:rsidR="00771C8A">
        <w:t>”</w:t>
      </w:r>
      <w:r>
        <w:rPr>
          <w:rStyle w:val="FootnoteReference"/>
        </w:rPr>
        <w:footnoteReference w:id="33"/>
      </w:r>
      <w:r w:rsidR="00252E68">
        <w:t xml:space="preserve">  PMCM</w:t>
      </w:r>
      <w:r w:rsidR="00E92B58">
        <w:t xml:space="preserve"> did not provide evidence supporting </w:t>
      </w:r>
      <w:r w:rsidR="0046423E">
        <w:t>this</w:t>
      </w:r>
      <w:r w:rsidR="00E92B58">
        <w:t xml:space="preserve"> argument</w:t>
      </w:r>
      <w:r w:rsidR="0046423E">
        <w:t>, which</w:t>
      </w:r>
      <w:r w:rsidR="00252E68">
        <w:t xml:space="preserve"> is speculative at best</w:t>
      </w:r>
      <w:r w:rsidR="00E92B58">
        <w:t>.</w:t>
      </w:r>
      <w:r w:rsidR="00252E68">
        <w:t xml:space="preserve">  </w:t>
      </w:r>
      <w:r w:rsidR="00771C8A">
        <w:t>Therefore</w:t>
      </w:r>
      <w:r w:rsidR="00252E68">
        <w:t xml:space="preserve">, we will not consider the merits of </w:t>
      </w:r>
      <w:r w:rsidR="00DE5E5C">
        <w:t>this</w:t>
      </w:r>
      <w:r w:rsidR="00252E68">
        <w:t xml:space="preserve"> argument </w:t>
      </w:r>
      <w:r w:rsidR="00FD36AC">
        <w:t>in this rulemaking proceeding to change WEDW’s community of license from Bridgeport to Stamford</w:t>
      </w:r>
      <w:r w:rsidR="00C43978">
        <w:t>, which does not</w:t>
      </w:r>
      <w:r w:rsidR="00FD36AC">
        <w:t xml:space="preserve"> propose</w:t>
      </w:r>
      <w:r w:rsidR="00C43978">
        <w:t xml:space="preserve"> any</w:t>
      </w:r>
      <w:r w:rsidR="00FD36AC">
        <w:t xml:space="preserve"> changes </w:t>
      </w:r>
      <w:r w:rsidR="00C43978">
        <w:t>to</w:t>
      </w:r>
      <w:r w:rsidR="00FD36AC">
        <w:t xml:space="preserve"> WEDW’s technical facilities.</w:t>
      </w:r>
      <w:r w:rsidR="00666810">
        <w:t xml:space="preserve"> </w:t>
      </w:r>
    </w:p>
    <w:p w:rsidR="005B2C5D" w:rsidRPr="006D429C" w:rsidP="006D429C">
      <w:pPr>
        <w:pStyle w:val="ParaNum"/>
        <w:numPr>
          <w:ilvl w:val="0"/>
          <w:numId w:val="17"/>
        </w:numPr>
        <w:ind w:left="720"/>
      </w:pPr>
      <w:r>
        <w:rPr>
          <w:b/>
        </w:rPr>
        <w:t>ORDERING CLAUSES</w:t>
      </w:r>
    </w:p>
    <w:p w:rsidR="00B57082" w:rsidRPr="004176DF" w:rsidP="004E50C8">
      <w:pPr>
        <w:pStyle w:val="ParaNum"/>
        <w:tabs>
          <w:tab w:val="clear" w:pos="1080"/>
          <w:tab w:val="num" w:pos="1440"/>
        </w:tabs>
      </w:pPr>
      <w:r w:rsidRPr="00C43978">
        <w:rPr>
          <w:b/>
        </w:rPr>
        <w:t xml:space="preserve">ACCORDINGLY, IT IS ORDERED </w:t>
      </w:r>
      <w:r w:rsidRPr="00C43978" w:rsidR="000A5648">
        <w:t xml:space="preserve">that </w:t>
      </w:r>
      <w:r w:rsidRPr="00C43978" w:rsidR="006E3F9D">
        <w:t>t</w:t>
      </w:r>
      <w:r w:rsidRPr="00C43978">
        <w:t xml:space="preserve">he Petition for Rulemaking filed by </w:t>
      </w:r>
      <w:r w:rsidRPr="00C43978" w:rsidR="004E50C8">
        <w:t>Connecticut Public Broadcasting, Inc.,</w:t>
      </w:r>
      <w:r w:rsidRPr="00C43978">
        <w:t xml:space="preserve"> licensee of W</w:t>
      </w:r>
      <w:r w:rsidRPr="00C43978" w:rsidR="004E50C8">
        <w:t>EDW</w:t>
      </w:r>
      <w:r w:rsidRPr="00C43978">
        <w:t>, B</w:t>
      </w:r>
      <w:r w:rsidRPr="00C43978" w:rsidR="004E50C8">
        <w:t>ridgeport</w:t>
      </w:r>
      <w:r w:rsidRPr="00C43978">
        <w:t xml:space="preserve">, </w:t>
      </w:r>
      <w:r w:rsidRPr="00C43978" w:rsidR="004E50C8">
        <w:t>Connecticut</w:t>
      </w:r>
      <w:r w:rsidRPr="00C43978">
        <w:t xml:space="preserve">, </w:t>
      </w:r>
      <w:r w:rsidRPr="00C43978">
        <w:rPr>
          <w:b/>
        </w:rPr>
        <w:t>IS GRANTED</w:t>
      </w:r>
      <w:r w:rsidRPr="00C43978" w:rsidR="004E50C8">
        <w:t xml:space="preserve"> </w:t>
      </w:r>
      <w:r w:rsidRPr="004176DF" w:rsidR="004E50C8">
        <w:t>only for the currently authorized technical facilities of the station</w:t>
      </w:r>
      <w:r w:rsidRPr="004176DF">
        <w:rPr>
          <w:b/>
        </w:rPr>
        <w:t>.</w:t>
      </w:r>
    </w:p>
    <w:p w:rsidR="00912C3B" w:rsidRPr="004176DF" w:rsidP="004E50C8">
      <w:pPr>
        <w:pStyle w:val="ParaNum"/>
        <w:tabs>
          <w:tab w:val="clear" w:pos="1080"/>
          <w:tab w:val="num" w:pos="1440"/>
        </w:tabs>
      </w:pPr>
      <w:r w:rsidRPr="004176DF">
        <w:rPr>
          <w:b/>
        </w:rPr>
        <w:t xml:space="preserve">IT IS FURTHER ORDERED </w:t>
      </w:r>
      <w:r w:rsidRPr="004176DF">
        <w:t xml:space="preserve">that </w:t>
      </w:r>
      <w:r w:rsidRPr="00C43978" w:rsidR="006B5ED8">
        <w:t>PMCM TV, LLC’s opposition to</w:t>
      </w:r>
      <w:r w:rsidR="004F0706">
        <w:t xml:space="preserve"> CPBI’s</w:t>
      </w:r>
      <w:r w:rsidR="00056282">
        <w:t xml:space="preserve"> </w:t>
      </w:r>
      <w:r w:rsidR="004F0706">
        <w:t xml:space="preserve">rulemaking petition to </w:t>
      </w:r>
      <w:r w:rsidR="00056282">
        <w:t xml:space="preserve">change </w:t>
      </w:r>
      <w:r w:rsidR="004F0706">
        <w:t>WEDW’s</w:t>
      </w:r>
      <w:r w:rsidR="00056282">
        <w:t xml:space="preserve"> community of license</w:t>
      </w:r>
      <w:r w:rsidRPr="00C43978" w:rsidR="006B5ED8">
        <w:t xml:space="preserve"> </w:t>
      </w:r>
      <w:r w:rsidR="00056282">
        <w:rPr>
          <w:b/>
        </w:rPr>
        <w:t>IS</w:t>
      </w:r>
      <w:r w:rsidRPr="00C43978" w:rsidR="006B5ED8">
        <w:rPr>
          <w:b/>
        </w:rPr>
        <w:t xml:space="preserve"> DENIED</w:t>
      </w:r>
      <w:r w:rsidRPr="004176DF">
        <w:t>.</w:t>
      </w:r>
    </w:p>
    <w:p w:rsidR="001D1734" w:rsidP="001364E3">
      <w:pPr>
        <w:pStyle w:val="ParaNum"/>
        <w:tabs>
          <w:tab w:val="clear" w:pos="1080"/>
          <w:tab w:val="num" w:pos="1440"/>
        </w:tabs>
      </w:pPr>
      <w:r>
        <w:rPr>
          <w:b/>
        </w:rPr>
        <w:t xml:space="preserve">IT IS FURTHER </w:t>
      </w:r>
      <w:r w:rsidRPr="00B57082">
        <w:rPr>
          <w:b/>
        </w:rPr>
        <w:t>ORDERED</w:t>
      </w:r>
      <w:r>
        <w:rPr>
          <w:b/>
        </w:rPr>
        <w:t xml:space="preserve"> </w:t>
      </w:r>
      <w:r w:rsidR="00B548ED">
        <w:t xml:space="preserve">that, pursuant to the authority in </w:t>
      </w:r>
      <w:r w:rsidR="00897AB6">
        <w:t>S</w:t>
      </w:r>
      <w:r w:rsidR="00B548ED">
        <w:t xml:space="preserve">ections </w:t>
      </w:r>
      <w:r w:rsidR="00572FFC">
        <w:t>15</w:t>
      </w:r>
      <w:r w:rsidR="00B548ED">
        <w:t>4(</w:t>
      </w:r>
      <w:r w:rsidR="00B548ED">
        <w:t>i</w:t>
      </w:r>
      <w:r w:rsidR="00B548ED">
        <w:t xml:space="preserve">), </w:t>
      </w:r>
      <w:r w:rsidR="00572FFC">
        <w:t>155(c)(1</w:t>
      </w:r>
      <w:r w:rsidR="00B548ED">
        <w:t>), 303(g) and (r), and 307(b) of the Communications Act of 1934, as amended,</w:t>
      </w:r>
      <w:r>
        <w:rPr>
          <w:rStyle w:val="FootnoteReference"/>
        </w:rPr>
        <w:footnoteReference w:id="34"/>
      </w:r>
      <w:r w:rsidR="00B548ED">
        <w:t xml:space="preserve"> and </w:t>
      </w:r>
      <w:r w:rsidR="00897AB6">
        <w:t>S</w:t>
      </w:r>
      <w:r w:rsidR="00B548ED">
        <w:t xml:space="preserve">ections 0.61, 0.204(b), and </w:t>
      </w:r>
      <w:r w:rsidR="00177C38">
        <w:t>0</w:t>
      </w:r>
      <w:r w:rsidR="00B548ED">
        <w:t>.283 of the Commission’s rules,</w:t>
      </w:r>
      <w:r>
        <w:rPr>
          <w:rStyle w:val="FootnoteReference"/>
        </w:rPr>
        <w:footnoteReference w:id="35"/>
      </w:r>
      <w:r w:rsidR="00B548ED">
        <w:t xml:space="preserve"> the DTV Table of Allotments, </w:t>
      </w:r>
      <w:r w:rsidR="00897AB6">
        <w:t>S</w:t>
      </w:r>
      <w:r w:rsidR="00B548ED">
        <w:t>ection 73.622(</w:t>
      </w:r>
      <w:r w:rsidR="00B548ED">
        <w:t>i</w:t>
      </w:r>
      <w:r w:rsidR="00B548ED">
        <w:t xml:space="preserve">) of the Commission’s rules, </w:t>
      </w:r>
      <w:r w:rsidR="00B548ED">
        <w:rPr>
          <w:b/>
        </w:rPr>
        <w:t>IS AMENDED</w:t>
      </w:r>
      <w:r w:rsidR="00177C38">
        <w:t xml:space="preserve">, with respect to </w:t>
      </w:r>
      <w:r w:rsidR="004E50C8">
        <w:t>Bridgeport</w:t>
      </w:r>
      <w:r w:rsidR="00177C38">
        <w:t xml:space="preserve"> and </w:t>
      </w:r>
      <w:r w:rsidR="004E50C8">
        <w:t>Stamford</w:t>
      </w:r>
      <w:r w:rsidR="00177C38">
        <w:t>,</w:t>
      </w:r>
      <w:r w:rsidR="004E50C8">
        <w:t xml:space="preserve"> Connecticut,</w:t>
      </w:r>
      <w:r w:rsidR="00177C38">
        <w:t xml:space="preserve"> </w:t>
      </w:r>
      <w:r w:rsidR="00B548ED">
        <w:t>to read as follows</w:t>
      </w:r>
      <w:r w:rsidR="00BF6E00">
        <w:t>:</w:t>
      </w:r>
      <w:bookmarkEnd w:id="3"/>
    </w:p>
    <w:p w:rsidR="000636BB" w:rsidP="000636BB">
      <w:pPr>
        <w:pStyle w:val="ParaNum"/>
        <w:numPr>
          <w:ilvl w:val="0"/>
          <w:numId w:val="0"/>
        </w:numPr>
        <w:ind w:left="720"/>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2611"/>
        <w:gridCol w:w="2612"/>
      </w:tblGrid>
      <w:tr w:rsidTr="0031634D">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p>
        </w:tc>
        <w:tc>
          <w:tcPr>
            <w:tcW w:w="5223" w:type="dxa"/>
            <w:gridSpan w:val="2"/>
            <w:shd w:val="clear" w:color="auto" w:fill="auto"/>
          </w:tcPr>
          <w:p w:rsidR="00BF6E00" w:rsidP="001349BA">
            <w:pPr>
              <w:pStyle w:val="AppNum"/>
              <w:numPr>
                <w:ilvl w:val="0"/>
                <w:numId w:val="0"/>
              </w:numPr>
              <w:tabs>
                <w:tab w:val="center" w:pos="2364"/>
                <w:tab w:val="right" w:pos="4728"/>
              </w:tab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Channel No.</w:t>
            </w:r>
            <w:r>
              <w:rPr>
                <w:rFonts w:ascii="Times New Roman" w:hAnsi="Times New Roman"/>
                <w:spacing w:val="-3"/>
                <w:sz w:val="22"/>
                <w:szCs w:val="22"/>
              </w:rPr>
              <w:tab/>
            </w:r>
          </w:p>
        </w:tc>
      </w:tr>
      <w:tr w:rsidTr="0031634D">
        <w:tblPrEx>
          <w:tblW w:w="0" w:type="auto"/>
          <w:tblInd w:w="976" w:type="dxa"/>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Amended</w:t>
            </w:r>
          </w:p>
        </w:tc>
      </w:tr>
      <w:tr w:rsidTr="0031634D">
        <w:tblPrEx>
          <w:tblW w:w="0" w:type="auto"/>
          <w:tblInd w:w="976" w:type="dxa"/>
          <w:tblLook w:val="04A0"/>
        </w:tblPrEx>
        <w:trPr>
          <w:trHeight w:val="484"/>
        </w:trPr>
        <w:tc>
          <w:tcPr>
            <w:tcW w:w="2611" w:type="dxa"/>
            <w:shd w:val="clear" w:color="auto" w:fill="auto"/>
          </w:tcPr>
          <w:p w:rsidR="00BF6E00" w:rsidP="00BF6E00">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Bridgeport</w:t>
            </w:r>
            <w:r>
              <w:rPr>
                <w:rFonts w:ascii="Times New Roman" w:hAnsi="Times New Roman"/>
                <w:spacing w:val="-3"/>
                <w:sz w:val="22"/>
                <w:szCs w:val="22"/>
              </w:rPr>
              <w:t xml:space="preserve">, </w:t>
            </w:r>
            <w:r>
              <w:rPr>
                <w:rFonts w:ascii="Times New Roman" w:hAnsi="Times New Roman"/>
                <w:spacing w:val="-3"/>
                <w:sz w:val="22"/>
                <w:szCs w:val="22"/>
              </w:rPr>
              <w:t>Connecticut</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42, </w:t>
            </w:r>
            <w:r w:rsidR="004E50C8">
              <w:rPr>
                <w:rFonts w:ascii="Times New Roman" w:hAnsi="Times New Roman"/>
                <w:spacing w:val="-3"/>
                <w:sz w:val="22"/>
                <w:szCs w:val="22"/>
              </w:rPr>
              <w:t>*49</w:t>
            </w:r>
            <w:r w:rsidR="00DA6964">
              <w:rPr>
                <w:rFonts w:ascii="Times New Roman" w:hAnsi="Times New Roman"/>
                <w:spacing w:val="-3"/>
                <w:sz w:val="22"/>
                <w:szCs w:val="22"/>
              </w:rPr>
              <w:t>,</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 </w:t>
            </w:r>
            <w:r w:rsidR="00DA6964">
              <w:rPr>
                <w:rFonts w:ascii="Times New Roman" w:hAnsi="Times New Roman"/>
                <w:spacing w:val="-3"/>
                <w:sz w:val="22"/>
                <w:szCs w:val="22"/>
              </w:rPr>
              <w:t>42</w:t>
            </w:r>
            <w:r>
              <w:rPr>
                <w:rFonts w:ascii="Times New Roman" w:hAnsi="Times New Roman"/>
                <w:spacing w:val="-3"/>
                <w:sz w:val="22"/>
                <w:szCs w:val="22"/>
              </w:rPr>
              <w:t xml:space="preserve">, </w:t>
            </w:r>
            <w:r w:rsidR="00E04584">
              <w:rPr>
                <w:rFonts w:ascii="Times New Roman" w:hAnsi="Times New Roman"/>
                <w:spacing w:val="-3"/>
                <w:sz w:val="22"/>
                <w:szCs w:val="22"/>
              </w:rPr>
              <w:t>*</w:t>
            </w:r>
            <w:r>
              <w:rPr>
                <w:rFonts w:ascii="Times New Roman" w:hAnsi="Times New Roman"/>
                <w:spacing w:val="-3"/>
                <w:sz w:val="22"/>
                <w:szCs w:val="22"/>
              </w:rPr>
              <w:t>49</w:t>
            </w:r>
          </w:p>
        </w:tc>
      </w:tr>
      <w:tr w:rsidTr="0031634D">
        <w:tblPrEx>
          <w:tblW w:w="0" w:type="auto"/>
          <w:tblInd w:w="976" w:type="dxa"/>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Stamford, Connecticut</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*49</w:t>
            </w:r>
          </w:p>
        </w:tc>
      </w:tr>
    </w:tbl>
    <w:p w:rsidR="00BF6E00" w:rsidP="00BF6E00">
      <w:pPr>
        <w:pStyle w:val="ParaNum"/>
        <w:numPr>
          <w:ilvl w:val="0"/>
          <w:numId w:val="0"/>
        </w:numPr>
      </w:pPr>
    </w:p>
    <w:p w:rsidR="00B548ED" w:rsidP="006D321A">
      <w:pPr>
        <w:pStyle w:val="ParaNum"/>
        <w:tabs>
          <w:tab w:val="clear" w:pos="1080"/>
        </w:tabs>
      </w:pPr>
      <w:r>
        <w:rPr>
          <w:b/>
        </w:rPr>
        <w:t>IT IS FURTHER ORDERED</w:t>
      </w:r>
      <w:r>
        <w:t xml:space="preserve"> that</w:t>
      </w:r>
      <w:r w:rsidR="004E50C8">
        <w:t>, after filing the required applications and paying the necessary fees, the authorization for station WEDW</w:t>
      </w:r>
      <w:r>
        <w:t xml:space="preserve"> </w:t>
      </w:r>
      <w:r w:rsidR="004E50C8">
        <w:rPr>
          <w:b/>
        </w:rPr>
        <w:t>W</w:t>
      </w:r>
      <w:r w:rsidR="00126760">
        <w:rPr>
          <w:b/>
        </w:rPr>
        <w:t>I</w:t>
      </w:r>
      <w:r w:rsidR="004E50C8">
        <w:rPr>
          <w:b/>
        </w:rPr>
        <w:t>LL BE</w:t>
      </w:r>
      <w:r>
        <w:rPr>
          <w:b/>
        </w:rPr>
        <w:t xml:space="preserve"> MODIFIED </w:t>
      </w:r>
      <w:r>
        <w:t xml:space="preserve">to reflect </w:t>
      </w:r>
      <w:r w:rsidR="00056282">
        <w:t xml:space="preserve">WEDW’s </w:t>
      </w:r>
      <w:r>
        <w:t xml:space="preserve">community of </w:t>
      </w:r>
      <w:r w:rsidR="004E50C8">
        <w:t>license a</w:t>
      </w:r>
      <w:r>
        <w:t xml:space="preserve">s </w:t>
      </w:r>
      <w:r w:rsidR="004E50C8">
        <w:t>Stamford, Connecticut</w:t>
      </w:r>
      <w:r>
        <w:t>.</w:t>
      </w:r>
    </w:p>
    <w:p w:rsidR="00BC3CFC" w:rsidP="00E3073B">
      <w:pPr>
        <w:pStyle w:val="ParaNum"/>
        <w:tabs>
          <w:tab w:val="clear" w:pos="1080"/>
          <w:tab w:val="num" w:pos="1440"/>
        </w:tabs>
      </w:pPr>
      <w:r>
        <w:rPr>
          <w:b/>
        </w:rPr>
        <w:t xml:space="preserve">IT IS FURTHER ORDERED </w:t>
      </w:r>
      <w:r>
        <w:t xml:space="preserve">that any authorization implementing this community of license change </w:t>
      </w:r>
      <w:r w:rsidR="00756A07">
        <w:rPr>
          <w:b/>
        </w:rPr>
        <w:t>IS CONDITIONED</w:t>
      </w:r>
      <w:r w:rsidRPr="004E50C8">
        <w:rPr>
          <w:b/>
        </w:rPr>
        <w:t xml:space="preserve"> </w:t>
      </w:r>
      <w:r w:rsidRPr="004E50C8" w:rsidR="004E50C8">
        <w:rPr>
          <w:b/>
        </w:rPr>
        <w:t>UPON</w:t>
      </w:r>
      <w:r>
        <w:t xml:space="preserve"> continued service to </w:t>
      </w:r>
      <w:r w:rsidR="004E50C8">
        <w:t>Bridgeport</w:t>
      </w:r>
      <w:r>
        <w:t xml:space="preserve">, </w:t>
      </w:r>
      <w:r w:rsidR="004E50C8">
        <w:t>Connecticut</w:t>
      </w:r>
      <w:r>
        <w:t>.</w:t>
      </w:r>
    </w:p>
    <w:p w:rsidR="00B548ED" w:rsidP="006D321A">
      <w:pPr>
        <w:pStyle w:val="ParaNum"/>
        <w:tabs>
          <w:tab w:val="clear" w:pos="1080"/>
        </w:tabs>
      </w:pPr>
      <w:r>
        <w:rPr>
          <w:b/>
        </w:rPr>
        <w:t xml:space="preserve">IT IS FURTHER ORDERED </w:t>
      </w:r>
      <w:r>
        <w:t>that the Commission will send a copy of this order to Congress and the Government Accountability Office pursuant to the Congressional Review Act.</w:t>
      </w:r>
      <w:r>
        <w:rPr>
          <w:rStyle w:val="FootnoteReference"/>
        </w:rPr>
        <w:footnoteReference w:id="36"/>
      </w:r>
    </w:p>
    <w:p w:rsidR="00177C38" w:rsidRPr="004E50C8" w:rsidP="004E50C8">
      <w:pPr>
        <w:pStyle w:val="ParaNum"/>
        <w:tabs>
          <w:tab w:val="clear" w:pos="1080"/>
        </w:tabs>
      </w:pPr>
      <w:r>
        <w:rPr>
          <w:b/>
        </w:rPr>
        <w:t>IT IS FURTHER OREDERD</w:t>
      </w:r>
      <w:r>
        <w:t xml:space="preserve"> that this proceeding </w:t>
      </w:r>
      <w:r>
        <w:rPr>
          <w:b/>
        </w:rPr>
        <w:t>IS TERMINATED</w:t>
      </w:r>
      <w:r>
        <w:t>.</w:t>
      </w:r>
    </w:p>
    <w:p w:rsidR="00177C38" w:rsidP="003107EF">
      <w:pPr>
        <w:tabs>
          <w:tab w:val="left" w:pos="-1440"/>
          <w:tab w:val="left" w:pos="-720"/>
        </w:tabs>
        <w:suppressAutoHyphens/>
        <w:spacing w:after="240"/>
        <w:jc w:val="both"/>
        <w:rPr>
          <w:spacing w:val="-3"/>
          <w:szCs w:val="22"/>
        </w:rPr>
      </w:pPr>
    </w:p>
    <w:p w:rsidR="003107EF" w:rsidRPr="00534C6C" w:rsidP="003107EF">
      <w:pPr>
        <w:tabs>
          <w:tab w:val="left" w:pos="-1440"/>
          <w:tab w:val="left" w:pos="-720"/>
        </w:tabs>
        <w:suppressAutoHyphens/>
        <w:spacing w:after="240"/>
        <w:jc w:val="both"/>
        <w:rPr>
          <w:b w:val="0"/>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534C6C">
        <w:rPr>
          <w:b w:val="0"/>
          <w:spacing w:val="-3"/>
          <w:szCs w:val="22"/>
        </w:rPr>
        <w:t>FEDERAL COMMUNICATIONS COMMISSION</w:t>
      </w:r>
    </w:p>
    <w:p w:rsidR="003107EF" w:rsidRPr="00534C6C" w:rsidP="003107EF">
      <w:pPr>
        <w:tabs>
          <w:tab w:val="left" w:pos="-1440"/>
          <w:tab w:val="left" w:pos="-720"/>
        </w:tabs>
        <w:suppressAutoHyphens/>
        <w:spacing w:after="240"/>
        <w:jc w:val="both"/>
        <w:rPr>
          <w:b w:val="0"/>
          <w:spacing w:val="-3"/>
          <w:szCs w:val="22"/>
        </w:rPr>
      </w:pPr>
    </w:p>
    <w:p w:rsidR="003107EF" w:rsidRPr="00534C6C" w:rsidP="003107EF">
      <w:pPr>
        <w:tabs>
          <w:tab w:val="left" w:pos="-1440"/>
          <w:tab w:val="left" w:pos="-720"/>
        </w:tabs>
        <w:suppressAutoHyphens/>
        <w:spacing w:after="240"/>
        <w:jc w:val="both"/>
        <w:rPr>
          <w:b w:val="0"/>
          <w:spacing w:val="-3"/>
          <w:szCs w:val="22"/>
        </w:rPr>
      </w:pPr>
    </w:p>
    <w:p w:rsidR="003107EF" w:rsidRPr="00534C6C" w:rsidP="00534C6C">
      <w:pPr>
        <w:tabs>
          <w:tab w:val="left" w:pos="-1440"/>
          <w:tab w:val="left" w:pos="-720"/>
        </w:tabs>
        <w:suppressAutoHyphens/>
        <w:spacing w:after="0" w:line="240" w:lineRule="auto"/>
        <w:jc w:val="both"/>
        <w:rPr>
          <w:b w:val="0"/>
          <w:spacing w:val="-3"/>
          <w:szCs w:val="22"/>
        </w:rPr>
      </w:pPr>
      <w:r w:rsidRPr="00534C6C">
        <w:rPr>
          <w:b w:val="0"/>
          <w:spacing w:val="-3"/>
          <w:szCs w:val="22"/>
        </w:rPr>
        <w:tab/>
      </w:r>
      <w:r w:rsidRPr="00534C6C">
        <w:rPr>
          <w:b w:val="0"/>
          <w:spacing w:val="-3"/>
          <w:szCs w:val="22"/>
        </w:rPr>
        <w:tab/>
      </w:r>
      <w:r w:rsidRPr="00534C6C">
        <w:rPr>
          <w:b w:val="0"/>
          <w:spacing w:val="-3"/>
          <w:szCs w:val="22"/>
        </w:rPr>
        <w:tab/>
      </w:r>
      <w:r w:rsidRPr="00534C6C">
        <w:rPr>
          <w:b w:val="0"/>
          <w:spacing w:val="-3"/>
          <w:szCs w:val="22"/>
        </w:rPr>
        <w:tab/>
      </w:r>
      <w:r w:rsidRPr="00534C6C">
        <w:rPr>
          <w:b w:val="0"/>
          <w:spacing w:val="-3"/>
          <w:szCs w:val="22"/>
        </w:rPr>
        <w:tab/>
        <w:t xml:space="preserve">Barbara A. Kreisman </w:t>
      </w:r>
    </w:p>
    <w:p w:rsidR="003107EF" w:rsidRPr="00534C6C" w:rsidP="00534C6C">
      <w:pPr>
        <w:tabs>
          <w:tab w:val="left" w:pos="-1440"/>
          <w:tab w:val="left" w:pos="-720"/>
        </w:tabs>
        <w:suppressAutoHyphens/>
        <w:spacing w:after="0" w:line="240" w:lineRule="auto"/>
        <w:jc w:val="both"/>
        <w:rPr>
          <w:b w:val="0"/>
          <w:spacing w:val="-3"/>
          <w:szCs w:val="22"/>
        </w:rPr>
      </w:pPr>
      <w:r w:rsidRPr="00534C6C">
        <w:rPr>
          <w:b w:val="0"/>
          <w:spacing w:val="-3"/>
          <w:szCs w:val="22"/>
        </w:rPr>
        <w:tab/>
      </w:r>
      <w:r w:rsidRPr="00534C6C">
        <w:rPr>
          <w:b w:val="0"/>
          <w:spacing w:val="-3"/>
          <w:szCs w:val="22"/>
        </w:rPr>
        <w:tab/>
      </w:r>
      <w:r w:rsidRPr="00534C6C">
        <w:rPr>
          <w:b w:val="0"/>
          <w:spacing w:val="-3"/>
          <w:szCs w:val="22"/>
        </w:rPr>
        <w:tab/>
      </w:r>
      <w:r w:rsidRPr="00534C6C">
        <w:rPr>
          <w:b w:val="0"/>
          <w:spacing w:val="-3"/>
          <w:szCs w:val="22"/>
        </w:rPr>
        <w:tab/>
      </w:r>
      <w:r w:rsidRPr="00534C6C">
        <w:rPr>
          <w:b w:val="0"/>
          <w:spacing w:val="-3"/>
          <w:szCs w:val="22"/>
        </w:rPr>
        <w:tab/>
        <w:t>Chief, Video Division</w:t>
      </w:r>
    </w:p>
    <w:p w:rsidR="003107EF" w:rsidRPr="00534C6C" w:rsidP="00534C6C">
      <w:pPr>
        <w:tabs>
          <w:tab w:val="left" w:pos="-1440"/>
          <w:tab w:val="left" w:pos="-720"/>
        </w:tabs>
        <w:suppressAutoHyphens/>
        <w:spacing w:after="0" w:line="240" w:lineRule="auto"/>
        <w:jc w:val="both"/>
        <w:rPr>
          <w:b w:val="0"/>
          <w:spacing w:val="-3"/>
          <w:szCs w:val="22"/>
        </w:rPr>
      </w:pPr>
      <w:r w:rsidRPr="00534C6C">
        <w:rPr>
          <w:b w:val="0"/>
          <w:spacing w:val="-3"/>
          <w:szCs w:val="22"/>
        </w:rPr>
        <w:tab/>
      </w:r>
      <w:r w:rsidRPr="00534C6C">
        <w:rPr>
          <w:b w:val="0"/>
          <w:spacing w:val="-3"/>
          <w:szCs w:val="22"/>
        </w:rPr>
        <w:tab/>
      </w:r>
      <w:r w:rsidRPr="00534C6C">
        <w:rPr>
          <w:b w:val="0"/>
          <w:spacing w:val="-3"/>
          <w:szCs w:val="22"/>
        </w:rPr>
        <w:tab/>
      </w:r>
      <w:r w:rsidRPr="00534C6C">
        <w:rPr>
          <w:b w:val="0"/>
          <w:spacing w:val="-3"/>
          <w:szCs w:val="22"/>
        </w:rPr>
        <w:tab/>
      </w:r>
      <w:r w:rsidRPr="00534C6C">
        <w:rPr>
          <w:b w:val="0"/>
          <w:spacing w:val="-3"/>
          <w:szCs w:val="22"/>
        </w:rPr>
        <w:tab/>
        <w:t>Media Bureau</w:t>
      </w:r>
    </w:p>
    <w:bookmarkEnd w:id="2"/>
    <w:p w:rsidR="0065028B" w:rsidP="006D321A">
      <w:pPr>
        <w:keepNext/>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6A6DF8">
      <w:rPr>
        <w:noProof/>
      </w:rPr>
      <w:t>5</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6415">
      <w:r>
        <w:separator/>
      </w:r>
    </w:p>
  </w:footnote>
  <w:footnote w:type="continuationSeparator" w:id="1">
    <w:p w:rsidR="00E56415" w:rsidP="00C721AC">
      <w:pPr>
        <w:spacing w:before="120"/>
        <w:rPr>
          <w:sz w:val="20"/>
        </w:rPr>
      </w:pPr>
      <w:r>
        <w:continuationSeparator/>
      </w:r>
    </w:p>
  </w:footnote>
  <w:footnote w:type="continuationNotice" w:id="2">
    <w:p w:rsidR="00E56415" w:rsidP="00C721AC">
      <w:pPr>
        <w:jc w:val="right"/>
        <w:rPr>
          <w:sz w:val="20"/>
        </w:rPr>
      </w:pPr>
    </w:p>
  </w:footnote>
  <w:footnote w:id="3">
    <w:p w:rsidR="001947B7" w:rsidRPr="003E12A8">
      <w:pPr>
        <w:pStyle w:val="FootnoteText"/>
      </w:pPr>
      <w:r w:rsidRPr="003E12A8">
        <w:rPr>
          <w:rStyle w:val="FootnoteReference"/>
        </w:rPr>
        <w:footnoteRef/>
      </w:r>
      <w:r w:rsidRPr="003E12A8">
        <w:t xml:space="preserve"> </w:t>
      </w:r>
      <w:r w:rsidRPr="003E12A8" w:rsidR="008720D6">
        <w:rPr>
          <w:i/>
        </w:rPr>
        <w:t>Amendment of Section 73.622(</w:t>
      </w:r>
      <w:r w:rsidRPr="003E12A8" w:rsidR="008720D6">
        <w:rPr>
          <w:i/>
        </w:rPr>
        <w:t>i</w:t>
      </w:r>
      <w:r w:rsidRPr="003E12A8" w:rsidR="008720D6">
        <w:rPr>
          <w:i/>
        </w:rPr>
        <w:t>), Table of Allotments, Digital Television Broadcast Stations (</w:t>
      </w:r>
      <w:r w:rsidRPr="003E12A8" w:rsidR="003C3BC8">
        <w:rPr>
          <w:i/>
        </w:rPr>
        <w:t>Bridgeport</w:t>
      </w:r>
      <w:r w:rsidRPr="003E12A8" w:rsidR="008720D6">
        <w:rPr>
          <w:i/>
        </w:rPr>
        <w:t xml:space="preserve"> and </w:t>
      </w:r>
      <w:r w:rsidRPr="003E12A8" w:rsidR="003C3BC8">
        <w:rPr>
          <w:i/>
        </w:rPr>
        <w:t>Stamford</w:t>
      </w:r>
      <w:r w:rsidRPr="003E12A8" w:rsidR="008720D6">
        <w:rPr>
          <w:i/>
        </w:rPr>
        <w:t xml:space="preserve">, </w:t>
      </w:r>
      <w:r w:rsidRPr="003E12A8" w:rsidR="003C3BC8">
        <w:rPr>
          <w:i/>
        </w:rPr>
        <w:t>Connecticut</w:t>
      </w:r>
      <w:r w:rsidRPr="003E12A8" w:rsidR="004A5FCE">
        <w:t>),</w:t>
      </w:r>
      <w:r w:rsidRPr="003E12A8" w:rsidR="008720D6">
        <w:t xml:space="preserve"> Notice of Proposed Rulemaki</w:t>
      </w:r>
      <w:r w:rsidRPr="003E12A8" w:rsidR="003C3BC8">
        <w:t xml:space="preserve">ng, </w:t>
      </w:r>
      <w:r w:rsidRPr="003E12A8" w:rsidR="00AD1104">
        <w:t xml:space="preserve">33 FCC Rcd </w:t>
      </w:r>
      <w:r w:rsidRPr="003E12A8" w:rsidR="006D3B6A">
        <w:t>3918</w:t>
      </w:r>
      <w:r w:rsidRPr="003E12A8" w:rsidR="004A5FCE">
        <w:t xml:space="preserve"> (Vid. Div. 2018)</w:t>
      </w:r>
      <w:r w:rsidRPr="003E12A8" w:rsidR="00E8008B">
        <w:t xml:space="preserve"> (</w:t>
      </w:r>
      <w:r w:rsidRPr="003E12A8" w:rsidR="00E8008B">
        <w:rPr>
          <w:i/>
        </w:rPr>
        <w:t>NPRM</w:t>
      </w:r>
      <w:r w:rsidRPr="003E12A8" w:rsidR="00E8008B">
        <w:t>)</w:t>
      </w:r>
      <w:r w:rsidRPr="003E12A8" w:rsidR="008720D6">
        <w:t>.</w:t>
      </w:r>
      <w:r w:rsidRPr="003E12A8" w:rsidR="00AB08D5">
        <w:t xml:space="preserve">  </w:t>
      </w:r>
    </w:p>
  </w:footnote>
  <w:footnote w:id="4">
    <w:p w:rsidR="00EF0AF7" w:rsidRPr="003E12A8">
      <w:pPr>
        <w:pStyle w:val="FootnoteText"/>
      </w:pPr>
      <w:r w:rsidRPr="003E12A8">
        <w:rPr>
          <w:rStyle w:val="FootnoteReference"/>
        </w:rPr>
        <w:footnoteRef/>
      </w:r>
      <w:r w:rsidRPr="003E12A8">
        <w:t xml:space="preserve"> </w:t>
      </w:r>
      <w:r w:rsidRPr="003E12A8" w:rsidR="009E6436">
        <w:t xml:space="preserve"> Comments </w:t>
      </w:r>
      <w:r w:rsidRPr="003E12A8" w:rsidR="00296FD7">
        <w:t>in Support of Notice of Proposed Rulemaking</w:t>
      </w:r>
      <w:r w:rsidRPr="003E12A8" w:rsidR="009E6436">
        <w:t xml:space="preserve"> </w:t>
      </w:r>
      <w:r w:rsidRPr="003E12A8" w:rsidR="00296FD7">
        <w:t xml:space="preserve">of Connecticut Public Broadcasting, Inc. </w:t>
      </w:r>
      <w:r w:rsidRPr="003E12A8" w:rsidR="009E6436">
        <w:t>(fi</w:t>
      </w:r>
      <w:r w:rsidRPr="003E12A8" w:rsidR="008A21E8">
        <w:t xml:space="preserve">led </w:t>
      </w:r>
      <w:r w:rsidRPr="003E12A8" w:rsidR="00296FD7">
        <w:t>Aug</w:t>
      </w:r>
      <w:r w:rsidRPr="003E12A8" w:rsidR="0044064E">
        <w:t>.</w:t>
      </w:r>
      <w:r w:rsidRPr="003E12A8" w:rsidR="00296FD7">
        <w:t xml:space="preserve"> 6</w:t>
      </w:r>
      <w:r w:rsidRPr="003E12A8" w:rsidR="008A21E8">
        <w:t>, 2018) (</w:t>
      </w:r>
      <w:r w:rsidRPr="003E12A8" w:rsidR="00296FD7">
        <w:t>CBPI</w:t>
      </w:r>
      <w:r w:rsidRPr="003E12A8" w:rsidR="008A21E8">
        <w:t xml:space="preserve"> Comment</w:t>
      </w:r>
      <w:r w:rsidRPr="003E12A8" w:rsidR="00A14372">
        <w:t>s</w:t>
      </w:r>
      <w:r w:rsidRPr="003E12A8" w:rsidR="009E6436">
        <w:t xml:space="preserve">). </w:t>
      </w:r>
    </w:p>
  </w:footnote>
  <w:footnote w:id="5">
    <w:p w:rsidR="00B635CE" w:rsidRPr="003E12A8">
      <w:pPr>
        <w:pStyle w:val="FootnoteText"/>
      </w:pPr>
      <w:r w:rsidRPr="003E12A8">
        <w:rPr>
          <w:rStyle w:val="FootnoteReference"/>
        </w:rPr>
        <w:footnoteRef/>
      </w:r>
      <w:r w:rsidRPr="003E12A8" w:rsidR="00C9444C">
        <w:t xml:space="preserve"> Comments of PMCM TV, LLC</w:t>
      </w:r>
      <w:r w:rsidRPr="003E12A8" w:rsidR="003C3BC8">
        <w:t xml:space="preserve"> (filed Aug.</w:t>
      </w:r>
      <w:r w:rsidRPr="003E12A8" w:rsidR="00FD7A6A">
        <w:t xml:space="preserve"> 6, 2018) (Opposition); Reply Comments of Connecticut Public Broadcasting, Inc. (filed Aug. 20, 20018) (Reply).</w:t>
      </w:r>
    </w:p>
  </w:footnote>
  <w:footnote w:id="6">
    <w:p w:rsidR="00920850" w:rsidRPr="003E12A8">
      <w:pPr>
        <w:pStyle w:val="FootnoteText"/>
      </w:pPr>
      <w:r w:rsidRPr="003E12A8">
        <w:rPr>
          <w:rStyle w:val="FootnoteReference"/>
        </w:rPr>
        <w:footnoteRef/>
      </w:r>
      <w:r w:rsidRPr="003E12A8">
        <w:t xml:space="preserve"> Petition for R</w:t>
      </w:r>
      <w:r w:rsidRPr="003E12A8" w:rsidR="003C3BC8">
        <w:t>ulemaking, as amended</w:t>
      </w:r>
      <w:r w:rsidRPr="003E12A8" w:rsidR="004366E1">
        <w:t>, of Connecticut Public Broadcasting, Inc. (</w:t>
      </w:r>
      <w:r w:rsidRPr="003E12A8" w:rsidR="0044064E">
        <w:t xml:space="preserve">filed </w:t>
      </w:r>
      <w:r w:rsidRPr="003E12A8" w:rsidR="004366E1">
        <w:t>Aug. 23, 2017)</w:t>
      </w:r>
      <w:r w:rsidRPr="003E12A8" w:rsidR="003C3BC8">
        <w:t xml:space="preserve"> (Petition).</w:t>
      </w:r>
    </w:p>
  </w:footnote>
  <w:footnote w:id="7">
    <w:p w:rsidR="006E0A6F" w:rsidRPr="003E12A8">
      <w:pPr>
        <w:pStyle w:val="FootnoteText"/>
      </w:pPr>
      <w:r w:rsidRPr="003E12A8">
        <w:rPr>
          <w:rStyle w:val="FootnoteReference"/>
        </w:rPr>
        <w:footnoteRef/>
      </w:r>
      <w:r w:rsidRPr="003E12A8">
        <w:t xml:space="preserve"> </w:t>
      </w:r>
      <w:r w:rsidRPr="003E12A8" w:rsidR="004366E1">
        <w:rPr>
          <w:i/>
        </w:rPr>
        <w:t>Id.</w:t>
      </w:r>
      <w:r w:rsidRPr="003E12A8" w:rsidR="004366E1">
        <w:t xml:space="preserve"> </w:t>
      </w:r>
      <w:r w:rsidRPr="003E12A8" w:rsidR="00920850">
        <w:t>at 1.  We note that Section 1.420(</w:t>
      </w:r>
      <w:r w:rsidRPr="003E12A8" w:rsidR="00920850">
        <w:t>i</w:t>
      </w:r>
      <w:r w:rsidRPr="003E12A8" w:rsidR="00920850">
        <w:t>) of the rules provides that the Commission, during a rulemaking proceeding to amend the Table of Allotments, may modify a station’s license to specify a new community of license without affording other interest</w:t>
      </w:r>
      <w:r w:rsidRPr="003E12A8" w:rsidR="002A2B92">
        <w:t>ed</w:t>
      </w:r>
      <w:r w:rsidRPr="003E12A8" w:rsidR="00920850">
        <w:t xml:space="preserve"> parties an opportunity to file competing expressions of interest.  47 CFR § 1.420(</w:t>
      </w:r>
      <w:r w:rsidRPr="003E12A8" w:rsidR="00920850">
        <w:t>i</w:t>
      </w:r>
      <w:r w:rsidRPr="003E12A8" w:rsidR="00920850">
        <w:t xml:space="preserve">); </w:t>
      </w:r>
      <w:r w:rsidRPr="003E12A8" w:rsidR="00B21037">
        <w:rPr>
          <w:i/>
        </w:rPr>
        <w:t>see also</w:t>
      </w:r>
      <w:r w:rsidRPr="003E12A8" w:rsidR="00B21037">
        <w:t xml:space="preserve"> </w:t>
      </w:r>
      <w:hyperlink r:id="rId1" w:history="1">
        <w:r w:rsidRPr="003E12A8" w:rsidR="00920850">
          <w:rPr>
            <w:i/>
            <w:iCs/>
            <w:snapToGrid w:val="0"/>
            <w:kern w:val="28"/>
          </w:rPr>
          <w:t>Modification of FM and TV Authorizations to Specify a New Community of License</w:t>
        </w:r>
        <w:r w:rsidRPr="003E12A8" w:rsidR="00920850">
          <w:rPr>
            <w:snapToGrid w:val="0"/>
            <w:kern w:val="28"/>
          </w:rPr>
          <w:t>, Report and Order, 4 FCC Rcd 4870, 4873, para. 22 (1989)</w:t>
        </w:r>
      </w:hyperlink>
      <w:r w:rsidRPr="003E12A8" w:rsidR="00920850">
        <w:rPr>
          <w:snapToGrid w:val="0"/>
          <w:kern w:val="28"/>
        </w:rPr>
        <w:t xml:space="preserve"> </w:t>
      </w:r>
      <w:r w:rsidRPr="003E12A8" w:rsidR="00920850">
        <w:t>(</w:t>
      </w:r>
      <w:r w:rsidRPr="003E12A8" w:rsidR="00920850">
        <w:rPr>
          <w:i/>
        </w:rPr>
        <w:t>Change in Community R&amp;O</w:t>
      </w:r>
      <w:r w:rsidRPr="003E12A8" w:rsidR="00920850">
        <w:t>)</w:t>
      </w:r>
      <w:r w:rsidRPr="003E12A8" w:rsidR="00920850">
        <w:rPr>
          <w:snapToGrid w:val="0"/>
          <w:kern w:val="28"/>
        </w:rPr>
        <w:t>, </w:t>
      </w:r>
      <w:r w:rsidRPr="003E12A8" w:rsidR="00920850">
        <w:rPr>
          <w:i/>
          <w:iCs/>
          <w:snapToGrid w:val="0"/>
          <w:kern w:val="28"/>
        </w:rPr>
        <w:t>recon. granted in part</w:t>
      </w:r>
      <w:r w:rsidRPr="003E12A8" w:rsidR="00920850">
        <w:rPr>
          <w:snapToGrid w:val="0"/>
          <w:kern w:val="28"/>
        </w:rPr>
        <w:t>, </w:t>
      </w:r>
      <w:hyperlink r:id="rId2" w:history="1">
        <w:r w:rsidRPr="003E12A8" w:rsidR="00920850">
          <w:rPr>
            <w:snapToGrid w:val="0"/>
            <w:kern w:val="28"/>
          </w:rPr>
          <w:t>5 FCC Rcd 7094 (1990)</w:t>
        </w:r>
      </w:hyperlink>
      <w:r w:rsidRPr="003E12A8" w:rsidR="00920850">
        <w:rPr>
          <w:snapToGrid w:val="0"/>
          <w:kern w:val="28"/>
        </w:rPr>
        <w:t xml:space="preserve"> </w:t>
      </w:r>
      <w:r w:rsidRPr="003E12A8" w:rsidR="00920850">
        <w:t>(</w:t>
      </w:r>
      <w:r w:rsidRPr="003E12A8" w:rsidR="00920850">
        <w:rPr>
          <w:i/>
        </w:rPr>
        <w:t>Recon MO&amp;O</w:t>
      </w:r>
      <w:r w:rsidRPr="003E12A8" w:rsidR="00920850">
        <w:t>)</w:t>
      </w:r>
      <w:r w:rsidRPr="003E12A8" w:rsidR="00920850">
        <w:rPr>
          <w:snapToGrid w:val="0"/>
          <w:kern w:val="28"/>
        </w:rPr>
        <w:t xml:space="preserve">.  </w:t>
      </w:r>
      <w:r w:rsidRPr="003E12A8" w:rsidR="00920850">
        <w:t>The Commission will apply this procedure in the limited circumstances where</w:t>
      </w:r>
      <w:r w:rsidRPr="003E12A8" w:rsidR="00920850">
        <w:t xml:space="preserve">: </w:t>
      </w:r>
      <w:r w:rsidRPr="003E12A8" w:rsidR="00D70C9C">
        <w:t xml:space="preserve"> </w:t>
      </w:r>
      <w:r w:rsidRPr="003E12A8" w:rsidR="00920850">
        <w:t>(</w:t>
      </w:r>
      <w:r w:rsidRPr="003E12A8" w:rsidR="00920850">
        <w:t xml:space="preserve">1) the new allotment will be mutually exclusive with a station’s existing allotment; (2) the new allotment will result in a preferential arrangement of the allotments according to the Commission’s television allotment priorities; and (3) the new allotment will not deprive a community of its sole local transmission outlet.  </w:t>
      </w:r>
      <w:r w:rsidRPr="003E12A8" w:rsidR="00920850">
        <w:rPr>
          <w:i/>
        </w:rPr>
        <w:t>Change in Community RO&amp;O</w:t>
      </w:r>
      <w:r w:rsidRPr="003E12A8" w:rsidR="00B21037">
        <w:t>, 4 FCC Rcd</w:t>
      </w:r>
      <w:r w:rsidRPr="003E12A8" w:rsidR="007144DA">
        <w:t xml:space="preserve"> </w:t>
      </w:r>
      <w:r w:rsidRPr="003E12A8" w:rsidR="00920850">
        <w:t>at 4874, para. 28</w:t>
      </w:r>
      <w:r w:rsidRPr="003E12A8" w:rsidR="00631BF7">
        <w:t>.</w:t>
      </w:r>
    </w:p>
  </w:footnote>
  <w:footnote w:id="8">
    <w:p w:rsidR="003B774C" w:rsidRPr="003E12A8">
      <w:pPr>
        <w:pStyle w:val="FootnoteText"/>
      </w:pPr>
      <w:r w:rsidRPr="003E12A8">
        <w:rPr>
          <w:rStyle w:val="FootnoteReference"/>
        </w:rPr>
        <w:footnoteRef/>
      </w:r>
      <w:r w:rsidRPr="003E12A8">
        <w:t xml:space="preserve"> </w:t>
      </w:r>
      <w:r w:rsidRPr="003E12A8" w:rsidR="00C9444C">
        <w:t>Petition at 4.</w:t>
      </w:r>
    </w:p>
  </w:footnote>
  <w:footnote w:id="9">
    <w:p w:rsidR="00340795" w:rsidRPr="003E12A8" w:rsidP="00340795">
      <w:pPr>
        <w:pStyle w:val="FootnoteText"/>
      </w:pPr>
      <w:r w:rsidRPr="003E12A8">
        <w:rPr>
          <w:rStyle w:val="FootnoteReference"/>
        </w:rPr>
        <w:footnoteRef/>
      </w:r>
      <w:r w:rsidRPr="003E12A8" w:rsidR="00C9444C">
        <w:t xml:space="preserve"> </w:t>
      </w:r>
      <w:r w:rsidRPr="003E12A8" w:rsidR="00C9444C">
        <w:rPr>
          <w:i/>
        </w:rPr>
        <w:t>Id</w:t>
      </w:r>
      <w:r w:rsidRPr="003E12A8" w:rsidR="00C9444C">
        <w:t>.</w:t>
      </w:r>
    </w:p>
  </w:footnote>
  <w:footnote w:id="10">
    <w:p w:rsidR="00340795" w:rsidRPr="003E12A8" w:rsidP="00340795">
      <w:pPr>
        <w:pStyle w:val="FootnoteText"/>
      </w:pPr>
      <w:r w:rsidRPr="003E12A8">
        <w:rPr>
          <w:rStyle w:val="FootnoteReference"/>
        </w:rPr>
        <w:footnoteRef/>
      </w:r>
      <w:r w:rsidRPr="003E12A8">
        <w:t xml:space="preserve"> </w:t>
      </w:r>
      <w:r w:rsidRPr="003E12A8">
        <w:rPr>
          <w:i/>
        </w:rPr>
        <w:t>Id</w:t>
      </w:r>
      <w:r w:rsidRPr="003E12A8">
        <w:t xml:space="preserve">. </w:t>
      </w:r>
    </w:p>
  </w:footnote>
  <w:footnote w:id="11">
    <w:p w:rsidR="00340795" w:rsidRPr="003E12A8" w:rsidP="00340795">
      <w:pPr>
        <w:pStyle w:val="FootnoteText"/>
      </w:pPr>
      <w:r w:rsidRPr="003E12A8">
        <w:rPr>
          <w:rStyle w:val="FootnoteReference"/>
        </w:rPr>
        <w:footnoteRef/>
      </w:r>
      <w:r w:rsidRPr="003E12A8">
        <w:t xml:space="preserve"> </w:t>
      </w:r>
      <w:r w:rsidRPr="003E12A8">
        <w:rPr>
          <w:i/>
        </w:rPr>
        <w:t>Id</w:t>
      </w:r>
      <w:r w:rsidRPr="003E12A8">
        <w:t xml:space="preserve">.  </w:t>
      </w:r>
      <w:r w:rsidRPr="003E12A8" w:rsidR="0079591E">
        <w:t>T</w:t>
      </w:r>
      <w:r w:rsidRPr="003E12A8">
        <w:t>here are no</w:t>
      </w:r>
      <w:r w:rsidRPr="003E12A8" w:rsidR="006D3B6A">
        <w:t xml:space="preserve"> broadcast</w:t>
      </w:r>
      <w:r w:rsidRPr="003E12A8">
        <w:t xml:space="preserve"> </w:t>
      </w:r>
      <w:r w:rsidRPr="003E12A8" w:rsidR="00DD4EDD">
        <w:t xml:space="preserve">television </w:t>
      </w:r>
      <w:r w:rsidRPr="003E12A8">
        <w:t xml:space="preserve">stations currently licensed to Stamford, Connecticut. </w:t>
      </w:r>
      <w:r w:rsidRPr="003E12A8" w:rsidR="00C77CE3">
        <w:t xml:space="preserve"> </w:t>
      </w:r>
      <w:r w:rsidRPr="003E12A8" w:rsidR="0079591E">
        <w:rPr>
          <w:i/>
        </w:rPr>
        <w:t>See</w:t>
      </w:r>
      <w:r w:rsidRPr="003E12A8" w:rsidR="0079591E">
        <w:t xml:space="preserve"> 47 CFR § 73.622(</w:t>
      </w:r>
      <w:r w:rsidRPr="003E12A8" w:rsidR="0079591E">
        <w:t>i</w:t>
      </w:r>
      <w:r w:rsidRPr="003E12A8" w:rsidR="0079591E">
        <w:t>)</w:t>
      </w:r>
      <w:r w:rsidRPr="003E12A8" w:rsidR="00AD1104">
        <w:t xml:space="preserve">. </w:t>
      </w:r>
    </w:p>
  </w:footnote>
  <w:footnote w:id="12">
    <w:p w:rsidR="00340795" w:rsidRPr="003E12A8" w:rsidP="00534C6C">
      <w:pPr>
        <w:rPr>
          <w:sz w:val="20"/>
        </w:rPr>
      </w:pPr>
      <w:r w:rsidRPr="003E12A8">
        <w:rPr>
          <w:rStyle w:val="FootnoteReference"/>
        </w:rPr>
        <w:footnoteRef/>
      </w:r>
      <w:r w:rsidRPr="003E12A8">
        <w:rPr>
          <w:sz w:val="20"/>
        </w:rPr>
        <w:t xml:space="preserve"> </w:t>
      </w:r>
      <w:r w:rsidRPr="003E12A8">
        <w:rPr>
          <w:b w:val="0"/>
          <w:sz w:val="20"/>
        </w:rPr>
        <w:t>Petition at 3.</w:t>
      </w:r>
      <w:r w:rsidRPr="003E12A8" w:rsidR="00C77CE3">
        <w:rPr>
          <w:sz w:val="20"/>
        </w:rPr>
        <w:t xml:space="preserve"> </w:t>
      </w:r>
      <w:r w:rsidRPr="003E12A8" w:rsidR="0038059B">
        <w:rPr>
          <w:sz w:val="20"/>
        </w:rPr>
        <w:t xml:space="preserve"> </w:t>
      </w:r>
      <w:r w:rsidRPr="003E12A8" w:rsidR="00565EE5">
        <w:rPr>
          <w:b w:val="0"/>
          <w:sz w:val="20"/>
        </w:rPr>
        <w:t>WEDW, as the host station, operates on channel *49 on a shared basis with WZME.  LMS File Nos. 0000029677 (WZME license to cover shared operation on channel 49) and 0000029810 (WEDW modification of license for shared operation on channel *49), granted Sept. 20, 2017.</w:t>
      </w:r>
      <w:r w:rsidRPr="003E12A8" w:rsidR="00565EE5">
        <w:rPr>
          <w:sz w:val="20"/>
        </w:rPr>
        <w:t xml:space="preserve"> </w:t>
      </w:r>
      <w:r w:rsidRPr="003E12A8" w:rsidR="00565EE5">
        <w:rPr>
          <w:b w:val="0"/>
          <w:sz w:val="20"/>
        </w:rPr>
        <w:t xml:space="preserve"> Prior to channel sharing, WZME was licensed on channel 42 at Bridgeport</w:t>
      </w:r>
      <w:r w:rsidR="004A55C0">
        <w:rPr>
          <w:b w:val="0"/>
          <w:sz w:val="20"/>
        </w:rPr>
        <w:t>, which</w:t>
      </w:r>
      <w:r w:rsidRPr="003E12A8" w:rsidR="00565EE5">
        <w:rPr>
          <w:b w:val="0"/>
          <w:sz w:val="20"/>
        </w:rPr>
        <w:t xml:space="preserve"> NRJ </w:t>
      </w:r>
      <w:r w:rsidR="004A55C0">
        <w:rPr>
          <w:b w:val="0"/>
          <w:sz w:val="20"/>
        </w:rPr>
        <w:t>r</w:t>
      </w:r>
      <w:r w:rsidRPr="003E12A8" w:rsidR="00565EE5">
        <w:rPr>
          <w:b w:val="0"/>
          <w:sz w:val="20"/>
        </w:rPr>
        <w:t>elinquished pursuant to a successful license relinquishment bid in the broadcast incentive auction</w:t>
      </w:r>
      <w:r w:rsidR="000704AF">
        <w:rPr>
          <w:b w:val="0"/>
          <w:sz w:val="20"/>
        </w:rPr>
        <w:t xml:space="preserve"> -</w:t>
      </w:r>
      <w:r w:rsidRPr="003E12A8" w:rsidR="00565EE5">
        <w:rPr>
          <w:b w:val="0"/>
          <w:sz w:val="20"/>
        </w:rPr>
        <w:t xml:space="preserve"> </w:t>
      </w:r>
      <w:r w:rsidR="000704AF">
        <w:rPr>
          <w:b w:val="0"/>
          <w:sz w:val="20"/>
        </w:rPr>
        <w:t>t</w:t>
      </w:r>
      <w:r w:rsidRPr="003E12A8" w:rsidR="00565EE5">
        <w:rPr>
          <w:b w:val="0"/>
          <w:sz w:val="20"/>
        </w:rPr>
        <w:t>he spectrum is now being licensed to new 600 MHz Band flexible use licensees</w:t>
      </w:r>
      <w:r w:rsidRPr="003E12A8" w:rsidR="009B2FDA">
        <w:rPr>
          <w:b w:val="0"/>
          <w:sz w:val="20"/>
        </w:rPr>
        <w:t xml:space="preserve">.  </w:t>
      </w:r>
      <w:r w:rsidRPr="003E12A8" w:rsidR="009B2FDA">
        <w:rPr>
          <w:b w:val="0"/>
          <w:i/>
          <w:sz w:val="20"/>
        </w:rPr>
        <w:t>Incentive Auction Closing and Channel Reassignment Public Notice; Incentive Auction Closes; Reverse Auction and Forward Auction Results Announced; Final Television Band Channel Assignments Announced; Post Auction Deadlines Announced</w:t>
      </w:r>
      <w:r w:rsidRPr="003E12A8" w:rsidR="009B2FDA">
        <w:rPr>
          <w:b w:val="0"/>
          <w:sz w:val="20"/>
        </w:rPr>
        <w:t>, Public Notice, 32 FCC Rcd 2</w:t>
      </w:r>
      <w:r w:rsidRPr="003E12A8" w:rsidR="00A85914">
        <w:rPr>
          <w:b w:val="0"/>
          <w:sz w:val="20"/>
        </w:rPr>
        <w:t>786</w:t>
      </w:r>
      <w:r w:rsidRPr="003E12A8" w:rsidR="009B2FDA">
        <w:rPr>
          <w:b w:val="0"/>
          <w:sz w:val="20"/>
        </w:rPr>
        <w:t xml:space="preserve">, </w:t>
      </w:r>
      <w:r w:rsidRPr="003E12A8" w:rsidR="00FF6950">
        <w:rPr>
          <w:b w:val="0"/>
          <w:sz w:val="20"/>
        </w:rPr>
        <w:t xml:space="preserve">2805, </w:t>
      </w:r>
      <w:r w:rsidRPr="003E12A8" w:rsidR="008F02FC">
        <w:rPr>
          <w:b w:val="0"/>
          <w:sz w:val="20"/>
        </w:rPr>
        <w:t>para. 61</w:t>
      </w:r>
      <w:r w:rsidRPr="003E12A8" w:rsidR="009B2FDA">
        <w:rPr>
          <w:b w:val="0"/>
          <w:sz w:val="20"/>
        </w:rPr>
        <w:t xml:space="preserve"> (MB/WTB 2017)</w:t>
      </w:r>
      <w:r w:rsidRPr="003E12A8" w:rsidR="00565EE5">
        <w:rPr>
          <w:b w:val="0"/>
          <w:sz w:val="20"/>
        </w:rPr>
        <w:t>.</w:t>
      </w:r>
      <w:r w:rsidRPr="003E12A8" w:rsidR="00534C6C">
        <w:rPr>
          <w:b w:val="0"/>
          <w:sz w:val="20"/>
        </w:rPr>
        <w:t xml:space="preserve">  </w:t>
      </w:r>
      <w:r w:rsidR="004A55C0">
        <w:rPr>
          <w:b w:val="0"/>
          <w:sz w:val="20"/>
        </w:rPr>
        <w:t>We note that t</w:t>
      </w:r>
      <w:r w:rsidRPr="003E12A8" w:rsidR="009B2FDA">
        <w:rPr>
          <w:b w:val="0"/>
          <w:sz w:val="20"/>
        </w:rPr>
        <w:t>he Commission will remove Channel 42, at Bridgeport, from the current Post-Transition Table of DTV Allotments when the Commission adopts the Post-Auction Table of DTV Allotments</w:t>
      </w:r>
      <w:r w:rsidRPr="003E12A8" w:rsidR="002B3A27">
        <w:rPr>
          <w:b w:val="0"/>
          <w:sz w:val="20"/>
        </w:rPr>
        <w:t xml:space="preserve">.  </w:t>
      </w:r>
      <w:r w:rsidRPr="003E12A8" w:rsidR="002B3A27">
        <w:rPr>
          <w:b w:val="0"/>
          <w:i/>
          <w:sz w:val="20"/>
        </w:rPr>
        <w:t>Expanding the Economic and In</w:t>
      </w:r>
      <w:r w:rsidRPr="003E12A8" w:rsidR="00637B8F">
        <w:rPr>
          <w:b w:val="0"/>
          <w:i/>
          <w:sz w:val="20"/>
        </w:rPr>
        <w:t>n</w:t>
      </w:r>
      <w:r w:rsidRPr="003E12A8" w:rsidR="002B3A27">
        <w:rPr>
          <w:b w:val="0"/>
          <w:i/>
          <w:sz w:val="20"/>
        </w:rPr>
        <w:t>ovation Opportunities of Spectrum Through Incentive Auctions</w:t>
      </w:r>
      <w:r w:rsidRPr="003E12A8" w:rsidR="002B3A27">
        <w:rPr>
          <w:b w:val="0"/>
          <w:sz w:val="20"/>
        </w:rPr>
        <w:t xml:space="preserve">, Report and Order, </w:t>
      </w:r>
      <w:r w:rsidRPr="003E12A8" w:rsidR="00637B8F">
        <w:rPr>
          <w:b w:val="0"/>
          <w:sz w:val="20"/>
        </w:rPr>
        <w:t>29 FCC Rcd 6567</w:t>
      </w:r>
      <w:r w:rsidRPr="003E12A8" w:rsidR="004A7719">
        <w:rPr>
          <w:b w:val="0"/>
          <w:sz w:val="20"/>
        </w:rPr>
        <w:t>, 6706</w:t>
      </w:r>
      <w:r w:rsidRPr="003E12A8" w:rsidR="00FF6950">
        <w:rPr>
          <w:b w:val="0"/>
          <w:sz w:val="20"/>
        </w:rPr>
        <w:t>,</w:t>
      </w:r>
      <w:r w:rsidRPr="003E12A8" w:rsidR="004A7719">
        <w:rPr>
          <w:b w:val="0"/>
          <w:sz w:val="20"/>
        </w:rPr>
        <w:t xml:space="preserve"> para. 319</w:t>
      </w:r>
      <w:r w:rsidRPr="003E12A8" w:rsidR="002B3A27">
        <w:rPr>
          <w:b w:val="0"/>
          <w:sz w:val="20"/>
        </w:rPr>
        <w:t xml:space="preserve"> (201</w:t>
      </w:r>
      <w:r w:rsidR="00E5171E">
        <w:rPr>
          <w:b w:val="0"/>
          <w:sz w:val="20"/>
        </w:rPr>
        <w:t>4</w:t>
      </w:r>
      <w:r w:rsidRPr="003E12A8" w:rsidR="002B3A27">
        <w:rPr>
          <w:b w:val="0"/>
          <w:sz w:val="20"/>
        </w:rPr>
        <w:t>)</w:t>
      </w:r>
      <w:r w:rsidRPr="003E12A8" w:rsidR="00534C6C">
        <w:rPr>
          <w:b w:val="0"/>
          <w:sz w:val="20"/>
        </w:rPr>
        <w:t>.</w:t>
      </w:r>
      <w:r w:rsidRPr="003E12A8" w:rsidR="002B3A27">
        <w:rPr>
          <w:b w:val="0"/>
          <w:sz w:val="20"/>
        </w:rPr>
        <w:t xml:space="preserve"> </w:t>
      </w:r>
    </w:p>
  </w:footnote>
  <w:footnote w:id="13">
    <w:p w:rsidR="00873850" w:rsidRPr="003E12A8">
      <w:pPr>
        <w:pStyle w:val="FootnoteText"/>
      </w:pPr>
      <w:r w:rsidRPr="003E12A8">
        <w:rPr>
          <w:rStyle w:val="FootnoteReference"/>
        </w:rPr>
        <w:footnoteRef/>
      </w:r>
      <w:r w:rsidRPr="003E12A8">
        <w:t xml:space="preserve"> </w:t>
      </w:r>
      <w:r w:rsidRPr="003E12A8" w:rsidR="00E8008B">
        <w:rPr>
          <w:i/>
        </w:rPr>
        <w:t>NPRM</w:t>
      </w:r>
      <w:r w:rsidRPr="003E12A8" w:rsidR="006D3B6A">
        <w:t>,</w:t>
      </w:r>
      <w:r w:rsidRPr="003E12A8" w:rsidR="00F44A2E">
        <w:t xml:space="preserve"> 33 FCC Rcd at</w:t>
      </w:r>
      <w:r w:rsidRPr="003E12A8">
        <w:t xml:space="preserve"> </w:t>
      </w:r>
      <w:r w:rsidRPr="003E12A8" w:rsidR="00F44A2E">
        <w:t xml:space="preserve">3919, </w:t>
      </w:r>
      <w:r w:rsidRPr="003E12A8">
        <w:t>para. 4.</w:t>
      </w:r>
    </w:p>
  </w:footnote>
  <w:footnote w:id="14">
    <w:p w:rsidR="009E6436" w:rsidRPr="003E12A8">
      <w:pPr>
        <w:pStyle w:val="FootnoteText"/>
      </w:pPr>
      <w:r w:rsidRPr="003E12A8">
        <w:rPr>
          <w:rStyle w:val="FootnoteReference"/>
        </w:rPr>
        <w:footnoteRef/>
      </w:r>
      <w:r w:rsidRPr="003E12A8">
        <w:t xml:space="preserve"> </w:t>
      </w:r>
      <w:r w:rsidRPr="003E12A8">
        <w:rPr>
          <w:i/>
        </w:rPr>
        <w:t>Id</w:t>
      </w:r>
      <w:r w:rsidRPr="003E12A8">
        <w:t>.</w:t>
      </w:r>
    </w:p>
  </w:footnote>
  <w:footnote w:id="15">
    <w:p w:rsidR="00A46A7A" w:rsidRPr="003E12A8">
      <w:pPr>
        <w:pStyle w:val="FootnoteText"/>
      </w:pPr>
      <w:r w:rsidRPr="003E12A8">
        <w:rPr>
          <w:rStyle w:val="FootnoteReference"/>
        </w:rPr>
        <w:footnoteRef/>
      </w:r>
      <w:r w:rsidRPr="003E12A8">
        <w:t xml:space="preserve"> </w:t>
      </w:r>
      <w:r w:rsidRPr="003E12A8" w:rsidR="00296FD7">
        <w:t>CP</w:t>
      </w:r>
      <w:r w:rsidRPr="003E12A8" w:rsidR="00AD1104">
        <w:t>B</w:t>
      </w:r>
      <w:r w:rsidRPr="003E12A8" w:rsidR="00296FD7">
        <w:t>I Comment</w:t>
      </w:r>
      <w:r w:rsidRPr="003E12A8" w:rsidR="00AD1104">
        <w:t xml:space="preserve"> at 1</w:t>
      </w:r>
      <w:r w:rsidRPr="003E12A8">
        <w:t>.</w:t>
      </w:r>
    </w:p>
  </w:footnote>
  <w:footnote w:id="16">
    <w:p w:rsidR="0079591E" w:rsidRPr="003E12A8">
      <w:pPr>
        <w:pStyle w:val="FootnoteText"/>
      </w:pPr>
      <w:r w:rsidRPr="003E12A8">
        <w:rPr>
          <w:rStyle w:val="FootnoteReference"/>
        </w:rPr>
        <w:footnoteRef/>
      </w:r>
      <w:r w:rsidRPr="003E12A8" w:rsidR="00912C3B">
        <w:t xml:space="preserve"> </w:t>
      </w:r>
      <w:r w:rsidRPr="003E12A8" w:rsidR="00912C3B">
        <w:rPr>
          <w:i/>
        </w:rPr>
        <w:t>Id.</w:t>
      </w:r>
    </w:p>
  </w:footnote>
  <w:footnote w:id="17">
    <w:p w:rsidR="00775B2F" w:rsidRPr="003E12A8">
      <w:pPr>
        <w:pStyle w:val="FootnoteText"/>
      </w:pPr>
      <w:r w:rsidRPr="003E12A8">
        <w:rPr>
          <w:rStyle w:val="FootnoteReference"/>
        </w:rPr>
        <w:footnoteRef/>
      </w:r>
      <w:r w:rsidRPr="003E12A8">
        <w:t xml:space="preserve"> Opposition at 2</w:t>
      </w:r>
      <w:r w:rsidRPr="003E12A8" w:rsidR="00121486">
        <w:t xml:space="preserve">; </w:t>
      </w:r>
      <w:r w:rsidRPr="003E12A8" w:rsidR="00121486">
        <w:rPr>
          <w:i/>
        </w:rPr>
        <w:t>Media Bureau Partially Lifts the Freeze on the Filing of Petitions for Rulemaking to Change Full Power Television Stations’ Communities of License</w:t>
      </w:r>
      <w:r w:rsidRPr="003E12A8" w:rsidR="00121486">
        <w:t>, Public Notice, 33 FCC Rcd 151(MB 2018) (</w:t>
      </w:r>
      <w:r w:rsidRPr="003E12A8" w:rsidR="00AA29FB">
        <w:rPr>
          <w:i/>
        </w:rPr>
        <w:t>Public Notice</w:t>
      </w:r>
      <w:r w:rsidRPr="003E12A8" w:rsidR="00121486">
        <w:t>)</w:t>
      </w:r>
      <w:r w:rsidRPr="003E12A8" w:rsidR="00AD1104">
        <w:t xml:space="preserve"> (</w:t>
      </w:r>
      <w:r w:rsidRPr="003E12A8" w:rsidR="00121486">
        <w:t>partially lift</w:t>
      </w:r>
      <w:r w:rsidRPr="003E12A8" w:rsidR="006D3B6A">
        <w:t>ing</w:t>
      </w:r>
      <w:r w:rsidRPr="003E12A8" w:rsidR="00121486">
        <w:t xml:space="preserve"> the freeze on the filing of community of license changes that do not involve changes</w:t>
      </w:r>
      <w:r w:rsidRPr="003E12A8" w:rsidR="006D3B6A">
        <w:t xml:space="preserve"> to a station’s technical facilities</w:t>
      </w:r>
      <w:r w:rsidRPr="003E12A8" w:rsidR="00121486">
        <w:t>).</w:t>
      </w:r>
    </w:p>
  </w:footnote>
  <w:footnote w:id="18">
    <w:p w:rsidR="00A84D9A" w:rsidRPr="003E12A8">
      <w:pPr>
        <w:pStyle w:val="FootnoteText"/>
      </w:pPr>
      <w:r w:rsidRPr="003E12A8">
        <w:rPr>
          <w:rStyle w:val="FootnoteReference"/>
        </w:rPr>
        <w:footnoteRef/>
      </w:r>
      <w:r w:rsidRPr="003E12A8">
        <w:t xml:space="preserve"> </w:t>
      </w:r>
      <w:r w:rsidR="00924F7B">
        <w:t>Opposition at 2</w:t>
      </w:r>
      <w:r w:rsidRPr="003E12A8">
        <w:t xml:space="preserve">.  </w:t>
      </w:r>
      <w:r w:rsidRPr="003E12A8" w:rsidR="006D3B6A">
        <w:t>T</w:t>
      </w:r>
      <w:r w:rsidRPr="003E12A8">
        <w:t xml:space="preserve">he Commission granted </w:t>
      </w:r>
      <w:r w:rsidRPr="003E12A8" w:rsidR="006D3B6A">
        <w:t xml:space="preserve">CPBI’s </w:t>
      </w:r>
      <w:r w:rsidRPr="003E12A8">
        <w:t xml:space="preserve">application </w:t>
      </w:r>
      <w:r w:rsidRPr="003E12A8" w:rsidR="006D3B6A">
        <w:t>to</w:t>
      </w:r>
      <w:r w:rsidRPr="003E12A8">
        <w:t xml:space="preserve"> </w:t>
      </w:r>
      <w:r w:rsidRPr="003E12A8" w:rsidR="00EF2CC9">
        <w:t>modif</w:t>
      </w:r>
      <w:r w:rsidRPr="003E12A8" w:rsidR="006D3B6A">
        <w:t>y WEDW’s</w:t>
      </w:r>
      <w:r w:rsidRPr="003E12A8" w:rsidR="00A820E0">
        <w:t xml:space="preserve"> channel 21 post-auction</w:t>
      </w:r>
      <w:r w:rsidRPr="003E12A8" w:rsidR="006D3B6A">
        <w:t xml:space="preserve"> </w:t>
      </w:r>
      <w:r w:rsidRPr="003E12A8" w:rsidR="00EF2CC9">
        <w:t>construction permit on December 1, 2017</w:t>
      </w:r>
      <w:r w:rsidR="009B41DC">
        <w:t xml:space="preserve"> (December 2017 grant)</w:t>
      </w:r>
      <w:r w:rsidRPr="003E12A8" w:rsidR="00EF2CC9">
        <w:t>.</w:t>
      </w:r>
      <w:r w:rsidRPr="003E12A8" w:rsidR="00F44A2E">
        <w:t xml:space="preserve">  </w:t>
      </w:r>
      <w:r w:rsidRPr="003E12A8" w:rsidR="00EF2CC9">
        <w:rPr>
          <w:i/>
        </w:rPr>
        <w:t>See</w:t>
      </w:r>
      <w:r w:rsidRPr="003E12A8" w:rsidR="00313815">
        <w:t xml:space="preserve"> LMS</w:t>
      </w:r>
      <w:r w:rsidRPr="003E12A8" w:rsidR="00EF2CC9">
        <w:t xml:space="preserve"> File No. 000003</w:t>
      </w:r>
      <w:r w:rsidRPr="003E12A8" w:rsidR="00DE4FFD">
        <w:t>6047</w:t>
      </w:r>
      <w:r w:rsidRPr="003E12A8" w:rsidR="00EF2CC9">
        <w:t>.</w:t>
      </w:r>
    </w:p>
  </w:footnote>
  <w:footnote w:id="19">
    <w:p w:rsidR="00A83700" w:rsidRPr="003E12A8">
      <w:pPr>
        <w:pStyle w:val="FootnoteText"/>
      </w:pPr>
      <w:r w:rsidRPr="003E12A8">
        <w:rPr>
          <w:rStyle w:val="FootnoteReference"/>
        </w:rPr>
        <w:footnoteRef/>
      </w:r>
      <w:r w:rsidRPr="003E12A8">
        <w:t xml:space="preserve"> </w:t>
      </w:r>
      <w:r w:rsidR="00924F7B">
        <w:t>Opposition</w:t>
      </w:r>
      <w:r w:rsidRPr="003E12A8">
        <w:t xml:space="preserve"> at 3. </w:t>
      </w:r>
    </w:p>
  </w:footnote>
  <w:footnote w:id="20">
    <w:p w:rsidR="00A83700" w:rsidRPr="003E12A8">
      <w:pPr>
        <w:pStyle w:val="FootnoteText"/>
      </w:pPr>
      <w:r w:rsidRPr="003E12A8">
        <w:rPr>
          <w:rStyle w:val="FootnoteReference"/>
        </w:rPr>
        <w:footnoteRef/>
      </w:r>
      <w:r w:rsidRPr="003E12A8">
        <w:t xml:space="preserve"> </w:t>
      </w:r>
      <w:r w:rsidRPr="003E12A8">
        <w:rPr>
          <w:i/>
        </w:rPr>
        <w:t>Id</w:t>
      </w:r>
      <w:r w:rsidRPr="003E12A8">
        <w:t xml:space="preserve">. (citing </w:t>
      </w:r>
      <w:r w:rsidRPr="003E12A8">
        <w:rPr>
          <w:i/>
        </w:rPr>
        <w:t>West Michigan Telecasters, Inc.</w:t>
      </w:r>
      <w:r w:rsidRPr="003E12A8">
        <w:t>, Memorandum Opinion and Order, 22 FCC.2d 943 (1970)</w:t>
      </w:r>
      <w:r w:rsidRPr="003E12A8" w:rsidR="004B0457">
        <w:t>)</w:t>
      </w:r>
      <w:r w:rsidRPr="003E12A8">
        <w:t xml:space="preserve">.  PMCM also notes that the Commission “cannot even think of granting this petition under a normal 307(b) analysis.” </w:t>
      </w:r>
      <w:r w:rsidRPr="003E12A8">
        <w:rPr>
          <w:i/>
        </w:rPr>
        <w:t>Id</w:t>
      </w:r>
      <w:r w:rsidRPr="003E12A8">
        <w:t xml:space="preserve">. (citing </w:t>
      </w:r>
      <w:r w:rsidRPr="003E12A8">
        <w:rPr>
          <w:i/>
        </w:rPr>
        <w:t>Hall v. FCC</w:t>
      </w:r>
      <w:r w:rsidRPr="003E12A8">
        <w:t>, 237 F.2d 567 (D.C. Cir. 1956</w:t>
      </w:r>
      <w:r w:rsidR="00924F7B">
        <w:t>)</w:t>
      </w:r>
      <w:r w:rsidRPr="003E12A8" w:rsidR="00C2238A">
        <w:t>.</w:t>
      </w:r>
    </w:p>
  </w:footnote>
  <w:footnote w:id="21">
    <w:p w:rsidR="00697FF9" w:rsidRPr="003E12A8">
      <w:pPr>
        <w:pStyle w:val="FootnoteText"/>
      </w:pPr>
      <w:r w:rsidRPr="003E12A8">
        <w:rPr>
          <w:rStyle w:val="FootnoteReference"/>
        </w:rPr>
        <w:footnoteRef/>
      </w:r>
      <w:r w:rsidRPr="003E12A8">
        <w:t xml:space="preserve"> </w:t>
      </w:r>
      <w:r w:rsidR="00924F7B">
        <w:t>Opposition.</w:t>
      </w:r>
      <w:r w:rsidRPr="003E12A8" w:rsidR="007D01C9">
        <w:t xml:space="preserve"> at </w:t>
      </w:r>
      <w:r w:rsidRPr="003E12A8" w:rsidR="00600766">
        <w:t>5.</w:t>
      </w:r>
      <w:r w:rsidRPr="003E12A8" w:rsidR="008574B5">
        <w:t xml:space="preserve"> </w:t>
      </w:r>
    </w:p>
  </w:footnote>
  <w:footnote w:id="22">
    <w:p w:rsidR="004B0457" w:rsidRPr="003E12A8">
      <w:pPr>
        <w:pStyle w:val="FootnoteText"/>
      </w:pPr>
      <w:r w:rsidRPr="003E12A8">
        <w:rPr>
          <w:rStyle w:val="FootnoteReference"/>
        </w:rPr>
        <w:footnoteRef/>
      </w:r>
      <w:r w:rsidRPr="003E12A8">
        <w:t xml:space="preserve"> LMS File No. 0000036047.</w:t>
      </w:r>
      <w:r w:rsidRPr="003E12A8" w:rsidR="00F30A38">
        <w:t xml:space="preserve">  A distributed transmission system is a DTV station that may be authorized to operate multiple synchronized transmitters on its assigned channel to provide </w:t>
      </w:r>
      <w:r w:rsidRPr="003E12A8" w:rsidR="006F061C">
        <w:t>service</w:t>
      </w:r>
      <w:r w:rsidRPr="003E12A8" w:rsidR="00F30A38">
        <w:t xml:space="preserve"> consistent with the requirements of section 73.626(a) of the Rules.  47 CFR § 73.626(a).</w:t>
      </w:r>
      <w:r w:rsidRPr="003E12A8">
        <w:t xml:space="preserve"> </w:t>
      </w:r>
    </w:p>
  </w:footnote>
  <w:footnote w:id="23">
    <w:p w:rsidR="004B0457" w:rsidRPr="003E12A8">
      <w:pPr>
        <w:pStyle w:val="FootnoteText"/>
      </w:pPr>
      <w:r w:rsidRPr="003E12A8">
        <w:rPr>
          <w:rStyle w:val="FootnoteReference"/>
        </w:rPr>
        <w:footnoteRef/>
      </w:r>
      <w:r w:rsidRPr="003E12A8">
        <w:t xml:space="preserve"> Opposition at 5.</w:t>
      </w:r>
    </w:p>
  </w:footnote>
  <w:footnote w:id="24">
    <w:p w:rsidR="00AA29FB" w:rsidRPr="003E12A8">
      <w:pPr>
        <w:pStyle w:val="FootnoteText"/>
      </w:pPr>
      <w:r w:rsidRPr="003E12A8">
        <w:rPr>
          <w:rStyle w:val="FootnoteReference"/>
        </w:rPr>
        <w:footnoteRef/>
      </w:r>
      <w:r w:rsidRPr="003E12A8">
        <w:t xml:space="preserve"> </w:t>
      </w:r>
      <w:r w:rsidRPr="003E12A8" w:rsidR="004B0457">
        <w:rPr>
          <w:i/>
        </w:rPr>
        <w:t>Id</w:t>
      </w:r>
      <w:r w:rsidRPr="003E12A8" w:rsidR="004B0457">
        <w:t>.</w:t>
      </w:r>
      <w:r w:rsidRPr="003E12A8" w:rsidR="00600766">
        <w:rPr>
          <w:i/>
        </w:rPr>
        <w:t xml:space="preserve"> </w:t>
      </w:r>
      <w:r w:rsidRPr="003E12A8" w:rsidR="00600766">
        <w:t xml:space="preserve">(citing </w:t>
      </w:r>
      <w:r w:rsidRPr="003E12A8" w:rsidR="00600766">
        <w:rPr>
          <w:i/>
        </w:rPr>
        <w:t>Letter to MTB-Bridgeport-NY Licensee LLC</w:t>
      </w:r>
      <w:r w:rsidRPr="003E12A8" w:rsidR="00600766">
        <w:t>, Letter Order (Vid. Div. 2009) (denying MTB Bridgeport-NY Licensee LLC’s proposal to reallocate WSAH-DT’s, Bridgeport, Connecticut</w:t>
      </w:r>
      <w:r w:rsidRPr="003E12A8" w:rsidR="004B0457">
        <w:t xml:space="preserve"> – now WZME</w:t>
      </w:r>
      <w:r w:rsidR="00E5171E">
        <w:t xml:space="preserve"> -</w:t>
      </w:r>
      <w:r w:rsidRPr="003E12A8" w:rsidR="00600766">
        <w:t xml:space="preserve"> to the Empire State Building</w:t>
      </w:r>
      <w:r w:rsidRPr="003E12A8" w:rsidR="004B0457">
        <w:t>).</w:t>
      </w:r>
      <w:r w:rsidRPr="003E12A8" w:rsidR="006B7EC9">
        <w:t xml:space="preserve"> </w:t>
      </w:r>
    </w:p>
  </w:footnote>
  <w:footnote w:id="25">
    <w:p w:rsidR="00A30E34" w:rsidRPr="003E12A8">
      <w:pPr>
        <w:pStyle w:val="FootnoteText"/>
      </w:pPr>
      <w:r w:rsidRPr="003E12A8">
        <w:rPr>
          <w:rStyle w:val="FootnoteReference"/>
        </w:rPr>
        <w:footnoteRef/>
      </w:r>
      <w:r w:rsidRPr="003E12A8">
        <w:t xml:space="preserve"> </w:t>
      </w:r>
      <w:r w:rsidRPr="003E12A8" w:rsidR="004B0457">
        <w:rPr>
          <w:i/>
        </w:rPr>
        <w:t>Id</w:t>
      </w:r>
      <w:r w:rsidRPr="003E12A8" w:rsidR="004B0457">
        <w:t>.</w:t>
      </w:r>
      <w:r w:rsidRPr="003E12A8">
        <w:t xml:space="preserve"> </w:t>
      </w:r>
      <w:r w:rsidRPr="003E12A8" w:rsidR="004F7781">
        <w:t xml:space="preserve">at </w:t>
      </w:r>
      <w:r w:rsidRPr="003E12A8">
        <w:t>6.</w:t>
      </w:r>
    </w:p>
  </w:footnote>
  <w:footnote w:id="26">
    <w:p w:rsidR="002F29A8" w:rsidRPr="003E12A8">
      <w:pPr>
        <w:pStyle w:val="FootnoteText"/>
      </w:pPr>
      <w:r w:rsidRPr="003E12A8">
        <w:rPr>
          <w:rStyle w:val="FootnoteReference"/>
        </w:rPr>
        <w:footnoteRef/>
      </w:r>
      <w:r w:rsidRPr="003E12A8">
        <w:t xml:space="preserve"> </w:t>
      </w:r>
      <w:r w:rsidRPr="003E12A8">
        <w:rPr>
          <w:i/>
        </w:rPr>
        <w:t>Id</w:t>
      </w:r>
      <w:r w:rsidRPr="003E12A8">
        <w:t>. at 7.</w:t>
      </w:r>
    </w:p>
  </w:footnote>
  <w:footnote w:id="27">
    <w:p w:rsidR="00DC440B" w:rsidRPr="003E12A8">
      <w:pPr>
        <w:pStyle w:val="FootnoteText"/>
      </w:pPr>
      <w:r w:rsidRPr="003E12A8">
        <w:rPr>
          <w:rStyle w:val="FootnoteReference"/>
        </w:rPr>
        <w:footnoteRef/>
      </w:r>
      <w:r w:rsidRPr="003E12A8">
        <w:t xml:space="preserve"> Reply at 2. </w:t>
      </w:r>
    </w:p>
  </w:footnote>
  <w:footnote w:id="28">
    <w:p w:rsidR="00DC440B" w:rsidRPr="003E12A8">
      <w:pPr>
        <w:pStyle w:val="FootnoteText"/>
      </w:pPr>
      <w:r w:rsidRPr="003E12A8">
        <w:rPr>
          <w:rStyle w:val="FootnoteReference"/>
        </w:rPr>
        <w:footnoteRef/>
      </w:r>
      <w:r w:rsidRPr="003E12A8">
        <w:t xml:space="preserve"> </w:t>
      </w:r>
      <w:r w:rsidRPr="003E12A8">
        <w:rPr>
          <w:i/>
        </w:rPr>
        <w:t>Id</w:t>
      </w:r>
      <w:r w:rsidRPr="003E12A8">
        <w:t>.</w:t>
      </w:r>
    </w:p>
  </w:footnote>
  <w:footnote w:id="29">
    <w:p w:rsidR="00DC440B" w:rsidRPr="003E12A8">
      <w:pPr>
        <w:pStyle w:val="FootnoteText"/>
      </w:pPr>
      <w:r w:rsidRPr="003E12A8">
        <w:rPr>
          <w:rStyle w:val="FootnoteReference"/>
        </w:rPr>
        <w:footnoteRef/>
      </w:r>
      <w:r w:rsidRPr="003E12A8">
        <w:t xml:space="preserve"> </w:t>
      </w:r>
      <w:r w:rsidRPr="003E12A8">
        <w:rPr>
          <w:i/>
        </w:rPr>
        <w:t>Id</w:t>
      </w:r>
      <w:r w:rsidRPr="003E12A8">
        <w:t>.</w:t>
      </w:r>
    </w:p>
  </w:footnote>
  <w:footnote w:id="30">
    <w:p w:rsidR="00C47ECB" w:rsidRPr="003E12A8">
      <w:pPr>
        <w:pStyle w:val="FootnoteText"/>
      </w:pPr>
      <w:r w:rsidRPr="003E12A8">
        <w:rPr>
          <w:rStyle w:val="FootnoteReference"/>
        </w:rPr>
        <w:footnoteRef/>
      </w:r>
      <w:r w:rsidRPr="003E12A8">
        <w:t xml:space="preserve"> </w:t>
      </w:r>
      <w:r w:rsidRPr="003E12A8">
        <w:rPr>
          <w:i/>
        </w:rPr>
        <w:t>Public Notice</w:t>
      </w:r>
      <w:r w:rsidRPr="003E12A8">
        <w:t>, 33 FCC Rcd at 151</w:t>
      </w:r>
      <w:r w:rsidRPr="003E12A8" w:rsidR="00835858">
        <w:t xml:space="preserve"> (</w:t>
      </w:r>
      <w:r w:rsidRPr="003E12A8" w:rsidR="00835858">
        <w:rPr>
          <w:i/>
        </w:rPr>
        <w:t>emphasis added</w:t>
      </w:r>
      <w:r w:rsidRPr="003E12A8" w:rsidR="00835858">
        <w:t>)</w:t>
      </w:r>
      <w:r w:rsidRPr="003E12A8">
        <w:t>.</w:t>
      </w:r>
      <w:r w:rsidRPr="003E12A8" w:rsidR="003732BE">
        <w:t xml:space="preserve"> </w:t>
      </w:r>
      <w:r w:rsidRPr="003E12A8" w:rsidR="0090719F">
        <w:t xml:space="preserve"> </w:t>
      </w:r>
    </w:p>
  </w:footnote>
  <w:footnote w:id="31">
    <w:p w:rsidR="00FE17F2" w:rsidRPr="003E12A8">
      <w:pPr>
        <w:pStyle w:val="FootnoteText"/>
      </w:pPr>
      <w:r w:rsidRPr="003E12A8">
        <w:rPr>
          <w:rStyle w:val="FootnoteReference"/>
        </w:rPr>
        <w:footnoteRef/>
      </w:r>
      <w:r w:rsidRPr="003E12A8">
        <w:t xml:space="preserve"> </w:t>
      </w:r>
      <w:r w:rsidRPr="003E12A8" w:rsidR="008C3C4F">
        <w:rPr>
          <w:i/>
        </w:rPr>
        <w:t xml:space="preserve">See Supra </w:t>
      </w:r>
      <w:r w:rsidRPr="003E12A8" w:rsidR="008C3C4F">
        <w:t>n. 5.</w:t>
      </w:r>
    </w:p>
  </w:footnote>
  <w:footnote w:id="32">
    <w:p w:rsidR="00C02205" w:rsidRPr="003E12A8" w:rsidP="00C02205">
      <w:pPr>
        <w:pStyle w:val="FootnoteText"/>
      </w:pPr>
      <w:r w:rsidRPr="003E12A8">
        <w:rPr>
          <w:rStyle w:val="FootnoteReference"/>
        </w:rPr>
        <w:footnoteRef/>
      </w:r>
      <w:r w:rsidRPr="003E12A8">
        <w:t xml:space="preserve"> </w:t>
      </w:r>
      <w:r w:rsidR="00924F7B">
        <w:t xml:space="preserve">We disagree that </w:t>
      </w:r>
      <w:r w:rsidRPr="003E12A8">
        <w:t>WEDW</w:t>
      </w:r>
      <w:r w:rsidRPr="003E12A8" w:rsidR="00B158E9">
        <w:t>’s</w:t>
      </w:r>
      <w:r w:rsidRPr="003E12A8" w:rsidR="0071220B">
        <w:t xml:space="preserve"> move </w:t>
      </w:r>
      <w:r w:rsidRPr="003E12A8">
        <w:t>from Bridgeport to a site near Stamford, Connecticut</w:t>
      </w:r>
      <w:r w:rsidRPr="003E12A8" w:rsidR="00B158E9">
        <w:t>, pursuant to the December 2017 grant</w:t>
      </w:r>
      <w:r w:rsidR="00924F7B">
        <w:t xml:space="preserve"> of a minor modification application, is inconsistent with the public interest. In addition to WEDW, the ar</w:t>
      </w:r>
      <w:r w:rsidRPr="003E12A8" w:rsidR="00B158E9">
        <w:t xml:space="preserve">ea </w:t>
      </w:r>
      <w:r w:rsidR="00924F7B">
        <w:t xml:space="preserve">in central and southwestern Connecticut that PCMSM identified </w:t>
      </w:r>
      <w:r w:rsidRPr="003E12A8" w:rsidR="00B158E9">
        <w:t xml:space="preserve">would still </w:t>
      </w:r>
      <w:r w:rsidR="00FD471B">
        <w:t xml:space="preserve">receive service by at least one of </w:t>
      </w:r>
      <w:r w:rsidRPr="003E12A8" w:rsidR="00B158E9">
        <w:t>the following full-power broadcast television stations</w:t>
      </w:r>
      <w:r w:rsidRPr="003E12A8" w:rsidR="005A28C2">
        <w:t xml:space="preserve"> licensed to CPBI</w:t>
      </w:r>
      <w:r w:rsidRPr="003E12A8" w:rsidR="00B158E9">
        <w:t xml:space="preserve">: </w:t>
      </w:r>
      <w:r w:rsidRPr="003E12A8" w:rsidR="005A28C2">
        <w:t xml:space="preserve"> WEDH, Hartford, Connecticut (File No. BLEDT-20090618ACA); </w:t>
      </w:r>
      <w:r w:rsidRPr="003E12A8" w:rsidR="00B158E9">
        <w:t>WEDY, New Haven, Connecticut (</w:t>
      </w:r>
      <w:r w:rsidRPr="003E12A8" w:rsidR="005A28C2">
        <w:t xml:space="preserve">File No. 0000001041); and WEDN, Norwich, Connecticut (File No. BLED-20090618ACB). </w:t>
      </w:r>
    </w:p>
  </w:footnote>
  <w:footnote w:id="33">
    <w:p w:rsidR="004A55C0">
      <w:pPr>
        <w:pStyle w:val="FootnoteText"/>
      </w:pPr>
      <w:r>
        <w:rPr>
          <w:rStyle w:val="FootnoteReference"/>
        </w:rPr>
        <w:footnoteRef/>
      </w:r>
      <w:r>
        <w:t xml:space="preserve"> Opposition at 6.</w:t>
      </w:r>
    </w:p>
  </w:footnote>
  <w:footnote w:id="34">
    <w:p w:rsidR="00B925E1" w:rsidRPr="003E12A8">
      <w:pPr>
        <w:pStyle w:val="FootnoteText"/>
      </w:pPr>
      <w:r w:rsidRPr="003E12A8">
        <w:rPr>
          <w:rStyle w:val="FootnoteReference"/>
        </w:rPr>
        <w:footnoteRef/>
      </w:r>
      <w:r w:rsidRPr="003E12A8">
        <w:t xml:space="preserve"> 47 U.S.C. §§</w:t>
      </w:r>
      <w:r w:rsidRPr="003E12A8" w:rsidR="00572FFC">
        <w:t xml:space="preserve"> 154(</w:t>
      </w:r>
      <w:r w:rsidRPr="003E12A8" w:rsidR="00572FFC">
        <w:t>i</w:t>
      </w:r>
      <w:r w:rsidRPr="003E12A8" w:rsidR="00572FFC">
        <w:t>), 155(c)</w:t>
      </w:r>
      <w:r w:rsidRPr="003E12A8" w:rsidR="00177C38">
        <w:t xml:space="preserve">(1), 303(g) and </w:t>
      </w:r>
      <w:r w:rsidRPr="003E12A8" w:rsidR="00572FFC">
        <w:t xml:space="preserve">(r), </w:t>
      </w:r>
      <w:r w:rsidRPr="003E12A8" w:rsidR="00177C38">
        <w:t xml:space="preserve">and </w:t>
      </w:r>
      <w:r w:rsidRPr="003E12A8" w:rsidR="00572FFC">
        <w:t>307(b).</w:t>
      </w:r>
    </w:p>
  </w:footnote>
  <w:footnote w:id="35">
    <w:p w:rsidR="00177C38" w:rsidRPr="003E12A8">
      <w:pPr>
        <w:pStyle w:val="FootnoteText"/>
      </w:pPr>
      <w:r w:rsidRPr="003E12A8">
        <w:rPr>
          <w:rStyle w:val="FootnoteReference"/>
        </w:rPr>
        <w:footnoteRef/>
      </w:r>
      <w:r w:rsidRPr="003E12A8">
        <w:t xml:space="preserve"> 47 CFR §§ 0.61, 0.204(b), and 0.283.</w:t>
      </w:r>
    </w:p>
  </w:footnote>
  <w:footnote w:id="36">
    <w:p w:rsidR="00177C38" w:rsidRPr="003E12A8">
      <w:pPr>
        <w:pStyle w:val="FootnoteText"/>
      </w:pPr>
      <w:r w:rsidRPr="003E12A8">
        <w:rPr>
          <w:rStyle w:val="FootnoteReference"/>
        </w:rPr>
        <w:footnoteRef/>
      </w:r>
      <w:r w:rsidRPr="003E12A8">
        <w:t xml:space="preserve"> 5 U.S.C. §§ 801 </w:t>
      </w:r>
      <w:r w:rsidRPr="003E12A8">
        <w:rPr>
          <w:i/>
        </w:rPr>
        <w:t>et seq</w:t>
      </w:r>
      <w:r w:rsidRPr="003E12A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34B2">
      <w:t xml:space="preserve">DA </w:t>
    </w:r>
    <w:r w:rsidR="00B42B47">
      <w:t>1</w:t>
    </w:r>
    <w:r w:rsidR="00434C9A">
      <w:t>9-</w:t>
    </w:r>
    <w:r w:rsidR="00C83A5E">
      <w:t>264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434C9A">
      <w:t>19-</w:t>
    </w:r>
    <w:r w:rsidR="00C83A5E">
      <w:t>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F2E99"/>
    <w:multiLevelType w:val="hybridMultilevel"/>
    <w:tmpl w:val="3510FD0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462A4EC8"/>
    <w:lvl w:ilvl="0">
      <w:start w:val="0"/>
      <w:numFmt w:val="decimal"/>
      <w:pStyle w:val="Paranum0"/>
      <w:lvlJc w:val="left"/>
    </w:lvl>
  </w:abstractNum>
  <w:abstractNum w:abstractNumId="10">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5"/>
  </w:num>
  <w:num w:numId="8">
    <w:abstractNumId w:val="7"/>
  </w:num>
  <w:num w:numId="9">
    <w:abstractNumId w:val="8"/>
  </w:num>
  <w:num w:numId="10">
    <w:abstractNumId w:val="8"/>
    <w:lvlOverride w:ilvl="0">
      <w:startOverride w:val="1"/>
    </w:lvlOverride>
  </w:num>
  <w:num w:numId="11">
    <w:abstractNumId w:val="8"/>
  </w:num>
  <w:num w:numId="12">
    <w:abstractNumId w:val="9"/>
  </w:num>
  <w:num w:numId="13">
    <w:abstractNumId w:val="8"/>
    <w:lvlOverride w:ilvl="0">
      <w:startOverride w:val="1"/>
    </w:lvlOverride>
  </w:num>
  <w:num w:numId="14">
    <w:abstractNumId w:val="8"/>
    <w:lvlOverride w:ilvl="0">
      <w:startOverride w:val="1"/>
    </w:lvlOverride>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57"/>
    <w:rsid w:val="00004E82"/>
    <w:rsid w:val="000050BB"/>
    <w:rsid w:val="0000693A"/>
    <w:rsid w:val="00010D45"/>
    <w:rsid w:val="00010FAB"/>
    <w:rsid w:val="000118D7"/>
    <w:rsid w:val="0001217D"/>
    <w:rsid w:val="00012D11"/>
    <w:rsid w:val="000138B8"/>
    <w:rsid w:val="00016DEE"/>
    <w:rsid w:val="000239C2"/>
    <w:rsid w:val="0002538E"/>
    <w:rsid w:val="00025E41"/>
    <w:rsid w:val="000306C8"/>
    <w:rsid w:val="00031DE1"/>
    <w:rsid w:val="00032308"/>
    <w:rsid w:val="00033410"/>
    <w:rsid w:val="00033A54"/>
    <w:rsid w:val="0003403B"/>
    <w:rsid w:val="00035133"/>
    <w:rsid w:val="0003601C"/>
    <w:rsid w:val="00036039"/>
    <w:rsid w:val="00036115"/>
    <w:rsid w:val="00037F90"/>
    <w:rsid w:val="000402B1"/>
    <w:rsid w:val="00041C85"/>
    <w:rsid w:val="0004278E"/>
    <w:rsid w:val="000451D8"/>
    <w:rsid w:val="00045C74"/>
    <w:rsid w:val="00047952"/>
    <w:rsid w:val="00047F47"/>
    <w:rsid w:val="000508A5"/>
    <w:rsid w:val="00050A9D"/>
    <w:rsid w:val="000525F5"/>
    <w:rsid w:val="0005460E"/>
    <w:rsid w:val="00056282"/>
    <w:rsid w:val="00062988"/>
    <w:rsid w:val="000636BB"/>
    <w:rsid w:val="00064F8A"/>
    <w:rsid w:val="0006510E"/>
    <w:rsid w:val="00065D6E"/>
    <w:rsid w:val="000704AF"/>
    <w:rsid w:val="00072368"/>
    <w:rsid w:val="0007270F"/>
    <w:rsid w:val="00073B8A"/>
    <w:rsid w:val="00074192"/>
    <w:rsid w:val="000768FD"/>
    <w:rsid w:val="0008105A"/>
    <w:rsid w:val="00082BB8"/>
    <w:rsid w:val="00087084"/>
    <w:rsid w:val="000875A5"/>
    <w:rsid w:val="000875BF"/>
    <w:rsid w:val="0009026C"/>
    <w:rsid w:val="0009147B"/>
    <w:rsid w:val="00093FAF"/>
    <w:rsid w:val="0009457D"/>
    <w:rsid w:val="000955F4"/>
    <w:rsid w:val="00096D8C"/>
    <w:rsid w:val="000A0099"/>
    <w:rsid w:val="000A0131"/>
    <w:rsid w:val="000A0623"/>
    <w:rsid w:val="000A154A"/>
    <w:rsid w:val="000A5648"/>
    <w:rsid w:val="000A5B7C"/>
    <w:rsid w:val="000A6720"/>
    <w:rsid w:val="000B2754"/>
    <w:rsid w:val="000B3E34"/>
    <w:rsid w:val="000B5936"/>
    <w:rsid w:val="000B5B62"/>
    <w:rsid w:val="000B74EA"/>
    <w:rsid w:val="000C0A47"/>
    <w:rsid w:val="000C0B65"/>
    <w:rsid w:val="000C14BF"/>
    <w:rsid w:val="000C6BBE"/>
    <w:rsid w:val="000D2074"/>
    <w:rsid w:val="000D509C"/>
    <w:rsid w:val="000E05FE"/>
    <w:rsid w:val="000E2D19"/>
    <w:rsid w:val="000E3CB9"/>
    <w:rsid w:val="000E3D42"/>
    <w:rsid w:val="000E501B"/>
    <w:rsid w:val="000E51CA"/>
    <w:rsid w:val="000F3D99"/>
    <w:rsid w:val="000F4418"/>
    <w:rsid w:val="000F497C"/>
    <w:rsid w:val="000F4E0F"/>
    <w:rsid w:val="000F73DD"/>
    <w:rsid w:val="000F7CD2"/>
    <w:rsid w:val="001021CC"/>
    <w:rsid w:val="00105057"/>
    <w:rsid w:val="00105362"/>
    <w:rsid w:val="00106294"/>
    <w:rsid w:val="00111429"/>
    <w:rsid w:val="00114231"/>
    <w:rsid w:val="00115C5E"/>
    <w:rsid w:val="00116909"/>
    <w:rsid w:val="00117C6B"/>
    <w:rsid w:val="00120DD9"/>
    <w:rsid w:val="00121486"/>
    <w:rsid w:val="00122BD5"/>
    <w:rsid w:val="001230D1"/>
    <w:rsid w:val="00125EF0"/>
    <w:rsid w:val="00126760"/>
    <w:rsid w:val="00126C33"/>
    <w:rsid w:val="00130102"/>
    <w:rsid w:val="00130AA2"/>
    <w:rsid w:val="00132497"/>
    <w:rsid w:val="00132588"/>
    <w:rsid w:val="00133461"/>
    <w:rsid w:val="00133F79"/>
    <w:rsid w:val="001349BA"/>
    <w:rsid w:val="00135AF8"/>
    <w:rsid w:val="00135FCB"/>
    <w:rsid w:val="001364E3"/>
    <w:rsid w:val="00144B55"/>
    <w:rsid w:val="0014592D"/>
    <w:rsid w:val="00145CEB"/>
    <w:rsid w:val="0015058D"/>
    <w:rsid w:val="00150EB3"/>
    <w:rsid w:val="00151B98"/>
    <w:rsid w:val="00154E25"/>
    <w:rsid w:val="00156B25"/>
    <w:rsid w:val="00157B3F"/>
    <w:rsid w:val="00161DF8"/>
    <w:rsid w:val="001627E1"/>
    <w:rsid w:val="00163428"/>
    <w:rsid w:val="00165436"/>
    <w:rsid w:val="00165EA0"/>
    <w:rsid w:val="00166DE3"/>
    <w:rsid w:val="00171B24"/>
    <w:rsid w:val="00173A3E"/>
    <w:rsid w:val="00177C38"/>
    <w:rsid w:val="00180F7C"/>
    <w:rsid w:val="0018191D"/>
    <w:rsid w:val="00185375"/>
    <w:rsid w:val="00186CB6"/>
    <w:rsid w:val="00187184"/>
    <w:rsid w:val="001929F8"/>
    <w:rsid w:val="001947B7"/>
    <w:rsid w:val="00194A66"/>
    <w:rsid w:val="00197AC4"/>
    <w:rsid w:val="001A0A6D"/>
    <w:rsid w:val="001A44F5"/>
    <w:rsid w:val="001A55B6"/>
    <w:rsid w:val="001A670D"/>
    <w:rsid w:val="001A6B07"/>
    <w:rsid w:val="001B1699"/>
    <w:rsid w:val="001B2B68"/>
    <w:rsid w:val="001B483D"/>
    <w:rsid w:val="001B4D5D"/>
    <w:rsid w:val="001B63AE"/>
    <w:rsid w:val="001B7024"/>
    <w:rsid w:val="001C120E"/>
    <w:rsid w:val="001C4DF8"/>
    <w:rsid w:val="001C52C1"/>
    <w:rsid w:val="001C5898"/>
    <w:rsid w:val="001D0428"/>
    <w:rsid w:val="001D0802"/>
    <w:rsid w:val="001D1734"/>
    <w:rsid w:val="001D35B8"/>
    <w:rsid w:val="001D3CCD"/>
    <w:rsid w:val="001D55B5"/>
    <w:rsid w:val="001D5631"/>
    <w:rsid w:val="001D601F"/>
    <w:rsid w:val="001D6BCF"/>
    <w:rsid w:val="001E0155"/>
    <w:rsid w:val="001E01CA"/>
    <w:rsid w:val="001E087C"/>
    <w:rsid w:val="001E202E"/>
    <w:rsid w:val="001E26E4"/>
    <w:rsid w:val="001F14D7"/>
    <w:rsid w:val="0020281D"/>
    <w:rsid w:val="00202855"/>
    <w:rsid w:val="00204BF3"/>
    <w:rsid w:val="0020686D"/>
    <w:rsid w:val="0020762A"/>
    <w:rsid w:val="002107CD"/>
    <w:rsid w:val="00213726"/>
    <w:rsid w:val="0021438C"/>
    <w:rsid w:val="00221348"/>
    <w:rsid w:val="002228A1"/>
    <w:rsid w:val="00224B08"/>
    <w:rsid w:val="00226D0F"/>
    <w:rsid w:val="00227E60"/>
    <w:rsid w:val="00232481"/>
    <w:rsid w:val="00234436"/>
    <w:rsid w:val="00236EA4"/>
    <w:rsid w:val="00237905"/>
    <w:rsid w:val="00237E6C"/>
    <w:rsid w:val="00242466"/>
    <w:rsid w:val="002427BA"/>
    <w:rsid w:val="0025144F"/>
    <w:rsid w:val="00252E68"/>
    <w:rsid w:val="00253104"/>
    <w:rsid w:val="002545CD"/>
    <w:rsid w:val="0025516A"/>
    <w:rsid w:val="0025742E"/>
    <w:rsid w:val="0026276A"/>
    <w:rsid w:val="00264939"/>
    <w:rsid w:val="002666A9"/>
    <w:rsid w:val="00267044"/>
    <w:rsid w:val="002705D0"/>
    <w:rsid w:val="00270DC2"/>
    <w:rsid w:val="00272BF0"/>
    <w:rsid w:val="00275CF5"/>
    <w:rsid w:val="00280048"/>
    <w:rsid w:val="002801D6"/>
    <w:rsid w:val="00280596"/>
    <w:rsid w:val="0028157D"/>
    <w:rsid w:val="00282E92"/>
    <w:rsid w:val="0028301F"/>
    <w:rsid w:val="00283451"/>
    <w:rsid w:val="00285017"/>
    <w:rsid w:val="00285CAA"/>
    <w:rsid w:val="00290740"/>
    <w:rsid w:val="00291C3D"/>
    <w:rsid w:val="0029277B"/>
    <w:rsid w:val="00292880"/>
    <w:rsid w:val="00294ABC"/>
    <w:rsid w:val="00296FD7"/>
    <w:rsid w:val="002A2B92"/>
    <w:rsid w:val="002A2D2E"/>
    <w:rsid w:val="002A5D97"/>
    <w:rsid w:val="002A6865"/>
    <w:rsid w:val="002B0155"/>
    <w:rsid w:val="002B122A"/>
    <w:rsid w:val="002B18A4"/>
    <w:rsid w:val="002B2338"/>
    <w:rsid w:val="002B3A27"/>
    <w:rsid w:val="002B4F31"/>
    <w:rsid w:val="002C00E8"/>
    <w:rsid w:val="002C4364"/>
    <w:rsid w:val="002C5DC6"/>
    <w:rsid w:val="002C731E"/>
    <w:rsid w:val="002C7686"/>
    <w:rsid w:val="002C7C13"/>
    <w:rsid w:val="002D0CFA"/>
    <w:rsid w:val="002D0E63"/>
    <w:rsid w:val="002D1EFD"/>
    <w:rsid w:val="002D6B54"/>
    <w:rsid w:val="002E0171"/>
    <w:rsid w:val="002E1EAC"/>
    <w:rsid w:val="002E30CF"/>
    <w:rsid w:val="002E3561"/>
    <w:rsid w:val="002E491E"/>
    <w:rsid w:val="002E75D1"/>
    <w:rsid w:val="002F0041"/>
    <w:rsid w:val="002F29A8"/>
    <w:rsid w:val="002F2E11"/>
    <w:rsid w:val="002F3B0A"/>
    <w:rsid w:val="00302AE3"/>
    <w:rsid w:val="00302F2E"/>
    <w:rsid w:val="0030733C"/>
    <w:rsid w:val="003103D3"/>
    <w:rsid w:val="003107EF"/>
    <w:rsid w:val="00313815"/>
    <w:rsid w:val="00314765"/>
    <w:rsid w:val="00315D7D"/>
    <w:rsid w:val="0031634D"/>
    <w:rsid w:val="003169CE"/>
    <w:rsid w:val="00317281"/>
    <w:rsid w:val="003179B7"/>
    <w:rsid w:val="003220E4"/>
    <w:rsid w:val="00325CFB"/>
    <w:rsid w:val="00326680"/>
    <w:rsid w:val="003268EE"/>
    <w:rsid w:val="00330535"/>
    <w:rsid w:val="003306EE"/>
    <w:rsid w:val="00331337"/>
    <w:rsid w:val="00335E11"/>
    <w:rsid w:val="00336C14"/>
    <w:rsid w:val="00340795"/>
    <w:rsid w:val="00341124"/>
    <w:rsid w:val="00343749"/>
    <w:rsid w:val="00345118"/>
    <w:rsid w:val="0034693F"/>
    <w:rsid w:val="003522B8"/>
    <w:rsid w:val="00352BD4"/>
    <w:rsid w:val="00357FF2"/>
    <w:rsid w:val="003627AF"/>
    <w:rsid w:val="00362C78"/>
    <w:rsid w:val="00363709"/>
    <w:rsid w:val="00365F7C"/>
    <w:rsid w:val="003660ED"/>
    <w:rsid w:val="003668B1"/>
    <w:rsid w:val="00366E1B"/>
    <w:rsid w:val="003679FC"/>
    <w:rsid w:val="003732BE"/>
    <w:rsid w:val="003736EC"/>
    <w:rsid w:val="00374D46"/>
    <w:rsid w:val="00376551"/>
    <w:rsid w:val="00377F12"/>
    <w:rsid w:val="0038059B"/>
    <w:rsid w:val="00380926"/>
    <w:rsid w:val="00381256"/>
    <w:rsid w:val="00381FBF"/>
    <w:rsid w:val="00384833"/>
    <w:rsid w:val="00386516"/>
    <w:rsid w:val="00386C3A"/>
    <w:rsid w:val="00393B48"/>
    <w:rsid w:val="003941E1"/>
    <w:rsid w:val="003A067E"/>
    <w:rsid w:val="003A0FDA"/>
    <w:rsid w:val="003A3F64"/>
    <w:rsid w:val="003A5C91"/>
    <w:rsid w:val="003A7C6F"/>
    <w:rsid w:val="003B0550"/>
    <w:rsid w:val="003B57B7"/>
    <w:rsid w:val="003B6431"/>
    <w:rsid w:val="003B694F"/>
    <w:rsid w:val="003B774C"/>
    <w:rsid w:val="003B7F5E"/>
    <w:rsid w:val="003C262C"/>
    <w:rsid w:val="003C2889"/>
    <w:rsid w:val="003C3BC8"/>
    <w:rsid w:val="003C434F"/>
    <w:rsid w:val="003C4520"/>
    <w:rsid w:val="003C5358"/>
    <w:rsid w:val="003C5A1F"/>
    <w:rsid w:val="003C641A"/>
    <w:rsid w:val="003D26A2"/>
    <w:rsid w:val="003E02CB"/>
    <w:rsid w:val="003E12A8"/>
    <w:rsid w:val="003E1BED"/>
    <w:rsid w:val="003E2073"/>
    <w:rsid w:val="003E402D"/>
    <w:rsid w:val="003E7DE8"/>
    <w:rsid w:val="003F171C"/>
    <w:rsid w:val="003F2CDB"/>
    <w:rsid w:val="003F47A5"/>
    <w:rsid w:val="0040322D"/>
    <w:rsid w:val="00403FE4"/>
    <w:rsid w:val="004068A0"/>
    <w:rsid w:val="00407EFE"/>
    <w:rsid w:val="00412FC5"/>
    <w:rsid w:val="00413522"/>
    <w:rsid w:val="004140D8"/>
    <w:rsid w:val="0041468C"/>
    <w:rsid w:val="0041534D"/>
    <w:rsid w:val="00415677"/>
    <w:rsid w:val="00417026"/>
    <w:rsid w:val="00417050"/>
    <w:rsid w:val="004176DF"/>
    <w:rsid w:val="00421B20"/>
    <w:rsid w:val="00421D72"/>
    <w:rsid w:val="00422276"/>
    <w:rsid w:val="00423E2B"/>
    <w:rsid w:val="004242F1"/>
    <w:rsid w:val="00426011"/>
    <w:rsid w:val="0042656F"/>
    <w:rsid w:val="004275A5"/>
    <w:rsid w:val="00430B23"/>
    <w:rsid w:val="00431BD6"/>
    <w:rsid w:val="00433668"/>
    <w:rsid w:val="0043470F"/>
    <w:rsid w:val="00434C9A"/>
    <w:rsid w:val="004358A1"/>
    <w:rsid w:val="004366E1"/>
    <w:rsid w:val="004375C2"/>
    <w:rsid w:val="00437A2D"/>
    <w:rsid w:val="0044064E"/>
    <w:rsid w:val="00440A8F"/>
    <w:rsid w:val="00440F53"/>
    <w:rsid w:val="00441493"/>
    <w:rsid w:val="00441AD1"/>
    <w:rsid w:val="00445A00"/>
    <w:rsid w:val="004466F1"/>
    <w:rsid w:val="00451B0F"/>
    <w:rsid w:val="004534B2"/>
    <w:rsid w:val="00457DFE"/>
    <w:rsid w:val="00460344"/>
    <w:rsid w:val="00461346"/>
    <w:rsid w:val="004624EC"/>
    <w:rsid w:val="004627DE"/>
    <w:rsid w:val="00462865"/>
    <w:rsid w:val="0046423E"/>
    <w:rsid w:val="00465691"/>
    <w:rsid w:val="00465B25"/>
    <w:rsid w:val="004674DC"/>
    <w:rsid w:val="00475D9B"/>
    <w:rsid w:val="00475EC0"/>
    <w:rsid w:val="00476A84"/>
    <w:rsid w:val="004823C3"/>
    <w:rsid w:val="004874E9"/>
    <w:rsid w:val="004936F2"/>
    <w:rsid w:val="00496737"/>
    <w:rsid w:val="00496F15"/>
    <w:rsid w:val="004A048B"/>
    <w:rsid w:val="004A107D"/>
    <w:rsid w:val="004A195F"/>
    <w:rsid w:val="004A2BF9"/>
    <w:rsid w:val="004A55C0"/>
    <w:rsid w:val="004A5FCE"/>
    <w:rsid w:val="004A7719"/>
    <w:rsid w:val="004B0457"/>
    <w:rsid w:val="004B161A"/>
    <w:rsid w:val="004B1FF1"/>
    <w:rsid w:val="004B2605"/>
    <w:rsid w:val="004B50E2"/>
    <w:rsid w:val="004B5464"/>
    <w:rsid w:val="004C18E3"/>
    <w:rsid w:val="004C2EE3"/>
    <w:rsid w:val="004C2F37"/>
    <w:rsid w:val="004C51F6"/>
    <w:rsid w:val="004C7606"/>
    <w:rsid w:val="004D08A4"/>
    <w:rsid w:val="004D1AEB"/>
    <w:rsid w:val="004D1E39"/>
    <w:rsid w:val="004D3E90"/>
    <w:rsid w:val="004D6269"/>
    <w:rsid w:val="004E2A6C"/>
    <w:rsid w:val="004E4A22"/>
    <w:rsid w:val="004E4B9B"/>
    <w:rsid w:val="004E50C8"/>
    <w:rsid w:val="004E54F8"/>
    <w:rsid w:val="004E55B0"/>
    <w:rsid w:val="004E5B1F"/>
    <w:rsid w:val="004E71BA"/>
    <w:rsid w:val="004F0363"/>
    <w:rsid w:val="004F0706"/>
    <w:rsid w:val="004F0B32"/>
    <w:rsid w:val="004F2A71"/>
    <w:rsid w:val="004F3488"/>
    <w:rsid w:val="004F432E"/>
    <w:rsid w:val="004F5F2B"/>
    <w:rsid w:val="004F72C3"/>
    <w:rsid w:val="004F7781"/>
    <w:rsid w:val="004F790A"/>
    <w:rsid w:val="004F7F73"/>
    <w:rsid w:val="004F7F74"/>
    <w:rsid w:val="00500D11"/>
    <w:rsid w:val="00502F47"/>
    <w:rsid w:val="00503331"/>
    <w:rsid w:val="005040B1"/>
    <w:rsid w:val="00504CDB"/>
    <w:rsid w:val="00504F87"/>
    <w:rsid w:val="005052EA"/>
    <w:rsid w:val="00507278"/>
    <w:rsid w:val="00507D4D"/>
    <w:rsid w:val="00511968"/>
    <w:rsid w:val="005127EE"/>
    <w:rsid w:val="00512A4A"/>
    <w:rsid w:val="00513726"/>
    <w:rsid w:val="005144FD"/>
    <w:rsid w:val="00515372"/>
    <w:rsid w:val="00516A1A"/>
    <w:rsid w:val="00530230"/>
    <w:rsid w:val="00531BB2"/>
    <w:rsid w:val="00533C5C"/>
    <w:rsid w:val="00534C6C"/>
    <w:rsid w:val="00534CFF"/>
    <w:rsid w:val="0054292D"/>
    <w:rsid w:val="0054295D"/>
    <w:rsid w:val="00542D07"/>
    <w:rsid w:val="00543ED0"/>
    <w:rsid w:val="005442FD"/>
    <w:rsid w:val="005448B8"/>
    <w:rsid w:val="00547D07"/>
    <w:rsid w:val="0055004C"/>
    <w:rsid w:val="005504A0"/>
    <w:rsid w:val="0055086F"/>
    <w:rsid w:val="00550A38"/>
    <w:rsid w:val="0055150B"/>
    <w:rsid w:val="005517BB"/>
    <w:rsid w:val="00552577"/>
    <w:rsid w:val="0055614C"/>
    <w:rsid w:val="00556F11"/>
    <w:rsid w:val="005632E0"/>
    <w:rsid w:val="005639FD"/>
    <w:rsid w:val="00563E06"/>
    <w:rsid w:val="00565EE5"/>
    <w:rsid w:val="00570D70"/>
    <w:rsid w:val="005727EA"/>
    <w:rsid w:val="00572FFC"/>
    <w:rsid w:val="00580A35"/>
    <w:rsid w:val="00580E19"/>
    <w:rsid w:val="00580E82"/>
    <w:rsid w:val="005868D4"/>
    <w:rsid w:val="00591646"/>
    <w:rsid w:val="00592034"/>
    <w:rsid w:val="005942EA"/>
    <w:rsid w:val="00594AFB"/>
    <w:rsid w:val="00594CFD"/>
    <w:rsid w:val="00597B3C"/>
    <w:rsid w:val="00597BC9"/>
    <w:rsid w:val="005A28C2"/>
    <w:rsid w:val="005A3409"/>
    <w:rsid w:val="005A53E1"/>
    <w:rsid w:val="005B1DAB"/>
    <w:rsid w:val="005B2C5D"/>
    <w:rsid w:val="005C5D84"/>
    <w:rsid w:val="005C69DE"/>
    <w:rsid w:val="005C6BAE"/>
    <w:rsid w:val="005C776D"/>
    <w:rsid w:val="005D019E"/>
    <w:rsid w:val="005D0AAE"/>
    <w:rsid w:val="005D14A6"/>
    <w:rsid w:val="005D3374"/>
    <w:rsid w:val="005D3787"/>
    <w:rsid w:val="005D5EF3"/>
    <w:rsid w:val="005D70DB"/>
    <w:rsid w:val="005D71EF"/>
    <w:rsid w:val="005D796A"/>
    <w:rsid w:val="005E14C2"/>
    <w:rsid w:val="005E1F53"/>
    <w:rsid w:val="005E226C"/>
    <w:rsid w:val="005E270E"/>
    <w:rsid w:val="005E3B17"/>
    <w:rsid w:val="005E47D2"/>
    <w:rsid w:val="005E4D14"/>
    <w:rsid w:val="005E5893"/>
    <w:rsid w:val="005E5A34"/>
    <w:rsid w:val="005E73E0"/>
    <w:rsid w:val="005F023D"/>
    <w:rsid w:val="005F0CF0"/>
    <w:rsid w:val="005F0F99"/>
    <w:rsid w:val="005F1AC8"/>
    <w:rsid w:val="005F2358"/>
    <w:rsid w:val="005F36E6"/>
    <w:rsid w:val="005F3970"/>
    <w:rsid w:val="005F4BC0"/>
    <w:rsid w:val="00600766"/>
    <w:rsid w:val="006018F8"/>
    <w:rsid w:val="00602495"/>
    <w:rsid w:val="00602DC6"/>
    <w:rsid w:val="00604891"/>
    <w:rsid w:val="00607BA5"/>
    <w:rsid w:val="00610ED2"/>
    <w:rsid w:val="0061180A"/>
    <w:rsid w:val="00612D04"/>
    <w:rsid w:val="00614C2E"/>
    <w:rsid w:val="00620852"/>
    <w:rsid w:val="0062356B"/>
    <w:rsid w:val="0062360B"/>
    <w:rsid w:val="00624660"/>
    <w:rsid w:val="006259A3"/>
    <w:rsid w:val="00626EB6"/>
    <w:rsid w:val="006300B9"/>
    <w:rsid w:val="006310E5"/>
    <w:rsid w:val="00631BF7"/>
    <w:rsid w:val="00634457"/>
    <w:rsid w:val="00637B8F"/>
    <w:rsid w:val="00640336"/>
    <w:rsid w:val="006407ED"/>
    <w:rsid w:val="00640B5C"/>
    <w:rsid w:val="0065028B"/>
    <w:rsid w:val="006512E8"/>
    <w:rsid w:val="006518DB"/>
    <w:rsid w:val="006521E8"/>
    <w:rsid w:val="0065384E"/>
    <w:rsid w:val="00655D03"/>
    <w:rsid w:val="006611BA"/>
    <w:rsid w:val="00662B95"/>
    <w:rsid w:val="00666050"/>
    <w:rsid w:val="00666810"/>
    <w:rsid w:val="006668DA"/>
    <w:rsid w:val="00666FFC"/>
    <w:rsid w:val="006676BD"/>
    <w:rsid w:val="00667FB4"/>
    <w:rsid w:val="00670CA9"/>
    <w:rsid w:val="00671F04"/>
    <w:rsid w:val="00671FBA"/>
    <w:rsid w:val="00673866"/>
    <w:rsid w:val="00675C93"/>
    <w:rsid w:val="006822CF"/>
    <w:rsid w:val="00682EC3"/>
    <w:rsid w:val="00683388"/>
    <w:rsid w:val="00683F84"/>
    <w:rsid w:val="0068468B"/>
    <w:rsid w:val="00684BF9"/>
    <w:rsid w:val="0068723C"/>
    <w:rsid w:val="006873FB"/>
    <w:rsid w:val="00693D8E"/>
    <w:rsid w:val="0069494C"/>
    <w:rsid w:val="00696E7C"/>
    <w:rsid w:val="00697FF9"/>
    <w:rsid w:val="006A1D9F"/>
    <w:rsid w:val="006A293B"/>
    <w:rsid w:val="006A684B"/>
    <w:rsid w:val="006A6A81"/>
    <w:rsid w:val="006A6DF8"/>
    <w:rsid w:val="006A7481"/>
    <w:rsid w:val="006A7A17"/>
    <w:rsid w:val="006A7E1E"/>
    <w:rsid w:val="006B4BA7"/>
    <w:rsid w:val="006B4F67"/>
    <w:rsid w:val="006B58DB"/>
    <w:rsid w:val="006B5ED8"/>
    <w:rsid w:val="006B6A70"/>
    <w:rsid w:val="006B7EC9"/>
    <w:rsid w:val="006C681E"/>
    <w:rsid w:val="006D321A"/>
    <w:rsid w:val="006D3B6A"/>
    <w:rsid w:val="006D429C"/>
    <w:rsid w:val="006D49FB"/>
    <w:rsid w:val="006D4A4E"/>
    <w:rsid w:val="006D521E"/>
    <w:rsid w:val="006D5295"/>
    <w:rsid w:val="006D5786"/>
    <w:rsid w:val="006D5BE0"/>
    <w:rsid w:val="006D5D7C"/>
    <w:rsid w:val="006D629D"/>
    <w:rsid w:val="006E0A6F"/>
    <w:rsid w:val="006E10D4"/>
    <w:rsid w:val="006E1F53"/>
    <w:rsid w:val="006E2CA0"/>
    <w:rsid w:val="006E3F9D"/>
    <w:rsid w:val="006E4B32"/>
    <w:rsid w:val="006F061C"/>
    <w:rsid w:val="006F08B2"/>
    <w:rsid w:val="006F3838"/>
    <w:rsid w:val="006F61BD"/>
    <w:rsid w:val="006F7393"/>
    <w:rsid w:val="006F792B"/>
    <w:rsid w:val="00700491"/>
    <w:rsid w:val="007004D4"/>
    <w:rsid w:val="00701799"/>
    <w:rsid w:val="0070224F"/>
    <w:rsid w:val="00706D02"/>
    <w:rsid w:val="007113CB"/>
    <w:rsid w:val="007115F7"/>
    <w:rsid w:val="0071173E"/>
    <w:rsid w:val="0071220B"/>
    <w:rsid w:val="00713825"/>
    <w:rsid w:val="007144DA"/>
    <w:rsid w:val="0071630D"/>
    <w:rsid w:val="00721482"/>
    <w:rsid w:val="0072218E"/>
    <w:rsid w:val="0072791A"/>
    <w:rsid w:val="00727AC7"/>
    <w:rsid w:val="00727C12"/>
    <w:rsid w:val="007327C8"/>
    <w:rsid w:val="0073303D"/>
    <w:rsid w:val="007338C0"/>
    <w:rsid w:val="00734FB3"/>
    <w:rsid w:val="00735680"/>
    <w:rsid w:val="00736D9B"/>
    <w:rsid w:val="00736E4C"/>
    <w:rsid w:val="007371D3"/>
    <w:rsid w:val="007374DE"/>
    <w:rsid w:val="00740150"/>
    <w:rsid w:val="00742566"/>
    <w:rsid w:val="00742AA8"/>
    <w:rsid w:val="00743B8E"/>
    <w:rsid w:val="0074651F"/>
    <w:rsid w:val="00747615"/>
    <w:rsid w:val="00750441"/>
    <w:rsid w:val="00756A07"/>
    <w:rsid w:val="00757937"/>
    <w:rsid w:val="00757FA9"/>
    <w:rsid w:val="00762955"/>
    <w:rsid w:val="00762A73"/>
    <w:rsid w:val="007640DD"/>
    <w:rsid w:val="00764193"/>
    <w:rsid w:val="00764495"/>
    <w:rsid w:val="00770AD4"/>
    <w:rsid w:val="00771C8A"/>
    <w:rsid w:val="00772BA4"/>
    <w:rsid w:val="00773B59"/>
    <w:rsid w:val="00775B2F"/>
    <w:rsid w:val="00776160"/>
    <w:rsid w:val="00776921"/>
    <w:rsid w:val="00777FE0"/>
    <w:rsid w:val="007813BF"/>
    <w:rsid w:val="00782011"/>
    <w:rsid w:val="0078296F"/>
    <w:rsid w:val="00783BAD"/>
    <w:rsid w:val="00785689"/>
    <w:rsid w:val="0079037A"/>
    <w:rsid w:val="007912C3"/>
    <w:rsid w:val="007917F4"/>
    <w:rsid w:val="00791903"/>
    <w:rsid w:val="00792C74"/>
    <w:rsid w:val="00793EAC"/>
    <w:rsid w:val="00795877"/>
    <w:rsid w:val="0079591E"/>
    <w:rsid w:val="00795998"/>
    <w:rsid w:val="00796595"/>
    <w:rsid w:val="00796799"/>
    <w:rsid w:val="0079754B"/>
    <w:rsid w:val="007A170D"/>
    <w:rsid w:val="007A1E6D"/>
    <w:rsid w:val="007A36FA"/>
    <w:rsid w:val="007A434A"/>
    <w:rsid w:val="007A511D"/>
    <w:rsid w:val="007B0EB2"/>
    <w:rsid w:val="007B1900"/>
    <w:rsid w:val="007B553A"/>
    <w:rsid w:val="007C5A69"/>
    <w:rsid w:val="007D01C9"/>
    <w:rsid w:val="007D0578"/>
    <w:rsid w:val="007D10B5"/>
    <w:rsid w:val="007D37F0"/>
    <w:rsid w:val="007D5A1D"/>
    <w:rsid w:val="007D6F34"/>
    <w:rsid w:val="007D7460"/>
    <w:rsid w:val="007D7E74"/>
    <w:rsid w:val="007E0A4B"/>
    <w:rsid w:val="007E370E"/>
    <w:rsid w:val="007E6019"/>
    <w:rsid w:val="007E606D"/>
    <w:rsid w:val="007E7646"/>
    <w:rsid w:val="007E7A9F"/>
    <w:rsid w:val="007F0838"/>
    <w:rsid w:val="007F1D63"/>
    <w:rsid w:val="007F4DD6"/>
    <w:rsid w:val="007F5BC6"/>
    <w:rsid w:val="008004C2"/>
    <w:rsid w:val="00800DF1"/>
    <w:rsid w:val="00801D84"/>
    <w:rsid w:val="008068F8"/>
    <w:rsid w:val="00807A23"/>
    <w:rsid w:val="00810859"/>
    <w:rsid w:val="00810B6F"/>
    <w:rsid w:val="00811B12"/>
    <w:rsid w:val="00813BC2"/>
    <w:rsid w:val="00816070"/>
    <w:rsid w:val="008204E2"/>
    <w:rsid w:val="008210B7"/>
    <w:rsid w:val="0082292A"/>
    <w:rsid w:val="00822CE0"/>
    <w:rsid w:val="00824273"/>
    <w:rsid w:val="00824F9F"/>
    <w:rsid w:val="008325C0"/>
    <w:rsid w:val="00834033"/>
    <w:rsid w:val="00834664"/>
    <w:rsid w:val="00834829"/>
    <w:rsid w:val="008357C0"/>
    <w:rsid w:val="00835858"/>
    <w:rsid w:val="00840544"/>
    <w:rsid w:val="00840618"/>
    <w:rsid w:val="00841793"/>
    <w:rsid w:val="00841AB1"/>
    <w:rsid w:val="00844DE1"/>
    <w:rsid w:val="008451BE"/>
    <w:rsid w:val="00847AC0"/>
    <w:rsid w:val="00850D3A"/>
    <w:rsid w:val="00850DBA"/>
    <w:rsid w:val="008510E2"/>
    <w:rsid w:val="00851176"/>
    <w:rsid w:val="00853E63"/>
    <w:rsid w:val="00856666"/>
    <w:rsid w:val="008574B5"/>
    <w:rsid w:val="00862CC3"/>
    <w:rsid w:val="008645A7"/>
    <w:rsid w:val="00864CCF"/>
    <w:rsid w:val="00866C6D"/>
    <w:rsid w:val="00867A2A"/>
    <w:rsid w:val="00871F52"/>
    <w:rsid w:val="008720D6"/>
    <w:rsid w:val="00873850"/>
    <w:rsid w:val="0087394A"/>
    <w:rsid w:val="00876CBB"/>
    <w:rsid w:val="00876CF1"/>
    <w:rsid w:val="00877BC3"/>
    <w:rsid w:val="00883A6B"/>
    <w:rsid w:val="0089451B"/>
    <w:rsid w:val="00897256"/>
    <w:rsid w:val="0089735C"/>
    <w:rsid w:val="00897AB6"/>
    <w:rsid w:val="008A21E8"/>
    <w:rsid w:val="008A2850"/>
    <w:rsid w:val="008A3EC2"/>
    <w:rsid w:val="008A5C21"/>
    <w:rsid w:val="008A6E0F"/>
    <w:rsid w:val="008B2C6F"/>
    <w:rsid w:val="008B5484"/>
    <w:rsid w:val="008B74AE"/>
    <w:rsid w:val="008C26EA"/>
    <w:rsid w:val="008C3C4F"/>
    <w:rsid w:val="008C5CCD"/>
    <w:rsid w:val="008C5FDE"/>
    <w:rsid w:val="008C68F1"/>
    <w:rsid w:val="008C7408"/>
    <w:rsid w:val="008C7BC9"/>
    <w:rsid w:val="008D1444"/>
    <w:rsid w:val="008D1E02"/>
    <w:rsid w:val="008D4507"/>
    <w:rsid w:val="008E06C8"/>
    <w:rsid w:val="008E1E5D"/>
    <w:rsid w:val="008E3145"/>
    <w:rsid w:val="008E362B"/>
    <w:rsid w:val="008E4184"/>
    <w:rsid w:val="008E7E2A"/>
    <w:rsid w:val="008F02FC"/>
    <w:rsid w:val="008F0402"/>
    <w:rsid w:val="008F0EE8"/>
    <w:rsid w:val="008F1517"/>
    <w:rsid w:val="008F26B4"/>
    <w:rsid w:val="008F5F72"/>
    <w:rsid w:val="008F6CD8"/>
    <w:rsid w:val="00900DAF"/>
    <w:rsid w:val="009014C7"/>
    <w:rsid w:val="0090164F"/>
    <w:rsid w:val="00902A10"/>
    <w:rsid w:val="00902B66"/>
    <w:rsid w:val="0090719F"/>
    <w:rsid w:val="00907913"/>
    <w:rsid w:val="009118C4"/>
    <w:rsid w:val="00912C3B"/>
    <w:rsid w:val="00913C84"/>
    <w:rsid w:val="0091419E"/>
    <w:rsid w:val="009153D2"/>
    <w:rsid w:val="00920850"/>
    <w:rsid w:val="0092094D"/>
    <w:rsid w:val="0092167B"/>
    <w:rsid w:val="00921803"/>
    <w:rsid w:val="009232E9"/>
    <w:rsid w:val="00924F7B"/>
    <w:rsid w:val="00926503"/>
    <w:rsid w:val="0092663C"/>
    <w:rsid w:val="00931457"/>
    <w:rsid w:val="00931DF0"/>
    <w:rsid w:val="00931FDE"/>
    <w:rsid w:val="00932D93"/>
    <w:rsid w:val="009346C3"/>
    <w:rsid w:val="00936AA6"/>
    <w:rsid w:val="00937D1F"/>
    <w:rsid w:val="009400D0"/>
    <w:rsid w:val="00940144"/>
    <w:rsid w:val="009409CC"/>
    <w:rsid w:val="00942EA3"/>
    <w:rsid w:val="009444DA"/>
    <w:rsid w:val="00945046"/>
    <w:rsid w:val="00945E3A"/>
    <w:rsid w:val="009461C6"/>
    <w:rsid w:val="00946E3C"/>
    <w:rsid w:val="00950703"/>
    <w:rsid w:val="009531E0"/>
    <w:rsid w:val="0095489E"/>
    <w:rsid w:val="009554E1"/>
    <w:rsid w:val="00960638"/>
    <w:rsid w:val="0096073E"/>
    <w:rsid w:val="009618E5"/>
    <w:rsid w:val="009662B5"/>
    <w:rsid w:val="00966586"/>
    <w:rsid w:val="0097100D"/>
    <w:rsid w:val="009726B2"/>
    <w:rsid w:val="009726D8"/>
    <w:rsid w:val="00975A1E"/>
    <w:rsid w:val="0097677E"/>
    <w:rsid w:val="00980269"/>
    <w:rsid w:val="00980BA4"/>
    <w:rsid w:val="00984BCC"/>
    <w:rsid w:val="00985E47"/>
    <w:rsid w:val="00985F7E"/>
    <w:rsid w:val="00986EDB"/>
    <w:rsid w:val="00987B91"/>
    <w:rsid w:val="00990149"/>
    <w:rsid w:val="009902CF"/>
    <w:rsid w:val="0099056F"/>
    <w:rsid w:val="00993096"/>
    <w:rsid w:val="009979C9"/>
    <w:rsid w:val="009A1BF7"/>
    <w:rsid w:val="009A45A1"/>
    <w:rsid w:val="009B05D2"/>
    <w:rsid w:val="009B2385"/>
    <w:rsid w:val="009B2FDA"/>
    <w:rsid w:val="009B33F4"/>
    <w:rsid w:val="009B41DC"/>
    <w:rsid w:val="009B5249"/>
    <w:rsid w:val="009B585D"/>
    <w:rsid w:val="009B6152"/>
    <w:rsid w:val="009B6D5A"/>
    <w:rsid w:val="009B70FA"/>
    <w:rsid w:val="009C1C72"/>
    <w:rsid w:val="009C23C4"/>
    <w:rsid w:val="009D3208"/>
    <w:rsid w:val="009D3F8D"/>
    <w:rsid w:val="009D4DCA"/>
    <w:rsid w:val="009E0DB1"/>
    <w:rsid w:val="009E0DD1"/>
    <w:rsid w:val="009E2E69"/>
    <w:rsid w:val="009E35FD"/>
    <w:rsid w:val="009E44B7"/>
    <w:rsid w:val="009E5896"/>
    <w:rsid w:val="009E6436"/>
    <w:rsid w:val="009F4257"/>
    <w:rsid w:val="009F57AD"/>
    <w:rsid w:val="009F58D4"/>
    <w:rsid w:val="009F6BFA"/>
    <w:rsid w:val="009F76DB"/>
    <w:rsid w:val="00A02C70"/>
    <w:rsid w:val="00A0781C"/>
    <w:rsid w:val="00A13FF8"/>
    <w:rsid w:val="00A14372"/>
    <w:rsid w:val="00A16DBC"/>
    <w:rsid w:val="00A210ED"/>
    <w:rsid w:val="00A21BB6"/>
    <w:rsid w:val="00A25603"/>
    <w:rsid w:val="00A26B94"/>
    <w:rsid w:val="00A27FA8"/>
    <w:rsid w:val="00A30E34"/>
    <w:rsid w:val="00A32C3B"/>
    <w:rsid w:val="00A32F46"/>
    <w:rsid w:val="00A34022"/>
    <w:rsid w:val="00A36FA7"/>
    <w:rsid w:val="00A4004D"/>
    <w:rsid w:val="00A403FA"/>
    <w:rsid w:val="00A41D76"/>
    <w:rsid w:val="00A45F4F"/>
    <w:rsid w:val="00A46A7A"/>
    <w:rsid w:val="00A55136"/>
    <w:rsid w:val="00A55C57"/>
    <w:rsid w:val="00A56385"/>
    <w:rsid w:val="00A57E67"/>
    <w:rsid w:val="00A600A9"/>
    <w:rsid w:val="00A63B34"/>
    <w:rsid w:val="00A66114"/>
    <w:rsid w:val="00A668A6"/>
    <w:rsid w:val="00A7010F"/>
    <w:rsid w:val="00A730AE"/>
    <w:rsid w:val="00A748F1"/>
    <w:rsid w:val="00A74C58"/>
    <w:rsid w:val="00A75DF9"/>
    <w:rsid w:val="00A75FA7"/>
    <w:rsid w:val="00A7728B"/>
    <w:rsid w:val="00A77877"/>
    <w:rsid w:val="00A8054D"/>
    <w:rsid w:val="00A8203F"/>
    <w:rsid w:val="00A820E0"/>
    <w:rsid w:val="00A82728"/>
    <w:rsid w:val="00A83700"/>
    <w:rsid w:val="00A84D9A"/>
    <w:rsid w:val="00A84F24"/>
    <w:rsid w:val="00A85914"/>
    <w:rsid w:val="00A86189"/>
    <w:rsid w:val="00A86DE4"/>
    <w:rsid w:val="00A91C03"/>
    <w:rsid w:val="00A928A3"/>
    <w:rsid w:val="00A92AE2"/>
    <w:rsid w:val="00A9333F"/>
    <w:rsid w:val="00A94305"/>
    <w:rsid w:val="00A958BE"/>
    <w:rsid w:val="00AA29FB"/>
    <w:rsid w:val="00AA55B7"/>
    <w:rsid w:val="00AA5B9E"/>
    <w:rsid w:val="00AA5CC2"/>
    <w:rsid w:val="00AA6B6A"/>
    <w:rsid w:val="00AB08D5"/>
    <w:rsid w:val="00AB2407"/>
    <w:rsid w:val="00AB2E01"/>
    <w:rsid w:val="00AB4D70"/>
    <w:rsid w:val="00AB4F58"/>
    <w:rsid w:val="00AB53DF"/>
    <w:rsid w:val="00AB55E4"/>
    <w:rsid w:val="00AB75C8"/>
    <w:rsid w:val="00AB7938"/>
    <w:rsid w:val="00AC000D"/>
    <w:rsid w:val="00AC162F"/>
    <w:rsid w:val="00AC1B96"/>
    <w:rsid w:val="00AD1104"/>
    <w:rsid w:val="00AD1309"/>
    <w:rsid w:val="00AD3F16"/>
    <w:rsid w:val="00AD45C6"/>
    <w:rsid w:val="00AD6F8B"/>
    <w:rsid w:val="00AD74ED"/>
    <w:rsid w:val="00AD7FF5"/>
    <w:rsid w:val="00AE0940"/>
    <w:rsid w:val="00AE0FA6"/>
    <w:rsid w:val="00AE1085"/>
    <w:rsid w:val="00AE2D32"/>
    <w:rsid w:val="00AE4483"/>
    <w:rsid w:val="00AE493D"/>
    <w:rsid w:val="00AE7B0E"/>
    <w:rsid w:val="00AF0869"/>
    <w:rsid w:val="00AF0A74"/>
    <w:rsid w:val="00AF0D37"/>
    <w:rsid w:val="00AF299E"/>
    <w:rsid w:val="00AF503B"/>
    <w:rsid w:val="00AF549D"/>
    <w:rsid w:val="00AF5A10"/>
    <w:rsid w:val="00AF7FFC"/>
    <w:rsid w:val="00B00F70"/>
    <w:rsid w:val="00B07E5C"/>
    <w:rsid w:val="00B1119B"/>
    <w:rsid w:val="00B1303A"/>
    <w:rsid w:val="00B1515D"/>
    <w:rsid w:val="00B158E9"/>
    <w:rsid w:val="00B1783B"/>
    <w:rsid w:val="00B21037"/>
    <w:rsid w:val="00B2159A"/>
    <w:rsid w:val="00B227D6"/>
    <w:rsid w:val="00B22ECF"/>
    <w:rsid w:val="00B236F2"/>
    <w:rsid w:val="00B2379C"/>
    <w:rsid w:val="00B3031B"/>
    <w:rsid w:val="00B309E2"/>
    <w:rsid w:val="00B3622A"/>
    <w:rsid w:val="00B378FD"/>
    <w:rsid w:val="00B404FC"/>
    <w:rsid w:val="00B408C3"/>
    <w:rsid w:val="00B42B47"/>
    <w:rsid w:val="00B4487F"/>
    <w:rsid w:val="00B47F01"/>
    <w:rsid w:val="00B507F1"/>
    <w:rsid w:val="00B50951"/>
    <w:rsid w:val="00B52C7E"/>
    <w:rsid w:val="00B53C1C"/>
    <w:rsid w:val="00B53FFF"/>
    <w:rsid w:val="00B548ED"/>
    <w:rsid w:val="00B57082"/>
    <w:rsid w:val="00B619FA"/>
    <w:rsid w:val="00B63499"/>
    <w:rsid w:val="00B635CE"/>
    <w:rsid w:val="00B717BC"/>
    <w:rsid w:val="00B71C1A"/>
    <w:rsid w:val="00B7278B"/>
    <w:rsid w:val="00B733BE"/>
    <w:rsid w:val="00B76230"/>
    <w:rsid w:val="00B80055"/>
    <w:rsid w:val="00B811F7"/>
    <w:rsid w:val="00B819BE"/>
    <w:rsid w:val="00B826B7"/>
    <w:rsid w:val="00B87078"/>
    <w:rsid w:val="00B87A8E"/>
    <w:rsid w:val="00B9168E"/>
    <w:rsid w:val="00B925DE"/>
    <w:rsid w:val="00B925E1"/>
    <w:rsid w:val="00B929E7"/>
    <w:rsid w:val="00B95EF7"/>
    <w:rsid w:val="00B96176"/>
    <w:rsid w:val="00BA1A9F"/>
    <w:rsid w:val="00BA25F8"/>
    <w:rsid w:val="00BA31DE"/>
    <w:rsid w:val="00BA5DC6"/>
    <w:rsid w:val="00BA6196"/>
    <w:rsid w:val="00BA789D"/>
    <w:rsid w:val="00BB328E"/>
    <w:rsid w:val="00BC198C"/>
    <w:rsid w:val="00BC31BA"/>
    <w:rsid w:val="00BC32AA"/>
    <w:rsid w:val="00BC3CFC"/>
    <w:rsid w:val="00BC645C"/>
    <w:rsid w:val="00BC6D8C"/>
    <w:rsid w:val="00BC7BE1"/>
    <w:rsid w:val="00BD1914"/>
    <w:rsid w:val="00BD28F4"/>
    <w:rsid w:val="00BD425A"/>
    <w:rsid w:val="00BD68FD"/>
    <w:rsid w:val="00BD7C08"/>
    <w:rsid w:val="00BE2BF1"/>
    <w:rsid w:val="00BE45E7"/>
    <w:rsid w:val="00BE747C"/>
    <w:rsid w:val="00BF0D33"/>
    <w:rsid w:val="00BF1340"/>
    <w:rsid w:val="00BF2842"/>
    <w:rsid w:val="00BF3A30"/>
    <w:rsid w:val="00BF482F"/>
    <w:rsid w:val="00BF6E00"/>
    <w:rsid w:val="00C008F5"/>
    <w:rsid w:val="00C01B0B"/>
    <w:rsid w:val="00C02205"/>
    <w:rsid w:val="00C02DDB"/>
    <w:rsid w:val="00C0524F"/>
    <w:rsid w:val="00C11DBF"/>
    <w:rsid w:val="00C20738"/>
    <w:rsid w:val="00C21E29"/>
    <w:rsid w:val="00C2238A"/>
    <w:rsid w:val="00C2257C"/>
    <w:rsid w:val="00C24F8B"/>
    <w:rsid w:val="00C2553B"/>
    <w:rsid w:val="00C2620A"/>
    <w:rsid w:val="00C334F2"/>
    <w:rsid w:val="00C34006"/>
    <w:rsid w:val="00C356B6"/>
    <w:rsid w:val="00C36783"/>
    <w:rsid w:val="00C425EB"/>
    <w:rsid w:val="00C426B1"/>
    <w:rsid w:val="00C43978"/>
    <w:rsid w:val="00C44F07"/>
    <w:rsid w:val="00C4682C"/>
    <w:rsid w:val="00C47ECB"/>
    <w:rsid w:val="00C52AA9"/>
    <w:rsid w:val="00C57982"/>
    <w:rsid w:val="00C6168F"/>
    <w:rsid w:val="00C61AC5"/>
    <w:rsid w:val="00C61B3F"/>
    <w:rsid w:val="00C628BD"/>
    <w:rsid w:val="00C632B6"/>
    <w:rsid w:val="00C63CAC"/>
    <w:rsid w:val="00C644C4"/>
    <w:rsid w:val="00C65C59"/>
    <w:rsid w:val="00C66160"/>
    <w:rsid w:val="00C714AD"/>
    <w:rsid w:val="00C721AC"/>
    <w:rsid w:val="00C72F01"/>
    <w:rsid w:val="00C7372D"/>
    <w:rsid w:val="00C7377F"/>
    <w:rsid w:val="00C737A3"/>
    <w:rsid w:val="00C763C3"/>
    <w:rsid w:val="00C76715"/>
    <w:rsid w:val="00C767AE"/>
    <w:rsid w:val="00C77CE3"/>
    <w:rsid w:val="00C816F7"/>
    <w:rsid w:val="00C83A5E"/>
    <w:rsid w:val="00C87BA3"/>
    <w:rsid w:val="00C90D6A"/>
    <w:rsid w:val="00C935A7"/>
    <w:rsid w:val="00C9444C"/>
    <w:rsid w:val="00CA069E"/>
    <w:rsid w:val="00CA0FC5"/>
    <w:rsid w:val="00CA247E"/>
    <w:rsid w:val="00CA3B76"/>
    <w:rsid w:val="00CA4976"/>
    <w:rsid w:val="00CA49E6"/>
    <w:rsid w:val="00CA55E7"/>
    <w:rsid w:val="00CA5F24"/>
    <w:rsid w:val="00CB0648"/>
    <w:rsid w:val="00CB115E"/>
    <w:rsid w:val="00CB3745"/>
    <w:rsid w:val="00CB475F"/>
    <w:rsid w:val="00CB7124"/>
    <w:rsid w:val="00CC01F9"/>
    <w:rsid w:val="00CC031A"/>
    <w:rsid w:val="00CC136E"/>
    <w:rsid w:val="00CC171F"/>
    <w:rsid w:val="00CC30E2"/>
    <w:rsid w:val="00CC3FC9"/>
    <w:rsid w:val="00CC45C9"/>
    <w:rsid w:val="00CC72B6"/>
    <w:rsid w:val="00CD2994"/>
    <w:rsid w:val="00CD2A27"/>
    <w:rsid w:val="00CD2FA8"/>
    <w:rsid w:val="00CD42B0"/>
    <w:rsid w:val="00CD4F9A"/>
    <w:rsid w:val="00CD615F"/>
    <w:rsid w:val="00CE1F7C"/>
    <w:rsid w:val="00CE28F2"/>
    <w:rsid w:val="00CE360E"/>
    <w:rsid w:val="00CE3D90"/>
    <w:rsid w:val="00CE4440"/>
    <w:rsid w:val="00CE531A"/>
    <w:rsid w:val="00CE55D1"/>
    <w:rsid w:val="00CE74E4"/>
    <w:rsid w:val="00CE7EDE"/>
    <w:rsid w:val="00CF09ED"/>
    <w:rsid w:val="00CF0B5C"/>
    <w:rsid w:val="00CF19AB"/>
    <w:rsid w:val="00CF3CC5"/>
    <w:rsid w:val="00CF6C0B"/>
    <w:rsid w:val="00CF7116"/>
    <w:rsid w:val="00CF74AE"/>
    <w:rsid w:val="00CF76A1"/>
    <w:rsid w:val="00CF7ADD"/>
    <w:rsid w:val="00D0043B"/>
    <w:rsid w:val="00D0218D"/>
    <w:rsid w:val="00D04D72"/>
    <w:rsid w:val="00D05DD9"/>
    <w:rsid w:val="00D16EDD"/>
    <w:rsid w:val="00D20D1C"/>
    <w:rsid w:val="00D23350"/>
    <w:rsid w:val="00D23CFB"/>
    <w:rsid w:val="00D25FB5"/>
    <w:rsid w:val="00D26956"/>
    <w:rsid w:val="00D27033"/>
    <w:rsid w:val="00D3086F"/>
    <w:rsid w:val="00D32085"/>
    <w:rsid w:val="00D35647"/>
    <w:rsid w:val="00D36B9F"/>
    <w:rsid w:val="00D44223"/>
    <w:rsid w:val="00D461ED"/>
    <w:rsid w:val="00D50EFA"/>
    <w:rsid w:val="00D52899"/>
    <w:rsid w:val="00D55756"/>
    <w:rsid w:val="00D62B11"/>
    <w:rsid w:val="00D65BFD"/>
    <w:rsid w:val="00D669A8"/>
    <w:rsid w:val="00D70C9C"/>
    <w:rsid w:val="00D72361"/>
    <w:rsid w:val="00D74EF3"/>
    <w:rsid w:val="00D75B94"/>
    <w:rsid w:val="00D76DCE"/>
    <w:rsid w:val="00D81627"/>
    <w:rsid w:val="00D8193B"/>
    <w:rsid w:val="00D846EC"/>
    <w:rsid w:val="00D91383"/>
    <w:rsid w:val="00D9267F"/>
    <w:rsid w:val="00D92BE1"/>
    <w:rsid w:val="00D9413C"/>
    <w:rsid w:val="00D9541E"/>
    <w:rsid w:val="00D95EC9"/>
    <w:rsid w:val="00DA219E"/>
    <w:rsid w:val="00DA2529"/>
    <w:rsid w:val="00DA2911"/>
    <w:rsid w:val="00DA2C60"/>
    <w:rsid w:val="00DA4B93"/>
    <w:rsid w:val="00DA6964"/>
    <w:rsid w:val="00DB11AA"/>
    <w:rsid w:val="00DB130A"/>
    <w:rsid w:val="00DB2D18"/>
    <w:rsid w:val="00DB2EBB"/>
    <w:rsid w:val="00DB3345"/>
    <w:rsid w:val="00DB3EF7"/>
    <w:rsid w:val="00DC0346"/>
    <w:rsid w:val="00DC0B8A"/>
    <w:rsid w:val="00DC0BE7"/>
    <w:rsid w:val="00DC10A1"/>
    <w:rsid w:val="00DC17C6"/>
    <w:rsid w:val="00DC2F3A"/>
    <w:rsid w:val="00DC3D05"/>
    <w:rsid w:val="00DC440B"/>
    <w:rsid w:val="00DC64B9"/>
    <w:rsid w:val="00DC655F"/>
    <w:rsid w:val="00DC76CF"/>
    <w:rsid w:val="00DD0836"/>
    <w:rsid w:val="00DD0B59"/>
    <w:rsid w:val="00DD1759"/>
    <w:rsid w:val="00DD3249"/>
    <w:rsid w:val="00DD41C0"/>
    <w:rsid w:val="00DD4EDD"/>
    <w:rsid w:val="00DD53D9"/>
    <w:rsid w:val="00DD5496"/>
    <w:rsid w:val="00DD7EBD"/>
    <w:rsid w:val="00DE0442"/>
    <w:rsid w:val="00DE119E"/>
    <w:rsid w:val="00DE3592"/>
    <w:rsid w:val="00DE4FFD"/>
    <w:rsid w:val="00DE5E5C"/>
    <w:rsid w:val="00DE62DA"/>
    <w:rsid w:val="00DE72A7"/>
    <w:rsid w:val="00DF0996"/>
    <w:rsid w:val="00DF3050"/>
    <w:rsid w:val="00DF4A24"/>
    <w:rsid w:val="00DF62B6"/>
    <w:rsid w:val="00DF7305"/>
    <w:rsid w:val="00E00392"/>
    <w:rsid w:val="00E011BB"/>
    <w:rsid w:val="00E015CB"/>
    <w:rsid w:val="00E01FDD"/>
    <w:rsid w:val="00E02AAF"/>
    <w:rsid w:val="00E04584"/>
    <w:rsid w:val="00E06BDF"/>
    <w:rsid w:val="00E07225"/>
    <w:rsid w:val="00E07C55"/>
    <w:rsid w:val="00E13606"/>
    <w:rsid w:val="00E13B3A"/>
    <w:rsid w:val="00E15D2D"/>
    <w:rsid w:val="00E24DD4"/>
    <w:rsid w:val="00E27087"/>
    <w:rsid w:val="00E3073B"/>
    <w:rsid w:val="00E348E1"/>
    <w:rsid w:val="00E36429"/>
    <w:rsid w:val="00E43B88"/>
    <w:rsid w:val="00E43F10"/>
    <w:rsid w:val="00E46516"/>
    <w:rsid w:val="00E4684A"/>
    <w:rsid w:val="00E474DB"/>
    <w:rsid w:val="00E5079D"/>
    <w:rsid w:val="00E5171E"/>
    <w:rsid w:val="00E5314F"/>
    <w:rsid w:val="00E5409F"/>
    <w:rsid w:val="00E544C9"/>
    <w:rsid w:val="00E56415"/>
    <w:rsid w:val="00E56870"/>
    <w:rsid w:val="00E60EAA"/>
    <w:rsid w:val="00E62494"/>
    <w:rsid w:val="00E6330D"/>
    <w:rsid w:val="00E646BC"/>
    <w:rsid w:val="00E664A3"/>
    <w:rsid w:val="00E66905"/>
    <w:rsid w:val="00E71000"/>
    <w:rsid w:val="00E71E3B"/>
    <w:rsid w:val="00E75AD1"/>
    <w:rsid w:val="00E767CB"/>
    <w:rsid w:val="00E77166"/>
    <w:rsid w:val="00E8008B"/>
    <w:rsid w:val="00E81544"/>
    <w:rsid w:val="00E85EA2"/>
    <w:rsid w:val="00E875A1"/>
    <w:rsid w:val="00E90343"/>
    <w:rsid w:val="00E90ACE"/>
    <w:rsid w:val="00E92B58"/>
    <w:rsid w:val="00E945F7"/>
    <w:rsid w:val="00E95192"/>
    <w:rsid w:val="00E9647C"/>
    <w:rsid w:val="00EA1377"/>
    <w:rsid w:val="00EA366A"/>
    <w:rsid w:val="00EB061E"/>
    <w:rsid w:val="00EB0B9F"/>
    <w:rsid w:val="00EB1227"/>
    <w:rsid w:val="00EB2431"/>
    <w:rsid w:val="00EB275F"/>
    <w:rsid w:val="00EC383A"/>
    <w:rsid w:val="00EC3F75"/>
    <w:rsid w:val="00EC58A4"/>
    <w:rsid w:val="00EC680D"/>
    <w:rsid w:val="00EC6CDF"/>
    <w:rsid w:val="00ED02E5"/>
    <w:rsid w:val="00ED1283"/>
    <w:rsid w:val="00ED15B4"/>
    <w:rsid w:val="00ED5895"/>
    <w:rsid w:val="00ED63CE"/>
    <w:rsid w:val="00ED7C28"/>
    <w:rsid w:val="00EE20D4"/>
    <w:rsid w:val="00EE51A8"/>
    <w:rsid w:val="00EE6488"/>
    <w:rsid w:val="00EF0AF7"/>
    <w:rsid w:val="00EF1CD7"/>
    <w:rsid w:val="00EF26ED"/>
    <w:rsid w:val="00EF2CC9"/>
    <w:rsid w:val="00EF6EDD"/>
    <w:rsid w:val="00EF7AC0"/>
    <w:rsid w:val="00F00606"/>
    <w:rsid w:val="00F00995"/>
    <w:rsid w:val="00F021FA"/>
    <w:rsid w:val="00F034E5"/>
    <w:rsid w:val="00F04E7C"/>
    <w:rsid w:val="00F05245"/>
    <w:rsid w:val="00F0612D"/>
    <w:rsid w:val="00F121F0"/>
    <w:rsid w:val="00F2094D"/>
    <w:rsid w:val="00F222B8"/>
    <w:rsid w:val="00F25AFC"/>
    <w:rsid w:val="00F265BC"/>
    <w:rsid w:val="00F30A38"/>
    <w:rsid w:val="00F314DE"/>
    <w:rsid w:val="00F3284D"/>
    <w:rsid w:val="00F369B9"/>
    <w:rsid w:val="00F36CBE"/>
    <w:rsid w:val="00F37203"/>
    <w:rsid w:val="00F4125A"/>
    <w:rsid w:val="00F4277B"/>
    <w:rsid w:val="00F44087"/>
    <w:rsid w:val="00F4456E"/>
    <w:rsid w:val="00F4465A"/>
    <w:rsid w:val="00F44755"/>
    <w:rsid w:val="00F44A2E"/>
    <w:rsid w:val="00F46272"/>
    <w:rsid w:val="00F51566"/>
    <w:rsid w:val="00F541C1"/>
    <w:rsid w:val="00F54258"/>
    <w:rsid w:val="00F55CEC"/>
    <w:rsid w:val="00F560D9"/>
    <w:rsid w:val="00F572D5"/>
    <w:rsid w:val="00F617C8"/>
    <w:rsid w:val="00F61A6A"/>
    <w:rsid w:val="00F62E97"/>
    <w:rsid w:val="00F64209"/>
    <w:rsid w:val="00F64762"/>
    <w:rsid w:val="00F6492D"/>
    <w:rsid w:val="00F65A3D"/>
    <w:rsid w:val="00F66972"/>
    <w:rsid w:val="00F67629"/>
    <w:rsid w:val="00F706E9"/>
    <w:rsid w:val="00F72499"/>
    <w:rsid w:val="00F73844"/>
    <w:rsid w:val="00F900AA"/>
    <w:rsid w:val="00F92133"/>
    <w:rsid w:val="00F92DD1"/>
    <w:rsid w:val="00F93BF5"/>
    <w:rsid w:val="00F9412C"/>
    <w:rsid w:val="00F9667A"/>
    <w:rsid w:val="00FA2555"/>
    <w:rsid w:val="00FA419F"/>
    <w:rsid w:val="00FA6399"/>
    <w:rsid w:val="00FA65E9"/>
    <w:rsid w:val="00FA68CE"/>
    <w:rsid w:val="00FA6F20"/>
    <w:rsid w:val="00FB2FBB"/>
    <w:rsid w:val="00FB3C67"/>
    <w:rsid w:val="00FB67F0"/>
    <w:rsid w:val="00FB75D8"/>
    <w:rsid w:val="00FC0786"/>
    <w:rsid w:val="00FC3DC2"/>
    <w:rsid w:val="00FC5F01"/>
    <w:rsid w:val="00FC5FAA"/>
    <w:rsid w:val="00FC69ED"/>
    <w:rsid w:val="00FC781B"/>
    <w:rsid w:val="00FD36AC"/>
    <w:rsid w:val="00FD3946"/>
    <w:rsid w:val="00FD471B"/>
    <w:rsid w:val="00FD4BA6"/>
    <w:rsid w:val="00FD6C72"/>
    <w:rsid w:val="00FD7A6A"/>
    <w:rsid w:val="00FE0F59"/>
    <w:rsid w:val="00FE100E"/>
    <w:rsid w:val="00FE17F2"/>
    <w:rsid w:val="00FE499B"/>
    <w:rsid w:val="00FF6950"/>
    <w:rsid w:val="00FF6F15"/>
    <w:rsid w:val="00FF7D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DA"/>
    <w:pPr>
      <w:spacing w:after="160" w:line="259" w:lineRule="auto"/>
    </w:pPr>
    <w:rPr>
      <w:rFonts w:eastAsiaTheme="minorHAnsi"/>
      <w:b/>
      <w:snapToGrid w:val="0"/>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aps/>
      <w:kern w:val="28"/>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eastAsia="Times New Roman"/>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eastAsia="Times New Roman"/>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eastAsia="Times New Roman"/>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eastAsia="Times New Roman"/>
      <w:kern w:val="28"/>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eastAsia="Times New Roman"/>
      <w:kern w:val="28"/>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eastAsia="Times New Roman"/>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eastAsia="Times New Roman"/>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spacing w:after="120" w:line="240" w:lineRule="auto"/>
    </w:pPr>
    <w:rPr>
      <w:rFonts w:eastAsia="Times New Roman"/>
      <w:b w:val="0"/>
      <w:kern w:val="28"/>
    </w:rPr>
  </w:style>
  <w:style w:type="paragraph" w:styleId="EndnoteText">
    <w:name w:val="endnote text"/>
    <w:basedOn w:val="Normal"/>
    <w:semiHidden/>
    <w:pPr>
      <w:widowControl w:val="0"/>
      <w:spacing w:after="0" w:line="240" w:lineRule="auto"/>
    </w:pPr>
    <w:rPr>
      <w:rFonts w:eastAsia="Times New Roman"/>
      <w:b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eastAsia="Times New Roman"/>
      <w:b w:val="0"/>
      <w:caps/>
      <w:noProof/>
      <w:kern w:val="28"/>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eastAsia="Times New Roman"/>
      <w:b w:val="0"/>
      <w:noProof/>
      <w:kern w:val="28"/>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eastAsia="Times New Roman"/>
      <w:b w:val="0"/>
      <w:noProof/>
      <w:kern w:val="28"/>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eastAsia="Times New Roman"/>
      <w:b w:val="0"/>
      <w:noProof/>
      <w:kern w:val="28"/>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eastAsia="Times New Roman"/>
      <w:b w:val="0"/>
      <w:noProof/>
      <w:kern w:val="28"/>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eastAsia="Times New Roman"/>
      <w:b w:val="0"/>
      <w:noProof/>
      <w:kern w:val="28"/>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eastAsia="Times New Roman"/>
      <w:b w:val="0"/>
      <w:noProof/>
      <w:kern w:val="28"/>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eastAsia="Times New Roman"/>
      <w:b w:val="0"/>
      <w:noProof/>
      <w:kern w:val="28"/>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eastAsia="Times New Roman"/>
      <w:b w:val="0"/>
      <w:noProof/>
      <w:kern w:val="28"/>
    </w:rPr>
  </w:style>
  <w:style w:type="paragraph" w:styleId="TOAHeading">
    <w:name w:val="toa heading"/>
    <w:basedOn w:val="Normal"/>
    <w:next w:val="Normal"/>
    <w:semiHidden/>
    <w:pPr>
      <w:widowControl w:val="0"/>
      <w:tabs>
        <w:tab w:val="right" w:pos="9360"/>
      </w:tabs>
      <w:suppressAutoHyphens/>
      <w:spacing w:after="0" w:line="240" w:lineRule="auto"/>
    </w:pPr>
    <w:rPr>
      <w:rFonts w:eastAsia="Times New Roman"/>
      <w:b w:val="0"/>
      <w:kern w:val="28"/>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eastAsia="Times New Roman"/>
      <w:kern w:val="28"/>
    </w:rPr>
  </w:style>
  <w:style w:type="paragraph" w:styleId="Footer">
    <w:name w:val="footer"/>
    <w:basedOn w:val="Normal"/>
    <w:pPr>
      <w:widowControl w:val="0"/>
      <w:tabs>
        <w:tab w:val="center" w:pos="4320"/>
        <w:tab w:val="right" w:pos="8640"/>
      </w:tabs>
      <w:spacing w:after="0" w:line="240" w:lineRule="auto"/>
    </w:pPr>
    <w:rPr>
      <w:rFonts w:eastAsia="Times New Roman"/>
      <w:b w:val="0"/>
      <w:kern w:val="28"/>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eastAsia="Times New Roman"/>
      <w:b w:val="0"/>
      <w:kern w:val="28"/>
    </w:rPr>
  </w:style>
  <w:style w:type="paragraph" w:customStyle="1" w:styleId="Paratitle">
    <w:name w:val="Para title"/>
    <w:basedOn w:val="Normal"/>
    <w:pPr>
      <w:widowControl w:val="0"/>
      <w:tabs>
        <w:tab w:val="center" w:pos="9270"/>
      </w:tabs>
      <w:spacing w:after="240" w:line="240" w:lineRule="auto"/>
    </w:pPr>
    <w:rPr>
      <w:rFonts w:eastAsia="Times New Roman"/>
      <w:b w:val="0"/>
      <w:spacing w:val="-2"/>
      <w:kern w:val="28"/>
    </w:rPr>
  </w:style>
  <w:style w:type="paragraph" w:customStyle="1" w:styleId="Bullet">
    <w:name w:val="Bullet"/>
    <w:basedOn w:val="Normal"/>
    <w:pPr>
      <w:widowControl w:val="0"/>
      <w:tabs>
        <w:tab w:val="left" w:pos="2160"/>
      </w:tabs>
      <w:spacing w:after="220" w:line="240" w:lineRule="auto"/>
      <w:ind w:left="2160" w:hanging="720"/>
    </w:pPr>
    <w:rPr>
      <w:rFonts w:eastAsia="Times New Roman"/>
      <w:b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aps/>
      <w:spacing w:val="-2"/>
      <w:kern w:val="28"/>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Cs/>
      <w:caps/>
      <w:kern w:val="28"/>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pPr>
      <w:widowControl w:val="0"/>
      <w:spacing w:after="0" w:line="240" w:lineRule="auto"/>
    </w:pPr>
    <w:rPr>
      <w:rFonts w:ascii="Segoe UI" w:eastAsia="Times New Roman" w:hAnsi="Segoe UI" w:cs="Segoe UI"/>
      <w:b w:val="0"/>
      <w:kern w:val="28"/>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pPr>
      <w:widowControl w:val="0"/>
      <w:spacing w:after="0" w:line="240" w:lineRule="auto"/>
    </w:pPr>
    <w:rPr>
      <w:rFonts w:eastAsia="Times New Roman"/>
      <w:b w:val="0"/>
      <w:kern w:val="28"/>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character" w:customStyle="1" w:styleId="UnresolvedMention1">
    <w:name w:val="Unresolved Mention1"/>
    <w:basedOn w:val="DefaultParagraphFont"/>
    <w:uiPriority w:val="99"/>
    <w:semiHidden/>
    <w:unhideWhenUsed/>
    <w:rsid w:val="00936AA6"/>
    <w:rPr>
      <w:color w:val="808080"/>
      <w:shd w:val="clear" w:color="auto" w:fill="E6E6E6"/>
    </w:rPr>
  </w:style>
  <w:style w:type="paragraph" w:customStyle="1" w:styleId="AppNum">
    <w:name w:val="App Num"/>
    <w:basedOn w:val="Normal"/>
    <w:rsid w:val="00BF6E00"/>
    <w:pPr>
      <w:widowControl w:val="0"/>
      <w:numPr>
        <w:numId w:val="15"/>
      </w:numPr>
      <w:spacing w:after="0" w:line="240" w:lineRule="auto"/>
    </w:pPr>
    <w:rPr>
      <w:rFonts w:ascii="Courier New" w:eastAsia="Times New Roman" w:hAnsi="Courier New"/>
      <w:b w:val="0"/>
      <w:sz w:val="24"/>
    </w:rPr>
  </w:style>
  <w:style w:type="paragraph" w:styleId="BodyText">
    <w:name w:val="Body Text"/>
    <w:basedOn w:val="Normal"/>
    <w:link w:val="BodyTextChar"/>
    <w:rsid w:val="0065028B"/>
    <w:pPr>
      <w:spacing w:after="240" w:line="240" w:lineRule="auto"/>
      <w:jc w:val="both"/>
    </w:pPr>
    <w:rPr>
      <w:rFonts w:eastAsia="Times New Roman"/>
      <w:b w:val="0"/>
      <w:snapToGrid/>
    </w:rPr>
  </w:style>
  <w:style w:type="character" w:customStyle="1" w:styleId="BodyTextChar">
    <w:name w:val="Body Text Char"/>
    <w:basedOn w:val="DefaultParagraphFont"/>
    <w:link w:val="BodyText"/>
    <w:rsid w:val="0065028B"/>
    <w:rPr>
      <w:sz w:val="22"/>
    </w:rPr>
  </w:style>
  <w:style w:type="character" w:styleId="FollowedHyperlink">
    <w:name w:val="FollowedHyperlink"/>
    <w:basedOn w:val="DefaultParagraphFont"/>
    <w:semiHidden/>
    <w:unhideWhenUsed/>
    <w:rsid w:val="00D81627"/>
    <w:rPr>
      <w:color w:val="954F72" w:themeColor="followedHyperlink"/>
      <w:u w:val="single"/>
    </w:rPr>
  </w:style>
  <w:style w:type="character" w:customStyle="1" w:styleId="UnresolvedMention2">
    <w:name w:val="Unresolved Mention2"/>
    <w:basedOn w:val="DefaultParagraphFont"/>
    <w:uiPriority w:val="99"/>
    <w:semiHidden/>
    <w:unhideWhenUsed/>
    <w:rsid w:val="00D81627"/>
    <w:rPr>
      <w:color w:val="808080"/>
      <w:shd w:val="clear" w:color="auto" w:fill="E6E6E6"/>
    </w:rPr>
  </w:style>
  <w:style w:type="paragraph" w:styleId="ListParagraph">
    <w:name w:val="List Paragraph"/>
    <w:basedOn w:val="Normal"/>
    <w:uiPriority w:val="34"/>
    <w:qFormat/>
    <w:rsid w:val="00BE45E7"/>
    <w:pPr>
      <w:widowControl w:val="0"/>
      <w:spacing w:after="0" w:line="240" w:lineRule="auto"/>
      <w:ind w:left="720"/>
      <w:contextualSpacing/>
    </w:pPr>
    <w:rPr>
      <w:rFonts w:eastAsia="Times New Roman"/>
      <w:b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9192501&amp;pubNum=0004493&amp;originatingDoc=I9233453c1c0b11e6b86bd602cb8781fa&amp;refType=CA&amp;originationContext=document&amp;transitionType=DocumentItem&amp;contextData=(sc.DocLink)" TargetMode="External" /><Relationship Id="rId2" Type="http://schemas.openxmlformats.org/officeDocument/2006/relationships/hyperlink" Target="https://1.next.westlaw.com/Link/Document/FullText?findType=Y&amp;serNum=1990195134&amp;pubNum=0004493&amp;originatingDoc=I9233453c1c0b11e6b86bd602cb8781fa&amp;refType=CA&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