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462FC8" w:rsidP="00C82B6B" w14:paraId="74589186" w14:textId="2327AEEC">
      <w:pPr>
        <w:jc w:val="right"/>
        <w:rPr>
          <w:b/>
          <w:szCs w:val="22"/>
        </w:rPr>
      </w:pPr>
      <w:r w:rsidRPr="00462FC8">
        <w:rPr>
          <w:b/>
          <w:szCs w:val="22"/>
        </w:rPr>
        <w:t xml:space="preserve">DA </w:t>
      </w:r>
      <w:r w:rsidRPr="00462FC8" w:rsidR="007D7D83">
        <w:rPr>
          <w:b/>
          <w:szCs w:val="22"/>
        </w:rPr>
        <w:t>19</w:t>
      </w:r>
      <w:r w:rsidRPr="00462FC8">
        <w:rPr>
          <w:b/>
          <w:szCs w:val="22"/>
        </w:rPr>
        <w:t>-</w:t>
      </w:r>
      <w:r w:rsidR="003E6139">
        <w:rPr>
          <w:b/>
          <w:szCs w:val="22"/>
        </w:rPr>
        <w:t>273</w:t>
      </w:r>
    </w:p>
    <w:p w:rsidR="00C82B6B" w:rsidRPr="00462FC8" w:rsidP="00C82B6B" w14:paraId="04D3C662" w14:textId="1F37026C">
      <w:pPr>
        <w:spacing w:before="60"/>
        <w:jc w:val="right"/>
        <w:rPr>
          <w:b/>
          <w:szCs w:val="22"/>
        </w:rPr>
      </w:pPr>
      <w:r>
        <w:rPr>
          <w:b/>
          <w:szCs w:val="22"/>
        </w:rPr>
        <w:t>April</w:t>
      </w:r>
      <w:r w:rsidRPr="00462FC8">
        <w:rPr>
          <w:b/>
          <w:szCs w:val="22"/>
        </w:rPr>
        <w:t xml:space="preserve"> </w:t>
      </w:r>
      <w:r w:rsidR="00DE5B64">
        <w:rPr>
          <w:b/>
          <w:szCs w:val="22"/>
        </w:rPr>
        <w:t>17</w:t>
      </w:r>
      <w:r w:rsidRPr="00462FC8" w:rsidR="00C96CC6">
        <w:rPr>
          <w:b/>
          <w:szCs w:val="22"/>
        </w:rPr>
        <w:t>, 201</w:t>
      </w:r>
      <w:r w:rsidRPr="00462FC8" w:rsidR="007D7D83">
        <w:rPr>
          <w:b/>
          <w:szCs w:val="22"/>
        </w:rPr>
        <w:t>9</w:t>
      </w:r>
    </w:p>
    <w:p w:rsidR="00C82B6B" w:rsidRPr="00854B58" w:rsidP="00C82B6B" w14:paraId="4B6E4517" w14:textId="77777777">
      <w:pPr>
        <w:jc w:val="right"/>
        <w:rPr>
          <w:b/>
          <w:sz w:val="24"/>
        </w:rPr>
      </w:pPr>
    </w:p>
    <w:p w:rsidR="00C82B6B" w:rsidRPr="00462FC8" w:rsidP="00C82B6B" w14:paraId="605D52A1" w14:textId="0D207E0B">
      <w:pPr>
        <w:spacing w:after="240"/>
        <w:jc w:val="center"/>
        <w:rPr>
          <w:b/>
          <w:szCs w:val="22"/>
        </w:rPr>
      </w:pPr>
      <w:r w:rsidRPr="00462FC8">
        <w:rPr>
          <w:b/>
          <w:szCs w:val="22"/>
        </w:rPr>
        <w:t>AUCTION OF CROSS-SERVICE FM TRANSLATOR CONSTRUCTION PERMITS</w:t>
      </w:r>
      <w:r w:rsidR="00A90226">
        <w:rPr>
          <w:b/>
          <w:szCs w:val="22"/>
        </w:rPr>
        <w:t xml:space="preserve"> SCHEDULED FOR JUNE 25, 2019</w:t>
      </w:r>
    </w:p>
    <w:p w:rsidR="00C82B6B" w:rsidRPr="00462FC8" w:rsidP="00C82B6B" w14:paraId="7737CB11" w14:textId="77777777">
      <w:pPr>
        <w:spacing w:after="240"/>
        <w:jc w:val="center"/>
        <w:rPr>
          <w:b/>
          <w:szCs w:val="22"/>
        </w:rPr>
      </w:pPr>
      <w:r w:rsidRPr="00462FC8">
        <w:rPr>
          <w:b/>
          <w:szCs w:val="22"/>
        </w:rPr>
        <w:t>NOTICE AND FILING REQUIREMENTS, MINIMUM OPENING BIDS, UPFRONT PAYMENTS, AND OTHER PROCEDURES FOR AUCTION 100</w:t>
      </w:r>
    </w:p>
    <w:p w:rsidR="00C82B6B" w:rsidP="00C82B6B" w14:paraId="3276508D" w14:textId="77777777">
      <w:pPr>
        <w:jc w:val="center"/>
        <w:rPr>
          <w:b/>
          <w:sz w:val="24"/>
        </w:rPr>
      </w:pPr>
      <w:r w:rsidRPr="00462FC8">
        <w:rPr>
          <w:szCs w:val="22"/>
        </w:rPr>
        <w:t>AU Docket No. 17-329</w:t>
      </w:r>
    </w:p>
    <w:p w:rsidR="000601D0" w:rsidP="000601D0" w14:paraId="4A047BE2" w14:textId="1987B5AB">
      <w:pPr>
        <w:pStyle w:val="TOCTitle"/>
      </w:pPr>
      <w:bookmarkStart w:id="0" w:name="TOChere"/>
      <w:r>
        <w:t>Table of Contents</w:t>
      </w:r>
    </w:p>
    <w:p w:rsidR="000601D0" w:rsidP="000601D0" w14:paraId="06511FC4" w14:textId="31D54FB6">
      <w:pPr>
        <w:pStyle w:val="Paratitle"/>
      </w:pPr>
      <w:r>
        <w:t>Heading</w:t>
      </w:r>
      <w:r>
        <w:tab/>
        <w:t>Paragraph #</w:t>
      </w:r>
      <w:bookmarkStart w:id="1" w:name="start_here"/>
      <w:bookmarkEnd w:id="1"/>
    </w:p>
    <w:p w:rsidR="000601D0" w:rsidP="000601D0" w14:paraId="3636C46A" w14:textId="668FBDB6">
      <w:pPr>
        <w:pStyle w:val="TOC1"/>
        <w:tabs>
          <w:tab w:val="clear" w:pos="360"/>
          <w:tab w:val="left" w:pos="540"/>
        </w:tabs>
        <w:ind w:left="540" w:hanging="540"/>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0601D0" w:rsidP="000601D0" w14:paraId="6E19D4C5" w14:textId="035D746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0601D0" w:rsidP="000601D0" w14:paraId="70048798" w14:textId="2A4BD70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3</w:t>
      </w:r>
    </w:p>
    <w:p w:rsidR="000601D0" w:rsidP="000601D0" w14:paraId="78D2C023" w14:textId="60D4458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Construction Permits and Entities Eligible to Participate in Auction 100</w:t>
      </w:r>
      <w:r>
        <w:tab/>
        <w:t>5</w:t>
      </w:r>
    </w:p>
    <w:p w:rsidR="000601D0" w:rsidP="000601D0" w14:paraId="4821EA89" w14:textId="1F93C46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Rules and Disclaimers</w:t>
      </w:r>
      <w:r>
        <w:tab/>
        <w:t>7</w:t>
      </w:r>
    </w:p>
    <w:p w:rsidR="000601D0" w:rsidP="000601D0" w14:paraId="582F724B" w14:textId="44AEA9C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Authority</w:t>
      </w:r>
      <w:r>
        <w:tab/>
        <w:t>7</w:t>
      </w:r>
    </w:p>
    <w:p w:rsidR="000601D0" w:rsidP="000601D0" w14:paraId="2F408FFF" w14:textId="6F1D245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Prohibited Communications and Compliance with Antitrust Laws</w:t>
      </w:r>
      <w:r>
        <w:tab/>
        <w:t>9</w:t>
      </w:r>
    </w:p>
    <w:p w:rsidR="000601D0" w:rsidP="000601D0" w14:paraId="5AE100ED" w14:textId="60015A5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Subject to Section 1.2105</w:t>
      </w:r>
      <w:r>
        <w:tab/>
        <w:t>10</w:t>
      </w:r>
    </w:p>
    <w:p w:rsidR="000601D0" w:rsidP="000601D0" w14:paraId="04ED7565" w14:textId="6D70EE8F">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Scope of Prohibition on Communications; Prohibition on Joint Bidding Agreements</w:t>
      </w:r>
      <w:r>
        <w:tab/>
        <w:t>11</w:t>
      </w:r>
    </w:p>
    <w:p w:rsidR="000601D0" w:rsidP="000601D0" w14:paraId="24BD4962" w14:textId="6EBDDCAD">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Section 1.2105(c) Certification</w:t>
      </w:r>
      <w:r>
        <w:tab/>
        <w:t>14</w:t>
      </w:r>
    </w:p>
    <w:p w:rsidR="000601D0" w:rsidP="000601D0" w14:paraId="0CB4F618" w14:textId="39FFF344">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Reporting Requirements</w:t>
      </w:r>
      <w:r>
        <w:tab/>
        <w:t>15</w:t>
      </w:r>
    </w:p>
    <w:p w:rsidR="000601D0" w:rsidP="000601D0" w14:paraId="1551A0C2" w14:textId="207458D8">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Procedures for Reporting Prohibited Communications</w:t>
      </w:r>
      <w:r>
        <w:tab/>
        <w:t>16</w:t>
      </w:r>
    </w:p>
    <w:p w:rsidR="000601D0" w:rsidP="000601D0" w14:paraId="7790E221" w14:textId="4832DE4B">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Winning Bidders Must Disclose Terms of Agreements</w:t>
      </w:r>
      <w:r>
        <w:tab/>
        <w:t>18</w:t>
      </w:r>
    </w:p>
    <w:p w:rsidR="000601D0" w:rsidP="000601D0" w14:paraId="0C3FF9E9" w14:textId="28F39621">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Additional Information Concerning Rule Prohibiting Certain Communications</w:t>
      </w:r>
      <w:r>
        <w:tab/>
        <w:t>19</w:t>
      </w:r>
    </w:p>
    <w:p w:rsidR="000601D0" w:rsidP="000601D0" w14:paraId="0D63251B" w14:textId="632F5C30">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Antitrust Laws</w:t>
      </w:r>
      <w:r>
        <w:tab/>
        <w:t>20</w:t>
      </w:r>
    </w:p>
    <w:p w:rsidR="000601D0" w:rsidP="000601D0" w14:paraId="2F933EE6" w14:textId="5F87AED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Due Diligence</w:t>
      </w:r>
      <w:r>
        <w:tab/>
        <w:t>22</w:t>
      </w:r>
    </w:p>
    <w:p w:rsidR="000601D0" w:rsidP="000601D0" w14:paraId="3EE0B8F9" w14:textId="244AE80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Use of Auction Systems</w:t>
      </w:r>
      <w:r>
        <w:tab/>
        <w:t>27</w:t>
      </w:r>
    </w:p>
    <w:p w:rsidR="000601D0" w:rsidP="000601D0" w14:paraId="4E2503DE" w14:textId="141100E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Specifics</w:t>
      </w:r>
      <w:r>
        <w:tab/>
        <w:t>28</w:t>
      </w:r>
    </w:p>
    <w:p w:rsidR="000601D0" w:rsidP="000601D0" w14:paraId="7D124C90" w14:textId="3A77A84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28</w:t>
      </w:r>
    </w:p>
    <w:p w:rsidR="000601D0" w:rsidP="000601D0" w14:paraId="42102640" w14:textId="200758A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30</w:t>
      </w:r>
    </w:p>
    <w:p w:rsidR="000601D0" w:rsidP="000601D0" w14:paraId="00983B7F" w14:textId="762CDBC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 and Options</w:t>
      </w:r>
      <w:r>
        <w:tab/>
        <w:t>31</w:t>
      </w:r>
    </w:p>
    <w:p w:rsidR="000601D0" w:rsidP="000601D0" w14:paraId="6B2F2D3C" w14:textId="0BEB413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Dates and Deadlines</w:t>
      </w:r>
      <w:r>
        <w:tab/>
        <w:t>32</w:t>
      </w:r>
    </w:p>
    <w:p w:rsidR="000601D0" w:rsidP="000601D0" w14:paraId="0BE7362F" w14:textId="6FB1C2AC">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33</w:t>
      </w:r>
    </w:p>
    <w:p w:rsidR="000601D0" w:rsidP="000601D0" w14:paraId="401670EE" w14:textId="0CE19064">
      <w:pPr>
        <w:pStyle w:val="TOC1"/>
        <w:tabs>
          <w:tab w:val="clear" w:pos="360"/>
          <w:tab w:val="left" w:pos="540"/>
        </w:tabs>
        <w:ind w:left="540" w:hanging="54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Short-Form Application (FCC Form 175) Requirements</w:t>
      </w:r>
      <w:r>
        <w:tab/>
        <w:t>34</w:t>
      </w:r>
    </w:p>
    <w:p w:rsidR="000601D0" w:rsidP="000601D0" w14:paraId="37F73BB8" w14:textId="6303953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Maintaining Current Information in Short-Form Applications</w:t>
      </w:r>
      <w:r>
        <w:tab/>
        <w:t>34</w:t>
      </w:r>
    </w:p>
    <w:p w:rsidR="000601D0" w:rsidP="000601D0" w14:paraId="22BAD2D8" w14:textId="26EDCEA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Minor Modifications to Short-Form Applications</w:t>
      </w:r>
      <w:r>
        <w:tab/>
        <w:t>35</w:t>
      </w:r>
    </w:p>
    <w:p w:rsidR="000601D0" w:rsidP="000601D0" w14:paraId="74376981" w14:textId="6707348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Submission of Updates to Short-Form Applications</w:t>
      </w:r>
      <w:r>
        <w:tab/>
        <w:t>36</w:t>
      </w:r>
    </w:p>
    <w:p w:rsidR="000601D0" w:rsidP="000601D0" w14:paraId="0CD76D2E" w14:textId="04C81D0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Electronic Review of Short-Form Applications</w:t>
      </w:r>
      <w:r>
        <w:tab/>
        <w:t>41</w:t>
      </w:r>
    </w:p>
    <w:p w:rsidR="000601D0" w:rsidP="000601D0" w14:paraId="3F84462B" w14:textId="620294E3">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Provisions Regarding Former and Current Defaulters</w:t>
      </w:r>
      <w:r>
        <w:tab/>
        <w:t>42</w:t>
      </w:r>
    </w:p>
    <w:p w:rsidR="000601D0" w:rsidP="000601D0" w14:paraId="5084ABE6" w14:textId="010C3043">
      <w:pPr>
        <w:pStyle w:val="TOC1"/>
        <w:tabs>
          <w:tab w:val="clear" w:pos="360"/>
          <w:tab w:val="left" w:pos="540"/>
        </w:tabs>
        <w:ind w:left="540" w:hanging="540"/>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Preparing for Bidding</w:t>
      </w:r>
      <w:r>
        <w:tab/>
        <w:t>50</w:t>
      </w:r>
    </w:p>
    <w:p w:rsidR="000601D0" w:rsidP="000601D0" w14:paraId="0CC36CF3" w14:textId="5EACB80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Tutorial on Bidding Process – Available June 7, 2019</w:t>
      </w:r>
      <w:r>
        <w:tab/>
        <w:t>50</w:t>
      </w:r>
    </w:p>
    <w:p w:rsidR="000601D0" w:rsidP="000601D0" w14:paraId="40376A50" w14:textId="58B254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Application Processing and Correction of Deficiencies</w:t>
      </w:r>
      <w:r>
        <w:tab/>
        <w:t>53</w:t>
      </w:r>
    </w:p>
    <w:p w:rsidR="000601D0" w:rsidP="000601D0" w14:paraId="28F65635" w14:textId="6F5B25D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Upfront Payments – Due May 23, 2019</w:t>
      </w:r>
      <w:r>
        <w:tab/>
        <w:t>55</w:t>
      </w:r>
    </w:p>
    <w:p w:rsidR="000601D0" w:rsidP="000601D0" w14:paraId="0D55EC40" w14:textId="4DFF692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Deadline for Upfront Payments</w:t>
      </w:r>
      <w:r>
        <w:tab/>
        <w:t>56</w:t>
      </w:r>
    </w:p>
    <w:p w:rsidR="000601D0" w:rsidP="000601D0" w14:paraId="3455012F" w14:textId="12E62A8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Upfront Payments and Bidding Eligibility</w:t>
      </w:r>
      <w:r>
        <w:tab/>
        <w:t>57</w:t>
      </w:r>
    </w:p>
    <w:p w:rsidR="000601D0" w:rsidP="000601D0" w14:paraId="3C1B28D0" w14:textId="4978A1B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Registration</w:t>
      </w:r>
      <w:r>
        <w:tab/>
        <w:t>63</w:t>
      </w:r>
    </w:p>
    <w:p w:rsidR="000601D0" w:rsidP="000601D0" w14:paraId="78F98B00" w14:textId="79A0BEB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Remote Electronic Bidding</w:t>
      </w:r>
      <w:r>
        <w:tab/>
        <w:t>67</w:t>
      </w:r>
    </w:p>
    <w:p w:rsidR="000601D0" w:rsidP="000601D0" w14:paraId="18567E3B" w14:textId="677ABD3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Mock Auction – June 21, 2019</w:t>
      </w:r>
      <w:r>
        <w:tab/>
        <w:t>69</w:t>
      </w:r>
    </w:p>
    <w:p w:rsidR="000601D0" w:rsidP="000601D0" w14:paraId="49356165" w14:textId="79040494">
      <w:pPr>
        <w:pStyle w:val="TOC1"/>
        <w:tabs>
          <w:tab w:val="clear" w:pos="360"/>
          <w:tab w:val="left" w:pos="540"/>
        </w:tabs>
        <w:ind w:left="540" w:hanging="540"/>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Bidding</w:t>
      </w:r>
      <w:r>
        <w:tab/>
        <w:t>70</w:t>
      </w:r>
    </w:p>
    <w:p w:rsidR="000601D0" w:rsidP="000601D0" w14:paraId="1FE62FDE" w14:textId="07CC074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70</w:t>
      </w:r>
    </w:p>
    <w:p w:rsidR="000601D0" w:rsidP="000601D0" w14:paraId="5CC718C2" w14:textId="08B6CAA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w:t>
      </w:r>
      <w:r>
        <w:tab/>
        <w:t>70</w:t>
      </w:r>
    </w:p>
    <w:p w:rsidR="000601D0" w:rsidP="000601D0" w14:paraId="5D0DC4C2" w14:textId="40A0844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and Activity Rules</w:t>
      </w:r>
      <w:r>
        <w:tab/>
        <w:t>71</w:t>
      </w:r>
    </w:p>
    <w:p w:rsidR="000601D0" w:rsidP="000601D0" w14:paraId="74423119" w14:textId="3AB806C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w:t>
      </w:r>
      <w:r>
        <w:tab/>
        <w:t>75</w:t>
      </w:r>
    </w:p>
    <w:p w:rsidR="000601D0" w:rsidP="000601D0" w14:paraId="2A627821" w14:textId="015BAD5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Stopping Rule</w:t>
      </w:r>
      <w:r>
        <w:tab/>
        <w:t>80</w:t>
      </w:r>
    </w:p>
    <w:p w:rsidR="000601D0" w:rsidP="000601D0" w14:paraId="1EA76122" w14:textId="2FD71B6F">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Delay, Suspension, or Cancellation</w:t>
      </w:r>
      <w:r>
        <w:tab/>
        <w:t>83</w:t>
      </w:r>
    </w:p>
    <w:p w:rsidR="000601D0" w:rsidP="000601D0" w14:paraId="16461259" w14:textId="330011B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85</w:t>
      </w:r>
    </w:p>
    <w:p w:rsidR="000601D0" w:rsidP="000601D0" w14:paraId="193A8E44" w14:textId="3DF93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 Structure</w:t>
      </w:r>
      <w:r>
        <w:tab/>
        <w:t>85</w:t>
      </w:r>
    </w:p>
    <w:p w:rsidR="000601D0" w:rsidP="000601D0" w14:paraId="76708770" w14:textId="649EC43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Reserve Price and Minimum Opening Bids</w:t>
      </w:r>
      <w:r>
        <w:tab/>
        <w:t>87</w:t>
      </w:r>
    </w:p>
    <w:p w:rsidR="000601D0" w:rsidP="000601D0" w14:paraId="5608D17E" w14:textId="455433B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Amounts</w:t>
      </w:r>
      <w:r>
        <w:tab/>
        <w:t>91</w:t>
      </w:r>
    </w:p>
    <w:p w:rsidR="000601D0" w:rsidP="000601D0" w14:paraId="2B59A7B7" w14:textId="661CF01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Provisionally Winning Bids</w:t>
      </w:r>
      <w:r>
        <w:tab/>
        <w:t>97</w:t>
      </w:r>
    </w:p>
    <w:p w:rsidR="000601D0" w:rsidP="000601D0" w14:paraId="2983E243" w14:textId="7C8E083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Bidding</w:t>
      </w:r>
      <w:r>
        <w:tab/>
        <w:t>101</w:t>
      </w:r>
    </w:p>
    <w:p w:rsidR="000601D0" w:rsidP="000601D0" w14:paraId="438BE275" w14:textId="04D89CEF">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Removal and Bid Withdrawal</w:t>
      </w:r>
      <w:r>
        <w:tab/>
        <w:t>107</w:t>
      </w:r>
    </w:p>
    <w:p w:rsidR="000601D0" w:rsidP="000601D0" w14:paraId="687B6C3B" w14:textId="2377900F">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Round Results</w:t>
      </w:r>
      <w:r>
        <w:tab/>
        <w:t>109</w:t>
      </w:r>
    </w:p>
    <w:p w:rsidR="000601D0" w:rsidP="000601D0" w14:paraId="61F40972" w14:textId="48FD8198">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Announcements</w:t>
      </w:r>
      <w:r>
        <w:tab/>
        <w:t>111</w:t>
      </w:r>
    </w:p>
    <w:p w:rsidR="000601D0" w:rsidP="000601D0" w14:paraId="6A1B3779" w14:textId="509952B8">
      <w:pPr>
        <w:pStyle w:val="TOC1"/>
        <w:tabs>
          <w:tab w:val="clear" w:pos="360"/>
          <w:tab w:val="left" w:pos="540"/>
        </w:tabs>
        <w:ind w:left="540" w:hanging="540"/>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Post-Auction Procedures</w:t>
      </w:r>
      <w:r>
        <w:tab/>
        <w:t>112</w:t>
      </w:r>
    </w:p>
    <w:p w:rsidR="000601D0" w:rsidP="000601D0" w14:paraId="312C0DBA" w14:textId="3DA65B6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113</w:t>
      </w:r>
    </w:p>
    <w:p w:rsidR="000601D0" w:rsidP="000601D0" w14:paraId="02175A36" w14:textId="4E29D25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114</w:t>
      </w:r>
    </w:p>
    <w:p w:rsidR="000601D0" w:rsidP="000601D0" w14:paraId="54EC8196" w14:textId="38953E2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349)</w:t>
      </w:r>
      <w:r>
        <w:tab/>
        <w:t>115</w:t>
      </w:r>
    </w:p>
    <w:p w:rsidR="000601D0" w:rsidP="000601D0" w14:paraId="10344BA3" w14:textId="2AB9F7B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116</w:t>
      </w:r>
    </w:p>
    <w:p w:rsidR="000601D0" w:rsidP="000601D0" w14:paraId="41466529" w14:textId="3E994F0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119</w:t>
      </w:r>
    </w:p>
    <w:p w:rsidR="000601D0" w:rsidP="000601D0" w14:paraId="44A3B188" w14:textId="7360B9DD">
      <w:pPr>
        <w:pStyle w:val="TOC1"/>
        <w:tabs>
          <w:tab w:val="clear" w:pos="360"/>
          <w:tab w:val="left" w:pos="540"/>
        </w:tabs>
        <w:ind w:left="540" w:hanging="540"/>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121</w:t>
      </w:r>
    </w:p>
    <w:p w:rsidR="000601D0" w:rsidP="000601D0" w14:paraId="56DE8DDD" w14:textId="0D92DEE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121</w:t>
      </w:r>
    </w:p>
    <w:p w:rsidR="000601D0" w:rsidP="000601D0" w14:paraId="32F540DC" w14:textId="57973B5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122</w:t>
      </w:r>
    </w:p>
    <w:p w:rsidR="000601D0" w:rsidP="000601D0" w14:paraId="05C60F24" w14:textId="198BE0F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Final Regulatory Flexibility Analysis</w:t>
      </w:r>
      <w:r>
        <w:tab/>
        <w:t>123</w:t>
      </w:r>
    </w:p>
    <w:p w:rsidR="000601D0" w:rsidP="000601D0" w14:paraId="1A3F9C0A" w14:textId="0F9BF24E">
      <w:pPr>
        <w:pStyle w:val="TOC1"/>
        <w:tabs>
          <w:tab w:val="clear" w:pos="360"/>
          <w:tab w:val="left" w:pos="540"/>
        </w:tabs>
        <w:ind w:left="540" w:hanging="540"/>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ab/>
      </w:r>
      <w:r>
        <w:t>Contact Information</w:t>
      </w:r>
      <w:r>
        <w:tab/>
        <w:t>140</w:t>
      </w:r>
    </w:p>
    <w:bookmarkEnd w:id="0"/>
    <w:p w:rsidR="00C56657" w:rsidP="00C56657" w14:paraId="6A314916" w14:textId="397148D9">
      <w:pPr>
        <w:widowControl/>
        <w:suppressAutoHyphens/>
        <w:rPr>
          <w:caps/>
          <w:szCs w:val="22"/>
        </w:rPr>
      </w:pPr>
      <w:r w:rsidRPr="008C484E">
        <w:rPr>
          <w:caps/>
        </w:rPr>
        <w:t>Attachment A</w:t>
      </w:r>
      <w:r w:rsidR="002007CF">
        <w:rPr>
          <w:caps/>
        </w:rPr>
        <w:t xml:space="preserve">:  </w:t>
      </w:r>
      <w:r w:rsidRPr="0051008C">
        <w:rPr>
          <w:caps/>
          <w:szCs w:val="22"/>
        </w:rPr>
        <w:t>Auction 100 – Construction Permits To Be Auctioned</w:t>
      </w:r>
    </w:p>
    <w:p w:rsidR="00637337" w:rsidP="00637337" w14:paraId="6558E451" w14:textId="39D04B1C">
      <w:pPr>
        <w:ind w:left="540" w:hanging="540"/>
        <w:rPr>
          <w:caps/>
          <w:szCs w:val="22"/>
        </w:rPr>
      </w:pPr>
      <w:r>
        <w:rPr>
          <w:caps/>
          <w:szCs w:val="22"/>
        </w:rPr>
        <w:t>Attachment B</w:t>
      </w:r>
      <w:r w:rsidR="002007CF">
        <w:rPr>
          <w:caps/>
          <w:szCs w:val="22"/>
        </w:rPr>
        <w:t xml:space="preserve">:  </w:t>
      </w:r>
      <w:r w:rsidRPr="0051008C">
        <w:rPr>
          <w:caps/>
          <w:szCs w:val="22"/>
        </w:rPr>
        <w:t>Auction-Specific Instructions for</w:t>
      </w:r>
      <w:r>
        <w:rPr>
          <w:caps/>
          <w:szCs w:val="22"/>
        </w:rPr>
        <w:t xml:space="preserve"> </w:t>
      </w:r>
      <w:r w:rsidRPr="0051008C">
        <w:rPr>
          <w:caps/>
          <w:szCs w:val="22"/>
        </w:rPr>
        <w:t>FCC Remittance Advice (FCC Form 159-February 2003 Edition)</w:t>
      </w:r>
    </w:p>
    <w:p w:rsidR="00C56657" w:rsidP="00C56657" w14:paraId="1B03B038" w14:textId="77777777"/>
    <w:p w:rsidR="00C96CC6" w:rsidP="00C96CC6" w14:paraId="3145D622" w14:textId="77777777">
      <w:pPr>
        <w:pStyle w:val="Heading1"/>
        <w:tabs>
          <w:tab w:val="num" w:pos="720"/>
        </w:tabs>
      </w:pPr>
      <w:bookmarkStart w:id="2" w:name="_Toc505077380"/>
      <w:bookmarkStart w:id="3" w:name="_Toc507144266"/>
      <w:bookmarkStart w:id="4" w:name="_Toc507166562"/>
      <w:bookmarkStart w:id="5" w:name="_Toc508121589"/>
      <w:bookmarkStart w:id="6" w:name="_Toc508638814"/>
      <w:bookmarkStart w:id="7" w:name="_Toc508895688"/>
      <w:bookmarkStart w:id="8" w:name="_Toc508953800"/>
      <w:bookmarkStart w:id="9" w:name="_Toc509388446"/>
      <w:bookmarkStart w:id="10" w:name="_Toc509492087"/>
      <w:bookmarkStart w:id="11" w:name="_Toc529870307"/>
      <w:bookmarkStart w:id="12" w:name="_Toc530566484"/>
      <w:bookmarkStart w:id="13" w:name="_Toc531608826"/>
      <w:bookmarkStart w:id="14" w:name="_Toc531700818"/>
      <w:bookmarkStart w:id="15" w:name="_Toc532976600"/>
      <w:bookmarkStart w:id="16" w:name="_Toc536103077"/>
      <w:bookmarkStart w:id="17" w:name="_Toc944521"/>
      <w:bookmarkStart w:id="18" w:name="_Toc4164722"/>
      <w:bookmarkStart w:id="19" w:name="_Toc4419525"/>
      <w:bookmarkStart w:id="20" w:name="_Toc5609501"/>
      <w:bookmarkStart w:id="21" w:name="_Toc5975756"/>
      <w:bookmarkStart w:id="22" w:name="_Toc6220280"/>
      <w:bookmarkStart w:id="23" w:name="_Toc6232613"/>
      <w:r>
        <w:t>General Information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96CC6" w:rsidP="00C06E1B" w14:paraId="5F349FC8" w14:textId="77777777">
      <w:pPr>
        <w:pStyle w:val="Heading2"/>
      </w:pPr>
      <w:bookmarkStart w:id="24" w:name="_Toc505077381"/>
      <w:bookmarkStart w:id="25" w:name="_Toc507144267"/>
      <w:bookmarkStart w:id="26" w:name="_Toc507166563"/>
      <w:bookmarkStart w:id="27" w:name="_Toc508121590"/>
      <w:bookmarkStart w:id="28" w:name="_Toc508638815"/>
      <w:bookmarkStart w:id="29" w:name="_Toc508895689"/>
      <w:bookmarkStart w:id="30" w:name="_Toc508953801"/>
      <w:bookmarkStart w:id="31" w:name="_Toc509388447"/>
      <w:bookmarkStart w:id="32" w:name="_Toc509492088"/>
      <w:bookmarkStart w:id="33" w:name="_Toc529870308"/>
      <w:bookmarkStart w:id="34" w:name="_Toc530566485"/>
      <w:bookmarkStart w:id="35" w:name="_Toc531608827"/>
      <w:bookmarkStart w:id="36" w:name="_Toc531700819"/>
      <w:bookmarkStart w:id="37" w:name="_Toc532976601"/>
      <w:bookmarkStart w:id="38" w:name="_Toc536103078"/>
      <w:bookmarkStart w:id="39" w:name="_Toc944522"/>
      <w:bookmarkStart w:id="40" w:name="_Toc4164723"/>
      <w:bookmarkStart w:id="41" w:name="_Toc4419526"/>
      <w:bookmarkStart w:id="42" w:name="_Toc5609502"/>
      <w:bookmarkStart w:id="43" w:name="_Toc5975757"/>
      <w:bookmarkStart w:id="44" w:name="_Toc6220281"/>
      <w:bookmarkStart w:id="45" w:name="_Toc6232614"/>
      <w:r>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96CC6" w:rsidP="00C96CC6" w14:paraId="00E295CD" w14:textId="5CACE6CB">
      <w:pPr>
        <w:pStyle w:val="ParaNum"/>
        <w:widowControl/>
      </w:pPr>
      <w:r>
        <w:t xml:space="preserve">By this Public Notice, </w:t>
      </w:r>
      <w:r w:rsidR="00086DEA">
        <w:t>the Office of Economics and Analytics (OEA)</w:t>
      </w:r>
      <w:r w:rsidR="00651FC3">
        <w:t>, in conjunction with</w:t>
      </w:r>
      <w:r w:rsidRPr="006E3B2E" w:rsidR="006E3B2E">
        <w:t xml:space="preserve"> </w:t>
      </w:r>
      <w:r w:rsidR="006E3B2E">
        <w:t>the Media Bureau (MB),</w:t>
      </w:r>
      <w:r>
        <w:t xml:space="preserve"> establish</w:t>
      </w:r>
      <w:r w:rsidR="006E3B2E">
        <w:t>es</w:t>
      </w:r>
      <w:r>
        <w:t xml:space="preserve"> the procedures, terms and conditions, together with the minimum opening bid amounts, for the upcoming auction of certain cross-service FM translator construction permits.</w:t>
      </w:r>
      <w:r>
        <w:rPr>
          <w:rStyle w:val="FootnoteReference"/>
        </w:rPr>
        <w:footnoteReference w:id="3"/>
      </w:r>
      <w:r>
        <w:t xml:space="preserve">  This Public Notice also provides an overview of the post-auction application and payment processes governing Auction 100.  </w:t>
      </w:r>
      <w:r w:rsidR="00A90226">
        <w:t>Bidding in this auction is scheduled to start on June 25, 2019</w:t>
      </w:r>
      <w:r w:rsidR="005F1199">
        <w:t>.</w:t>
      </w:r>
      <w:r>
        <w:t xml:space="preserve"> </w:t>
      </w:r>
    </w:p>
    <w:p w:rsidR="00C96CC6" w:rsidP="00C96CC6" w14:paraId="0F997A4B" w14:textId="4E28BD02">
      <w:pPr>
        <w:pStyle w:val="ParaNum"/>
        <w:widowControl/>
      </w:pPr>
      <w:r>
        <w:t xml:space="preserve">This Public Notice provides instructions for each Auction 100 applicant to </w:t>
      </w:r>
      <w:r w:rsidR="00D850E4">
        <w:t xml:space="preserve">update and </w:t>
      </w:r>
      <w:r>
        <w:t xml:space="preserve">maintain the accuracy of </w:t>
      </w:r>
      <w:r w:rsidR="00D850E4">
        <w:t xml:space="preserve">its </w:t>
      </w:r>
      <w:r>
        <w:t>previously filed short-form application electronically using the FCC auction application system.</w:t>
      </w:r>
      <w:r>
        <w:rPr>
          <w:rStyle w:val="FootnoteReference"/>
        </w:rPr>
        <w:footnoteReference w:id="4"/>
      </w:r>
      <w:r>
        <w:t xml:space="preserve">  </w:t>
      </w:r>
      <w:r w:rsidR="006E3B2E">
        <w:t xml:space="preserve">Commission staff will review all applications for completeness and compliance with the Commission’s rules.  </w:t>
      </w:r>
      <w:r>
        <w:t>An applicant whose application is found to contain deficiencies will be provided with a limited opportunity to bring its application into compliance with the Commission’s competitive bidding rules during a resubmission window, the dates for which will be announced in a future public notice.  An Auction 100 applicant will become qualified to bid in the auction only if: (1) it has submitted a short-form application (FCC Form 175) that is timely and is found to be substantially complete</w:t>
      </w:r>
      <w:r w:rsidR="00A90226">
        <w:t xml:space="preserve"> (i.e. the application substantially complies with the Commission’s competitive bidding rules and the procedures and deadlines specified in this Public Notice)</w:t>
      </w:r>
      <w:r>
        <w:t xml:space="preserve">, and (2) it timely submits a sufficient upfront payment for at least one of the permits for which it is designated as an applicant on Attachment A to this Public Notice. </w:t>
      </w:r>
    </w:p>
    <w:p w:rsidR="00C96CC6" w:rsidP="00C96CC6" w14:paraId="0DF55828" w14:textId="77777777">
      <w:pPr>
        <w:pStyle w:val="Heading3"/>
      </w:pPr>
      <w:bookmarkStart w:id="46" w:name="_Toc505077382"/>
      <w:bookmarkStart w:id="47" w:name="_Toc507144268"/>
      <w:bookmarkStart w:id="48" w:name="_Toc507166564"/>
      <w:bookmarkStart w:id="49" w:name="_Toc508121591"/>
      <w:bookmarkStart w:id="50" w:name="_Toc508638816"/>
      <w:bookmarkStart w:id="51" w:name="_Toc508895690"/>
      <w:bookmarkStart w:id="52" w:name="_Toc508953802"/>
      <w:bookmarkStart w:id="53" w:name="_Toc509388448"/>
      <w:bookmarkStart w:id="54" w:name="_Toc509492089"/>
      <w:bookmarkStart w:id="55" w:name="_Toc529870309"/>
      <w:bookmarkStart w:id="56" w:name="_Toc530566486"/>
      <w:bookmarkStart w:id="57" w:name="_Toc531608828"/>
      <w:bookmarkStart w:id="58" w:name="_Toc531700820"/>
      <w:bookmarkStart w:id="59" w:name="_Toc532976602"/>
      <w:bookmarkStart w:id="60" w:name="_Toc536103079"/>
      <w:bookmarkStart w:id="61" w:name="_Toc944523"/>
      <w:bookmarkStart w:id="62" w:name="_Toc4164724"/>
      <w:bookmarkStart w:id="63" w:name="_Toc4419527"/>
      <w:bookmarkStart w:id="64" w:name="_Toc5609503"/>
      <w:bookmarkStart w:id="65" w:name="_Toc5975758"/>
      <w:bookmarkStart w:id="66" w:name="_Toc6220282"/>
      <w:bookmarkStart w:id="67" w:name="_Toc6232615"/>
      <w:r>
        <w:t>Background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C96CC6" w:rsidRPr="00371FDD" w:rsidP="00C96CC6" w14:paraId="1843AB65" w14:textId="261BB5D4">
      <w:pPr>
        <w:pStyle w:val="ParaNum"/>
        <w:widowControl/>
        <w:rPr>
          <w:szCs w:val="22"/>
        </w:rPr>
      </w:pPr>
      <w:r>
        <w:t>Auction 100 will resolve the remaining groups of mutually exclusive (MX) engineering proposals for new cross-service FM translator stations.</w:t>
      </w:r>
      <w:r>
        <w:rPr>
          <w:rStyle w:val="FootnoteReference"/>
        </w:rPr>
        <w:footnoteReference w:id="5"/>
      </w:r>
      <w:r>
        <w:t xml:space="preserve">  Auction 100 is a closed auction; only those individuals or entities listed in Attachment A to this Public Notice are eligible to complete the remaining steps to become qualified to bid in this auction</w:t>
      </w:r>
      <w:r w:rsidRPr="004A0633" w:rsidR="006E3B2E">
        <w:t xml:space="preserve"> </w:t>
      </w:r>
      <w:r w:rsidR="006E3B2E">
        <w:t>with respect to the construction permit(s) for which each is listed</w:t>
      </w:r>
      <w:r>
        <w:t xml:space="preserve">.  The MX groups and engineering proposals listed in Attachment A are those that remain after two opportunities to resolve mutual exclusivity through settlement or technical modification of the engineering proposals for new cross-service FM translator station construction permits.  Following the processing of submissions made during those opportunities, </w:t>
      </w:r>
      <w:r w:rsidR="00D850E4">
        <w:t>we</w:t>
      </w:r>
      <w:r>
        <w:rPr>
          <w:szCs w:val="22"/>
        </w:rPr>
        <w:t xml:space="preserve"> will now proceed to resolve by competitive bidding the remaining </w:t>
      </w:r>
      <w:r w:rsidRPr="00A662C3">
        <w:rPr>
          <w:szCs w:val="22"/>
        </w:rPr>
        <w:t>MX groups</w:t>
      </w:r>
      <w:r>
        <w:rPr>
          <w:szCs w:val="22"/>
        </w:rPr>
        <w:t xml:space="preserve"> identified in Attachment A.</w:t>
      </w:r>
      <w:r w:rsidRPr="00371FDD">
        <w:t xml:space="preserve"> </w:t>
      </w:r>
    </w:p>
    <w:p w:rsidR="00C96CC6" w:rsidRPr="00304B3F" w:rsidP="00C96CC6" w14:paraId="77130E01" w14:textId="4C468683">
      <w:pPr>
        <w:pStyle w:val="ParaNum"/>
        <w:widowControl/>
        <w:rPr>
          <w:szCs w:val="22"/>
        </w:rPr>
      </w:pPr>
      <w:r>
        <w:t>On October 19, 2018, WTB and MB released a public notice seeking comment on competitive bidding procedures to be used in Auction 100, as well as a proposed minimum opening bid amount for each construction permit in this auction.</w:t>
      </w:r>
      <w:r>
        <w:rPr>
          <w:rStyle w:val="FootnoteReference"/>
        </w:rPr>
        <w:footnoteReference w:id="6"/>
      </w:r>
      <w:r>
        <w:t xml:space="preserve">  Auction 100 will proceed pursuant to the procedures described and the minimum opening bid amounts specified in this Public Notice, which have </w:t>
      </w:r>
      <w:r>
        <w:t>been adopted in accordance with section 309(j)(3) of the Communications Act of 1934, as amended (the Act).</w:t>
      </w:r>
      <w:r>
        <w:rPr>
          <w:rStyle w:val="FootnoteReference"/>
        </w:rPr>
        <w:footnoteReference w:id="7"/>
      </w:r>
      <w:r>
        <w:t xml:space="preserve">  </w:t>
      </w:r>
    </w:p>
    <w:p w:rsidR="00C96CC6" w:rsidP="00C96CC6" w14:paraId="310D296C" w14:textId="77777777">
      <w:pPr>
        <w:pStyle w:val="Heading3"/>
      </w:pPr>
      <w:bookmarkStart w:id="70" w:name="_Toc505077383"/>
      <w:bookmarkStart w:id="71" w:name="_Toc507144269"/>
      <w:bookmarkStart w:id="72" w:name="_Toc507166565"/>
      <w:bookmarkStart w:id="73" w:name="_Toc508121592"/>
      <w:bookmarkStart w:id="74" w:name="_Toc508638817"/>
      <w:bookmarkStart w:id="75" w:name="_Toc508895691"/>
      <w:bookmarkStart w:id="76" w:name="_Toc508953803"/>
      <w:bookmarkStart w:id="77" w:name="_Toc509388449"/>
      <w:bookmarkStart w:id="78" w:name="_Toc509492090"/>
      <w:bookmarkStart w:id="79" w:name="_Toc529870310"/>
      <w:bookmarkStart w:id="80" w:name="_Toc530566487"/>
      <w:bookmarkStart w:id="81" w:name="_Toc531608829"/>
      <w:bookmarkStart w:id="82" w:name="_Toc531700821"/>
      <w:bookmarkStart w:id="83" w:name="_Toc532976603"/>
      <w:bookmarkStart w:id="84" w:name="_Toc536103080"/>
      <w:bookmarkStart w:id="85" w:name="_Toc944524"/>
      <w:bookmarkStart w:id="86" w:name="_Toc4164725"/>
      <w:bookmarkStart w:id="87" w:name="_Toc4419528"/>
      <w:bookmarkStart w:id="88" w:name="_Toc5609504"/>
      <w:bookmarkStart w:id="89" w:name="_Toc5975759"/>
      <w:bookmarkStart w:id="90" w:name="_Toc6220283"/>
      <w:bookmarkStart w:id="91" w:name="_Toc6232616"/>
      <w:r>
        <w:t xml:space="preserve">Construction Permits and Entities Eligible to Participate in Auction </w:t>
      </w:r>
      <w:bookmarkEnd w:id="70"/>
      <w:bookmarkEnd w:id="71"/>
      <w:bookmarkEnd w:id="72"/>
      <w:bookmarkEnd w:id="73"/>
      <w:bookmarkEnd w:id="74"/>
      <w:bookmarkEnd w:id="75"/>
      <w:bookmarkEnd w:id="76"/>
      <w:bookmarkEnd w:id="77"/>
      <w:bookmarkEnd w:id="78"/>
      <w:r>
        <w:t>100</w:t>
      </w:r>
      <w:bookmarkEnd w:id="79"/>
      <w:bookmarkEnd w:id="80"/>
      <w:bookmarkEnd w:id="81"/>
      <w:bookmarkEnd w:id="82"/>
      <w:bookmarkEnd w:id="83"/>
      <w:bookmarkEnd w:id="84"/>
      <w:bookmarkEnd w:id="85"/>
      <w:bookmarkEnd w:id="86"/>
      <w:bookmarkEnd w:id="87"/>
      <w:bookmarkEnd w:id="88"/>
      <w:bookmarkEnd w:id="89"/>
      <w:bookmarkEnd w:id="90"/>
      <w:bookmarkEnd w:id="91"/>
    </w:p>
    <w:p w:rsidR="00C96CC6" w:rsidRPr="002438E7" w:rsidP="00C96CC6" w14:paraId="60FAE96D" w14:textId="409167C0">
      <w:pPr>
        <w:pStyle w:val="ParaNum"/>
        <w:widowControl/>
      </w:pPr>
      <w:bookmarkStart w:id="92" w:name="_Toc505077384"/>
      <w:r w:rsidRPr="002438E7">
        <w:t xml:space="preserve">Auction </w:t>
      </w:r>
      <w:r>
        <w:t>100</w:t>
      </w:r>
      <w:r w:rsidRPr="002438E7">
        <w:t xml:space="preserve"> will </w:t>
      </w:r>
      <w:r>
        <w:t>resolve MX engineering proposals for</w:t>
      </w:r>
      <w:r w:rsidRPr="002438E7">
        <w:t xml:space="preserve"> construction permits for new </w:t>
      </w:r>
      <w:r>
        <w:t>cross-service FM translator stations</w:t>
      </w:r>
      <w:r w:rsidRPr="002438E7">
        <w:t xml:space="preserve">.  A list of the locations and </w:t>
      </w:r>
      <w:r>
        <w:t>channels</w:t>
      </w:r>
      <w:r w:rsidRPr="002438E7">
        <w:t xml:space="preserve"> of these </w:t>
      </w:r>
      <w:r>
        <w:t xml:space="preserve">proposed </w:t>
      </w:r>
      <w:r w:rsidRPr="002438E7">
        <w:t>stations is included as Attachment A.</w:t>
      </w:r>
      <w:r>
        <w:rPr>
          <w:rStyle w:val="FootnoteReference"/>
        </w:rPr>
        <w:footnoteReference w:id="8"/>
      </w:r>
      <w:r w:rsidRPr="002438E7">
        <w:t xml:space="preserve">  Attachment A also sets forth </w:t>
      </w:r>
      <w:r>
        <w:t xml:space="preserve">the names of applicants in each MX group, along with a </w:t>
      </w:r>
      <w:r w:rsidRPr="002438E7">
        <w:t xml:space="preserve">minimum opening bid and </w:t>
      </w:r>
      <w:r>
        <w:t xml:space="preserve">an </w:t>
      </w:r>
      <w:r w:rsidRPr="002438E7">
        <w:t>upfront payment</w:t>
      </w:r>
      <w:r>
        <w:t xml:space="preserve"> amount</w:t>
      </w:r>
      <w:r w:rsidRPr="002438E7">
        <w:t xml:space="preserve"> for </w:t>
      </w:r>
      <w:r>
        <w:t xml:space="preserve">each construction </w:t>
      </w:r>
      <w:r w:rsidRPr="002438E7">
        <w:t>permit in this auction.</w:t>
      </w:r>
    </w:p>
    <w:p w:rsidR="00C96CC6" w:rsidP="00C96CC6" w14:paraId="14D9E898" w14:textId="6251C976">
      <w:pPr>
        <w:pStyle w:val="ParaNum"/>
        <w:widowControl/>
      </w:pPr>
      <w:r w:rsidRPr="002438E7">
        <w:t xml:space="preserve">An applicant listed in Attachment A may become qualified to bid only if it </w:t>
      </w:r>
      <w:r>
        <w:t xml:space="preserve">complies with </w:t>
      </w:r>
      <w:r w:rsidRPr="002438E7">
        <w:t>the additional filing, qualification</w:t>
      </w:r>
      <w:r>
        <w:t>,</w:t>
      </w:r>
      <w:r w:rsidRPr="002438E7">
        <w:t xml:space="preserve"> </w:t>
      </w:r>
      <w:r>
        <w:t xml:space="preserve">and </w:t>
      </w:r>
      <w:r w:rsidRPr="002438E7">
        <w:t>payment</w:t>
      </w:r>
      <w:r>
        <w:t xml:space="preserve"> requirements, and otherwise complies with applicable rules, policies, and procedures</w:t>
      </w:r>
      <w:r w:rsidRPr="002438E7">
        <w:t>.</w:t>
      </w:r>
      <w:r>
        <w:rPr>
          <w:rStyle w:val="FootnoteReference"/>
        </w:rPr>
        <w:footnoteReference w:id="9"/>
      </w:r>
      <w:r w:rsidRPr="002438E7">
        <w:t xml:space="preserve">  Each </w:t>
      </w:r>
      <w:r>
        <w:t xml:space="preserve">listed applicant may become a qualified bidder </w:t>
      </w:r>
      <w:r w:rsidRPr="002438E7">
        <w:t xml:space="preserve">only </w:t>
      </w:r>
      <w:r>
        <w:t xml:space="preserve">for </w:t>
      </w:r>
      <w:r w:rsidRPr="002438E7">
        <w:t xml:space="preserve">those construction permits specified for that </w:t>
      </w:r>
      <w:r>
        <w:t xml:space="preserve">applicant </w:t>
      </w:r>
      <w:r w:rsidRPr="002438E7">
        <w:t xml:space="preserve">in Attachment A to this Public Notice.  </w:t>
      </w:r>
      <w:r>
        <w:t xml:space="preserve">Each of the engineering proposals </w:t>
      </w:r>
      <w:r w:rsidRPr="002438E7">
        <w:t xml:space="preserve">within each </w:t>
      </w:r>
      <w:r>
        <w:t>MX group</w:t>
      </w:r>
      <w:r w:rsidRPr="002438E7">
        <w:t xml:space="preserve"> are directly mutually exclusive with one another</w:t>
      </w:r>
      <w:r>
        <w:t>;</w:t>
      </w:r>
      <w:r w:rsidRPr="002438E7">
        <w:t xml:space="preserve"> therefore</w:t>
      </w:r>
      <w:r>
        <w:t>,</w:t>
      </w:r>
      <w:r w:rsidRPr="002438E7">
        <w:t xml:space="preserve"> no </w:t>
      </w:r>
      <w:r w:rsidRPr="009D06D1">
        <w:t xml:space="preserve">more </w:t>
      </w:r>
      <w:r w:rsidRPr="00E612AB">
        <w:t>than one construction permit will be awarded for each MX group identified in Attachment A</w:t>
      </w:r>
      <w:r w:rsidRPr="00E612AB">
        <w:rPr>
          <w:szCs w:val="22"/>
        </w:rPr>
        <w:t>.</w:t>
      </w:r>
      <w:r>
        <w:rPr>
          <w:szCs w:val="22"/>
        </w:rPr>
        <w:t xml:space="preserve">  As noted in the </w:t>
      </w:r>
      <w:r w:rsidRPr="00606DE4">
        <w:rPr>
          <w:i/>
          <w:szCs w:val="22"/>
        </w:rPr>
        <w:t xml:space="preserve">Auction </w:t>
      </w:r>
      <w:r>
        <w:rPr>
          <w:i/>
          <w:szCs w:val="22"/>
        </w:rPr>
        <w:t>100</w:t>
      </w:r>
      <w:r w:rsidRPr="00606DE4">
        <w:rPr>
          <w:i/>
          <w:szCs w:val="22"/>
        </w:rPr>
        <w:t xml:space="preserve"> Comment Public Notice</w:t>
      </w:r>
      <w:r>
        <w:rPr>
          <w:szCs w:val="22"/>
        </w:rPr>
        <w:t xml:space="preserve">, under the </w:t>
      </w:r>
      <w:r w:rsidRPr="002A0DC5">
        <w:t>Commission’s</w:t>
      </w:r>
      <w:r>
        <w:rPr>
          <w:szCs w:val="22"/>
        </w:rPr>
        <w:t xml:space="preserve"> established precedent, once mutually exclusive </w:t>
      </w:r>
      <w:r w:rsidR="006E3B2E">
        <w:rPr>
          <w:szCs w:val="22"/>
        </w:rPr>
        <w:t xml:space="preserve">auction </w:t>
      </w:r>
      <w:r>
        <w:rPr>
          <w:szCs w:val="22"/>
        </w:rPr>
        <w:t>applications are accepted</w:t>
      </w:r>
      <w:r w:rsidR="004953C0">
        <w:rPr>
          <w:szCs w:val="22"/>
        </w:rPr>
        <w:t>,</w:t>
      </w:r>
      <w:r>
        <w:rPr>
          <w:szCs w:val="22"/>
        </w:rPr>
        <w:t xml:space="preserve"> and thus mutual exclusiv</w:t>
      </w:r>
      <w:r w:rsidR="004953C0">
        <w:rPr>
          <w:szCs w:val="22"/>
        </w:rPr>
        <w:t>ity</w:t>
      </w:r>
      <w:r>
        <w:rPr>
          <w:szCs w:val="22"/>
        </w:rPr>
        <w:t xml:space="preserve"> </w:t>
      </w:r>
      <w:r w:rsidR="004953C0">
        <w:rPr>
          <w:szCs w:val="22"/>
        </w:rPr>
        <w:t xml:space="preserve">exists </w:t>
      </w:r>
      <w:r>
        <w:rPr>
          <w:szCs w:val="22"/>
        </w:rPr>
        <w:t>for auction purposes,</w:t>
      </w:r>
      <w:r>
        <w:rPr>
          <w:rStyle w:val="FootnoteReference"/>
          <w:szCs w:val="22"/>
        </w:rPr>
        <w:footnoteReference w:id="10"/>
      </w:r>
      <w:r>
        <w:rPr>
          <w:szCs w:val="22"/>
        </w:rPr>
        <w:t xml:space="preserve"> an applicant cannot obtain a construction permit without placing a bid, even if no other applicant for that particular construction permit becomes qualified to bid or in fact places a bid.</w:t>
      </w:r>
      <w:r>
        <w:rPr>
          <w:rStyle w:val="FootnoteReference"/>
          <w:szCs w:val="22"/>
        </w:rPr>
        <w:footnoteReference w:id="11"/>
      </w:r>
      <w:r w:rsidRPr="00E612AB">
        <w:t xml:space="preserve"> </w:t>
      </w:r>
      <w:r>
        <w:t xml:space="preserve"> </w:t>
      </w:r>
    </w:p>
    <w:p w:rsidR="00C96CC6" w:rsidP="00C06E1B" w14:paraId="06BCDB93" w14:textId="77777777">
      <w:pPr>
        <w:pStyle w:val="Heading2"/>
      </w:pPr>
      <w:bookmarkStart w:id="94" w:name="_Toc507166566"/>
      <w:bookmarkStart w:id="95" w:name="_Toc507166567"/>
      <w:bookmarkStart w:id="96" w:name="_Toc507166568"/>
      <w:bookmarkStart w:id="97" w:name="_Toc507144270"/>
      <w:bookmarkStart w:id="98" w:name="_Toc507166569"/>
      <w:bookmarkStart w:id="99" w:name="_Toc508121593"/>
      <w:bookmarkStart w:id="100" w:name="_Toc508638818"/>
      <w:bookmarkStart w:id="101" w:name="_Toc508895692"/>
      <w:bookmarkStart w:id="102" w:name="_Toc508953804"/>
      <w:bookmarkStart w:id="103" w:name="_Toc509388450"/>
      <w:bookmarkStart w:id="104" w:name="_Toc509492091"/>
      <w:bookmarkStart w:id="105" w:name="_Toc529870311"/>
      <w:bookmarkStart w:id="106" w:name="_Toc530566488"/>
      <w:bookmarkStart w:id="107" w:name="_Toc531608830"/>
      <w:bookmarkStart w:id="108" w:name="_Toc531700822"/>
      <w:bookmarkStart w:id="109" w:name="_Toc532976604"/>
      <w:bookmarkStart w:id="110" w:name="_Toc536103081"/>
      <w:bookmarkStart w:id="111" w:name="_Toc944525"/>
      <w:bookmarkStart w:id="112" w:name="_Toc4164726"/>
      <w:bookmarkStart w:id="113" w:name="_Toc4419529"/>
      <w:bookmarkStart w:id="114" w:name="_Toc5609505"/>
      <w:bookmarkStart w:id="115" w:name="_Toc5975760"/>
      <w:bookmarkStart w:id="116" w:name="_Toc6220284"/>
      <w:bookmarkStart w:id="117" w:name="_Toc6232617"/>
      <w:bookmarkEnd w:id="94"/>
      <w:bookmarkEnd w:id="95"/>
      <w:bookmarkEnd w:id="96"/>
      <w:r>
        <w:t>Rules and Disclaimers</w:t>
      </w:r>
      <w:bookmarkEnd w:id="9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96CC6" w:rsidP="00C96CC6" w14:paraId="16404D67" w14:textId="77777777">
      <w:pPr>
        <w:pStyle w:val="Heading3"/>
      </w:pPr>
      <w:bookmarkStart w:id="118" w:name="_Toc505077385"/>
      <w:bookmarkStart w:id="119" w:name="_Toc507144271"/>
      <w:bookmarkStart w:id="120" w:name="_Toc507166570"/>
      <w:bookmarkStart w:id="121" w:name="_Toc508121594"/>
      <w:bookmarkStart w:id="122" w:name="_Toc508638819"/>
      <w:bookmarkStart w:id="123" w:name="_Toc508895693"/>
      <w:bookmarkStart w:id="124" w:name="_Toc508953805"/>
      <w:bookmarkStart w:id="125" w:name="_Toc509388451"/>
      <w:bookmarkStart w:id="126" w:name="_Toc509492092"/>
      <w:bookmarkStart w:id="127" w:name="_Toc529870312"/>
      <w:bookmarkStart w:id="128" w:name="_Toc530566489"/>
      <w:bookmarkStart w:id="129" w:name="_Toc531608831"/>
      <w:bookmarkStart w:id="130" w:name="_Toc531700823"/>
      <w:bookmarkStart w:id="131" w:name="_Toc532976605"/>
      <w:bookmarkStart w:id="132" w:name="_Toc536103082"/>
      <w:bookmarkStart w:id="133" w:name="_Toc944526"/>
      <w:bookmarkStart w:id="134" w:name="_Toc4164727"/>
      <w:bookmarkStart w:id="135" w:name="_Toc4419530"/>
      <w:bookmarkStart w:id="136" w:name="_Toc5609506"/>
      <w:bookmarkStart w:id="137" w:name="_Toc5975761"/>
      <w:bookmarkStart w:id="138" w:name="_Toc6220285"/>
      <w:bookmarkStart w:id="139" w:name="_Toc6232618"/>
      <w:r>
        <w:t>Relevant Authority</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96CC6" w:rsidRPr="002774E9" w:rsidP="00C96CC6" w14:paraId="3BE62855" w14:textId="77777777">
      <w:pPr>
        <w:pStyle w:val="ParaNum"/>
        <w:widowControl/>
        <w:rPr>
          <w:szCs w:val="22"/>
        </w:rPr>
      </w:pPr>
      <w:r>
        <w:rPr>
          <w:szCs w:val="22"/>
        </w:rPr>
        <w:t>Auction 100</w:t>
      </w:r>
      <w:r w:rsidRPr="004E0894">
        <w:rPr>
          <w:szCs w:val="22"/>
        </w:rPr>
        <w:t xml:space="preserve"> applicants must familiarize themselves thoroughly</w:t>
      </w:r>
      <w:r w:rsidRPr="00BD752F">
        <w:rPr>
          <w:szCs w:val="22"/>
        </w:rPr>
        <w:t xml:space="preserve"> with the Commission’s general competitive bidding rules,</w:t>
      </w:r>
      <w:r>
        <w:rPr>
          <w:rStyle w:val="FootnoteReference"/>
          <w:szCs w:val="22"/>
        </w:rPr>
        <w:footnoteReference w:id="12"/>
      </w:r>
      <w:r w:rsidRPr="00BD752F">
        <w:rPr>
          <w:szCs w:val="22"/>
        </w:rPr>
        <w:t xml:space="preserve"> </w:t>
      </w:r>
      <w:r w:rsidRPr="00463D88">
        <w:t>including</w:t>
      </w:r>
      <w:r w:rsidRPr="00BD752F">
        <w:rPr>
          <w:szCs w:val="22"/>
        </w:rPr>
        <w:t xml:space="preserve"> Commission decisions in proceedings regarding competitive bidding procedures, application requirements, and obligations of Commission licensees.</w:t>
      </w:r>
      <w:r>
        <w:rPr>
          <w:rStyle w:val="FootnoteReference"/>
          <w:szCs w:val="22"/>
        </w:rPr>
        <w:footnoteReference w:id="13"/>
      </w:r>
      <w:r w:rsidRPr="00BD752F">
        <w:rPr>
          <w:szCs w:val="22"/>
        </w:rPr>
        <w:t xml:space="preserve">  </w:t>
      </w:r>
      <w:r w:rsidRPr="002A0DC5">
        <w:t>Broadcasters</w:t>
      </w:r>
      <w:r w:rsidRPr="00BD752F">
        <w:rPr>
          <w:szCs w:val="22"/>
        </w:rPr>
        <w:t xml:space="preserve"> should also familiarize themselves with the Commission’s </w:t>
      </w:r>
      <w:r>
        <w:rPr>
          <w:szCs w:val="22"/>
        </w:rPr>
        <w:t xml:space="preserve">FM translator broadcast service and competitive bidding requirements </w:t>
      </w:r>
      <w:r w:rsidRPr="00BD752F">
        <w:rPr>
          <w:szCs w:val="22"/>
        </w:rPr>
        <w:t xml:space="preserve">contained in </w:t>
      </w:r>
      <w:r>
        <w:rPr>
          <w:szCs w:val="22"/>
        </w:rPr>
        <w:t>Parts 73 and 74 of the Commission’s rules,</w:t>
      </w:r>
      <w:r>
        <w:rPr>
          <w:rStyle w:val="FootnoteReference"/>
          <w:szCs w:val="22"/>
        </w:rPr>
        <w:footnoteReference w:id="14"/>
      </w:r>
      <w:r>
        <w:rPr>
          <w:szCs w:val="22"/>
        </w:rPr>
        <w:t xml:space="preserve"> as well as Commission orders concerning competitive bidding for broadcast construction permits.</w:t>
      </w:r>
      <w:r>
        <w:rPr>
          <w:rStyle w:val="FootnoteReference"/>
          <w:szCs w:val="22"/>
        </w:rPr>
        <w:footnoteReference w:id="15"/>
      </w:r>
      <w:r w:rsidRPr="002774E9">
        <w:rPr>
          <w:szCs w:val="22"/>
        </w:rPr>
        <w:t xml:space="preserve">  </w:t>
      </w:r>
      <w:r>
        <w:rPr>
          <w:szCs w:val="22"/>
        </w:rPr>
        <w:t xml:space="preserve">Applicants </w:t>
      </w:r>
      <w:r w:rsidRPr="00BD752F">
        <w:rPr>
          <w:szCs w:val="22"/>
        </w:rPr>
        <w:t xml:space="preserve">must also be thoroughly familiar with the procedures, terms and conditions contained in this </w:t>
      </w:r>
      <w:r>
        <w:rPr>
          <w:szCs w:val="22"/>
        </w:rPr>
        <w:t>P</w:t>
      </w:r>
      <w:r w:rsidRPr="00BD752F">
        <w:rPr>
          <w:szCs w:val="22"/>
        </w:rPr>
        <w:t xml:space="preserve">ublic </w:t>
      </w:r>
      <w:r>
        <w:rPr>
          <w:szCs w:val="22"/>
        </w:rPr>
        <w:t>N</w:t>
      </w:r>
      <w:r w:rsidRPr="00BD752F">
        <w:rPr>
          <w:szCs w:val="22"/>
        </w:rPr>
        <w:t>otice</w:t>
      </w:r>
      <w:r>
        <w:rPr>
          <w:szCs w:val="22"/>
        </w:rPr>
        <w:t xml:space="preserve"> and any future public notices that may be released in this proceeding.  </w:t>
      </w:r>
      <w:r w:rsidRPr="002774E9">
        <w:rPr>
          <w:szCs w:val="22"/>
        </w:rPr>
        <w:t xml:space="preserve"> </w:t>
      </w:r>
    </w:p>
    <w:p w:rsidR="00C96CC6" w:rsidRPr="001C2E9C" w:rsidP="00C96CC6" w14:paraId="07A61C66" w14:textId="626E7D1B">
      <w:pPr>
        <w:pStyle w:val="ParaNum"/>
        <w:widowControl/>
        <w:rPr>
          <w:szCs w:val="22"/>
        </w:rPr>
      </w:pPr>
      <w:r w:rsidRPr="002774E9">
        <w:rPr>
          <w:szCs w:val="22"/>
        </w:rPr>
        <w:t xml:space="preserve">The terms contained in the Commission’s rules, relevant orders, and public notices are not negotiable.  The </w:t>
      </w:r>
      <w:r w:rsidRPr="002A0DC5">
        <w:t>Commission</w:t>
      </w:r>
      <w:r w:rsidRPr="002774E9">
        <w:rPr>
          <w:szCs w:val="22"/>
        </w:rPr>
        <w:t xml:space="preserve"> may amend or supplement the information contained in our public</w:t>
      </w:r>
      <w:r w:rsidRPr="001C2E9C">
        <w:rPr>
          <w:szCs w:val="22"/>
        </w:rPr>
        <w:t xml:space="preserve"> notices at any time and will issue public notices to convey any new or supplemental information to applicants.  It is the responsibility of </w:t>
      </w:r>
      <w:r>
        <w:rPr>
          <w:szCs w:val="22"/>
        </w:rPr>
        <w:t>each</w:t>
      </w:r>
      <w:r w:rsidRPr="001C2E9C">
        <w:rPr>
          <w:szCs w:val="22"/>
        </w:rPr>
        <w:t xml:space="preserve"> applicant to remain current with all Commission rules and with all public notices pertaining to this auction.  Copies of most auctions-related Commission documents, including public notices, can be retrieved from the FCC Auctions Internet site at </w:t>
      </w:r>
      <w:hyperlink r:id="rId5" w:history="1">
        <w:r>
          <w:rPr>
            <w:rStyle w:val="Hyperlink"/>
            <w:szCs w:val="22"/>
          </w:rPr>
          <w:t>www.fcc.gov/auctions</w:t>
        </w:r>
      </w:hyperlink>
      <w:r w:rsidRPr="001C2E9C">
        <w:rPr>
          <w:szCs w:val="22"/>
        </w:rPr>
        <w:t>.</w:t>
      </w:r>
      <w:r>
        <w:rPr>
          <w:rStyle w:val="FootnoteReference"/>
          <w:szCs w:val="22"/>
        </w:rPr>
        <w:footnoteReference w:id="16"/>
      </w:r>
      <w:r w:rsidRPr="001C2E9C">
        <w:rPr>
          <w:szCs w:val="22"/>
        </w:rPr>
        <w:t xml:space="preserve">  </w:t>
      </w:r>
    </w:p>
    <w:p w:rsidR="00C96CC6" w:rsidP="00C96CC6" w14:paraId="0A9C2E87" w14:textId="77777777">
      <w:pPr>
        <w:pStyle w:val="Heading3"/>
      </w:pPr>
      <w:bookmarkStart w:id="140" w:name="_Toc505077386"/>
      <w:bookmarkStart w:id="141" w:name="_Toc507144272"/>
      <w:bookmarkStart w:id="142" w:name="_Toc507166571"/>
      <w:bookmarkStart w:id="143" w:name="_Toc508121595"/>
      <w:bookmarkStart w:id="144" w:name="_Toc508638820"/>
      <w:bookmarkStart w:id="145" w:name="_Toc508895694"/>
      <w:bookmarkStart w:id="146" w:name="_Toc508953806"/>
      <w:bookmarkStart w:id="147" w:name="_Toc509388452"/>
      <w:bookmarkStart w:id="148" w:name="_Toc509492093"/>
      <w:bookmarkStart w:id="149" w:name="_Toc529870313"/>
      <w:bookmarkStart w:id="150" w:name="_Toc530566490"/>
      <w:bookmarkStart w:id="151" w:name="_Toc531608832"/>
      <w:bookmarkStart w:id="152" w:name="_Toc531700824"/>
      <w:bookmarkStart w:id="153" w:name="_Toc532976606"/>
      <w:bookmarkStart w:id="154" w:name="_Toc536103083"/>
      <w:bookmarkStart w:id="155" w:name="_Toc944527"/>
      <w:bookmarkStart w:id="156" w:name="_Toc4164728"/>
      <w:bookmarkStart w:id="157" w:name="_Toc4419531"/>
      <w:bookmarkStart w:id="158" w:name="_Toc5609507"/>
      <w:bookmarkStart w:id="159" w:name="_Toc5975762"/>
      <w:bookmarkStart w:id="160" w:name="_Toc6220286"/>
      <w:bookmarkStart w:id="161" w:name="_Toc6232619"/>
      <w:r>
        <w:t>Prohibited Communications and Compliance with Antitrust Laws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96CC6" w:rsidRPr="00D5727F" w:rsidP="00C96CC6" w14:paraId="24B1B0BC" w14:textId="2CEB0495">
      <w:pPr>
        <w:pStyle w:val="ParaNum"/>
        <w:widowControl/>
      </w:pPr>
      <w:r>
        <w:t>The rules prohibiting certain communications set forth in sections 1.2105(c) and 73.5002(d) and (e) of the rules apply to each applicant that filed a short-form application (FCC Form 175) in Auction 100.</w:t>
      </w:r>
      <w:r>
        <w:rPr>
          <w:rStyle w:val="FootnoteReference"/>
        </w:rPr>
        <w:footnoteReference w:id="17"/>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18"/>
      </w:r>
      <w:r>
        <w:t xml:space="preserve">  </w:t>
      </w:r>
    </w:p>
    <w:p w:rsidR="00C96CC6" w:rsidP="00C96CC6" w14:paraId="4FD5DEE8" w14:textId="77777777">
      <w:pPr>
        <w:pStyle w:val="Heading4"/>
      </w:pPr>
      <w:bookmarkStart w:id="162" w:name="_Toc254792565"/>
      <w:bookmarkStart w:id="163" w:name="_Toc256669689"/>
      <w:bookmarkStart w:id="164" w:name="_Toc257213222"/>
      <w:bookmarkStart w:id="165" w:name="_Toc257382907"/>
      <w:bookmarkStart w:id="166" w:name="_Toc274056164"/>
      <w:bookmarkStart w:id="167" w:name="_Toc276657569"/>
      <w:bookmarkStart w:id="168" w:name="_Toc278366415"/>
      <w:bookmarkStart w:id="169" w:name="_Toc307584011"/>
      <w:bookmarkStart w:id="170" w:name="_Toc307937285"/>
      <w:bookmarkStart w:id="171" w:name="_Toc374022380"/>
      <w:bookmarkStart w:id="172" w:name="_Toc377659422"/>
      <w:bookmarkStart w:id="173" w:name="_Toc377728288"/>
      <w:bookmarkStart w:id="174" w:name="_Toc505077387"/>
      <w:bookmarkStart w:id="175" w:name="_Toc507144273"/>
      <w:bookmarkStart w:id="176" w:name="_Toc507166572"/>
      <w:bookmarkStart w:id="177" w:name="_Toc508121596"/>
      <w:bookmarkStart w:id="178" w:name="_Toc529870314"/>
      <w:bookmarkStart w:id="179" w:name="_Toc530566491"/>
      <w:bookmarkStart w:id="180" w:name="_Toc531608833"/>
      <w:bookmarkStart w:id="181" w:name="_Toc531700825"/>
      <w:bookmarkStart w:id="182" w:name="_Toc532976607"/>
      <w:bookmarkStart w:id="183" w:name="_Toc536103084"/>
      <w:bookmarkStart w:id="184" w:name="_Toc944528"/>
      <w:bookmarkStart w:id="185" w:name="_Toc4164729"/>
      <w:bookmarkStart w:id="186" w:name="_Toc4419532"/>
      <w:bookmarkStart w:id="187" w:name="_Toc5609508"/>
      <w:bookmarkStart w:id="188" w:name="_Toc5975763"/>
      <w:bookmarkStart w:id="189" w:name="_Toc6220287"/>
      <w:bookmarkStart w:id="190" w:name="_Toc6232620"/>
      <w:r>
        <w:t>Entities Subject to Section 1.2105</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C96CC6" w:rsidRPr="004568B9" w:rsidP="00C96CC6" w14:paraId="5AD5567A" w14:textId="0E49F3ED">
      <w:pPr>
        <w:pStyle w:val="ParaNum"/>
        <w:widowControl/>
        <w:rPr>
          <w:szCs w:val="22"/>
        </w:rPr>
      </w:pPr>
      <w:r>
        <w:t>An “applicant” for purposes of this rule includes the officers and directors of the applicant, all “controlling interests” in the entity submitting the FCC Form 175 auction application, as well as all holders of interests amounting to 10</w:t>
      </w:r>
      <w:r w:rsidR="0053566C">
        <w:t>%</w:t>
      </w:r>
      <w:r>
        <w:t xml:space="preserve"> or more of the entity, and all officers and directors of that entity.</w:t>
      </w:r>
      <w:r>
        <w:rPr>
          <w:rStyle w:val="FootnoteReference"/>
        </w:rPr>
        <w:footnoteReference w:id="19"/>
      </w:r>
      <w:r>
        <w:t xml:space="preserve">  A party that submits an application becomes an “applicant” under the rule at the application deadline and that status does not change based on subsequent developments.</w:t>
      </w:r>
      <w:r>
        <w:rPr>
          <w:rStyle w:val="FootnoteReference"/>
        </w:rPr>
        <w:footnoteReference w:id="20"/>
      </w:r>
    </w:p>
    <w:p w:rsidR="00C96CC6" w:rsidP="00C96CC6" w14:paraId="45636B40" w14:textId="77777777">
      <w:pPr>
        <w:pStyle w:val="Heading4"/>
      </w:pPr>
      <w:bookmarkStart w:id="191" w:name="_Toc507144274"/>
      <w:bookmarkStart w:id="192" w:name="_Toc507166573"/>
      <w:bookmarkStart w:id="193" w:name="_Toc508121597"/>
      <w:bookmarkStart w:id="194" w:name="_Toc529870315"/>
      <w:bookmarkStart w:id="195" w:name="_Toc530566492"/>
      <w:bookmarkStart w:id="196" w:name="_Toc531608834"/>
      <w:bookmarkStart w:id="197" w:name="_Toc531700826"/>
      <w:bookmarkStart w:id="198" w:name="_Toc532976608"/>
      <w:bookmarkStart w:id="199" w:name="_Toc536103085"/>
      <w:bookmarkStart w:id="200" w:name="_Toc944529"/>
      <w:bookmarkStart w:id="201" w:name="_Toc4164730"/>
      <w:bookmarkStart w:id="202" w:name="_Toc4419533"/>
      <w:bookmarkStart w:id="203" w:name="_Toc5609509"/>
      <w:bookmarkStart w:id="204" w:name="_Toc5975764"/>
      <w:bookmarkStart w:id="205" w:name="_Toc6220288"/>
      <w:bookmarkStart w:id="206" w:name="_Toc6232621"/>
      <w:r>
        <w:t>Scope of Prohibition on Communications</w:t>
      </w:r>
      <w:bookmarkEnd w:id="191"/>
      <w:bookmarkEnd w:id="192"/>
      <w:r>
        <w:t>; Prohibition on Joint Bidding Agreements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C96CC6" w:rsidRPr="00C61FA4" w:rsidP="00C96CC6" w14:paraId="1216436E" w14:textId="53FBD635">
      <w:pPr>
        <w:pStyle w:val="ParaNum"/>
        <w:widowControl/>
      </w:pPr>
      <w:r>
        <w:t>The Commission updated and revised section 1.2105(c)’s prohibition on communications by auction applicants in recent years.</w:t>
      </w:r>
      <w:r>
        <w:rPr>
          <w:rStyle w:val="FootnoteReference"/>
        </w:rPr>
        <w:footnoteReference w:id="21"/>
      </w:r>
      <w:r>
        <w:t xml:space="preserve">  Significantly, the Commission in 2015 amended section 1.2105(c) to extend the prohibition on communications to cover all applicants for an auction regardless of whether the applicants seek permits or licenses in the same geographic area or market.</w:t>
      </w:r>
      <w:r>
        <w:rPr>
          <w:rStyle w:val="FootnoteReference"/>
        </w:rPr>
        <w:footnoteReference w:id="22"/>
      </w:r>
      <w:r>
        <w:t xml:space="preserve">  In connection with those 2015 amendments to the</w:t>
      </w:r>
      <w:r>
        <w:rPr>
          <w:szCs w:val="22"/>
        </w:rPr>
        <w:t xml:space="preserve"> competitive bidding rules, the Commission now prohibits a “joint bidding arrangement,” including </w:t>
      </w:r>
      <w:r w:rsidR="00647C71">
        <w:rPr>
          <w:szCs w:val="22"/>
        </w:rPr>
        <w:t>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sidR="007943E0">
        <w:rPr>
          <w:szCs w:val="22"/>
        </w:rPr>
        <w:t>.</w:t>
      </w:r>
      <w:r>
        <w:rPr>
          <w:rStyle w:val="FootnoteReference"/>
          <w:szCs w:val="22"/>
        </w:rPr>
        <w:footnoteReference w:id="23"/>
      </w:r>
      <w:r>
        <w:t xml:space="preserve">  The revised rule provides limited exceptions for a communication within the scope of any arrangement consistent with the exclusion from our rule prohibiting </w:t>
      </w:r>
      <w:r>
        <w:rPr>
          <w:szCs w:val="22"/>
        </w:rPr>
        <w:t>joint bidding, provided such arrangement is disclosed on the applicant’s auction application</w:t>
      </w:r>
      <w:r>
        <w:t>.</w:t>
      </w:r>
      <w:r>
        <w:rPr>
          <w:rStyle w:val="FootnoteReference"/>
        </w:rPr>
        <w:footnoteReference w:id="24"/>
      </w:r>
      <w:r>
        <w:t xml:space="preserve">  An applicant may continue to communicate pursuant to any pre-existing agreements, arrangements, or understandings that are solely operational or that provide for transfer or assignment of license, provided that such agreements, arrangements or understandings do not involve the communication or coordination of bids  (including amounts), bidding strategies, or the particular permits or licenses on which to bid and provided that such agreements, arrangements or understandings are disclosed on its application.</w:t>
      </w:r>
      <w:r>
        <w:rPr>
          <w:rStyle w:val="FootnoteReference"/>
        </w:rPr>
        <w:footnoteReference w:id="25"/>
      </w:r>
      <w:r>
        <w:t xml:space="preserve">  </w:t>
      </w:r>
      <w:r w:rsidRPr="004568B9">
        <w:rPr>
          <w:szCs w:val="22"/>
        </w:rPr>
        <w:t xml:space="preserve"> </w:t>
      </w:r>
      <w:r w:rsidRPr="00FA45D5">
        <w:rPr>
          <w:szCs w:val="22"/>
        </w:rPr>
        <w:t xml:space="preserve"> </w:t>
      </w:r>
    </w:p>
    <w:p w:rsidR="00C96CC6" w:rsidP="00C96CC6" w14:paraId="7B2589E1" w14:textId="77777777">
      <w:pPr>
        <w:pStyle w:val="ParaNum"/>
        <w:widowControl/>
      </w:pPr>
      <w:r>
        <w:t>In recognition of the specific eligibility restrictions and filing procedures established by the Commission for the Auction 100 filing window,</w:t>
      </w:r>
      <w:r>
        <w:rPr>
          <w:rStyle w:val="FootnoteReference"/>
        </w:rPr>
        <w:footnoteReference w:id="26"/>
      </w:r>
      <w:r>
        <w:t xml:space="preserve"> in the </w:t>
      </w:r>
      <w:r w:rsidRPr="00957E6C">
        <w:rPr>
          <w:i/>
        </w:rPr>
        <w:t>Auction 100 Filing Instructions Public Notice</w:t>
      </w:r>
      <w:r>
        <w:t>,</w:t>
      </w:r>
      <w:r>
        <w:rPr>
          <w:rStyle w:val="FootnoteReference"/>
        </w:rPr>
        <w:footnoteReference w:id="27"/>
      </w:r>
      <w:r>
        <w:t xml:space="preserve"> the Bureaus waived for Auction 100 provisions of section 1.2105(a)(3) to allow entities controlled by the same individual or set of individuals to file separate Forms 175.  Because some Auction 100 applicants under common control filed separate Forms 175 relying on the waiver of section 1.2105(a)(3), t</w:t>
      </w:r>
      <w:r w:rsidRPr="00C61FA4">
        <w:rPr>
          <w:szCs w:val="22"/>
        </w:rPr>
        <w:t xml:space="preserve">he Bureaus sought comment in the </w:t>
      </w:r>
      <w:r w:rsidRPr="00C61FA4">
        <w:rPr>
          <w:i/>
          <w:szCs w:val="22"/>
        </w:rPr>
        <w:t xml:space="preserve">Auction </w:t>
      </w:r>
      <w:r>
        <w:rPr>
          <w:i/>
          <w:szCs w:val="22"/>
        </w:rPr>
        <w:t>100</w:t>
      </w:r>
      <w:r w:rsidRPr="00C61FA4">
        <w:rPr>
          <w:i/>
          <w:szCs w:val="22"/>
        </w:rPr>
        <w:t xml:space="preserve"> Comment Public Notice</w:t>
      </w:r>
      <w:r w:rsidRPr="004D3847">
        <w:t xml:space="preserve"> on whether it would be appropriate to waive or modify the application of </w:t>
      </w:r>
      <w:r>
        <w:t xml:space="preserve">certain </w:t>
      </w:r>
      <w:r w:rsidRPr="004D3847">
        <w:t xml:space="preserve">section 1.2105 provisions so that Auction </w:t>
      </w:r>
      <w:r>
        <w:t>100</w:t>
      </w:r>
      <w:r w:rsidRPr="004D3847">
        <w:t xml:space="preserve"> applicants relying on the waiver of section 1.2105(a)(3) will not thereby violate other provisions</w:t>
      </w:r>
      <w:r w:rsidRPr="00017172">
        <w:t xml:space="preserve"> </w:t>
      </w:r>
      <w:r>
        <w:t>of section 1.2105</w:t>
      </w:r>
      <w:r w:rsidRPr="004D3847">
        <w:t>.</w:t>
      </w:r>
      <w:r>
        <w:rPr>
          <w:rStyle w:val="FootnoteReference"/>
          <w:szCs w:val="22"/>
        </w:rPr>
        <w:footnoteReference w:id="28"/>
      </w:r>
      <w:r>
        <w:t xml:space="preserve">  For instance, in the absence of a waiver, such applicants could be at risk of violating section 1.2105(c) because the Commission presumes that bidding strategies are communicated between entities that share a common officer or director.</w:t>
      </w:r>
      <w:r>
        <w:rPr>
          <w:rStyle w:val="FootnoteReference"/>
        </w:rPr>
        <w:footnoteReference w:id="29"/>
      </w:r>
      <w:r>
        <w:t xml:space="preserve">  Moreover, current rules bar </w:t>
      </w:r>
      <w:r>
        <w:t>most kinds of joint bidding agreements, including agreements for certain communication between commonly controlled entities or other auction applications under the rules applicable before the 2015 revision of the competitive bidding rules.</w:t>
      </w:r>
      <w:r>
        <w:rPr>
          <w:rStyle w:val="FootnoteReference"/>
        </w:rPr>
        <w:footnoteReference w:id="30"/>
      </w:r>
      <w:r>
        <w:t xml:space="preserve">  Further, when there is a disclosable interest holder or holders for more than one Form 175 in the same auction, section 1.2105(a)(2)(x) requires that each such Form 175 include a certification that internal controls have been implemented that preclude any individual acting on behalf of an Auction 100 applicant from possessing information about the bids or bidding strategies, including post-auction market structure, of more than one Auction 100 applicant or communicating such information to anyone possessing such information regarding another Auction 100 applicant.</w:t>
      </w:r>
      <w:r>
        <w:rPr>
          <w:rStyle w:val="FootnoteReference"/>
        </w:rPr>
        <w:footnoteReference w:id="31"/>
      </w:r>
      <w:r w:rsidRPr="004D3847">
        <w:t xml:space="preserve">  </w:t>
      </w:r>
    </w:p>
    <w:p w:rsidR="00C96CC6" w:rsidRPr="00FA45D5" w:rsidP="007D31D7" w14:paraId="6A278268" w14:textId="518EB980">
      <w:pPr>
        <w:pStyle w:val="ParaNum"/>
        <w:widowControl/>
      </w:pPr>
      <w:r>
        <w:t>The sole party to respond</w:t>
      </w:r>
      <w:r>
        <w:t xml:space="preserve"> on this issue</w:t>
      </w:r>
      <w:r>
        <w:t xml:space="preserve">, </w:t>
      </w:r>
      <w:r w:rsidR="00CD02F4">
        <w:t>iHeartMedia, Inc. (</w:t>
      </w:r>
      <w:r w:rsidR="00CD02F4">
        <w:t>iHeart</w:t>
      </w:r>
      <w:r w:rsidR="00CD02F4">
        <w:t>)</w:t>
      </w:r>
      <w:r w:rsidR="007943E0">
        <w:t>,</w:t>
      </w:r>
      <w:r w:rsidR="00CD02F4">
        <w:t xml:space="preserve"> request</w:t>
      </w:r>
      <w:r>
        <w:t>ed</w:t>
      </w:r>
      <w:r w:rsidR="00CD02F4">
        <w:t xml:space="preserve"> waiver of section 1.2105(c) of the Commission’s rules on behalf of three indirectly owned subsidiaries</w:t>
      </w:r>
      <w:r w:rsidR="000A05EB">
        <w:t xml:space="preserve"> </w:t>
      </w:r>
      <w:r>
        <w:t>that are Auction 100 applicants</w:t>
      </w:r>
      <w:r w:rsidR="00CD02F4">
        <w:t xml:space="preserve">, to </w:t>
      </w:r>
      <w:r>
        <w:t xml:space="preserve">allow those commonly owned applicants to </w:t>
      </w:r>
      <w:r w:rsidR="00CD02F4">
        <w:t>engage in communication among themselves</w:t>
      </w:r>
      <w:r>
        <w:t xml:space="preserve"> during the auction</w:t>
      </w:r>
      <w:r w:rsidR="00CD02F4">
        <w:t>.</w:t>
      </w:r>
      <w:r>
        <w:rPr>
          <w:rStyle w:val="FootnoteReference"/>
        </w:rPr>
        <w:footnoteReference w:id="32"/>
      </w:r>
      <w:r w:rsidR="00CD02F4">
        <w:t xml:space="preserve">  </w:t>
      </w:r>
      <w:r w:rsidR="00F7675F">
        <w:t>Consistent with similar relief granted to commonly controlled applicants for Auction 99, the first cross-service FM translator auction,</w:t>
      </w:r>
      <w:r>
        <w:rPr>
          <w:rStyle w:val="FootnoteReference"/>
        </w:rPr>
        <w:footnoteReference w:id="33"/>
      </w:r>
      <w:r w:rsidR="00F7675F">
        <w:t xml:space="preserve"> MB and OEA </w:t>
      </w:r>
      <w:r w:rsidR="006D7453">
        <w:t>have</w:t>
      </w:r>
      <w:r w:rsidR="00F7675F">
        <w:t xml:space="preserve"> granted a limited waiver of section 1.2105(c) to allow </w:t>
      </w:r>
      <w:r w:rsidR="00F7675F">
        <w:t>Capstar</w:t>
      </w:r>
      <w:r w:rsidR="00F7675F">
        <w:t xml:space="preserve"> TX, LLC, CC Licenses, LLC and </w:t>
      </w:r>
      <w:r w:rsidR="00F7675F">
        <w:t>Citicasters</w:t>
      </w:r>
      <w:r w:rsidR="00F7675F">
        <w:t xml:space="preserve"> Licenses, Inc. to participate in Auction 100 as separate applicants under common control and to share bidding information among themselves by virtue of having the same ownership and control.</w:t>
      </w:r>
      <w:r>
        <w:rPr>
          <w:rStyle w:val="FootnoteReference"/>
        </w:rPr>
        <w:footnoteReference w:id="34"/>
      </w:r>
    </w:p>
    <w:p w:rsidR="00C96CC6" w:rsidP="00C96CC6" w14:paraId="08C2D1C9" w14:textId="77777777">
      <w:pPr>
        <w:pStyle w:val="Heading4"/>
      </w:pPr>
      <w:bookmarkStart w:id="209" w:name="_Toc505077391"/>
      <w:bookmarkStart w:id="210" w:name="_Toc507144275"/>
      <w:bookmarkStart w:id="211" w:name="_Toc507166574"/>
      <w:bookmarkStart w:id="212" w:name="_Toc508121598"/>
      <w:bookmarkStart w:id="213" w:name="_Toc529870316"/>
      <w:bookmarkStart w:id="214" w:name="_Toc530566493"/>
      <w:bookmarkStart w:id="215" w:name="_Toc531608835"/>
      <w:bookmarkStart w:id="216" w:name="_Toc531700827"/>
      <w:bookmarkStart w:id="217" w:name="_Toc532976609"/>
      <w:bookmarkStart w:id="218" w:name="_Toc536103086"/>
      <w:bookmarkStart w:id="219" w:name="_Toc944530"/>
      <w:bookmarkStart w:id="220" w:name="_Toc4164731"/>
      <w:bookmarkStart w:id="221" w:name="_Toc4419534"/>
      <w:bookmarkStart w:id="222" w:name="_Toc5609510"/>
      <w:bookmarkStart w:id="223" w:name="_Toc5975765"/>
      <w:bookmarkStart w:id="224" w:name="_Toc6220289"/>
      <w:bookmarkStart w:id="225" w:name="_Toc6232622"/>
      <w:r>
        <w:t>Section 1.2105(c) Certification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96CC6" w:rsidP="00C96CC6" w14:paraId="34F6C51E" w14:textId="77777777">
      <w:pPr>
        <w:pStyle w:val="ParaNum"/>
        <w:widowControl/>
        <w:rPr>
          <w:szCs w:val="22"/>
        </w:rPr>
      </w:pPr>
      <w:r w:rsidRPr="00A65F60">
        <w:rPr>
          <w:szCs w:val="22"/>
        </w:rPr>
        <w:t xml:space="preserve">By electronically submitting </w:t>
      </w:r>
      <w:r>
        <w:rPr>
          <w:szCs w:val="22"/>
        </w:rPr>
        <w:t>its</w:t>
      </w:r>
      <w:r w:rsidRPr="00A65F60">
        <w:rPr>
          <w:szCs w:val="22"/>
        </w:rPr>
        <w:t xml:space="preserve"> </w:t>
      </w:r>
      <w:r>
        <w:rPr>
          <w:szCs w:val="22"/>
        </w:rPr>
        <w:t>auction application (FCC Form 175)</w:t>
      </w:r>
      <w:r w:rsidRPr="00A65F60">
        <w:rPr>
          <w:szCs w:val="22"/>
        </w:rPr>
        <w:t xml:space="preserve">, each applicant in Auction </w:t>
      </w:r>
      <w:r>
        <w:rPr>
          <w:szCs w:val="22"/>
        </w:rPr>
        <w:t>100 certified</w:t>
      </w:r>
      <w:r w:rsidRPr="00A65F60">
        <w:rPr>
          <w:szCs w:val="22"/>
        </w:rPr>
        <w:t xml:space="preserve"> its compliance with sections 1.2105(c) </w:t>
      </w:r>
      <w:r w:rsidRPr="00E612AB">
        <w:rPr>
          <w:szCs w:val="22"/>
        </w:rPr>
        <w:t xml:space="preserve">and </w:t>
      </w:r>
      <w:r w:rsidRPr="007B1543">
        <w:rPr>
          <w:szCs w:val="22"/>
        </w:rPr>
        <w:t>73.5002</w:t>
      </w:r>
      <w:r w:rsidRPr="007B1543">
        <w:rPr>
          <w:color w:val="000000"/>
          <w:szCs w:val="22"/>
        </w:rPr>
        <w:t>(d)</w:t>
      </w:r>
      <w:r>
        <w:rPr>
          <w:color w:val="000000"/>
          <w:szCs w:val="22"/>
        </w:rPr>
        <w:t xml:space="preserve"> of the rules</w:t>
      </w:r>
      <w:r w:rsidRPr="00E612AB">
        <w:rPr>
          <w:szCs w:val="22"/>
        </w:rPr>
        <w:t>.</w:t>
      </w:r>
      <w:r>
        <w:rPr>
          <w:rStyle w:val="FootnoteReference"/>
          <w:szCs w:val="22"/>
        </w:rPr>
        <w:footnoteReference w:id="35"/>
      </w:r>
      <w:r w:rsidRPr="000647D5">
        <w:rPr>
          <w:szCs w:val="22"/>
        </w:rPr>
        <w:t xml:space="preserve">  </w:t>
      </w:r>
      <w:r w:rsidRPr="00A65F60">
        <w:rPr>
          <w:szCs w:val="22"/>
        </w:rPr>
        <w:t>However, the mere</w:t>
      </w:r>
      <w:r>
        <w:rPr>
          <w:szCs w:val="22"/>
        </w:rPr>
        <w:t xml:space="preserve"> filing of </w:t>
      </w:r>
      <w:r w:rsidRPr="00A65F60">
        <w:rPr>
          <w:szCs w:val="22"/>
        </w:rPr>
        <w:t xml:space="preserve">a certifying </w:t>
      </w:r>
      <w:r w:rsidRPr="002A0DC5">
        <w:t>statement</w:t>
      </w:r>
      <w:r w:rsidRPr="00A65F60">
        <w:rPr>
          <w:szCs w:val="22"/>
        </w:rPr>
        <w:t xml:space="preserve"> as part of an application will not outweigh</w:t>
      </w:r>
      <w:r w:rsidRPr="007E5680">
        <w:rPr>
          <w:szCs w:val="22"/>
        </w:rPr>
        <w:t xml:space="preserve"> specific</w:t>
      </w:r>
      <w:r>
        <w:rPr>
          <w:szCs w:val="22"/>
        </w:rPr>
        <w:t xml:space="preserve"> </w:t>
      </w:r>
      <w:r w:rsidRPr="00BA4CA7">
        <w:rPr>
          <w:szCs w:val="22"/>
        </w:rPr>
        <w:t>evidence</w:t>
      </w:r>
      <w:r>
        <w:rPr>
          <w:szCs w:val="22"/>
        </w:rPr>
        <w:t xml:space="preserve"> that a prohibited communication has occurred, nor will it preclude the initiation of an investigation when warranted.</w:t>
      </w:r>
      <w:r>
        <w:rPr>
          <w:rStyle w:val="FootnoteReference"/>
          <w:szCs w:val="22"/>
        </w:rPr>
        <w:footnoteReference w:id="36"/>
      </w:r>
      <w:r>
        <w:rPr>
          <w:szCs w:val="22"/>
        </w:rPr>
        <w:t xml:space="preserve">  Any applicant found to have violated these communication prohibitions may be subject to sanctions.</w:t>
      </w:r>
      <w:r>
        <w:rPr>
          <w:rStyle w:val="FootnoteReference"/>
          <w:szCs w:val="22"/>
        </w:rPr>
        <w:footnoteReference w:id="37"/>
      </w:r>
    </w:p>
    <w:p w:rsidR="00C96CC6" w:rsidP="00C96CC6" w14:paraId="79F4D31B" w14:textId="77777777">
      <w:pPr>
        <w:pStyle w:val="Heading4"/>
      </w:pPr>
      <w:bookmarkStart w:id="226" w:name="_Toc507144276"/>
      <w:bookmarkStart w:id="227" w:name="_Toc507166575"/>
      <w:bookmarkStart w:id="228" w:name="_Toc508121599"/>
      <w:bookmarkStart w:id="229" w:name="_Toc529870317"/>
      <w:bookmarkStart w:id="230" w:name="_Toc530566494"/>
      <w:bookmarkStart w:id="231" w:name="_Toc531608836"/>
      <w:bookmarkStart w:id="232" w:name="_Toc531700828"/>
      <w:bookmarkStart w:id="233" w:name="_Toc532976610"/>
      <w:bookmarkStart w:id="234" w:name="_Toc536103087"/>
      <w:bookmarkStart w:id="235" w:name="_Toc944531"/>
      <w:bookmarkStart w:id="236" w:name="_Toc4164732"/>
      <w:bookmarkStart w:id="237" w:name="_Toc4419535"/>
      <w:bookmarkStart w:id="238" w:name="_Toc5609511"/>
      <w:bookmarkStart w:id="239" w:name="_Toc5975766"/>
      <w:bookmarkStart w:id="240" w:name="_Toc6220290"/>
      <w:bookmarkStart w:id="241" w:name="_Toc6232623"/>
      <w:r>
        <w:t>Reporting Requirements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C96CC6" w:rsidRPr="00A65F60" w:rsidP="00C96CC6" w14:paraId="4053B064" w14:textId="77777777">
      <w:pPr>
        <w:pStyle w:val="ParaNum"/>
        <w:widowControl/>
        <w:rPr>
          <w:szCs w:val="22"/>
        </w:rPr>
      </w:pPr>
      <w:r>
        <w:t xml:space="preserve">Section 1.2105(c)(4) requires that any applicant that makes or receives a communication that appears to violate section 1.2105(c) must report such communication in writing to the Commission </w:t>
      </w:r>
      <w:r>
        <w:t>immediately, and in no case later than five business days after the communication occurs.</w:t>
      </w:r>
      <w:r>
        <w:rPr>
          <w:rStyle w:val="FootnoteReference"/>
          <w:szCs w:val="22"/>
        </w:rPr>
        <w:footnoteReference w:id="38"/>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39"/>
      </w:r>
    </w:p>
    <w:p w:rsidR="00C96CC6" w:rsidP="00C96CC6" w14:paraId="65A2B049" w14:textId="77777777">
      <w:pPr>
        <w:pStyle w:val="Heading4"/>
      </w:pPr>
      <w:bookmarkStart w:id="242" w:name="_Toc505077393"/>
      <w:bookmarkStart w:id="243" w:name="_Toc507144277"/>
      <w:bookmarkStart w:id="244" w:name="_Toc507166576"/>
      <w:bookmarkStart w:id="245" w:name="_Toc508121600"/>
      <w:bookmarkStart w:id="246" w:name="_Toc529870318"/>
      <w:bookmarkStart w:id="247" w:name="_Toc530566495"/>
      <w:bookmarkStart w:id="248" w:name="_Toc531608837"/>
      <w:bookmarkStart w:id="249" w:name="_Toc531700829"/>
      <w:bookmarkStart w:id="250" w:name="_Toc532976611"/>
      <w:bookmarkStart w:id="251" w:name="_Toc536103088"/>
      <w:bookmarkStart w:id="252" w:name="_Toc944532"/>
      <w:bookmarkStart w:id="253" w:name="_Toc4164733"/>
      <w:bookmarkStart w:id="254" w:name="_Toc4419536"/>
      <w:bookmarkStart w:id="255" w:name="_Toc5609512"/>
      <w:bookmarkStart w:id="256" w:name="_Toc5975767"/>
      <w:bookmarkStart w:id="257" w:name="_Toc6220291"/>
      <w:bookmarkStart w:id="258" w:name="_Toc6232624"/>
      <w:r>
        <w:t>Procedures for Reporting Prohibited Communications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C96CC6" w:rsidRPr="00415F2C" w:rsidP="00C96CC6" w14:paraId="2D51D70F" w14:textId="412CC802">
      <w:pPr>
        <w:pStyle w:val="ParaNum"/>
        <w:widowControl/>
        <w:rPr>
          <w:vanish/>
          <w:szCs w:val="22"/>
          <w:specVanish/>
        </w:rPr>
      </w:pPr>
      <w:r w:rsidRPr="00A65F60">
        <w:t xml:space="preserve">Section 1.2105(c) requires parties to file only a single report concerning </w:t>
      </w:r>
      <w:r>
        <w:t>a prohibited</w:t>
      </w:r>
      <w:r w:rsidRPr="00A65F60">
        <w:t xml:space="preserve"> communication and to file that report with Commission personnel expressly</w:t>
      </w:r>
      <w:r>
        <w:t xml:space="preserve"> charged with administering the Commission’s auctions.</w:t>
      </w:r>
      <w:r>
        <w:rPr>
          <w:rStyle w:val="FootnoteReference"/>
          <w:szCs w:val="22"/>
        </w:rPr>
        <w:footnoteReference w:id="40"/>
      </w:r>
      <w: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41"/>
      </w:r>
      <w:r>
        <w:t xml:space="preserve">  For Auction 100, such reports must be filed with the Chief of the Auctions </w:t>
      </w:r>
      <w:r w:rsidRPr="00A65F60">
        <w:t xml:space="preserve">Division, </w:t>
      </w:r>
      <w:r w:rsidR="00957529">
        <w:t>OEA</w:t>
      </w:r>
      <w:r w:rsidRPr="00A65F60">
        <w:t>, by the most expeditious means available.  Any such report should be submitted by email to</w:t>
      </w:r>
      <w:r>
        <w:t xml:space="preserve"> Margaret W. Wiener at the following email address: </w:t>
      </w:r>
      <w:hyperlink r:id="rId6" w:history="1">
        <w:r>
          <w:rPr>
            <w:rStyle w:val="Hyperlink"/>
          </w:rPr>
          <w:t>auction100@fcc.gov</w:t>
        </w:r>
      </w:hyperlink>
      <w:r w:rsidRPr="00A65F60">
        <w:t xml:space="preserve">.  </w:t>
      </w:r>
      <w:r>
        <w:t>If you choose instead to submit a report in hard copy, any such report must be delivered only to:</w:t>
      </w:r>
      <w:r w:rsidRPr="00A65F60">
        <w:t xml:space="preserve"> </w:t>
      </w:r>
      <w:r w:rsidRPr="00A65F60">
        <w:rPr>
          <w:color w:val="000000"/>
        </w:rPr>
        <w:t xml:space="preserve">Margaret W. Wiener, Chief, Auctions Division, </w:t>
      </w:r>
      <w:r w:rsidR="00957529">
        <w:rPr>
          <w:color w:val="000000"/>
        </w:rPr>
        <w:t>OEA</w:t>
      </w:r>
      <w:r w:rsidRPr="00A65F60">
        <w:rPr>
          <w:color w:val="000000"/>
        </w:rPr>
        <w:t>, Federal Communications Commission, 445 12</w:t>
      </w:r>
      <w:r w:rsidRPr="00A65F60">
        <w:rPr>
          <w:color w:val="000000"/>
          <w:vertAlign w:val="superscript"/>
        </w:rPr>
        <w:t>th</w:t>
      </w:r>
      <w:r w:rsidRPr="00A65F60">
        <w:rPr>
          <w:color w:val="000000"/>
        </w:rPr>
        <w:t xml:space="preserve"> Street, SW, Washington, DC 20554</w:t>
      </w:r>
      <w:r w:rsidRPr="00A65F60">
        <w:t>.</w:t>
      </w:r>
    </w:p>
    <w:p w:rsidR="00C96CC6" w:rsidRPr="001762EA" w:rsidP="00C96CC6" w14:paraId="37B41B90" w14:textId="77777777">
      <w:pPr>
        <w:pStyle w:val="ParaNum"/>
        <w:widowControl/>
        <w:numPr>
          <w:ilvl w:val="0"/>
          <w:numId w:val="0"/>
        </w:numPr>
        <w:rPr>
          <w:szCs w:val="22"/>
        </w:rPr>
      </w:pPr>
    </w:p>
    <w:p w:rsidR="00C96CC6" w:rsidRPr="001762EA" w:rsidP="00C96CC6" w14:paraId="1392373C" w14:textId="4584DF50">
      <w:pPr>
        <w:pStyle w:val="ParaNum"/>
        <w:widowControl/>
        <w:rPr>
          <w:szCs w:val="22"/>
        </w:rPr>
      </w:pPr>
      <w:r w:rsidRPr="00A65F60">
        <w:t>A party reporting any communication pursuant to sections 1.65, 1.2105(a)(2), or 1.2105(c</w:t>
      </w:r>
      <w:r w:rsidRPr="001762EA">
        <w:rPr>
          <w:szCs w:val="22"/>
        </w:rPr>
        <w:t>)(4)</w:t>
      </w:r>
      <w:r w:rsidRPr="00A65F60">
        <w:t xml:space="preserve"> must take care to ensure that any report of a </w:t>
      </w:r>
      <w:r w:rsidRPr="001762EA">
        <w:rPr>
          <w:szCs w:val="22"/>
        </w:rPr>
        <w:t>prohibited</w:t>
      </w:r>
      <w:r w:rsidRPr="00A65F60">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w:t>
      </w:r>
      <w:r>
        <w:t xml:space="preserve"> </w:t>
      </w:r>
      <w:r w:rsidRPr="00A65F60">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42"/>
      </w:r>
      <w:r w:rsidRPr="00A65F60">
        <w:t xml:space="preserve">  Such parties also are encouraged to coordinate with Auctions Division staff about the procedures for submitting such reports.</w:t>
      </w:r>
      <w:r>
        <w:rPr>
          <w:rStyle w:val="FootnoteReference"/>
        </w:rPr>
        <w:footnoteReference w:id="43"/>
      </w:r>
      <w:r w:rsidRPr="00A65F60">
        <w:t xml:space="preserve">  This Public Notice provides additional</w:t>
      </w:r>
      <w:r w:rsidRPr="007E5680">
        <w:t xml:space="preserve"> guidance on procedures for submitting application-related information below.</w:t>
      </w:r>
      <w:r>
        <w:rPr>
          <w:rStyle w:val="FootnoteReference"/>
        </w:rPr>
        <w:footnoteReference w:id="44"/>
      </w:r>
      <w:r w:rsidRPr="001762EA">
        <w:rPr>
          <w:szCs w:val="22"/>
        </w:rPr>
        <w:t xml:space="preserve">  </w:t>
      </w:r>
    </w:p>
    <w:p w:rsidR="00C96CC6" w:rsidP="00C96CC6" w14:paraId="6B5DBD0E" w14:textId="77777777">
      <w:pPr>
        <w:pStyle w:val="Heading4"/>
      </w:pPr>
      <w:bookmarkStart w:id="259" w:name="_Toc505077394"/>
      <w:bookmarkStart w:id="260" w:name="_Toc507144278"/>
      <w:bookmarkStart w:id="261" w:name="_Toc507166577"/>
      <w:bookmarkStart w:id="262" w:name="_Toc508121601"/>
      <w:bookmarkStart w:id="263" w:name="_Toc529870319"/>
      <w:bookmarkStart w:id="264" w:name="_Toc530566496"/>
      <w:bookmarkStart w:id="265" w:name="_Toc531608838"/>
      <w:bookmarkStart w:id="266" w:name="_Toc531700830"/>
      <w:bookmarkStart w:id="267" w:name="_Toc532976612"/>
      <w:bookmarkStart w:id="268" w:name="_Toc536103089"/>
      <w:bookmarkStart w:id="269" w:name="_Toc944533"/>
      <w:bookmarkStart w:id="270" w:name="_Toc4164734"/>
      <w:bookmarkStart w:id="271" w:name="_Toc4419537"/>
      <w:bookmarkStart w:id="272" w:name="_Toc5609513"/>
      <w:bookmarkStart w:id="273" w:name="_Toc5975768"/>
      <w:bookmarkStart w:id="274" w:name="_Toc6220292"/>
      <w:bookmarkStart w:id="275" w:name="_Toc6232625"/>
      <w:r>
        <w:t>Winning Bidders Must Disclose Terms of Agreements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C96CC6" w:rsidP="00C96CC6" w14:paraId="062AAE23" w14:textId="77777777">
      <w:pPr>
        <w:pStyle w:val="ParaNum"/>
        <w:widowControl/>
      </w:pPr>
      <w:r>
        <w:rPr>
          <w:szCs w:val="22"/>
        </w:rPr>
        <w:t>Each a</w:t>
      </w:r>
      <w:r w:rsidRPr="007E5680">
        <w:rPr>
          <w:szCs w:val="22"/>
        </w:rPr>
        <w:t xml:space="preserve">pplicant that </w:t>
      </w:r>
      <w:r>
        <w:rPr>
          <w:szCs w:val="22"/>
        </w:rPr>
        <w:t>is a</w:t>
      </w:r>
      <w:r w:rsidRPr="007E5680">
        <w:rPr>
          <w:szCs w:val="22"/>
        </w:rPr>
        <w:t xml:space="preserve"> winning bidder will be required to disclose in </w:t>
      </w:r>
      <w:r>
        <w:rPr>
          <w:szCs w:val="22"/>
        </w:rPr>
        <w:t>its</w:t>
      </w:r>
      <w:r w:rsidRPr="007E5680">
        <w:rPr>
          <w:szCs w:val="22"/>
        </w:rPr>
        <w:t xml:space="preserve"> long-form application the specific terms, conditions, and parties involved in </w:t>
      </w:r>
      <w:r>
        <w:rPr>
          <w:szCs w:val="22"/>
        </w:rPr>
        <w:t>any agreement it has entered into.</w:t>
      </w:r>
      <w:r>
        <w:rPr>
          <w:rStyle w:val="FootnoteReference"/>
          <w:szCs w:val="22"/>
        </w:rPr>
        <w:footnoteReference w:id="45"/>
      </w:r>
      <w:r>
        <w:rPr>
          <w:szCs w:val="22"/>
        </w:rPr>
        <w:t xml:space="preserve">  </w:t>
      </w:r>
      <w:r>
        <w:rPr>
          <w:szCs w:val="22"/>
        </w:rPr>
        <w:t xml:space="preserve">This applies to </w:t>
      </w:r>
      <w:r w:rsidRPr="007E5680">
        <w:rPr>
          <w:szCs w:val="22"/>
        </w:rPr>
        <w:t>any bidding consortia, joint venture, partnership</w:t>
      </w:r>
      <w:r>
        <w:rPr>
          <w:szCs w:val="22"/>
        </w:rPr>
        <w:t>,</w:t>
      </w:r>
      <w:r w:rsidRPr="007E5680">
        <w:rPr>
          <w:szCs w:val="22"/>
        </w:rPr>
        <w:t xml:space="preserve"> or agreement</w:t>
      </w:r>
      <w:r>
        <w:rPr>
          <w:szCs w:val="22"/>
        </w:rPr>
        <w:t>, understanding,</w:t>
      </w:r>
      <w:r w:rsidRPr="007E5680">
        <w:rPr>
          <w:szCs w:val="22"/>
        </w:rPr>
        <w:t xml:space="preserve"> or other arrangement entered into relating to the competitive bidding process</w:t>
      </w:r>
      <w:r>
        <w:rPr>
          <w:szCs w:val="22"/>
        </w:rPr>
        <w:t>, including any agreement relating to the post-</w:t>
      </w:r>
      <w:r w:rsidRPr="002A0DC5">
        <w:t>auction</w:t>
      </w:r>
      <w:r>
        <w:rPr>
          <w:szCs w:val="22"/>
        </w:rPr>
        <w:t xml:space="preserve"> market structure</w:t>
      </w:r>
      <w:r w:rsidRPr="007E5680">
        <w:rPr>
          <w:szCs w:val="22"/>
        </w:rPr>
        <w:t>.</w:t>
      </w:r>
      <w:r>
        <w:rPr>
          <w:rStyle w:val="FootnoteReference"/>
          <w:szCs w:val="22"/>
        </w:rPr>
        <w:footnoteReference w:id="46"/>
      </w:r>
      <w:r w:rsidRPr="007E5680">
        <w:rPr>
          <w:szCs w:val="22"/>
        </w:rPr>
        <w:t xml:space="preserve"> </w:t>
      </w:r>
      <w:r>
        <w:t xml:space="preserve"> F</w:t>
      </w:r>
      <w:r w:rsidRPr="007E5680">
        <w:t>ailure to comply with the Commission’s rules can result in enforcement action.</w:t>
      </w:r>
    </w:p>
    <w:p w:rsidR="00C96CC6" w:rsidP="00C96CC6" w14:paraId="2E67257F" w14:textId="77777777">
      <w:pPr>
        <w:pStyle w:val="Heading4"/>
      </w:pPr>
      <w:bookmarkStart w:id="276" w:name="_Toc505077395"/>
      <w:bookmarkStart w:id="277" w:name="_Toc507144279"/>
      <w:bookmarkStart w:id="278" w:name="_Toc507166578"/>
      <w:bookmarkStart w:id="279" w:name="_Toc508121602"/>
      <w:bookmarkStart w:id="280" w:name="_Toc529870320"/>
      <w:bookmarkStart w:id="281" w:name="_Toc530566497"/>
      <w:bookmarkStart w:id="282" w:name="_Toc531608839"/>
      <w:bookmarkStart w:id="283" w:name="_Toc531700831"/>
      <w:bookmarkStart w:id="284" w:name="_Toc532976613"/>
      <w:bookmarkStart w:id="285" w:name="_Toc536103090"/>
      <w:bookmarkStart w:id="286" w:name="_Toc944534"/>
      <w:bookmarkStart w:id="287" w:name="_Toc4164735"/>
      <w:bookmarkStart w:id="288" w:name="_Toc4419538"/>
      <w:bookmarkStart w:id="289" w:name="_Toc5609514"/>
      <w:bookmarkStart w:id="290" w:name="_Toc5975769"/>
      <w:bookmarkStart w:id="291" w:name="_Toc6220293"/>
      <w:bookmarkStart w:id="292" w:name="_Toc6232626"/>
      <w:r>
        <w:t>Additional Information Concerning Rule Prohibiting Certain Communications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C96CC6" w:rsidP="00C96CC6" w14:paraId="46163621" w14:textId="7191E138">
      <w:pPr>
        <w:pStyle w:val="ParaNum"/>
        <w:widowControl/>
      </w:pPr>
      <w:r w:rsidRPr="000E42CC">
        <w:t xml:space="preserve">A summary listing of documents addressing the application of </w:t>
      </w:r>
      <w:r>
        <w:t>s</w:t>
      </w:r>
      <w:r w:rsidRPr="000E42CC">
        <w:t xml:space="preserve">ection 1.2105(c) </w:t>
      </w:r>
      <w:r>
        <w:t>is</w:t>
      </w:r>
      <w:r w:rsidRPr="000E42CC">
        <w:t xml:space="preserve"> available on the Commission’s auction web page at</w:t>
      </w:r>
      <w:hyperlink w:history="1"/>
      <w:r w:rsidRPr="008B2CB8">
        <w:t xml:space="preserve"> </w:t>
      </w:r>
      <w:hyperlink r:id="rId7" w:history="1">
        <w:r>
          <w:rPr>
            <w:rStyle w:val="Hyperlink"/>
            <w:szCs w:val="22"/>
          </w:rPr>
          <w:t>www.fcc.gov/summary-listing-documents-addressing-application-rule-prohibiting-certain-communications</w:t>
        </w:r>
      </w:hyperlink>
      <w:r>
        <w:rPr>
          <w:szCs w:val="22"/>
        </w:rPr>
        <w:t>.</w:t>
      </w:r>
      <w:r w:rsidRPr="007E5680">
        <w:t xml:space="preserve">  </w:t>
      </w:r>
    </w:p>
    <w:p w:rsidR="00C96CC6" w:rsidP="00C96CC6" w14:paraId="5D276448" w14:textId="77777777">
      <w:pPr>
        <w:pStyle w:val="Heading4"/>
      </w:pPr>
      <w:bookmarkStart w:id="293" w:name="_Toc505077396"/>
      <w:bookmarkStart w:id="294" w:name="_Toc507144280"/>
      <w:bookmarkStart w:id="295" w:name="_Toc507166579"/>
      <w:bookmarkStart w:id="296" w:name="_Toc508121603"/>
      <w:bookmarkStart w:id="297" w:name="_Toc529870321"/>
      <w:bookmarkStart w:id="298" w:name="_Toc530566498"/>
      <w:bookmarkStart w:id="299" w:name="_Toc531608840"/>
      <w:bookmarkStart w:id="300" w:name="_Toc531700832"/>
      <w:bookmarkStart w:id="301" w:name="_Toc532976614"/>
      <w:bookmarkStart w:id="302" w:name="_Toc536103091"/>
      <w:bookmarkStart w:id="303" w:name="_Toc944535"/>
      <w:bookmarkStart w:id="304" w:name="_Toc4164736"/>
      <w:bookmarkStart w:id="305" w:name="_Toc4419539"/>
      <w:bookmarkStart w:id="306" w:name="_Toc5609515"/>
      <w:bookmarkStart w:id="307" w:name="_Toc5975770"/>
      <w:bookmarkStart w:id="308" w:name="_Toc6220294"/>
      <w:bookmarkStart w:id="309" w:name="_Toc6232627"/>
      <w:r>
        <w:t>Antitrust Laws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C96CC6" w:rsidP="00C96CC6" w14:paraId="4B3F0542" w14:textId="77777777">
      <w:pPr>
        <w:pStyle w:val="ParaNum"/>
        <w:widowControl/>
        <w:rPr>
          <w:szCs w:val="22"/>
        </w:rPr>
      </w:pPr>
      <w:r>
        <w:t>R</w:t>
      </w:r>
      <w:r w:rsidRPr="00DB0A6A">
        <w:t xml:space="preserve">egardless of compliance with the Commission’s rules, </w:t>
      </w:r>
      <w:r>
        <w:t>applicants</w:t>
      </w:r>
      <w:r w:rsidRPr="00DB0A6A">
        <w:t xml:space="preserve"> remain subject to the antitrust laws, which are designed to prevent anticompetitive behavior in the marketplace.</w:t>
      </w:r>
      <w:r>
        <w:rPr>
          <w:rStyle w:val="FootnoteReference"/>
          <w:szCs w:val="22"/>
        </w:rPr>
        <w:footnoteReference w:id="47"/>
      </w:r>
      <w:r w:rsidRPr="00DB0A6A">
        <w:t xml:space="preserve">  Compliance with the disclosure requirements of </w:t>
      </w:r>
      <w:r>
        <w:t>section 1.2105(c)</w:t>
      </w:r>
      <w:r w:rsidRPr="00DB0A6A">
        <w:t xml:space="preserve"> will not insulate a party from enforcement of the antitrust laws</w:t>
      </w:r>
      <w:r w:rsidRPr="00CD1878">
        <w:t>.</w:t>
      </w:r>
      <w:r>
        <w:rPr>
          <w:rStyle w:val="FootnoteReference"/>
          <w:szCs w:val="22"/>
        </w:rPr>
        <w:footnoteReference w:id="48"/>
      </w:r>
      <w:r w:rsidRPr="007E5680">
        <w:t xml:space="preserve">  For instance, a violation of the antitrust laws could arise out of actions taking place well before any party submitted a short-form application.</w:t>
      </w:r>
      <w:r>
        <w:rPr>
          <w:rStyle w:val="FootnoteReference"/>
          <w:szCs w:val="22"/>
        </w:rPr>
        <w:footnoteReference w:id="49"/>
      </w:r>
      <w:r w:rsidRPr="007E5680">
        <w:t xml:space="preserve">  </w:t>
      </w:r>
      <w:r w:rsidRPr="00AA2B80">
        <w:t>Similarly, the Wireless Telecommunications Bureau previously reminded potential applicants and others that “[e]</w:t>
      </w:r>
      <w:r w:rsidRPr="00AA2B80">
        <w:t>ven</w:t>
      </w:r>
      <w:r w:rsidRPr="00AA2B80">
        <w:t xml:space="preserve"> where the applicant discloses parties with whom it has reached an agreement on the short-form application, thereby permitting discussions with those parties, the applicant is nevertheless subject to existing antitrust laws</w:t>
      </w:r>
      <w:r>
        <w:t>.”</w:t>
      </w:r>
      <w:r>
        <w:rPr>
          <w:rStyle w:val="FootnoteReference"/>
        </w:rPr>
        <w:footnoteReference w:id="50"/>
      </w:r>
    </w:p>
    <w:p w:rsidR="00C96CC6" w:rsidRPr="00DB0A6A" w:rsidP="00C96CC6" w14:paraId="4BB98C6B" w14:textId="77777777">
      <w:pPr>
        <w:pStyle w:val="ParaNum"/>
        <w:widowControl/>
      </w:pPr>
      <w:r w:rsidRPr="00AA2B80">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51"/>
      </w:r>
      <w:r w:rsidRPr="00AA2B8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t>.</w:t>
      </w:r>
      <w:r>
        <w:rPr>
          <w:rStyle w:val="FootnoteReference"/>
        </w:rPr>
        <w:footnoteReference w:id="52"/>
      </w:r>
    </w:p>
    <w:p w:rsidR="00C96CC6" w:rsidP="00C96CC6" w14:paraId="284CBDBD" w14:textId="77777777">
      <w:pPr>
        <w:pStyle w:val="Heading3"/>
      </w:pPr>
      <w:bookmarkStart w:id="310" w:name="_Toc505077397"/>
      <w:bookmarkStart w:id="311" w:name="_Toc507144281"/>
      <w:bookmarkStart w:id="312" w:name="_Toc507166580"/>
      <w:bookmarkStart w:id="313" w:name="_Toc508121604"/>
      <w:bookmarkStart w:id="314" w:name="_Toc508638821"/>
      <w:bookmarkStart w:id="315" w:name="_Toc508895695"/>
      <w:bookmarkStart w:id="316" w:name="_Toc508953807"/>
      <w:bookmarkStart w:id="317" w:name="_Toc509388453"/>
      <w:bookmarkStart w:id="318" w:name="_Toc509492094"/>
      <w:bookmarkStart w:id="319" w:name="_Toc529870322"/>
      <w:bookmarkStart w:id="320" w:name="_Toc530566499"/>
      <w:bookmarkStart w:id="321" w:name="_Toc531608841"/>
      <w:bookmarkStart w:id="322" w:name="_Toc531700833"/>
      <w:bookmarkStart w:id="323" w:name="_Toc532976615"/>
      <w:bookmarkStart w:id="324" w:name="_Toc536103092"/>
      <w:bookmarkStart w:id="325" w:name="_Toc944536"/>
      <w:bookmarkStart w:id="326" w:name="_Toc4164737"/>
      <w:bookmarkStart w:id="327" w:name="_Toc4419540"/>
      <w:bookmarkStart w:id="328" w:name="_Toc5609516"/>
      <w:bookmarkStart w:id="329" w:name="_Toc5975771"/>
      <w:bookmarkStart w:id="330" w:name="_Toc6220295"/>
      <w:bookmarkStart w:id="331" w:name="_Toc6232628"/>
      <w:r>
        <w:t>Due Diligence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C96CC6" w:rsidRPr="00A65F60" w:rsidP="00C96CC6" w14:paraId="2317BF79" w14:textId="77777777">
      <w:pPr>
        <w:pStyle w:val="ParaNum"/>
        <w:widowControl/>
        <w:rPr>
          <w:szCs w:val="22"/>
        </w:rPr>
      </w:pPr>
      <w:r>
        <w:rPr>
          <w:szCs w:val="22"/>
        </w:rPr>
        <w:t>We remind each p</w:t>
      </w:r>
      <w:r w:rsidRPr="00714D85">
        <w:rPr>
          <w:szCs w:val="22"/>
        </w:rPr>
        <w:t xml:space="preserve">otential </w:t>
      </w:r>
      <w:r>
        <w:rPr>
          <w:szCs w:val="22"/>
        </w:rPr>
        <w:t xml:space="preserve">bidder </w:t>
      </w:r>
      <w:r w:rsidRPr="00714D85">
        <w:rPr>
          <w:szCs w:val="22"/>
        </w:rPr>
        <w:t xml:space="preserve">that </w:t>
      </w:r>
      <w:r>
        <w:rPr>
          <w:szCs w:val="22"/>
        </w:rPr>
        <w:t>it is</w:t>
      </w:r>
      <w:r w:rsidRPr="00714D85">
        <w:rPr>
          <w:szCs w:val="22"/>
        </w:rPr>
        <w:t xml:space="preserve"> solely responsible for investigating and evaluating all technical and </w:t>
      </w:r>
      <w:r w:rsidRPr="005A52D9">
        <w:rPr>
          <w:szCs w:val="22"/>
        </w:rPr>
        <w:t>marketp</w:t>
      </w:r>
      <w:r w:rsidRPr="00714D85">
        <w:rPr>
          <w:szCs w:val="22"/>
        </w:rPr>
        <w:t xml:space="preserve">lace factors </w:t>
      </w:r>
      <w:r w:rsidRPr="002519AE">
        <w:rPr>
          <w:szCs w:val="22"/>
        </w:rPr>
        <w:t xml:space="preserve">that may have a bearing on the value of the </w:t>
      </w:r>
      <w:r>
        <w:rPr>
          <w:szCs w:val="22"/>
        </w:rPr>
        <w:t>construction permits for cross-service FM translators that it is seeking</w:t>
      </w:r>
      <w:r w:rsidRPr="002519AE">
        <w:rPr>
          <w:szCs w:val="22"/>
        </w:rPr>
        <w:t xml:space="preserve"> in this auction.  </w:t>
      </w:r>
      <w:r w:rsidRPr="00714D85">
        <w:rPr>
          <w:b/>
          <w:szCs w:val="22"/>
        </w:rPr>
        <w:t xml:space="preserve">The FCC </w:t>
      </w:r>
      <w:r w:rsidRPr="00A65F60">
        <w:rPr>
          <w:b/>
          <w:szCs w:val="22"/>
        </w:rPr>
        <w:t xml:space="preserve">makes no representations or warranties about the use of this spectrum </w:t>
      </w:r>
      <w:r>
        <w:rPr>
          <w:b/>
          <w:szCs w:val="22"/>
        </w:rPr>
        <w:t xml:space="preserve">or these construction permits </w:t>
      </w:r>
      <w:r w:rsidRPr="00A65F60">
        <w:rPr>
          <w:b/>
          <w:szCs w:val="22"/>
        </w:rPr>
        <w:t xml:space="preserve">for particular services.  Applicants </w:t>
      </w:r>
      <w:r w:rsidRPr="00CE35FE">
        <w:rPr>
          <w:b/>
        </w:rPr>
        <w:t>should</w:t>
      </w:r>
      <w:r w:rsidRPr="00921CD4">
        <w:rPr>
          <w:b/>
          <w:szCs w:val="22"/>
        </w:rPr>
        <w:t xml:space="preserve"> </w:t>
      </w:r>
      <w:r w:rsidRPr="00A65F60">
        <w:rPr>
          <w:b/>
          <w:szCs w:val="22"/>
        </w:rPr>
        <w:t>be aware that an FCC auction represents an opportunity to become an FCC permittee in a broadcast service, subject to certain conditions and regulations.  An FCC auction does not constitute an endorsement by the FCC of any particular service, technology, or product, nor does an FCC construction permit or license constitute a guarantee of business success.</w:t>
      </w:r>
      <w:r w:rsidRPr="00A65F60">
        <w:rPr>
          <w:szCs w:val="22"/>
        </w:rPr>
        <w:t xml:space="preserve">  </w:t>
      </w:r>
    </w:p>
    <w:p w:rsidR="00C96CC6" w:rsidRPr="00A65F60" w:rsidP="00C96CC6" w14:paraId="61194731" w14:textId="5D34C04B">
      <w:pPr>
        <w:pStyle w:val="ParaNum"/>
        <w:widowControl/>
        <w:rPr>
          <w:szCs w:val="22"/>
        </w:rPr>
      </w:pPr>
      <w:r w:rsidRPr="00425C85">
        <w:rPr>
          <w:szCs w:val="22"/>
        </w:rPr>
        <w:t xml:space="preserve">An applicant should perform its due diligence research and analysis before proceeding, as it would with any new business venture.  In particular, </w:t>
      </w:r>
      <w:r w:rsidR="00957529">
        <w:rPr>
          <w:szCs w:val="22"/>
        </w:rPr>
        <w:t>MB and OEA</w:t>
      </w:r>
      <w:r w:rsidRPr="00425C85">
        <w:rPr>
          <w:szCs w:val="22"/>
        </w:rPr>
        <w:t xml:space="preserve"> strongly encourage each potential bidder to perform technical analyses </w:t>
      </w:r>
      <w:r>
        <w:rPr>
          <w:szCs w:val="22"/>
        </w:rPr>
        <w:t>and/</w:t>
      </w:r>
      <w:r w:rsidRPr="00425C85">
        <w:rPr>
          <w:szCs w:val="22"/>
        </w:rPr>
        <w:t xml:space="preserve">or refresh </w:t>
      </w:r>
      <w:r>
        <w:rPr>
          <w:szCs w:val="22"/>
        </w:rPr>
        <w:t>its</w:t>
      </w:r>
      <w:r w:rsidRPr="00425C85">
        <w:rPr>
          <w:szCs w:val="22"/>
        </w:rPr>
        <w:t xml:space="preserve"> previous analyses to assure itself that, should it become a winning bidder for any Auction </w:t>
      </w:r>
      <w:r>
        <w:rPr>
          <w:szCs w:val="22"/>
        </w:rPr>
        <w:t>100</w:t>
      </w:r>
      <w:r w:rsidRPr="00425C85">
        <w:rPr>
          <w:szCs w:val="22"/>
        </w:rPr>
        <w:t xml:space="preserve"> construction permit, it will be able to build and operate facilities that will fully comply with all applicable technical and legal requirements.  </w:t>
      </w:r>
      <w:r>
        <w:rPr>
          <w:szCs w:val="22"/>
        </w:rPr>
        <w:t>We</w:t>
      </w:r>
      <w:r w:rsidRPr="00425C85">
        <w:rPr>
          <w:szCs w:val="22"/>
        </w:rPr>
        <w:t xml:space="preserve"> strongly encourage each applicant to inspect any prospective transmitter sites located in, or near, the service area for which it plans to bid, confirm the availability of such sites, and to familiarize itself with the Commission’s rules regarding the National Environmental Policy Act</w:t>
      </w:r>
      <w:r w:rsidRPr="00A65F60">
        <w:rPr>
          <w:szCs w:val="22"/>
        </w:rPr>
        <w:t>.</w:t>
      </w:r>
      <w:r>
        <w:rPr>
          <w:rStyle w:val="FootnoteReference"/>
          <w:szCs w:val="22"/>
        </w:rPr>
        <w:footnoteReference w:id="53"/>
      </w:r>
    </w:p>
    <w:p w:rsidR="00C96CC6" w:rsidRPr="009649F9" w:rsidP="00C96CC6" w14:paraId="21CD1285" w14:textId="194958DC">
      <w:pPr>
        <w:pStyle w:val="ParaNum"/>
        <w:widowControl/>
        <w:rPr>
          <w:szCs w:val="22"/>
        </w:rPr>
      </w:pPr>
      <w:r>
        <w:rPr>
          <w:szCs w:val="22"/>
        </w:rPr>
        <w:t>We</w:t>
      </w:r>
      <w:r w:rsidRPr="00A65F60">
        <w:rPr>
          <w:szCs w:val="22"/>
        </w:rPr>
        <w:t xml:space="preserve"> strongly encourage each applicant to </w:t>
      </w:r>
      <w:r>
        <w:rPr>
          <w:szCs w:val="22"/>
        </w:rPr>
        <w:t xml:space="preserve">continue to </w:t>
      </w:r>
      <w:r w:rsidRPr="00A65F60">
        <w:rPr>
          <w:szCs w:val="22"/>
        </w:rPr>
        <w:t xml:space="preserve">conduct its own research </w:t>
      </w:r>
      <w:r>
        <w:rPr>
          <w:szCs w:val="22"/>
        </w:rPr>
        <w:t xml:space="preserve">throughout </w:t>
      </w:r>
      <w:r w:rsidRPr="00A65F60">
        <w:rPr>
          <w:szCs w:val="22"/>
        </w:rPr>
        <w:t xml:space="preserve">Auction </w:t>
      </w:r>
      <w:r>
        <w:rPr>
          <w:szCs w:val="22"/>
        </w:rPr>
        <w:t>100</w:t>
      </w:r>
      <w:r w:rsidRPr="00A65F60">
        <w:rPr>
          <w:szCs w:val="22"/>
        </w:rPr>
        <w:t xml:space="preserve"> in order to determine the existence of pending </w:t>
      </w:r>
      <w:r>
        <w:rPr>
          <w:szCs w:val="22"/>
        </w:rPr>
        <w:t xml:space="preserve">or future </w:t>
      </w:r>
      <w:r w:rsidRPr="00A65F60">
        <w:rPr>
          <w:szCs w:val="22"/>
        </w:rPr>
        <w:t>administrative or judicial proceedings</w:t>
      </w:r>
      <w:r>
        <w:rPr>
          <w:szCs w:val="22"/>
        </w:rPr>
        <w:t xml:space="preserve"> that might </w:t>
      </w:r>
      <w:r w:rsidRPr="00A65F60">
        <w:rPr>
          <w:szCs w:val="22"/>
        </w:rPr>
        <w:t xml:space="preserve">affect its decision </w:t>
      </w:r>
      <w:r>
        <w:rPr>
          <w:szCs w:val="22"/>
        </w:rPr>
        <w:t xml:space="preserve">on continued participation </w:t>
      </w:r>
      <w:r w:rsidRPr="00A65F60">
        <w:rPr>
          <w:szCs w:val="22"/>
        </w:rPr>
        <w:t xml:space="preserve">in the auction.  Each </w:t>
      </w:r>
      <w:r>
        <w:rPr>
          <w:szCs w:val="22"/>
        </w:rPr>
        <w:t>Auction 100</w:t>
      </w:r>
      <w:r w:rsidRPr="00A65F60">
        <w:rPr>
          <w:szCs w:val="22"/>
        </w:rPr>
        <w:t xml:space="preserve"> applicant is responsible for assessing the</w:t>
      </w:r>
      <w:r w:rsidRPr="00714D85">
        <w:rPr>
          <w:szCs w:val="22"/>
        </w:rPr>
        <w:t xml:space="preserve"> likelihood of the various possible outcomes and </w:t>
      </w:r>
      <w:r>
        <w:rPr>
          <w:szCs w:val="22"/>
        </w:rPr>
        <w:t xml:space="preserve">for </w:t>
      </w:r>
      <w:r w:rsidRPr="00714D85">
        <w:rPr>
          <w:szCs w:val="22"/>
        </w:rPr>
        <w:t>considering the potential impact on construction permits available in this auction</w:t>
      </w:r>
      <w:r>
        <w:rPr>
          <w:szCs w:val="22"/>
        </w:rPr>
        <w:t xml:space="preserve">.  </w:t>
      </w:r>
      <w:r w:rsidRPr="00A65F60">
        <w:rPr>
          <w:szCs w:val="22"/>
        </w:rPr>
        <w:t xml:space="preserve">The due diligence considerations </w:t>
      </w:r>
      <w:r w:rsidRPr="002A0DC5">
        <w:t>mentioned</w:t>
      </w:r>
      <w:r w:rsidRPr="00A65F60">
        <w:rPr>
          <w:szCs w:val="22"/>
        </w:rPr>
        <w:t xml:space="preserve">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rsidR="00C96CC6" w:rsidRPr="009649F9" w:rsidP="00C96CC6" w14:paraId="534C4B7C" w14:textId="77777777">
      <w:pPr>
        <w:pStyle w:val="ParaNum"/>
        <w:widowControl/>
        <w:rPr>
          <w:szCs w:val="22"/>
        </w:rPr>
      </w:pPr>
      <w:r w:rsidRPr="002519AE">
        <w:rPr>
          <w:b/>
          <w:bCs/>
          <w:color w:val="000000"/>
          <w:szCs w:val="22"/>
        </w:rPr>
        <w:t xml:space="preserve">Applicants are solely responsible for identifying associated risks and for investigating and evaluating the degree to which such matters may affect their ability to bid on, otherwise acquire, or </w:t>
      </w:r>
      <w:r w:rsidRPr="00CE35FE">
        <w:rPr>
          <w:b/>
        </w:rPr>
        <w:t>make</w:t>
      </w:r>
      <w:r w:rsidRPr="002519AE">
        <w:rPr>
          <w:b/>
          <w:bCs/>
          <w:color w:val="000000"/>
          <w:szCs w:val="22"/>
        </w:rPr>
        <w:t xml:space="preserve"> use of the construction permits available in Auction </w:t>
      </w:r>
      <w:r>
        <w:rPr>
          <w:b/>
          <w:bCs/>
          <w:color w:val="000000"/>
          <w:szCs w:val="22"/>
        </w:rPr>
        <w:t>100</w:t>
      </w:r>
      <w:r w:rsidRPr="002519AE">
        <w:rPr>
          <w:b/>
          <w:bCs/>
          <w:color w:val="000000"/>
          <w:szCs w:val="22"/>
        </w:rPr>
        <w:t>.</w:t>
      </w:r>
      <w:r>
        <w:rPr>
          <w:b/>
          <w:bCs/>
          <w:color w:val="000000"/>
          <w:szCs w:val="22"/>
        </w:rPr>
        <w:t xml:space="preserve">  </w:t>
      </w:r>
      <w:r>
        <w:rPr>
          <w:bCs/>
          <w:color w:val="000000"/>
          <w:szCs w:val="22"/>
        </w:rPr>
        <w:t>E</w:t>
      </w:r>
      <w:r w:rsidRPr="00A433CC">
        <w:rPr>
          <w:bCs/>
          <w:color w:val="000000"/>
          <w:szCs w:val="22"/>
        </w:rPr>
        <w:t xml:space="preserve">ach potential bidder </w:t>
      </w:r>
      <w:r>
        <w:rPr>
          <w:bCs/>
          <w:color w:val="000000"/>
          <w:szCs w:val="22"/>
        </w:rPr>
        <w:t>is responsible for undertaking</w:t>
      </w:r>
      <w:r w:rsidRPr="00A433CC">
        <w:rPr>
          <w:bCs/>
          <w:color w:val="000000"/>
          <w:szCs w:val="22"/>
        </w:rPr>
        <w:t xml:space="preserve"> research to ensure that any permits won in this auction will be suitable for its business plans and needs.  Each potential bidder must undertake its own assessment of the relevance and importance of information gathered as part of its due diligence efforts.</w:t>
      </w:r>
      <w:r w:rsidRPr="00A433CC">
        <w:rPr>
          <w:b/>
          <w:bCs/>
          <w:color w:val="000000"/>
          <w:szCs w:val="22"/>
        </w:rPr>
        <w:t xml:space="preserve">  </w:t>
      </w:r>
    </w:p>
    <w:p w:rsidR="00C96CC6" w:rsidRPr="00047DA4" w:rsidP="00C96CC6" w14:paraId="30F8C5B7" w14:textId="77777777">
      <w:pPr>
        <w:pStyle w:val="ParaNum"/>
        <w:widowControl/>
      </w:pPr>
      <w:r w:rsidRPr="00047DA4">
        <w:rPr>
          <w:szCs w:val="22"/>
        </w:rPr>
        <w:t>The Commission makes no representations or guarantees regarding the accuracy or completeness of information in its databases or any third</w:t>
      </w:r>
      <w:r>
        <w:rPr>
          <w:szCs w:val="22"/>
        </w:rPr>
        <w:t>-</w:t>
      </w:r>
      <w:r w:rsidRPr="00047DA4">
        <w:rPr>
          <w:szCs w:val="22"/>
        </w:rPr>
        <w:t xml:space="preserve">party databases, including, for example, court docketing </w:t>
      </w:r>
      <w:r w:rsidRPr="002A0DC5">
        <w:t>systems</w:t>
      </w:r>
      <w:r w:rsidRPr="00047DA4">
        <w:rPr>
          <w:szCs w:val="22"/>
        </w:rPr>
        <w:t xml:space="preserve">.  To the </w:t>
      </w:r>
      <w:r w:rsidRPr="00A65F60">
        <w:rPr>
          <w:szCs w:val="22"/>
        </w:rPr>
        <w:t>extent the Commission’s databases may not include all information deemed necessary or desirable by an applicant, it must obtain or verify such information from independent sources or assume the risk of any incompleteness or inaccuracy in said databases</w:t>
      </w:r>
      <w:r w:rsidRPr="00047DA4">
        <w:rPr>
          <w:szCs w:val="22"/>
        </w:rPr>
        <w:t>.  Furthermore, the Commission makes no representations or guarantees regarding the accuracy or completeness of information that has been provided by incumbent licensees and incorporated into its databases.</w:t>
      </w:r>
      <w:r w:rsidRPr="00047DA4">
        <w:t xml:space="preserve">  </w:t>
      </w:r>
    </w:p>
    <w:p w:rsidR="00C96CC6" w:rsidP="00C96CC6" w14:paraId="52C5C603" w14:textId="77777777">
      <w:pPr>
        <w:pStyle w:val="Heading3"/>
      </w:pPr>
      <w:bookmarkStart w:id="332" w:name="_Toc505077398"/>
      <w:bookmarkStart w:id="333" w:name="_Toc507144282"/>
      <w:bookmarkStart w:id="334" w:name="_Toc507166581"/>
      <w:bookmarkStart w:id="335" w:name="_Toc508121605"/>
      <w:bookmarkStart w:id="336" w:name="_Toc508638822"/>
      <w:bookmarkStart w:id="337" w:name="_Toc508895696"/>
      <w:bookmarkStart w:id="338" w:name="_Toc508953808"/>
      <w:bookmarkStart w:id="339" w:name="_Toc509388454"/>
      <w:bookmarkStart w:id="340" w:name="_Toc509492095"/>
      <w:bookmarkStart w:id="341" w:name="_Toc529870323"/>
      <w:bookmarkStart w:id="342" w:name="_Toc530566500"/>
      <w:bookmarkStart w:id="343" w:name="_Toc531608842"/>
      <w:bookmarkStart w:id="344" w:name="_Toc531700834"/>
      <w:bookmarkStart w:id="345" w:name="_Toc532976616"/>
      <w:bookmarkStart w:id="346" w:name="_Toc536103093"/>
      <w:bookmarkStart w:id="347" w:name="_Toc944537"/>
      <w:bookmarkStart w:id="348" w:name="_Toc4164738"/>
      <w:bookmarkStart w:id="349" w:name="_Toc4419541"/>
      <w:bookmarkStart w:id="350" w:name="_Toc5609517"/>
      <w:bookmarkStart w:id="351" w:name="_Toc5975772"/>
      <w:bookmarkStart w:id="352" w:name="_Toc6220296"/>
      <w:bookmarkStart w:id="353" w:name="_Toc6232629"/>
      <w:r>
        <w:t>Use of Auction Systems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C96CC6" w:rsidRPr="001C2E9C" w:rsidP="00C96CC6" w14:paraId="084A3457" w14:textId="77777777">
      <w:pPr>
        <w:pStyle w:val="ParaNum"/>
        <w:widowControl/>
        <w:rPr>
          <w:szCs w:val="22"/>
        </w:rPr>
      </w:pPr>
      <w:r>
        <w:rPr>
          <w:szCs w:val="22"/>
        </w:rPr>
        <w:t>Qualified b</w:t>
      </w:r>
      <w:r w:rsidRPr="001C2E9C">
        <w:rPr>
          <w:szCs w:val="22"/>
        </w:rPr>
        <w:t>idders</w:t>
      </w:r>
      <w:r>
        <w:rPr>
          <w:szCs w:val="22"/>
        </w:rPr>
        <w:t xml:space="preserve"> will be able</w:t>
      </w:r>
      <w:r w:rsidRPr="001C2E9C">
        <w:rPr>
          <w:szCs w:val="22"/>
        </w:rPr>
        <w:t xml:space="preserve"> to </w:t>
      </w:r>
      <w:r>
        <w:rPr>
          <w:szCs w:val="22"/>
        </w:rPr>
        <w:t>place bids</w:t>
      </w:r>
      <w:r w:rsidRPr="001C2E9C">
        <w:rPr>
          <w:szCs w:val="22"/>
        </w:rPr>
        <w:t xml:space="preserve"> in Auction </w:t>
      </w:r>
      <w:r>
        <w:rPr>
          <w:szCs w:val="22"/>
        </w:rPr>
        <w:t>100</w:t>
      </w:r>
      <w:r w:rsidRPr="001C2E9C">
        <w:rPr>
          <w:szCs w:val="22"/>
        </w:rPr>
        <w:t xml:space="preserve"> over the Internet using the </w:t>
      </w:r>
      <w:r>
        <w:rPr>
          <w:szCs w:val="22"/>
        </w:rPr>
        <w:t>FCC auction bidding system</w:t>
      </w:r>
      <w:r w:rsidRPr="00A65F60">
        <w:rPr>
          <w:szCs w:val="22"/>
        </w:rPr>
        <w:t xml:space="preserve">.  The Commission makes no warranty whatsoever with respect to the FCC </w:t>
      </w:r>
      <w:r>
        <w:rPr>
          <w:szCs w:val="22"/>
        </w:rPr>
        <w:t>a</w:t>
      </w:r>
      <w:r w:rsidRPr="00A65F60">
        <w:rPr>
          <w:szCs w:val="22"/>
        </w:rPr>
        <w:t xml:space="preserve">uction </w:t>
      </w:r>
      <w:r>
        <w:rPr>
          <w:szCs w:val="22"/>
        </w:rPr>
        <w:t>application s</w:t>
      </w:r>
      <w:r w:rsidRPr="00A65F60">
        <w:rPr>
          <w:szCs w:val="22"/>
        </w:rPr>
        <w:t>ystem</w:t>
      </w:r>
      <w:r>
        <w:rPr>
          <w:szCs w:val="22"/>
        </w:rPr>
        <w:t xml:space="preserve"> and the auction bidding system</w:t>
      </w:r>
      <w:r w:rsidRPr="00A65F60">
        <w:rPr>
          <w:szCs w:val="22"/>
        </w:rPr>
        <w:t xml:space="preserve">.  In no event shall the Commission, or any of its officers, </w:t>
      </w:r>
      <w:r w:rsidRPr="002A0DC5">
        <w:t>employees</w:t>
      </w:r>
      <w:r w:rsidRPr="00A65F60">
        <w:rPr>
          <w:szCs w:val="22"/>
        </w:rPr>
        <w:t xml:space="preserve">, or agents, be liable for any damages whatsoever (including, but not limited to, loss of business profits, business interruption, loss of business information, or any other loss) arising out of or relating to the existence, furnishing, functioning, or use of the FCC </w:t>
      </w:r>
      <w:r>
        <w:rPr>
          <w:szCs w:val="22"/>
        </w:rPr>
        <w:t>a</w:t>
      </w:r>
      <w:r w:rsidRPr="00A65F60">
        <w:rPr>
          <w:szCs w:val="22"/>
        </w:rPr>
        <w:t xml:space="preserve">uction </w:t>
      </w:r>
      <w:r>
        <w:rPr>
          <w:szCs w:val="22"/>
        </w:rPr>
        <w:t>s</w:t>
      </w:r>
      <w:r w:rsidRPr="00A65F60">
        <w:rPr>
          <w:szCs w:val="22"/>
        </w:rPr>
        <w:t>ystem</w:t>
      </w:r>
      <w:r>
        <w:rPr>
          <w:szCs w:val="22"/>
        </w:rPr>
        <w:t>s</w:t>
      </w:r>
      <w:r w:rsidRPr="00A65F60">
        <w:rPr>
          <w:szCs w:val="22"/>
        </w:rPr>
        <w:t xml:space="preserve"> that </w:t>
      </w:r>
      <w:r>
        <w:rPr>
          <w:szCs w:val="22"/>
        </w:rPr>
        <w:t>are</w:t>
      </w:r>
      <w:r w:rsidRPr="00A65F60">
        <w:rPr>
          <w:szCs w:val="22"/>
        </w:rPr>
        <w:t xml:space="preserve"> </w:t>
      </w:r>
      <w:r w:rsidRPr="00A65F60">
        <w:rPr>
          <w:szCs w:val="22"/>
        </w:rPr>
        <w:t>accessible to qualified bidders in connection with this auction.  Moreover, no obligation or liability will arise out of the Commission’s technical, programming, or other advice</w:t>
      </w:r>
      <w:r w:rsidRPr="001C2E9C">
        <w:rPr>
          <w:szCs w:val="22"/>
        </w:rPr>
        <w:t xml:space="preserve"> or service provided in connection with the FCC </w:t>
      </w:r>
      <w:r>
        <w:rPr>
          <w:szCs w:val="22"/>
        </w:rPr>
        <w:t>a</w:t>
      </w:r>
      <w:r w:rsidRPr="001C2E9C">
        <w:rPr>
          <w:szCs w:val="22"/>
        </w:rPr>
        <w:t xml:space="preserve">uction </w:t>
      </w:r>
      <w:r>
        <w:rPr>
          <w:szCs w:val="22"/>
        </w:rPr>
        <w:t>s</w:t>
      </w:r>
      <w:r w:rsidRPr="001C2E9C">
        <w:rPr>
          <w:szCs w:val="22"/>
        </w:rPr>
        <w:t>ystem</w:t>
      </w:r>
      <w:r>
        <w:rPr>
          <w:szCs w:val="22"/>
        </w:rPr>
        <w:t>s</w:t>
      </w:r>
      <w:r w:rsidRPr="001C2E9C">
        <w:rPr>
          <w:szCs w:val="22"/>
        </w:rPr>
        <w:t xml:space="preserve">. </w:t>
      </w:r>
    </w:p>
    <w:p w:rsidR="00C96CC6" w:rsidP="00C06E1B" w14:paraId="21C69984" w14:textId="77777777">
      <w:pPr>
        <w:pStyle w:val="Heading2"/>
      </w:pPr>
      <w:bookmarkStart w:id="354" w:name="_Toc505077401"/>
      <w:bookmarkStart w:id="355" w:name="_Toc507144283"/>
      <w:bookmarkStart w:id="356" w:name="_Toc507166582"/>
      <w:bookmarkStart w:id="357" w:name="_Toc508121606"/>
      <w:bookmarkStart w:id="358" w:name="_Toc508638823"/>
      <w:bookmarkStart w:id="359" w:name="_Toc508895697"/>
      <w:bookmarkStart w:id="360" w:name="_Toc508953809"/>
      <w:bookmarkStart w:id="361" w:name="_Toc509388455"/>
      <w:bookmarkStart w:id="362" w:name="_Toc509492096"/>
      <w:bookmarkStart w:id="363" w:name="_Toc529870324"/>
      <w:bookmarkStart w:id="364" w:name="_Toc530566501"/>
      <w:bookmarkStart w:id="365" w:name="_Toc531608843"/>
      <w:bookmarkStart w:id="366" w:name="_Toc531700835"/>
      <w:bookmarkStart w:id="367" w:name="_Toc532976617"/>
      <w:bookmarkStart w:id="368" w:name="_Toc536103094"/>
      <w:bookmarkStart w:id="369" w:name="_Toc944538"/>
      <w:bookmarkStart w:id="370" w:name="_Toc4164739"/>
      <w:bookmarkStart w:id="371" w:name="_Toc4419542"/>
      <w:bookmarkStart w:id="372" w:name="_Toc5609518"/>
      <w:bookmarkStart w:id="373" w:name="_Toc5975773"/>
      <w:bookmarkStart w:id="374" w:name="_Toc6220297"/>
      <w:bookmarkStart w:id="375" w:name="_Toc6232630"/>
      <w:r>
        <w:t>Auction Specifics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C96CC6" w:rsidP="00C96CC6" w14:paraId="5AFC215D" w14:textId="6CA9910B">
      <w:pPr>
        <w:pStyle w:val="Heading3"/>
      </w:pPr>
      <w:bookmarkStart w:id="376" w:name="_Toc505077402"/>
      <w:bookmarkStart w:id="377" w:name="_Toc507144284"/>
      <w:bookmarkStart w:id="378" w:name="_Toc507166583"/>
      <w:bookmarkStart w:id="379" w:name="_Toc508121607"/>
      <w:bookmarkStart w:id="380" w:name="_Toc508638824"/>
      <w:bookmarkStart w:id="381" w:name="_Toc508895698"/>
      <w:bookmarkStart w:id="382" w:name="_Toc508953810"/>
      <w:bookmarkStart w:id="383" w:name="_Toc509388456"/>
      <w:bookmarkStart w:id="384" w:name="_Toc509492097"/>
      <w:bookmarkStart w:id="385" w:name="_Toc529870325"/>
      <w:bookmarkStart w:id="386" w:name="_Toc530566502"/>
      <w:bookmarkStart w:id="387" w:name="_Toc531608844"/>
      <w:bookmarkStart w:id="388" w:name="_Toc531700836"/>
      <w:bookmarkStart w:id="389" w:name="_Toc5975774"/>
      <w:bookmarkStart w:id="390" w:name="_Toc6220298"/>
      <w:bookmarkStart w:id="391" w:name="_Toc6232631"/>
      <w:bookmarkStart w:id="392" w:name="_Toc532976618"/>
      <w:bookmarkStart w:id="393" w:name="_Toc536103095"/>
      <w:bookmarkStart w:id="394" w:name="_Toc944539"/>
      <w:bookmarkStart w:id="395" w:name="_Toc4164740"/>
      <w:bookmarkStart w:id="396" w:name="_Toc4419543"/>
      <w:bookmarkStart w:id="397" w:name="_Toc5609519"/>
      <w:r>
        <w:t>Auction Start Date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007D7D83">
        <w:t xml:space="preserve"> </w:t>
      </w:r>
      <w:bookmarkEnd w:id="392"/>
      <w:bookmarkEnd w:id="393"/>
      <w:bookmarkEnd w:id="394"/>
      <w:bookmarkEnd w:id="395"/>
      <w:bookmarkEnd w:id="396"/>
      <w:bookmarkEnd w:id="397"/>
    </w:p>
    <w:p w:rsidR="00C96CC6" w:rsidRPr="009A122A" w:rsidP="00C96CC6" w14:paraId="1598C068" w14:textId="6C0C379E">
      <w:pPr>
        <w:pStyle w:val="ParaNum"/>
        <w:widowControl/>
        <w:rPr>
          <w:szCs w:val="22"/>
        </w:rPr>
      </w:pPr>
      <w:r w:rsidRPr="002A0DC5">
        <w:t>Bidding</w:t>
      </w:r>
      <w:r w:rsidRPr="001C2E9C">
        <w:rPr>
          <w:szCs w:val="22"/>
        </w:rPr>
        <w:t xml:space="preserve"> in Auction </w:t>
      </w:r>
      <w:r>
        <w:rPr>
          <w:szCs w:val="22"/>
        </w:rPr>
        <w:t>100</w:t>
      </w:r>
      <w:r w:rsidRPr="001C2E9C">
        <w:rPr>
          <w:szCs w:val="22"/>
        </w:rPr>
        <w:t xml:space="preserve"> will begin </w:t>
      </w:r>
      <w:r w:rsidRPr="009F0EEA">
        <w:rPr>
          <w:szCs w:val="22"/>
        </w:rPr>
        <w:t xml:space="preserve">on </w:t>
      </w:r>
      <w:r>
        <w:rPr>
          <w:szCs w:val="22"/>
        </w:rPr>
        <w:t>Tuesday</w:t>
      </w:r>
      <w:r w:rsidRPr="009F0EEA">
        <w:rPr>
          <w:szCs w:val="22"/>
        </w:rPr>
        <w:t>,</w:t>
      </w:r>
      <w:r>
        <w:rPr>
          <w:szCs w:val="22"/>
        </w:rPr>
        <w:t xml:space="preserve"> </w:t>
      </w:r>
      <w:r>
        <w:t>June</w:t>
      </w:r>
      <w:r>
        <w:rPr>
          <w:szCs w:val="22"/>
        </w:rPr>
        <w:t xml:space="preserve"> 25, 2019.  Pre-auction dates </w:t>
      </w:r>
      <w:r w:rsidRPr="001209FA">
        <w:rPr>
          <w:szCs w:val="22"/>
        </w:rPr>
        <w:t>and deadlines are listed below</w:t>
      </w:r>
      <w:r w:rsidR="00BC0ED4">
        <w:t>.</w:t>
      </w:r>
    </w:p>
    <w:p w:rsidR="009A122A" w:rsidRPr="001209FA" w:rsidP="00C96CC6" w14:paraId="7CA38F3D" w14:textId="53A5264A">
      <w:pPr>
        <w:pStyle w:val="ParaNum"/>
        <w:widowControl/>
        <w:rPr>
          <w:szCs w:val="22"/>
        </w:rPr>
      </w:pPr>
      <w:r w:rsidRPr="00841FAD">
        <w:rPr>
          <w:szCs w:val="22"/>
        </w:rPr>
        <w:t xml:space="preserve">The initial schedule for bidding rounds will be announced by public notice at least one week before </w:t>
      </w:r>
      <w:r>
        <w:rPr>
          <w:szCs w:val="22"/>
        </w:rPr>
        <w:t xml:space="preserve">bidding </w:t>
      </w:r>
      <w:r w:rsidRPr="002A0DC5">
        <w:t>in</w:t>
      </w:r>
      <w:r>
        <w:rPr>
          <w:szCs w:val="22"/>
        </w:rPr>
        <w:t xml:space="preserve"> </w:t>
      </w:r>
      <w:r w:rsidRPr="00841FAD">
        <w:rPr>
          <w:szCs w:val="22"/>
        </w:rPr>
        <w:t xml:space="preserve">the auction starts.  </w:t>
      </w:r>
      <w:r>
        <w:rPr>
          <w:szCs w:val="22"/>
        </w:rPr>
        <w:t>Moreover, u</w:t>
      </w:r>
      <w:r w:rsidRPr="00841FAD">
        <w:rPr>
          <w:szCs w:val="22"/>
        </w:rPr>
        <w:t>nless otherwise announced, bidding on all construction permits will be conducted on each business day until bidding has stopped on all construction permits.</w:t>
      </w:r>
    </w:p>
    <w:p w:rsidR="00C96CC6" w:rsidP="00C96CC6" w14:paraId="25F84B93" w14:textId="77777777">
      <w:pPr>
        <w:pStyle w:val="Heading3"/>
      </w:pPr>
      <w:bookmarkStart w:id="398" w:name="_Toc505077403"/>
      <w:bookmarkStart w:id="399" w:name="_Toc507144285"/>
      <w:bookmarkStart w:id="400" w:name="_Toc507166584"/>
      <w:bookmarkStart w:id="401" w:name="_Toc508121608"/>
      <w:bookmarkStart w:id="402" w:name="_Toc508638825"/>
      <w:bookmarkStart w:id="403" w:name="_Toc508895699"/>
      <w:bookmarkStart w:id="404" w:name="_Toc508953811"/>
      <w:bookmarkStart w:id="405" w:name="_Toc509388457"/>
      <w:bookmarkStart w:id="406" w:name="_Toc509492098"/>
      <w:bookmarkStart w:id="407" w:name="_Toc529870326"/>
      <w:bookmarkStart w:id="408" w:name="_Toc530566503"/>
      <w:bookmarkStart w:id="409" w:name="_Toc531608845"/>
      <w:bookmarkStart w:id="410" w:name="_Toc531700837"/>
      <w:bookmarkStart w:id="411" w:name="_Toc532976619"/>
      <w:bookmarkStart w:id="412" w:name="_Toc536103096"/>
      <w:bookmarkStart w:id="413" w:name="_Toc944540"/>
      <w:bookmarkStart w:id="414" w:name="_Toc4164741"/>
      <w:bookmarkStart w:id="415" w:name="_Toc4419544"/>
      <w:bookmarkStart w:id="416" w:name="_Toc5609520"/>
      <w:bookmarkStart w:id="417" w:name="_Toc5975775"/>
      <w:bookmarkStart w:id="418" w:name="_Toc6220299"/>
      <w:bookmarkStart w:id="419" w:name="_Toc6232632"/>
      <w:r>
        <w:t>Auction Title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C96CC6" w:rsidRPr="001C2E9C" w:rsidP="00C96CC6" w14:paraId="41781BE5" w14:textId="6070AAD3">
      <w:pPr>
        <w:pStyle w:val="ParaNum"/>
        <w:widowControl/>
        <w:rPr>
          <w:szCs w:val="22"/>
        </w:rPr>
      </w:pPr>
      <w:r w:rsidRPr="002A0DC5">
        <w:t>Auction</w:t>
      </w:r>
      <w:r>
        <w:rPr>
          <w:szCs w:val="22"/>
        </w:rPr>
        <w:t xml:space="preserve"> 100</w:t>
      </w:r>
      <w:r w:rsidRPr="001C2E9C">
        <w:rPr>
          <w:szCs w:val="22"/>
        </w:rPr>
        <w:t xml:space="preserve"> – </w:t>
      </w:r>
      <w:r>
        <w:rPr>
          <w:szCs w:val="22"/>
        </w:rPr>
        <w:t>AM Revitalization / FM Translator</w:t>
      </w:r>
      <w:r w:rsidR="00957529">
        <w:rPr>
          <w:szCs w:val="22"/>
        </w:rPr>
        <w:t>s</w:t>
      </w:r>
      <w:r w:rsidR="0071531E">
        <w:rPr>
          <w:szCs w:val="22"/>
        </w:rPr>
        <w:t xml:space="preserve"> (</w:t>
      </w:r>
      <w:r w:rsidR="006040C2">
        <w:rPr>
          <w:szCs w:val="22"/>
        </w:rPr>
        <w:t>2</w:t>
      </w:r>
      <w:r w:rsidRPr="00462FC8" w:rsidR="006040C2">
        <w:rPr>
          <w:szCs w:val="22"/>
          <w:vertAlign w:val="superscript"/>
        </w:rPr>
        <w:t>nd</w:t>
      </w:r>
      <w:r w:rsidR="006040C2">
        <w:rPr>
          <w:szCs w:val="22"/>
        </w:rPr>
        <w:t xml:space="preserve"> </w:t>
      </w:r>
      <w:r w:rsidR="0071531E">
        <w:rPr>
          <w:szCs w:val="22"/>
        </w:rPr>
        <w:t>Window)</w:t>
      </w:r>
    </w:p>
    <w:p w:rsidR="00C96CC6" w:rsidP="00C96CC6" w14:paraId="37D303B2" w14:textId="77777777">
      <w:pPr>
        <w:pStyle w:val="Heading3"/>
      </w:pPr>
      <w:bookmarkStart w:id="420" w:name="_Toc507144286"/>
      <w:bookmarkStart w:id="421" w:name="_Toc507166585"/>
      <w:bookmarkStart w:id="422" w:name="_Toc508121609"/>
      <w:bookmarkStart w:id="423" w:name="_Toc508638826"/>
      <w:bookmarkStart w:id="424" w:name="_Toc508895700"/>
      <w:bookmarkStart w:id="425" w:name="_Toc508953812"/>
      <w:bookmarkStart w:id="426" w:name="_Toc509388458"/>
      <w:bookmarkStart w:id="427" w:name="_Toc509492099"/>
      <w:bookmarkStart w:id="428" w:name="_Toc529870327"/>
      <w:bookmarkStart w:id="429" w:name="_Toc530566504"/>
      <w:bookmarkStart w:id="430" w:name="_Toc531608846"/>
      <w:bookmarkStart w:id="431" w:name="_Toc531700838"/>
      <w:bookmarkStart w:id="432" w:name="_Toc532976620"/>
      <w:bookmarkStart w:id="433" w:name="_Toc536103097"/>
      <w:bookmarkStart w:id="434" w:name="_Toc944541"/>
      <w:bookmarkStart w:id="435" w:name="_Toc4164742"/>
      <w:bookmarkStart w:id="436" w:name="_Toc4419545"/>
      <w:bookmarkStart w:id="437" w:name="_Toc5609521"/>
      <w:bookmarkStart w:id="438" w:name="_Toc5975776"/>
      <w:bookmarkStart w:id="439" w:name="_Toc6220300"/>
      <w:bookmarkStart w:id="440" w:name="_Toc6232633"/>
      <w:r>
        <w:t>Bidding Methodology and Options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C96CC6" w:rsidRPr="008C7578" w:rsidP="00BC0ED4" w14:paraId="3541A5E5" w14:textId="61770B62">
      <w:pPr>
        <w:pStyle w:val="ParaNum"/>
        <w:widowControl/>
      </w:pPr>
      <w:r>
        <w:t xml:space="preserve">As discussed in more detail below, the bidding methodology for Auction 100 will be a simultaneous </w:t>
      </w:r>
      <w:r w:rsidRPr="002A0DC5">
        <w:t>multiple</w:t>
      </w:r>
      <w:r>
        <w:t xml:space="preserve"> round format.</w:t>
      </w:r>
      <w:r>
        <w:rPr>
          <w:rStyle w:val="FootnoteReference"/>
          <w:szCs w:val="22"/>
        </w:rPr>
        <w:footnoteReference w:id="54"/>
      </w:r>
      <w:r>
        <w:t xml:space="preserve">  </w:t>
      </w:r>
      <w:r w:rsidRPr="00A65F60">
        <w:t xml:space="preserve">The Commission will conduct this auction over the Internet using the FCC </w:t>
      </w:r>
      <w:r>
        <w:t>a</w:t>
      </w:r>
      <w:r w:rsidRPr="00A65F60">
        <w:t xml:space="preserve">uction </w:t>
      </w:r>
      <w:r>
        <w:t>bidding s</w:t>
      </w:r>
      <w:r w:rsidRPr="00A65F60">
        <w:t>ystem.  Qualified bidders are permitted to bid electronically via the Internet or</w:t>
      </w:r>
      <w:r w:rsidRPr="001C2E9C">
        <w:t xml:space="preserve"> by telephone</w:t>
      </w:r>
      <w:r>
        <w:t xml:space="preserve"> using the telephonic bidding option</w:t>
      </w:r>
      <w:r w:rsidRPr="001C2E9C">
        <w:t xml:space="preserve">.  All </w:t>
      </w:r>
      <w:r w:rsidR="007D31D7">
        <w:t xml:space="preserve">such </w:t>
      </w:r>
      <w:r w:rsidRPr="001C2E9C">
        <w:t>telephone calls are recorded</w:t>
      </w:r>
      <w:r>
        <w:t>.</w:t>
      </w:r>
    </w:p>
    <w:p w:rsidR="00A90226" w:rsidP="00C96CC6" w14:paraId="2F0BC4EB" w14:textId="376FBAF5">
      <w:pPr>
        <w:pStyle w:val="Heading3"/>
        <w:widowControl/>
      </w:pPr>
      <w:bookmarkStart w:id="441" w:name="_Toc505077405"/>
      <w:bookmarkStart w:id="442" w:name="_Toc507144287"/>
      <w:bookmarkStart w:id="443" w:name="_Toc507166586"/>
      <w:bookmarkStart w:id="444" w:name="_Toc508121610"/>
      <w:bookmarkStart w:id="445" w:name="_Toc508638827"/>
      <w:bookmarkStart w:id="446" w:name="_Toc508895701"/>
      <w:bookmarkStart w:id="447" w:name="_Toc508953813"/>
      <w:bookmarkStart w:id="448" w:name="_Toc509388459"/>
      <w:bookmarkStart w:id="449" w:name="_Toc509492100"/>
      <w:bookmarkStart w:id="450" w:name="_Toc529870328"/>
      <w:bookmarkStart w:id="451" w:name="_Toc530566505"/>
      <w:bookmarkStart w:id="452" w:name="_Toc531608847"/>
      <w:bookmarkStart w:id="453" w:name="_Toc531700839"/>
      <w:bookmarkStart w:id="454" w:name="_Toc5975777"/>
      <w:bookmarkStart w:id="455" w:name="_Toc6220301"/>
      <w:bookmarkStart w:id="456" w:name="_Toc6232634"/>
      <w:bookmarkStart w:id="457" w:name="_Toc532976621"/>
      <w:bookmarkStart w:id="458" w:name="_Toc536103098"/>
      <w:bookmarkStart w:id="459" w:name="_Toc944542"/>
      <w:bookmarkStart w:id="460" w:name="_Toc4164743"/>
      <w:bookmarkStart w:id="461" w:name="_Toc4419546"/>
      <w:bookmarkStart w:id="462" w:name="_Toc5609522"/>
      <w:r>
        <w:t>Auction Dates and Deadlines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A90226" w:rsidRPr="001C2E9C" w:rsidP="00666032" w14:paraId="3D609366" w14:textId="77777777">
      <w:pPr>
        <w:pStyle w:val="ParaNum"/>
        <w:widowControl/>
        <w:rPr>
          <w:szCs w:val="22"/>
        </w:rPr>
      </w:pPr>
      <w:r w:rsidRPr="001C2E9C">
        <w:rPr>
          <w:szCs w:val="22"/>
        </w:rPr>
        <w:t>The following dates and deadlines apply:</w:t>
      </w:r>
    </w:p>
    <w:p w:rsidR="00A90226" w:rsidRPr="00CA6286" w:rsidP="00666032" w14:paraId="3D039549" w14:textId="473828AA">
      <w:pPr>
        <w:widowControl/>
        <w:tabs>
          <w:tab w:val="left" w:leader="dot" w:pos="5040"/>
        </w:tabs>
        <w:spacing w:after="80"/>
        <w:ind w:left="5040" w:hanging="5040"/>
        <w:rPr>
          <w:szCs w:val="22"/>
        </w:rPr>
      </w:pPr>
      <w:r w:rsidRPr="00CA6286">
        <w:rPr>
          <w:szCs w:val="22"/>
        </w:rPr>
        <w:t>Upfront Payments (via wire transfer)</w:t>
      </w:r>
      <w:r w:rsidRPr="00CA6286">
        <w:rPr>
          <w:szCs w:val="22"/>
        </w:rPr>
        <w:tab/>
      </w:r>
      <w:r>
        <w:rPr>
          <w:szCs w:val="22"/>
        </w:rPr>
        <w:t>May 23, 2019</w:t>
      </w:r>
      <w:r w:rsidRPr="00CA6286">
        <w:rPr>
          <w:szCs w:val="22"/>
        </w:rPr>
        <w:t xml:space="preserve">; 6:00 p.m. </w:t>
      </w:r>
      <w:r>
        <w:rPr>
          <w:szCs w:val="22"/>
        </w:rPr>
        <w:t>Eastern Time (</w:t>
      </w:r>
      <w:r w:rsidRPr="00CA6286">
        <w:rPr>
          <w:szCs w:val="22"/>
        </w:rPr>
        <w:t>ET</w:t>
      </w:r>
      <w:r>
        <w:rPr>
          <w:szCs w:val="22"/>
        </w:rPr>
        <w:t>)</w:t>
      </w:r>
    </w:p>
    <w:p w:rsidR="00A90226" w:rsidRPr="00CA6286" w:rsidP="00A90226" w14:paraId="4D82D435" w14:textId="61E46409">
      <w:pPr>
        <w:keepNext/>
        <w:widowControl/>
        <w:tabs>
          <w:tab w:val="left" w:leader="dot" w:pos="5040"/>
        </w:tabs>
        <w:spacing w:after="80"/>
        <w:rPr>
          <w:szCs w:val="22"/>
        </w:rPr>
      </w:pPr>
      <w:r>
        <w:rPr>
          <w:szCs w:val="22"/>
        </w:rPr>
        <w:t>Bidding</w:t>
      </w:r>
      <w:r w:rsidRPr="00CA6286">
        <w:rPr>
          <w:szCs w:val="22"/>
        </w:rPr>
        <w:t xml:space="preserve"> </w:t>
      </w:r>
      <w:r>
        <w:rPr>
          <w:szCs w:val="22"/>
        </w:rPr>
        <w:t>Tutorial Available (via Internet)</w:t>
      </w:r>
      <w:r w:rsidRPr="00CA6286">
        <w:rPr>
          <w:szCs w:val="22"/>
        </w:rPr>
        <w:tab/>
      </w:r>
      <w:r>
        <w:rPr>
          <w:szCs w:val="22"/>
        </w:rPr>
        <w:t>June 7, 2</w:t>
      </w:r>
      <w:r w:rsidRPr="00CA6286">
        <w:rPr>
          <w:szCs w:val="22"/>
        </w:rPr>
        <w:t>0</w:t>
      </w:r>
      <w:r>
        <w:rPr>
          <w:szCs w:val="22"/>
        </w:rPr>
        <w:t>19</w:t>
      </w:r>
    </w:p>
    <w:p w:rsidR="00A90226" w:rsidRPr="00CA6286" w:rsidP="00A90226" w14:paraId="2F13C20F" w14:textId="23D4CD9C">
      <w:pPr>
        <w:widowControl/>
        <w:tabs>
          <w:tab w:val="left" w:leader="dot" w:pos="5040"/>
        </w:tabs>
        <w:spacing w:after="80"/>
        <w:rPr>
          <w:szCs w:val="22"/>
        </w:rPr>
      </w:pPr>
      <w:r w:rsidRPr="00CA6286">
        <w:rPr>
          <w:szCs w:val="22"/>
        </w:rPr>
        <w:t>Mock Auction</w:t>
      </w:r>
      <w:r w:rsidRPr="00CA6286">
        <w:rPr>
          <w:szCs w:val="22"/>
        </w:rPr>
        <w:tab/>
      </w:r>
      <w:r>
        <w:rPr>
          <w:szCs w:val="22"/>
        </w:rPr>
        <w:t>June 21</w:t>
      </w:r>
      <w:r w:rsidRPr="00CA6286">
        <w:rPr>
          <w:szCs w:val="22"/>
        </w:rPr>
        <w:t>, 20</w:t>
      </w:r>
      <w:r>
        <w:rPr>
          <w:szCs w:val="22"/>
        </w:rPr>
        <w:t>19</w:t>
      </w:r>
    </w:p>
    <w:p w:rsidR="00A90226" w:rsidRPr="001C2E9C" w:rsidP="00A90226" w14:paraId="5B31DED5" w14:textId="04C44343">
      <w:pPr>
        <w:widowControl/>
        <w:tabs>
          <w:tab w:val="left" w:leader="dot" w:pos="5040"/>
        </w:tabs>
        <w:spacing w:after="120"/>
        <w:rPr>
          <w:szCs w:val="22"/>
        </w:rPr>
      </w:pPr>
      <w:r w:rsidRPr="001C2E9C">
        <w:rPr>
          <w:szCs w:val="22"/>
        </w:rPr>
        <w:t>Auction Begins</w:t>
      </w:r>
      <w:r w:rsidRPr="001C2E9C">
        <w:rPr>
          <w:szCs w:val="22"/>
        </w:rPr>
        <w:tab/>
      </w:r>
      <w:r>
        <w:rPr>
          <w:szCs w:val="22"/>
        </w:rPr>
        <w:t>June 25, 2019</w:t>
      </w:r>
    </w:p>
    <w:p w:rsidR="00C96CC6" w:rsidP="00C96CC6" w14:paraId="3286210D" w14:textId="37B17CC1">
      <w:pPr>
        <w:pStyle w:val="Heading3"/>
        <w:widowControl/>
      </w:pPr>
      <w:bookmarkStart w:id="463" w:name="_Toc5975778"/>
      <w:bookmarkStart w:id="464" w:name="_Toc6220302"/>
      <w:bookmarkStart w:id="465" w:name="_Toc6232635"/>
      <w:r>
        <w:t>Requirements for Participation</w:t>
      </w:r>
      <w:bookmarkEnd w:id="457"/>
      <w:bookmarkEnd w:id="458"/>
      <w:bookmarkEnd w:id="459"/>
      <w:bookmarkEnd w:id="460"/>
      <w:bookmarkEnd w:id="461"/>
      <w:bookmarkEnd w:id="462"/>
      <w:bookmarkEnd w:id="463"/>
      <w:bookmarkEnd w:id="464"/>
      <w:bookmarkEnd w:id="465"/>
    </w:p>
    <w:p w:rsidR="00C96CC6" w:rsidRPr="002969EC" w:rsidP="00C96CC6" w14:paraId="4443EE01" w14:textId="77777777">
      <w:pPr>
        <w:pStyle w:val="ParaNum"/>
        <w:widowControl/>
        <w:rPr>
          <w:szCs w:val="22"/>
        </w:rPr>
      </w:pPr>
      <w:r>
        <w:rPr>
          <w:szCs w:val="22"/>
        </w:rPr>
        <w:t>A party whose application is listed</w:t>
      </w:r>
      <w:r w:rsidRPr="002969EC">
        <w:rPr>
          <w:szCs w:val="22"/>
        </w:rPr>
        <w:t xml:space="preserve"> on Attachment A of this Public Notice</w:t>
      </w:r>
      <w:r>
        <w:rPr>
          <w:szCs w:val="22"/>
        </w:rPr>
        <w:t xml:space="preserve"> may participate in the bidding in </w:t>
      </w:r>
      <w:r w:rsidRPr="002A0DC5">
        <w:t>Auction</w:t>
      </w:r>
      <w:r>
        <w:rPr>
          <w:szCs w:val="22"/>
        </w:rPr>
        <w:t xml:space="preserve"> 100 only if the applicant:</w:t>
      </w:r>
    </w:p>
    <w:p w:rsidR="00C96CC6" w:rsidP="00C96CC6" w14:paraId="7D0E717A" w14:textId="587AFC51">
      <w:pPr>
        <w:widowControl/>
        <w:numPr>
          <w:ilvl w:val="0"/>
          <w:numId w:val="7"/>
        </w:numPr>
        <w:spacing w:after="120"/>
        <w:ind w:left="720" w:hanging="360"/>
        <w:rPr>
          <w:szCs w:val="22"/>
        </w:rPr>
      </w:pPr>
      <w:r>
        <w:rPr>
          <w:szCs w:val="22"/>
        </w:rPr>
        <w:t>Has submitted a short-form application (FCC Form 175) that is found to comply with the Commission’s competitive bidding rules and the procedures and deadlines set forth in this Public Notice;</w:t>
      </w:r>
    </w:p>
    <w:p w:rsidR="00C96CC6" w:rsidRPr="00307EB2" w:rsidP="00C96CC6" w14:paraId="44EBB0AA" w14:textId="2463C94D">
      <w:pPr>
        <w:widowControl/>
        <w:numPr>
          <w:ilvl w:val="0"/>
          <w:numId w:val="7"/>
        </w:numPr>
        <w:spacing w:after="120"/>
        <w:ind w:left="720" w:hanging="360"/>
        <w:rPr>
          <w:szCs w:val="22"/>
        </w:rPr>
      </w:pPr>
      <w:r w:rsidRPr="003F4483">
        <w:rPr>
          <w:szCs w:val="22"/>
        </w:rPr>
        <w:t>S</w:t>
      </w:r>
      <w:r w:rsidRPr="004E0894">
        <w:rPr>
          <w:szCs w:val="22"/>
        </w:rPr>
        <w:t>ubmit</w:t>
      </w:r>
      <w:r>
        <w:rPr>
          <w:szCs w:val="22"/>
        </w:rPr>
        <w:t>s</w:t>
      </w:r>
      <w:r w:rsidRPr="004E0894">
        <w:rPr>
          <w:szCs w:val="22"/>
        </w:rPr>
        <w:t xml:space="preserve"> a</w:t>
      </w:r>
      <w:r w:rsidRPr="00D25662">
        <w:rPr>
          <w:szCs w:val="22"/>
        </w:rPr>
        <w:t xml:space="preserve"> sufficient upfront payment </w:t>
      </w:r>
      <w:r w:rsidRPr="00D25662" w:rsidR="00A90226">
        <w:rPr>
          <w:szCs w:val="22"/>
        </w:rPr>
        <w:t>and a</w:t>
      </w:r>
      <w:r w:rsidR="00A90226">
        <w:rPr>
          <w:szCs w:val="22"/>
        </w:rPr>
        <w:t xml:space="preserve"> complete and accurate </w:t>
      </w:r>
      <w:r w:rsidRPr="00D25662" w:rsidR="00A90226">
        <w:rPr>
          <w:szCs w:val="22"/>
        </w:rPr>
        <w:t xml:space="preserve">FCC Remittance Advice Form (FCC Form 159) by 6:00 p.m. ET </w:t>
      </w:r>
      <w:r w:rsidR="00A90226">
        <w:rPr>
          <w:szCs w:val="22"/>
        </w:rPr>
        <w:t>on May 23</w:t>
      </w:r>
      <w:r w:rsidRPr="00D25662" w:rsidR="00A90226">
        <w:rPr>
          <w:szCs w:val="22"/>
        </w:rPr>
        <w:t>, 20</w:t>
      </w:r>
      <w:r w:rsidR="00A90226">
        <w:rPr>
          <w:szCs w:val="22"/>
        </w:rPr>
        <w:t>19</w:t>
      </w:r>
      <w:r w:rsidRPr="00D25662" w:rsidR="00A90226">
        <w:rPr>
          <w:szCs w:val="22"/>
        </w:rPr>
        <w:t>,</w:t>
      </w:r>
      <w:r w:rsidR="00A90226">
        <w:rPr>
          <w:szCs w:val="22"/>
        </w:rPr>
        <w:t xml:space="preserve"> </w:t>
      </w:r>
      <w:r w:rsidRPr="00D25662">
        <w:rPr>
          <w:szCs w:val="22"/>
        </w:rPr>
        <w:t xml:space="preserve">following the procedures and instructions set forth </w:t>
      </w:r>
      <w:r w:rsidRPr="004568B9">
        <w:rPr>
          <w:szCs w:val="22"/>
        </w:rPr>
        <w:t xml:space="preserve">in Attachment </w:t>
      </w:r>
      <w:r>
        <w:rPr>
          <w:szCs w:val="22"/>
        </w:rPr>
        <w:t>B</w:t>
      </w:r>
      <w:r w:rsidRPr="004568B9">
        <w:rPr>
          <w:szCs w:val="22"/>
        </w:rPr>
        <w:t xml:space="preserve"> to this Public Notice; and</w:t>
      </w:r>
    </w:p>
    <w:p w:rsidR="00C96CC6" w:rsidRPr="009649F9" w:rsidP="00C96CC6" w14:paraId="20E54DB7" w14:textId="77777777">
      <w:pPr>
        <w:widowControl/>
        <w:numPr>
          <w:ilvl w:val="0"/>
          <w:numId w:val="7"/>
        </w:numPr>
        <w:spacing w:after="120"/>
        <w:ind w:left="720" w:hanging="360"/>
        <w:rPr>
          <w:szCs w:val="22"/>
        </w:rPr>
      </w:pPr>
      <w:r w:rsidRPr="001C2E9C">
        <w:rPr>
          <w:szCs w:val="22"/>
        </w:rPr>
        <w:t>Compl</w:t>
      </w:r>
      <w:r>
        <w:rPr>
          <w:szCs w:val="22"/>
        </w:rPr>
        <w:t>ies</w:t>
      </w:r>
      <w:r w:rsidRPr="001C2E9C">
        <w:rPr>
          <w:szCs w:val="22"/>
        </w:rPr>
        <w:t xml:space="preserve"> with all provisions outlined in this Public Notice and applicable Commission rules.</w:t>
      </w:r>
    </w:p>
    <w:p w:rsidR="00C96CC6" w:rsidP="00C96CC6" w14:paraId="17E324CC" w14:textId="77777777">
      <w:pPr>
        <w:pStyle w:val="Heading1"/>
        <w:tabs>
          <w:tab w:val="num" w:pos="720"/>
        </w:tabs>
      </w:pPr>
      <w:bookmarkStart w:id="466" w:name="_Toc505077407"/>
      <w:bookmarkStart w:id="467" w:name="_Toc507144289"/>
      <w:bookmarkStart w:id="468" w:name="_Toc507166588"/>
      <w:bookmarkStart w:id="469" w:name="_Toc508121612"/>
      <w:bookmarkStart w:id="470" w:name="_Toc508638829"/>
      <w:bookmarkStart w:id="471" w:name="_Toc508895703"/>
      <w:bookmarkStart w:id="472" w:name="_Toc508953815"/>
      <w:bookmarkStart w:id="473" w:name="_Toc509388461"/>
      <w:bookmarkStart w:id="474" w:name="_Toc509492102"/>
      <w:bookmarkStart w:id="475" w:name="_Toc529870330"/>
      <w:bookmarkStart w:id="476" w:name="_Toc530566507"/>
      <w:bookmarkStart w:id="477" w:name="_Toc531608849"/>
      <w:bookmarkStart w:id="478" w:name="_Toc531700841"/>
      <w:bookmarkStart w:id="479" w:name="_Toc532976622"/>
      <w:bookmarkStart w:id="480" w:name="_Toc536103099"/>
      <w:bookmarkStart w:id="481" w:name="_Toc944543"/>
      <w:bookmarkStart w:id="482" w:name="_Toc4164744"/>
      <w:bookmarkStart w:id="483" w:name="_Toc4419547"/>
      <w:bookmarkStart w:id="484" w:name="_Toc5609523"/>
      <w:bookmarkStart w:id="485" w:name="_Toc5975779"/>
      <w:bookmarkStart w:id="486" w:name="_Toc6220303"/>
      <w:bookmarkStart w:id="487" w:name="_Toc6232636"/>
      <w:r>
        <w:t>Short-Form Application (FCC Form 175) Requirements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C96CC6" w:rsidP="00C06E1B" w14:paraId="00076C3F" w14:textId="77777777">
      <w:pPr>
        <w:pStyle w:val="Heading2"/>
      </w:pPr>
      <w:bookmarkStart w:id="488" w:name="_Toc505077410"/>
      <w:bookmarkStart w:id="489" w:name="_Toc507144292"/>
      <w:bookmarkStart w:id="490" w:name="_Toc507166591"/>
      <w:bookmarkStart w:id="491" w:name="_Toc508121615"/>
      <w:bookmarkStart w:id="492" w:name="_Toc508638830"/>
      <w:bookmarkStart w:id="493" w:name="_Toc508895704"/>
      <w:bookmarkStart w:id="494" w:name="_Toc508953816"/>
      <w:bookmarkStart w:id="495" w:name="_Toc509388462"/>
      <w:bookmarkStart w:id="496" w:name="_Toc509492103"/>
      <w:bookmarkStart w:id="497" w:name="_Toc529870331"/>
      <w:bookmarkStart w:id="498" w:name="_Toc530566508"/>
      <w:bookmarkStart w:id="499" w:name="_Toc531608850"/>
      <w:bookmarkStart w:id="500" w:name="_Toc531700842"/>
      <w:bookmarkStart w:id="501" w:name="_Toc532976623"/>
      <w:bookmarkStart w:id="502" w:name="_Toc536103100"/>
      <w:bookmarkStart w:id="503" w:name="_Toc944544"/>
      <w:bookmarkStart w:id="504" w:name="_Toc4164745"/>
      <w:bookmarkStart w:id="505" w:name="_Toc4419548"/>
      <w:bookmarkStart w:id="506" w:name="_Toc5609524"/>
      <w:bookmarkStart w:id="507" w:name="_Toc5975780"/>
      <w:bookmarkStart w:id="508" w:name="_Toc6220304"/>
      <w:bookmarkStart w:id="509" w:name="_Toc6232637"/>
      <w:r>
        <w:t>Maintaining Current Information in Short-Form Applications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C96CC6" w:rsidRPr="005627FD" w:rsidP="00C96CC6" w14:paraId="37D060F6" w14:textId="4CA4C498">
      <w:pPr>
        <w:pStyle w:val="ParaNum"/>
        <w:widowControl/>
      </w:pPr>
      <w:r w:rsidRPr="00764293">
        <w:rPr>
          <w:szCs w:val="22"/>
        </w:rPr>
        <w:t xml:space="preserve">Sections 1.65 and 1.2105(b) of the Commission’s rules require an applicant to </w:t>
      </w:r>
      <w:r w:rsidR="00E36B17">
        <w:rPr>
          <w:szCs w:val="22"/>
        </w:rPr>
        <w:t xml:space="preserve">continuously </w:t>
      </w:r>
      <w:r w:rsidRPr="00764293">
        <w:rPr>
          <w:szCs w:val="22"/>
        </w:rPr>
        <w:t xml:space="preserve">maintain the accuracy and </w:t>
      </w:r>
      <w:r w:rsidRPr="002A0DC5">
        <w:t>completeness</w:t>
      </w:r>
      <w:r w:rsidRPr="00764293">
        <w:rPr>
          <w:szCs w:val="22"/>
        </w:rPr>
        <w:t xml:space="preserve"> of </w:t>
      </w:r>
      <w:r>
        <w:rPr>
          <w:szCs w:val="22"/>
        </w:rPr>
        <w:t xml:space="preserve">all </w:t>
      </w:r>
      <w:r w:rsidRPr="00764293">
        <w:rPr>
          <w:szCs w:val="22"/>
        </w:rPr>
        <w:t xml:space="preserve">information furnished in its pending application and in competitive bidding proceedings to furnish additional or corrected information to the </w:t>
      </w:r>
      <w:r w:rsidRPr="00764293">
        <w:rPr>
          <w:szCs w:val="22"/>
        </w:rPr>
        <w:t>Commission within five days of a significant occurrence,</w:t>
      </w:r>
      <w:r>
        <w:rPr>
          <w:rStyle w:val="FootnoteReference"/>
          <w:szCs w:val="22"/>
        </w:rPr>
        <w:footnoteReference w:id="55"/>
      </w:r>
      <w:r w:rsidRPr="00764293">
        <w:rPr>
          <w:szCs w:val="22"/>
        </w:rPr>
        <w:t xml:space="preserve"> or to amend a short</w:t>
      </w:r>
      <w:r w:rsidR="00E36B17">
        <w:rPr>
          <w:szCs w:val="22"/>
        </w:rPr>
        <w:t>-</w:t>
      </w:r>
      <w:r w:rsidRPr="00764293">
        <w:rPr>
          <w:szCs w:val="22"/>
        </w:rPr>
        <w:t>form application no more than five days after the applicant becomes aware of the need for the amendment.</w:t>
      </w:r>
      <w:r>
        <w:rPr>
          <w:rStyle w:val="FootnoteReference"/>
          <w:szCs w:val="22"/>
        </w:rPr>
        <w:footnoteReference w:id="56"/>
      </w:r>
      <w:r w:rsidRPr="00764293">
        <w:rPr>
          <w:szCs w:val="22"/>
        </w:rPr>
        <w:t xml:space="preserve">  </w:t>
      </w:r>
    </w:p>
    <w:p w:rsidR="00C96CC6" w:rsidP="00C06E1B" w14:paraId="5024A06C" w14:textId="77777777">
      <w:pPr>
        <w:pStyle w:val="Heading2"/>
      </w:pPr>
      <w:bookmarkStart w:id="510" w:name="_Toc530566509"/>
      <w:bookmarkStart w:id="511" w:name="_Toc531608851"/>
      <w:bookmarkStart w:id="512" w:name="_Toc531700843"/>
      <w:bookmarkStart w:id="513" w:name="_Toc532976624"/>
      <w:bookmarkStart w:id="514" w:name="_Toc536103101"/>
      <w:bookmarkStart w:id="515" w:name="_Toc944545"/>
      <w:bookmarkStart w:id="516" w:name="_Toc4164746"/>
      <w:bookmarkStart w:id="517" w:name="_Toc4419549"/>
      <w:bookmarkStart w:id="518" w:name="_Toc5609525"/>
      <w:bookmarkStart w:id="519" w:name="_Toc5975781"/>
      <w:bookmarkStart w:id="520" w:name="_Toc6220305"/>
      <w:bookmarkStart w:id="521" w:name="_Toc6232638"/>
      <w:r w:rsidRPr="005712E5">
        <w:t xml:space="preserve">Minor Modifications </w:t>
      </w:r>
      <w:r>
        <w:t>to Short-Form Applications</w:t>
      </w:r>
      <w:bookmarkEnd w:id="510"/>
      <w:bookmarkEnd w:id="511"/>
      <w:bookmarkEnd w:id="512"/>
      <w:bookmarkEnd w:id="513"/>
      <w:bookmarkEnd w:id="514"/>
      <w:bookmarkEnd w:id="515"/>
      <w:bookmarkEnd w:id="516"/>
      <w:bookmarkEnd w:id="517"/>
      <w:bookmarkEnd w:id="518"/>
      <w:bookmarkEnd w:id="519"/>
      <w:bookmarkEnd w:id="520"/>
      <w:bookmarkEnd w:id="521"/>
    </w:p>
    <w:p w:rsidR="00C96CC6" w:rsidRPr="005627FD" w:rsidP="00C96CC6" w14:paraId="282B3BA8" w14:textId="3212B1F3">
      <w:pPr>
        <w:pStyle w:val="ParaNum"/>
        <w:widowControl/>
      </w:pPr>
      <w:r>
        <w:rPr>
          <w:szCs w:val="22"/>
        </w:rPr>
        <w:t xml:space="preserve">After the initial application filing deadline on January 31, 2018, </w:t>
      </w:r>
      <w:r w:rsidRPr="007C52FA">
        <w:rPr>
          <w:szCs w:val="22"/>
        </w:rPr>
        <w:t xml:space="preserve">an Auction </w:t>
      </w:r>
      <w:r>
        <w:rPr>
          <w:szCs w:val="22"/>
        </w:rPr>
        <w:t>100</w:t>
      </w:r>
      <w:r w:rsidRPr="007C52FA">
        <w:rPr>
          <w:szCs w:val="22"/>
        </w:rPr>
        <w:t xml:space="preserve"> applicant is permitted to make only minor changes to its application</w:t>
      </w:r>
      <w:r>
        <w:rPr>
          <w:szCs w:val="22"/>
        </w:rPr>
        <w:t xml:space="preserve"> consistent with the Commission’s rules</w:t>
      </w:r>
      <w:r w:rsidRPr="007C52FA">
        <w:rPr>
          <w:szCs w:val="22"/>
        </w:rPr>
        <w:t>.</w:t>
      </w:r>
      <w:r>
        <w:rPr>
          <w:szCs w:val="22"/>
          <w:vertAlign w:val="superscript"/>
        </w:rPr>
        <w:footnoteReference w:id="57"/>
      </w:r>
      <w:r w:rsidRPr="007C52FA">
        <w:rPr>
          <w:szCs w:val="22"/>
        </w:rPr>
        <w:t xml:space="preserve">  Permissible minor changes include, among other things, deletion and addition of authorized bidders (to a maximum of three) </w:t>
      </w:r>
      <w:r>
        <w:rPr>
          <w:szCs w:val="22"/>
        </w:rPr>
        <w:t xml:space="preserve">and </w:t>
      </w:r>
      <w:r w:rsidRPr="007C52FA">
        <w:rPr>
          <w:szCs w:val="22"/>
        </w:rPr>
        <w:t>revision of addresses and telephone numbers of the applicant</w:t>
      </w:r>
      <w:r>
        <w:rPr>
          <w:szCs w:val="22"/>
        </w:rPr>
        <w:t>, its responsible party, or</w:t>
      </w:r>
      <w:r w:rsidRPr="007C52FA">
        <w:rPr>
          <w:szCs w:val="22"/>
        </w:rPr>
        <w:t xml:space="preserve"> </w:t>
      </w:r>
      <w:r>
        <w:rPr>
          <w:szCs w:val="22"/>
        </w:rPr>
        <w:t>its</w:t>
      </w:r>
      <w:r w:rsidRPr="007C52FA">
        <w:rPr>
          <w:szCs w:val="22"/>
        </w:rPr>
        <w:t xml:space="preserve"> contact person.  If revised or updated information constitutes a “major amendment,” as defined by section 1.2105, such chang</w:t>
      </w:r>
      <w:r w:rsidRPr="00E75725">
        <w:rPr>
          <w:szCs w:val="22"/>
        </w:rPr>
        <w:t xml:space="preserve">es </w:t>
      </w:r>
      <w:r>
        <w:rPr>
          <w:szCs w:val="22"/>
        </w:rPr>
        <w:t xml:space="preserve">will not be accepted and </w:t>
      </w:r>
      <w:r w:rsidRPr="00E75725">
        <w:rPr>
          <w:szCs w:val="22"/>
        </w:rPr>
        <w:t>may result in dismissal of the application.</w:t>
      </w:r>
      <w:r>
        <w:rPr>
          <w:szCs w:val="22"/>
          <w:vertAlign w:val="superscript"/>
        </w:rPr>
        <w:footnoteReference w:id="58"/>
      </w:r>
      <w:r w:rsidRPr="007C52FA">
        <w:rPr>
          <w:szCs w:val="22"/>
        </w:rPr>
        <w:t xml:space="preserve">  In this context, major amendments </w:t>
      </w:r>
      <w:r>
        <w:rPr>
          <w:szCs w:val="22"/>
        </w:rPr>
        <w:t xml:space="preserve">to FCC Form 175 </w:t>
      </w:r>
      <w:r w:rsidRPr="007C52FA">
        <w:rPr>
          <w:szCs w:val="22"/>
        </w:rPr>
        <w:t>include a</w:t>
      </w:r>
      <w:r w:rsidRPr="00E75725">
        <w:rPr>
          <w:szCs w:val="22"/>
        </w:rPr>
        <w:t xml:space="preserve"> change of technical proposals, change </w:t>
      </w:r>
      <w:r w:rsidR="008E7074">
        <w:rPr>
          <w:szCs w:val="22"/>
        </w:rPr>
        <w:t xml:space="preserve">in </w:t>
      </w:r>
      <w:r w:rsidRPr="00E75725">
        <w:rPr>
          <w:szCs w:val="22"/>
        </w:rPr>
        <w:t xml:space="preserve">control of the applicant </w:t>
      </w:r>
      <w:r>
        <w:rPr>
          <w:szCs w:val="22"/>
        </w:rPr>
        <w:t xml:space="preserve">(e.g., certain changes in ownership or control that would constitute an assignment or transfer of control of the applicant), change in </w:t>
      </w:r>
      <w:r w:rsidRPr="00E75725">
        <w:rPr>
          <w:szCs w:val="22"/>
        </w:rPr>
        <w:t>claim</w:t>
      </w:r>
      <w:r>
        <w:rPr>
          <w:szCs w:val="22"/>
        </w:rPr>
        <w:t>ed</w:t>
      </w:r>
      <w:r w:rsidRPr="00E75725">
        <w:rPr>
          <w:szCs w:val="22"/>
        </w:rPr>
        <w:t xml:space="preserve"> </w:t>
      </w:r>
      <w:r>
        <w:rPr>
          <w:szCs w:val="22"/>
        </w:rPr>
        <w:t xml:space="preserve">bidding credit </w:t>
      </w:r>
      <w:r w:rsidRPr="00E75725">
        <w:rPr>
          <w:szCs w:val="22"/>
        </w:rPr>
        <w:t xml:space="preserve">eligibility </w:t>
      </w:r>
      <w:r>
        <w:rPr>
          <w:szCs w:val="22"/>
        </w:rPr>
        <w:t>to</w:t>
      </w:r>
      <w:r w:rsidRPr="00E75725">
        <w:rPr>
          <w:szCs w:val="22"/>
        </w:rPr>
        <w:t xml:space="preserve"> a higher percentage of bidding credit, </w:t>
      </w:r>
      <w:r>
        <w:rPr>
          <w:szCs w:val="22"/>
        </w:rPr>
        <w:t>change in required certifications, change in the applicant’s legal classification that results in a change of control,</w:t>
      </w:r>
      <w:r w:rsidRPr="00D3364E">
        <w:rPr>
          <w:rStyle w:val="FootnoteReference"/>
          <w:szCs w:val="22"/>
        </w:rPr>
        <w:t xml:space="preserve"> </w:t>
      </w:r>
      <w:r>
        <w:rPr>
          <w:rStyle w:val="FootnoteReference"/>
          <w:szCs w:val="22"/>
        </w:rPr>
        <w:footnoteReference w:id="59"/>
      </w:r>
      <w:r>
        <w:rPr>
          <w:szCs w:val="22"/>
        </w:rPr>
        <w:t xml:space="preserve"> </w:t>
      </w:r>
      <w:r w:rsidRPr="00E75725">
        <w:rPr>
          <w:szCs w:val="22"/>
        </w:rPr>
        <w:t xml:space="preserve">or change </w:t>
      </w:r>
      <w:r>
        <w:rPr>
          <w:szCs w:val="22"/>
        </w:rPr>
        <w:t xml:space="preserve">in </w:t>
      </w:r>
      <w:r w:rsidRPr="00E75725">
        <w:rPr>
          <w:szCs w:val="22"/>
        </w:rPr>
        <w:t>the identification of the application’s proposed facilities as noncommercial educational after the initial application filing deadline.</w:t>
      </w:r>
      <w:r>
        <w:rPr>
          <w:szCs w:val="22"/>
          <w:vertAlign w:val="superscript"/>
        </w:rPr>
        <w:footnoteReference w:id="60"/>
      </w:r>
      <w:r w:rsidRPr="007C52FA">
        <w:rPr>
          <w:szCs w:val="22"/>
        </w:rPr>
        <w:t xml:space="preserve">     </w:t>
      </w:r>
    </w:p>
    <w:p w:rsidR="00C96CC6" w:rsidP="00C06E1B" w14:paraId="1D9C6F81" w14:textId="77777777">
      <w:pPr>
        <w:pStyle w:val="Heading2"/>
      </w:pPr>
      <w:bookmarkStart w:id="522" w:name="_Toc505077411"/>
      <w:bookmarkStart w:id="523" w:name="_Toc507144293"/>
      <w:bookmarkStart w:id="524" w:name="_Toc507166592"/>
      <w:bookmarkStart w:id="525" w:name="_Toc508121616"/>
      <w:bookmarkStart w:id="526" w:name="_Toc508638831"/>
      <w:bookmarkStart w:id="527" w:name="_Toc508895705"/>
      <w:bookmarkStart w:id="528" w:name="_Toc508953817"/>
      <w:bookmarkStart w:id="529" w:name="_Toc509388463"/>
      <w:bookmarkStart w:id="530" w:name="_Toc509492104"/>
      <w:bookmarkStart w:id="531" w:name="_Toc529870332"/>
      <w:bookmarkStart w:id="532" w:name="_Toc530566510"/>
      <w:bookmarkStart w:id="533" w:name="_Toc531608852"/>
      <w:bookmarkStart w:id="534" w:name="_Toc531700844"/>
      <w:bookmarkStart w:id="535" w:name="_Toc532976625"/>
      <w:bookmarkStart w:id="536" w:name="_Toc536103102"/>
      <w:bookmarkStart w:id="537" w:name="_Toc944546"/>
      <w:bookmarkStart w:id="538" w:name="_Toc4164747"/>
      <w:bookmarkStart w:id="539" w:name="_Toc4419550"/>
      <w:bookmarkStart w:id="540" w:name="_Toc5609526"/>
      <w:bookmarkStart w:id="541" w:name="_Toc5975782"/>
      <w:bookmarkStart w:id="542" w:name="_Toc6220306"/>
      <w:bookmarkStart w:id="543" w:name="_Toc6232639"/>
      <w:r>
        <w:t>Submission of Updates to Short-Form Applications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C96CC6" w:rsidRPr="002774E9" w:rsidP="00C96CC6" w14:paraId="156E68AE" w14:textId="77777777">
      <w:pPr>
        <w:pStyle w:val="ParaNum"/>
        <w:widowControl/>
        <w:rPr>
          <w:szCs w:val="22"/>
        </w:rPr>
      </w:pPr>
      <w:r>
        <w:rPr>
          <w:szCs w:val="22"/>
        </w:rPr>
        <w:t xml:space="preserve">Updates to short-form applications </w:t>
      </w:r>
      <w:r w:rsidRPr="002774E9">
        <w:rPr>
          <w:szCs w:val="22"/>
        </w:rPr>
        <w:t xml:space="preserve">should be made electronically using the FCC </w:t>
      </w:r>
      <w:r>
        <w:rPr>
          <w:szCs w:val="22"/>
        </w:rPr>
        <w:t>a</w:t>
      </w:r>
      <w:r w:rsidRPr="002774E9">
        <w:rPr>
          <w:szCs w:val="22"/>
        </w:rPr>
        <w:t>uction</w:t>
      </w:r>
      <w:r>
        <w:rPr>
          <w:szCs w:val="22"/>
        </w:rPr>
        <w:t xml:space="preserve"> application</w:t>
      </w:r>
      <w:r w:rsidRPr="002774E9">
        <w:rPr>
          <w:szCs w:val="22"/>
        </w:rPr>
        <w:t xml:space="preserve"> </w:t>
      </w:r>
      <w:r>
        <w:rPr>
          <w:szCs w:val="22"/>
        </w:rPr>
        <w:t>s</w:t>
      </w:r>
      <w:r w:rsidRPr="002774E9">
        <w:rPr>
          <w:szCs w:val="22"/>
        </w:rPr>
        <w:t xml:space="preserve">ystem whenever possible.  </w:t>
      </w:r>
      <w:r>
        <w:rPr>
          <w:szCs w:val="22"/>
        </w:rPr>
        <w:t>For the change to be submitted and considered by the Commission, be sure</w:t>
      </w:r>
      <w:r w:rsidRPr="002774E9">
        <w:rPr>
          <w:szCs w:val="22"/>
        </w:rPr>
        <w:t xml:space="preserve"> to click on the SUBMIT button.</w:t>
      </w:r>
      <w:r>
        <w:rPr>
          <w:rStyle w:val="FootnoteReference"/>
          <w:szCs w:val="22"/>
        </w:rPr>
        <w:footnoteReference w:id="61"/>
      </w:r>
      <w:r w:rsidRPr="002774E9">
        <w:rPr>
          <w:szCs w:val="22"/>
        </w:rPr>
        <w:t xml:space="preserve">  </w:t>
      </w:r>
    </w:p>
    <w:p w:rsidR="00C96CC6" w:rsidRPr="00C27342" w:rsidP="00C96CC6" w14:paraId="47B29342" w14:textId="6391E8C3">
      <w:pPr>
        <w:pStyle w:val="ParaNum"/>
        <w:widowControl/>
        <w:rPr>
          <w:szCs w:val="22"/>
        </w:rPr>
      </w:pPr>
      <w:r w:rsidRPr="002774E9">
        <w:rPr>
          <w:snapToGrid/>
          <w:szCs w:val="22"/>
        </w:rPr>
        <w:t xml:space="preserve">An applicant </w:t>
      </w:r>
      <w:r>
        <w:rPr>
          <w:snapToGrid/>
          <w:szCs w:val="22"/>
        </w:rPr>
        <w:t xml:space="preserve">should not </w:t>
      </w:r>
      <w:r w:rsidRPr="002774E9">
        <w:rPr>
          <w:snapToGrid/>
          <w:szCs w:val="22"/>
        </w:rPr>
        <w:t xml:space="preserve">use the </w:t>
      </w:r>
      <w:r>
        <w:rPr>
          <w:snapToGrid/>
          <w:szCs w:val="22"/>
        </w:rPr>
        <w:t>a</w:t>
      </w:r>
      <w:r w:rsidRPr="002774E9">
        <w:rPr>
          <w:snapToGrid/>
          <w:szCs w:val="22"/>
        </w:rPr>
        <w:t xml:space="preserve">uction </w:t>
      </w:r>
      <w:r>
        <w:rPr>
          <w:snapToGrid/>
          <w:szCs w:val="22"/>
        </w:rPr>
        <w:t>application s</w:t>
      </w:r>
      <w:r w:rsidRPr="002774E9">
        <w:rPr>
          <w:snapToGrid/>
          <w:szCs w:val="22"/>
        </w:rPr>
        <w:t xml:space="preserve">ystem outside of the </w:t>
      </w:r>
      <w:r>
        <w:rPr>
          <w:snapToGrid/>
          <w:szCs w:val="22"/>
        </w:rPr>
        <w:t>initial</w:t>
      </w:r>
      <w:r w:rsidRPr="002774E9">
        <w:rPr>
          <w:snapToGrid/>
          <w:szCs w:val="22"/>
        </w:rPr>
        <w:t xml:space="preserve"> and resubmission</w:t>
      </w:r>
      <w:r w:rsidRPr="00341DD7">
        <w:rPr>
          <w:snapToGrid/>
          <w:szCs w:val="22"/>
        </w:rPr>
        <w:t xml:space="preserve"> </w:t>
      </w:r>
      <w:r w:rsidRPr="00F67A95">
        <w:t>filing</w:t>
      </w:r>
      <w:r w:rsidRPr="00341DD7">
        <w:rPr>
          <w:snapToGrid/>
          <w:szCs w:val="22"/>
        </w:rPr>
        <w:t xml:space="preserve"> windows to make changes </w:t>
      </w:r>
      <w:r w:rsidRPr="00341DD7">
        <w:rPr>
          <w:szCs w:val="22"/>
        </w:rPr>
        <w:t>to</w:t>
      </w:r>
      <w:r w:rsidRPr="00341DD7">
        <w:rPr>
          <w:snapToGrid/>
          <w:szCs w:val="22"/>
        </w:rPr>
        <w:t xml:space="preserve"> its short-form </w:t>
      </w:r>
      <w:r w:rsidRPr="00640E12">
        <w:rPr>
          <w:snapToGrid/>
          <w:szCs w:val="22"/>
        </w:rPr>
        <w:t xml:space="preserve">application for other than administrative changes (e.g., changing contact information). </w:t>
      </w:r>
      <w:r>
        <w:rPr>
          <w:snapToGrid/>
          <w:szCs w:val="22"/>
        </w:rPr>
        <w:t xml:space="preserve"> A</w:t>
      </w:r>
      <w:r>
        <w:rPr>
          <w:szCs w:val="22"/>
        </w:rPr>
        <w:t xml:space="preserve">fter the filing window has closed, the system will not permit applicants to modify information in most of the application’s data fields. </w:t>
      </w:r>
      <w:r w:rsidRPr="00640E12">
        <w:rPr>
          <w:snapToGrid/>
          <w:szCs w:val="22"/>
        </w:rPr>
        <w:t xml:space="preserve"> </w:t>
      </w:r>
    </w:p>
    <w:p w:rsidR="00C96CC6" w:rsidRPr="00C27342" w:rsidP="00C96CC6" w14:paraId="28C81FB9" w14:textId="6F9B7C3F">
      <w:pPr>
        <w:pStyle w:val="ParaNum"/>
        <w:widowControl/>
        <w:rPr>
          <w:szCs w:val="22"/>
        </w:rPr>
      </w:pPr>
      <w:r w:rsidRPr="00C27342">
        <w:rPr>
          <w:snapToGrid/>
          <w:szCs w:val="22"/>
        </w:rPr>
        <w:t xml:space="preserve">If changes need to be made outside of these </w:t>
      </w:r>
      <w:r>
        <w:rPr>
          <w:snapToGrid/>
          <w:szCs w:val="22"/>
        </w:rPr>
        <w:t xml:space="preserve">initial and resubmission filing </w:t>
      </w:r>
      <w:r w:rsidRPr="00C27342">
        <w:rPr>
          <w:snapToGrid/>
          <w:szCs w:val="22"/>
        </w:rPr>
        <w:t>windows</w:t>
      </w:r>
      <w:r>
        <w:rPr>
          <w:snapToGrid/>
          <w:szCs w:val="22"/>
        </w:rPr>
        <w:t xml:space="preserve"> for other than the mi</w:t>
      </w:r>
      <w:r w:rsidRPr="00F67A95">
        <w:t>nor</w:t>
      </w:r>
      <w:r>
        <w:rPr>
          <w:snapToGrid/>
          <w:szCs w:val="22"/>
        </w:rPr>
        <w:t xml:space="preserve"> administrative changes as described</w:t>
      </w:r>
      <w:r w:rsidRPr="00C27342">
        <w:rPr>
          <w:snapToGrid/>
          <w:szCs w:val="22"/>
        </w:rPr>
        <w:t>, the</w:t>
      </w:r>
      <w:r w:rsidRPr="00C27342">
        <w:rPr>
          <w:szCs w:val="22"/>
        </w:rPr>
        <w:t xml:space="preserve"> applicant must submit a letter briefly summarizing the changes and subsequently update its short-form application in the </w:t>
      </w:r>
      <w:r>
        <w:rPr>
          <w:szCs w:val="22"/>
        </w:rPr>
        <w:t>a</w:t>
      </w:r>
      <w:r w:rsidRPr="00C27342">
        <w:rPr>
          <w:szCs w:val="22"/>
        </w:rPr>
        <w:t xml:space="preserve">uction </w:t>
      </w:r>
      <w:r>
        <w:rPr>
          <w:szCs w:val="22"/>
        </w:rPr>
        <w:t>application s</w:t>
      </w:r>
      <w:r w:rsidRPr="00C27342">
        <w:rPr>
          <w:szCs w:val="22"/>
        </w:rPr>
        <w:t xml:space="preserve">ystem once it is </w:t>
      </w:r>
      <w:r w:rsidRPr="002A0DC5">
        <w:t>available</w:t>
      </w:r>
      <w:r w:rsidRPr="00C27342">
        <w:rPr>
          <w:szCs w:val="22"/>
        </w:rPr>
        <w:t xml:space="preserve">.  Any letter describing changes to an applicant’s short-form application must be </w:t>
      </w:r>
      <w:r>
        <w:rPr>
          <w:szCs w:val="22"/>
        </w:rPr>
        <w:t xml:space="preserve">addressed to Margaret W. Wiener, Chief, Auctions Division, </w:t>
      </w:r>
      <w:r w:rsidR="00957529">
        <w:rPr>
          <w:szCs w:val="22"/>
        </w:rPr>
        <w:t>OEA</w:t>
      </w:r>
      <w:r>
        <w:rPr>
          <w:szCs w:val="22"/>
        </w:rPr>
        <w:t xml:space="preserve">, and </w:t>
      </w:r>
      <w:r w:rsidRPr="00C27342">
        <w:rPr>
          <w:szCs w:val="22"/>
        </w:rPr>
        <w:t>submitted by email to</w:t>
      </w:r>
      <w:r>
        <w:rPr>
          <w:szCs w:val="22"/>
        </w:rPr>
        <w:t xml:space="preserve"> </w:t>
      </w:r>
      <w:hyperlink r:id="rId6" w:history="1">
        <w:r>
          <w:rPr>
            <w:rStyle w:val="Hyperlink"/>
            <w:szCs w:val="22"/>
          </w:rPr>
          <w:t>auction100@fcc.gov</w:t>
        </w:r>
      </w:hyperlink>
      <w:r w:rsidRPr="00C27342">
        <w:rPr>
          <w:szCs w:val="22"/>
        </w:rPr>
        <w:t xml:space="preserve">.  The email summarizing the changes must include a subject or caption referring to Auction </w:t>
      </w:r>
      <w:r>
        <w:rPr>
          <w:szCs w:val="22"/>
        </w:rPr>
        <w:t>100</w:t>
      </w:r>
      <w:r w:rsidRPr="00C27342">
        <w:rPr>
          <w:szCs w:val="22"/>
        </w:rPr>
        <w:t xml:space="preserve"> and the name of the applicant, for example, “Re: Changes to Auction </w:t>
      </w:r>
      <w:r>
        <w:rPr>
          <w:szCs w:val="22"/>
        </w:rPr>
        <w:t>100</w:t>
      </w:r>
      <w:r w:rsidRPr="00C27342">
        <w:rPr>
          <w:szCs w:val="22"/>
        </w:rPr>
        <w:t xml:space="preserve"> Short-Form Application of ABC Corp.”  </w:t>
      </w:r>
      <w:r w:rsidR="00BC0ED4">
        <w:rPr>
          <w:szCs w:val="22"/>
        </w:rPr>
        <w:t>We</w:t>
      </w:r>
      <w:r w:rsidRPr="00C27342">
        <w:rPr>
          <w:szCs w:val="22"/>
        </w:rPr>
        <w:t xml:space="preserve"> request that parties format any attachments to email as Adobe</w:t>
      </w:r>
      <w:r w:rsidRPr="00C27342">
        <w:rPr>
          <w:szCs w:val="22"/>
          <w:vertAlign w:val="superscript"/>
        </w:rPr>
        <w:t>®</w:t>
      </w:r>
      <w:r w:rsidRPr="00C27342">
        <w:rPr>
          <w:szCs w:val="22"/>
        </w:rPr>
        <w:t xml:space="preserve"> Acrobat</w:t>
      </w:r>
      <w:r w:rsidRPr="00C27342">
        <w:rPr>
          <w:szCs w:val="22"/>
          <w:vertAlign w:val="superscript"/>
        </w:rPr>
        <w:t>®</w:t>
      </w:r>
      <w:r w:rsidRPr="00C27342">
        <w:rPr>
          <w:szCs w:val="22"/>
        </w:rPr>
        <w:t xml:space="preserve"> </w:t>
      </w:r>
      <w:r w:rsidRPr="00C27342">
        <w:rPr>
          <w:szCs w:val="22"/>
        </w:rPr>
        <w:t>(pdf) or Microsoft</w:t>
      </w:r>
      <w:r w:rsidRPr="00C27342">
        <w:rPr>
          <w:szCs w:val="22"/>
          <w:vertAlign w:val="superscript"/>
        </w:rPr>
        <w:t>®</w:t>
      </w:r>
      <w:r w:rsidRPr="00C27342">
        <w:rPr>
          <w:szCs w:val="22"/>
        </w:rPr>
        <w:t xml:space="preserve"> Word documents.  Questions about short-form application amendments should be directed to the Auctions Division at (202) 418-0660.  </w:t>
      </w:r>
    </w:p>
    <w:p w:rsidR="00C96CC6" w:rsidRPr="002774E9" w:rsidP="00C96CC6" w14:paraId="2075C065" w14:textId="77777777">
      <w:pPr>
        <w:pStyle w:val="ParaNum"/>
        <w:widowControl/>
        <w:rPr>
          <w:szCs w:val="22"/>
        </w:rPr>
      </w:pPr>
      <w:r w:rsidRPr="001C4058">
        <w:rPr>
          <w:snapToGrid/>
          <w:szCs w:val="22"/>
        </w:rPr>
        <w:t>Applicants</w:t>
      </w:r>
      <w:r w:rsidRPr="002774E9">
        <w:rPr>
          <w:szCs w:val="22"/>
        </w:rPr>
        <w:t xml:space="preserve"> must not submit application-specific material through the Commission’s Electronic Comment Filing System</w:t>
      </w:r>
      <w:r>
        <w:rPr>
          <w:szCs w:val="22"/>
        </w:rPr>
        <w:t xml:space="preserve"> (ECFS)</w:t>
      </w:r>
      <w:r w:rsidRPr="002774E9">
        <w:rPr>
          <w:szCs w:val="22"/>
        </w:rPr>
        <w:t xml:space="preserve">, which was used for submitting comments regarding </w:t>
      </w:r>
      <w:r>
        <w:rPr>
          <w:szCs w:val="22"/>
        </w:rPr>
        <w:t xml:space="preserve">procedures for conducting </w:t>
      </w:r>
      <w:r w:rsidRPr="002774E9">
        <w:rPr>
          <w:szCs w:val="22"/>
        </w:rPr>
        <w:t xml:space="preserve">Auction </w:t>
      </w:r>
      <w:r>
        <w:rPr>
          <w:szCs w:val="22"/>
        </w:rPr>
        <w:t>100</w:t>
      </w:r>
      <w:r w:rsidRPr="002774E9">
        <w:rPr>
          <w:szCs w:val="22"/>
        </w:rPr>
        <w:t xml:space="preserve">.  </w:t>
      </w:r>
    </w:p>
    <w:p w:rsidR="00C96CC6" w:rsidRPr="00B65064" w:rsidP="00C96CC6" w14:paraId="6062A168" w14:textId="77777777">
      <w:pPr>
        <w:pStyle w:val="ParaNum"/>
        <w:widowControl/>
      </w:pPr>
      <w:r w:rsidRPr="001C2E9C">
        <w:rPr>
          <w:szCs w:val="22"/>
        </w:rPr>
        <w:t xml:space="preserve">Applicants should note that submission of a short-form application (and any amendments thereto) constitutes a representation by the </w:t>
      </w:r>
      <w:r>
        <w:rPr>
          <w:szCs w:val="22"/>
        </w:rPr>
        <w:t xml:space="preserve">person </w:t>
      </w:r>
      <w:r w:rsidRPr="001C2E9C">
        <w:rPr>
          <w:szCs w:val="22"/>
        </w:rPr>
        <w:t xml:space="preserve">certifying </w:t>
      </w:r>
      <w:r>
        <w:rPr>
          <w:szCs w:val="22"/>
        </w:rPr>
        <w:t>the application</w:t>
      </w:r>
      <w:r w:rsidRPr="001C2E9C">
        <w:rPr>
          <w:szCs w:val="22"/>
        </w:rPr>
        <w:t xml:space="preserve"> that he or she is an authorized representative of the applicant</w:t>
      </w:r>
      <w:r>
        <w:rPr>
          <w:szCs w:val="22"/>
        </w:rPr>
        <w:t xml:space="preserve"> with authority to bind the applicant</w:t>
      </w:r>
      <w:r w:rsidRPr="001C2E9C">
        <w:rPr>
          <w:szCs w:val="22"/>
        </w:rPr>
        <w:t xml:space="preserve">, that he or she has read the form’s instructions and certifications, and that the contents of the application, its certifications, and any attachments are true and correct.  </w:t>
      </w:r>
      <w:r>
        <w:rPr>
          <w:szCs w:val="22"/>
        </w:rPr>
        <w:t>A</w:t>
      </w:r>
      <w:r w:rsidRPr="007B1543">
        <w:rPr>
          <w:szCs w:val="22"/>
        </w:rPr>
        <w:t>pplicants are reminded that submission of a false certification to the Commission is a serious matter that may result in severe penalties, including monetary forfeitures, license revocations, exclusion from participation in future auctions, and/or criminal prosecution.</w:t>
      </w:r>
      <w:r>
        <w:rPr>
          <w:szCs w:val="22"/>
        </w:rPr>
        <w:t xml:space="preserve">  </w:t>
      </w:r>
    </w:p>
    <w:p w:rsidR="00C96CC6" w:rsidP="00C06E1B" w14:paraId="42D6EDE5" w14:textId="77777777">
      <w:pPr>
        <w:pStyle w:val="Heading2"/>
      </w:pPr>
      <w:bookmarkStart w:id="544" w:name="_Toc505077412"/>
      <w:bookmarkStart w:id="545" w:name="_Toc507144294"/>
      <w:bookmarkStart w:id="546" w:name="_Toc507166593"/>
      <w:bookmarkStart w:id="547" w:name="_Toc508121617"/>
      <w:bookmarkStart w:id="548" w:name="_Toc508638832"/>
      <w:bookmarkStart w:id="549" w:name="_Toc508895706"/>
      <w:bookmarkStart w:id="550" w:name="_Toc508953818"/>
      <w:bookmarkStart w:id="551" w:name="_Toc509388464"/>
      <w:bookmarkStart w:id="552" w:name="_Toc509492105"/>
      <w:bookmarkStart w:id="553" w:name="_Toc529870333"/>
      <w:bookmarkStart w:id="554" w:name="_Toc530566511"/>
      <w:bookmarkStart w:id="555" w:name="_Toc531608853"/>
      <w:bookmarkStart w:id="556" w:name="_Toc531700845"/>
      <w:bookmarkStart w:id="557" w:name="_Toc532976626"/>
      <w:bookmarkStart w:id="558" w:name="_Toc536103103"/>
      <w:bookmarkStart w:id="559" w:name="_Toc944547"/>
      <w:bookmarkStart w:id="560" w:name="_Toc4164748"/>
      <w:bookmarkStart w:id="561" w:name="_Toc4419551"/>
      <w:bookmarkStart w:id="562" w:name="_Toc5609527"/>
      <w:bookmarkStart w:id="563" w:name="_Toc5975783"/>
      <w:bookmarkStart w:id="564" w:name="_Toc6220307"/>
      <w:bookmarkStart w:id="565" w:name="_Toc6232640"/>
      <w:r>
        <w:t>Electronic Review of Short-Form Applications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C96CC6" w:rsidP="00C96CC6" w14:paraId="4A713F3C" w14:textId="0A2A5D13">
      <w:pPr>
        <w:pStyle w:val="ParaNum"/>
        <w:widowControl/>
        <w:rPr>
          <w:szCs w:val="22"/>
        </w:rPr>
      </w:pPr>
      <w:r>
        <w:rPr>
          <w:szCs w:val="22"/>
        </w:rPr>
        <w:t xml:space="preserve">Applicants will be able to view other applicants’ FCC Forms 175 after the Commission has issued a public </w:t>
      </w:r>
      <w:r w:rsidRPr="002A0DC5">
        <w:t>notice</w:t>
      </w:r>
      <w:r>
        <w:rPr>
          <w:szCs w:val="22"/>
        </w:rPr>
        <w:t xml:space="preserve"> announcing </w:t>
      </w:r>
      <w:r w:rsidRPr="007B1543">
        <w:rPr>
          <w:szCs w:val="22"/>
        </w:rPr>
        <w:t>the</w:t>
      </w:r>
      <w:r w:rsidRPr="00E612AB">
        <w:rPr>
          <w:szCs w:val="22"/>
        </w:rPr>
        <w:t xml:space="preserve"> status</w:t>
      </w:r>
      <w:r>
        <w:rPr>
          <w:szCs w:val="22"/>
        </w:rPr>
        <w:t xml:space="preserve"> of the submitted Auction 100 applications.  Instructions for electronic review of FCC Forms 175 will be discussed in the public notice concerning the status of the applications.</w:t>
      </w:r>
    </w:p>
    <w:p w:rsidR="00C96CC6" w:rsidP="00C06E1B" w14:paraId="7593C0DA" w14:textId="77777777">
      <w:pPr>
        <w:pStyle w:val="Heading2"/>
      </w:pPr>
      <w:bookmarkStart w:id="566" w:name="_Toc505077413"/>
      <w:bookmarkStart w:id="567" w:name="_Toc507144295"/>
      <w:bookmarkStart w:id="568" w:name="_Toc507166594"/>
      <w:bookmarkStart w:id="569" w:name="_Toc508121618"/>
      <w:bookmarkStart w:id="570" w:name="_Toc508638833"/>
      <w:bookmarkStart w:id="571" w:name="_Toc508895707"/>
      <w:bookmarkStart w:id="572" w:name="_Toc508953819"/>
      <w:bookmarkStart w:id="573" w:name="_Toc509388465"/>
      <w:bookmarkStart w:id="574" w:name="_Toc509492106"/>
      <w:bookmarkStart w:id="575" w:name="_Toc529870334"/>
      <w:bookmarkStart w:id="576" w:name="_Toc530566512"/>
      <w:bookmarkStart w:id="577" w:name="_Toc531608854"/>
      <w:bookmarkStart w:id="578" w:name="_Toc531700846"/>
      <w:bookmarkStart w:id="579" w:name="_Toc532976627"/>
      <w:bookmarkStart w:id="580" w:name="_Toc536103104"/>
      <w:bookmarkStart w:id="581" w:name="_Toc944548"/>
      <w:bookmarkStart w:id="582" w:name="_Toc4164749"/>
      <w:bookmarkStart w:id="583" w:name="_Toc4419552"/>
      <w:bookmarkStart w:id="584" w:name="_Toc5609528"/>
      <w:bookmarkStart w:id="585" w:name="_Toc5975784"/>
      <w:bookmarkStart w:id="586" w:name="_Toc6220308"/>
      <w:bookmarkStart w:id="587" w:name="_Toc6232641"/>
      <w:r>
        <w:t>Provisions Regarding Former and Current Defaulters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C96CC6" w:rsidRPr="00547CAA" w:rsidP="00C96CC6" w14:paraId="405A6627" w14:textId="291A6ADE">
      <w:pPr>
        <w:pStyle w:val="ParaNum"/>
        <w:widowControl/>
      </w:pPr>
      <w:r w:rsidRPr="00DA3070">
        <w:t>Current defaulters or delinquents are not eligible to participate in Auction</w:t>
      </w:r>
      <w:r>
        <w:t xml:space="preserve"> 100</w:t>
      </w:r>
      <w:r w:rsidRPr="00DA3070">
        <w:t>, but former defaulters or delinquents can participate so long as they are otherwise qualified and, as discussed</w:t>
      </w:r>
      <w:r w:rsidRPr="00DA3070">
        <w:rPr>
          <w:i/>
        </w:rPr>
        <w:t xml:space="preserve"> </w:t>
      </w:r>
      <w:r w:rsidRPr="00DA3070">
        <w:rPr>
          <w:iCs/>
        </w:rPr>
        <w:t>below, make</w:t>
      </w:r>
      <w:r w:rsidRPr="00DA3070">
        <w:t xml:space="preserve"> upfront payments that are </w:t>
      </w:r>
      <w:r w:rsidR="0067006D">
        <w:t>50%</w:t>
      </w:r>
      <w:r w:rsidRPr="00DA3070">
        <w:t xml:space="preserve"> more than would otherwise be necessary.</w:t>
      </w:r>
      <w:r>
        <w:rPr>
          <w:rStyle w:val="FootnoteReference"/>
        </w:rPr>
        <w:footnoteReference w:id="62"/>
      </w:r>
      <w:r w:rsidRPr="00DA3070">
        <w:t xml:space="preserve">  </w:t>
      </w:r>
      <w:r>
        <w:t xml:space="preserve">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w:t>
      </w:r>
      <w:r w:rsidRPr="00CE370E">
        <w:t>as of the filing de</w:t>
      </w:r>
      <w:r>
        <w:t>adline for FCC Forms 175 in that auction</w:t>
      </w:r>
      <w:r>
        <w:rPr>
          <w:szCs w:val="22"/>
        </w:rPr>
        <w:t>.</w:t>
      </w:r>
      <w:r>
        <w:rPr>
          <w:rStyle w:val="FootnoteReference"/>
          <w:szCs w:val="22"/>
        </w:rPr>
        <w:footnoteReference w:id="63"/>
      </w:r>
      <w:r>
        <w:rPr>
          <w:szCs w:val="22"/>
        </w:rPr>
        <w:t xml:space="preserve">  </w:t>
      </w:r>
    </w:p>
    <w:p w:rsidR="00C96CC6" w:rsidRPr="00697E02" w:rsidP="00C96CC6" w14:paraId="670DC2DA" w14:textId="31CC84A9">
      <w:pPr>
        <w:pStyle w:val="ParaNum"/>
        <w:widowControl/>
      </w:pPr>
      <w:r w:rsidRPr="00DA3070">
        <w:t>On the short-form application, an applicant must certify under penalty of perjury that it, its affiliates,</w:t>
      </w:r>
      <w:r>
        <w:rPr>
          <w:rStyle w:val="FootnoteReference"/>
        </w:rPr>
        <w:footnoteReference w:id="64"/>
      </w:r>
      <w:r w:rsidRPr="00DA3070">
        <w:t xml:space="preserve"> its controlling interests,</w:t>
      </w:r>
      <w:r>
        <w:rPr>
          <w:rStyle w:val="FootnoteReference"/>
        </w:rPr>
        <w:footnoteReference w:id="65"/>
      </w:r>
      <w:r w:rsidRPr="00DA3070">
        <w:t xml:space="preserve"> and the affiliates of its controlling interests, are not in default on any payment for a Commission construction permit or license (including down payments) and that it is not delinquent on any non-tax debt owed to any Federal agency.</w:t>
      </w:r>
      <w:r>
        <w:rPr>
          <w:rStyle w:val="FootnoteReference"/>
        </w:rPr>
        <w:footnoteReference w:id="66"/>
      </w:r>
      <w:r>
        <w:t xml:space="preserve">  </w:t>
      </w:r>
      <w:r>
        <w:rPr>
          <w:b/>
          <w:szCs w:val="22"/>
        </w:rPr>
        <w:t xml:space="preserve">Accordingly, if an applicant had an outstanding non-tax debt to the Commission or any other Federal agency, including any debt that resulted in a listing of the applicant on the Commission’s Red Light Display System, as of the </w:t>
      </w:r>
      <w:r>
        <w:rPr>
          <w:b/>
          <w:szCs w:val="22"/>
        </w:rPr>
        <w:t>closing deadline of the initial filing window,</w:t>
      </w:r>
      <w:r>
        <w:rPr>
          <w:rStyle w:val="FootnoteReference"/>
          <w:b/>
          <w:szCs w:val="22"/>
        </w:rPr>
        <w:footnoteReference w:id="67"/>
      </w:r>
      <w:r>
        <w:rPr>
          <w:b/>
          <w:szCs w:val="22"/>
        </w:rPr>
        <w:t xml:space="preserve"> the applicant would have been unable to make the required certification that it is not currently in default; if so, such applicant will not be eligible to participate in the bidding for Auction 100.</w:t>
      </w:r>
      <w:r w:rsidRPr="00DA3070">
        <w:t xml:space="preserve">  </w:t>
      </w:r>
    </w:p>
    <w:p w:rsidR="00C96CC6" w:rsidRPr="007B1543" w:rsidP="00C96CC6" w14:paraId="15F9197D" w14:textId="75829D6A">
      <w:pPr>
        <w:pStyle w:val="ParaNum"/>
        <w:widowControl/>
      </w:pPr>
      <w:r>
        <w:rPr>
          <w:szCs w:val="22"/>
        </w:rPr>
        <w:t>A</w:t>
      </w:r>
      <w:r w:rsidRPr="00296A54">
        <w:rPr>
          <w:szCs w:val="22"/>
        </w:rPr>
        <w:t>n applicant is considered a “former defaulter” or a “former delinquent” when the applicant or any of its controlling interests has defaulted on any</w:t>
      </w:r>
      <w:r w:rsidRPr="00547CAA">
        <w:rPr>
          <w:szCs w:val="22"/>
        </w:rPr>
        <w:t xml:space="preserve"> Commission construction permit or license or has been delinquent on any non-tax debt owed to any Federal agency,</w:t>
      </w:r>
      <w:r w:rsidRPr="00296A54">
        <w:rPr>
          <w:szCs w:val="22"/>
        </w:rPr>
        <w:t xml:space="preserve"> but has since remedied all such defaults and cured all of the outstanding non-tax delinquencies prior to the </w:t>
      </w:r>
      <w:r>
        <w:rPr>
          <w:szCs w:val="22"/>
        </w:rPr>
        <w:t xml:space="preserve">FCC </w:t>
      </w:r>
      <w:r w:rsidRPr="00296A54">
        <w:rPr>
          <w:szCs w:val="22"/>
        </w:rPr>
        <w:t>Form 175 filing deadline in this auction.</w:t>
      </w:r>
      <w:r>
        <w:rPr>
          <w:szCs w:val="22"/>
        </w:rPr>
        <w:t xml:space="preserve">  Each Auction 100 </w:t>
      </w:r>
      <w:r w:rsidRPr="00296A54">
        <w:rPr>
          <w:szCs w:val="22"/>
        </w:rPr>
        <w:t xml:space="preserve">applicant must </w:t>
      </w:r>
      <w:r>
        <w:rPr>
          <w:szCs w:val="22"/>
        </w:rPr>
        <w:t xml:space="preserve">also </w:t>
      </w:r>
      <w:r w:rsidRPr="00296A54">
        <w:rPr>
          <w:szCs w:val="22"/>
        </w:rPr>
        <w:t>certify under penalty of perjury whether it, along with any of its controlling interests, has ever been in default on any payment for a Commission construction permit or license (including a down payment) or has ever been delinquent on any non-tax debt owed to any Federal agency, subject to the exclusions described below.</w:t>
      </w:r>
      <w:r>
        <w:rPr>
          <w:rStyle w:val="FootnoteReference"/>
          <w:szCs w:val="22"/>
        </w:rPr>
        <w:footnoteReference w:id="68"/>
      </w:r>
      <w:r w:rsidRPr="00296A54">
        <w:rPr>
          <w:szCs w:val="22"/>
        </w:rPr>
        <w:t xml:space="preserve"> </w:t>
      </w:r>
      <w:r>
        <w:rPr>
          <w:szCs w:val="22"/>
        </w:rPr>
        <w:t xml:space="preserve"> If an applicant or any controlling interest is a “former defaulter” or “former delinquent” the applicant may </w:t>
      </w:r>
      <w:r w:rsidRPr="007B1543">
        <w:rPr>
          <w:szCs w:val="22"/>
        </w:rPr>
        <w:t xml:space="preserve">participate </w:t>
      </w:r>
      <w:r>
        <w:rPr>
          <w:szCs w:val="22"/>
        </w:rPr>
        <w:t xml:space="preserve">further in Auction 100 </w:t>
      </w:r>
      <w:r w:rsidRPr="007B1543">
        <w:rPr>
          <w:szCs w:val="22"/>
        </w:rPr>
        <w:t xml:space="preserve">so long as </w:t>
      </w:r>
      <w:r>
        <w:rPr>
          <w:szCs w:val="22"/>
        </w:rPr>
        <w:t xml:space="preserve">it is </w:t>
      </w:r>
      <w:r w:rsidRPr="007B1543">
        <w:rPr>
          <w:szCs w:val="22"/>
        </w:rPr>
        <w:t>otherwise qualified</w:t>
      </w:r>
      <w:r w:rsidRPr="007B1543">
        <w:rPr>
          <w:iCs/>
          <w:szCs w:val="22"/>
        </w:rPr>
        <w:t xml:space="preserve">, </w:t>
      </w:r>
      <w:r>
        <w:rPr>
          <w:iCs/>
          <w:szCs w:val="22"/>
        </w:rPr>
        <w:t xml:space="preserve">and that applicant </w:t>
      </w:r>
      <w:r w:rsidRPr="007B1543">
        <w:rPr>
          <w:iCs/>
          <w:szCs w:val="22"/>
        </w:rPr>
        <w:t>make</w:t>
      </w:r>
      <w:r>
        <w:rPr>
          <w:iCs/>
          <w:szCs w:val="22"/>
        </w:rPr>
        <w:t>s an</w:t>
      </w:r>
      <w:r w:rsidRPr="007B1543">
        <w:rPr>
          <w:szCs w:val="22"/>
        </w:rPr>
        <w:t xml:space="preserve"> upfront payment that </w:t>
      </w:r>
      <w:r>
        <w:rPr>
          <w:szCs w:val="22"/>
        </w:rPr>
        <w:t xml:space="preserve">is </w:t>
      </w:r>
      <w:r w:rsidR="0067006D">
        <w:rPr>
          <w:szCs w:val="22"/>
        </w:rPr>
        <w:t>50%</w:t>
      </w:r>
      <w:r w:rsidRPr="007B1543">
        <w:rPr>
          <w:szCs w:val="22"/>
        </w:rPr>
        <w:t xml:space="preserve"> more t</w:t>
      </w:r>
      <w:r>
        <w:rPr>
          <w:szCs w:val="22"/>
        </w:rPr>
        <w:t>han would otherwise be required.</w:t>
      </w:r>
      <w:r>
        <w:rPr>
          <w:rStyle w:val="FootnoteReference"/>
          <w:szCs w:val="22"/>
        </w:rPr>
        <w:footnoteReference w:id="69"/>
      </w:r>
      <w:r>
        <w:rPr>
          <w:szCs w:val="22"/>
        </w:rPr>
        <w:t xml:space="preserve"> </w:t>
      </w:r>
      <w:r w:rsidRPr="00296A54">
        <w:rPr>
          <w:szCs w:val="22"/>
        </w:rPr>
        <w:t xml:space="preserve">    </w:t>
      </w:r>
    </w:p>
    <w:p w:rsidR="00C96CC6" w:rsidRPr="007B1543" w:rsidP="00C96CC6" w14:paraId="1053804B" w14:textId="77777777">
      <w:pPr>
        <w:pStyle w:val="ParaNum"/>
        <w:widowControl/>
      </w:pPr>
      <w:r>
        <w:t>In 2015, the Commission narrowed the scope of the individuals and entities to be considered a former defaulter or a former delinquent.</w:t>
      </w:r>
      <w:r>
        <w:rPr>
          <w:rStyle w:val="FootnoteReference"/>
        </w:rPr>
        <w:footnoteReference w:id="70"/>
      </w:r>
      <w:r>
        <w:t xml:space="preserve">  For purposes of the certification under section 1.2105(a)(2)(xii), the applicant may exclude from consideration any cured default on a Commission construction permit or license or any cured delinquency on a non-tax debt owed to a Federal agency for which any of the following criteria are met: (1) the notice of the final payment deadline or delinquency was received more than seven years </w:t>
      </w:r>
      <w:r w:rsidRPr="00CE370E">
        <w:t>before the FCC Form 175 filing deadline</w:t>
      </w:r>
      <w:r>
        <w:t>; (2)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w:t>
      </w:r>
      <w:r>
        <w:rPr>
          <w:rStyle w:val="FootnoteReference"/>
          <w:szCs w:val="22"/>
        </w:rPr>
        <w:footnoteReference w:id="71"/>
      </w:r>
      <w:r>
        <w:t xml:space="preserve">     </w:t>
      </w:r>
      <w:r w:rsidRPr="007B1543">
        <w:rPr>
          <w:szCs w:val="22"/>
        </w:rPr>
        <w:t xml:space="preserve">  </w:t>
      </w:r>
    </w:p>
    <w:p w:rsidR="00C96CC6" w:rsidRPr="007B1543" w:rsidP="00C96CC6" w14:paraId="6E6D7358" w14:textId="1241959D">
      <w:pPr>
        <w:pStyle w:val="ParaNum"/>
        <w:widowControl/>
      </w:pPr>
      <w:r>
        <w:rPr>
          <w:szCs w:val="22"/>
        </w:rPr>
        <w:t>We encourage a</w:t>
      </w:r>
      <w:r w:rsidRPr="007B1543">
        <w:rPr>
          <w:szCs w:val="22"/>
        </w:rPr>
        <w:t xml:space="preserve">pplicants to review previous guidance </w:t>
      </w:r>
      <w:r>
        <w:rPr>
          <w:szCs w:val="22"/>
        </w:rPr>
        <w:t>provided</w:t>
      </w:r>
      <w:r w:rsidRPr="007B1543">
        <w:rPr>
          <w:szCs w:val="22"/>
        </w:rPr>
        <w:t xml:space="preserve"> on default and delinquency disclosure requirements in the context of the </w:t>
      </w:r>
      <w:r>
        <w:rPr>
          <w:szCs w:val="22"/>
        </w:rPr>
        <w:t xml:space="preserve">auction </w:t>
      </w:r>
      <w:r w:rsidRPr="007B1543">
        <w:rPr>
          <w:szCs w:val="22"/>
        </w:rPr>
        <w:t>short-</w:t>
      </w:r>
      <w:r w:rsidRPr="002A0DC5">
        <w:t>form</w:t>
      </w:r>
      <w:r w:rsidRPr="007B1543">
        <w:rPr>
          <w:szCs w:val="22"/>
        </w:rPr>
        <w:t xml:space="preserve"> application process.</w:t>
      </w:r>
      <w:r>
        <w:rPr>
          <w:rStyle w:val="FootnoteReference"/>
          <w:szCs w:val="22"/>
        </w:rPr>
        <w:footnoteReference w:id="72"/>
      </w:r>
      <w:r w:rsidRPr="007B1543">
        <w:rPr>
          <w:szCs w:val="22"/>
        </w:rPr>
        <w:t xml:space="preserve">  For example, it has been determined that, to the extent that Commission rules permit late payment of regulatory or application fees accompanied by late fees,</w:t>
      </w:r>
      <w:r w:rsidRPr="007B1543">
        <w:rPr>
          <w:rStyle w:val="FootnoteReference"/>
          <w:szCs w:val="22"/>
        </w:rPr>
        <w:t xml:space="preserve"> </w:t>
      </w:r>
      <w:r w:rsidRPr="007B1543">
        <w:rPr>
          <w:szCs w:val="22"/>
        </w:rPr>
        <w:t>such debts will become delinquent for purposes of sections 1.2105(a) and 1.2106(a) only after the expiration of a final payment deadline.</w:t>
      </w:r>
      <w:r>
        <w:rPr>
          <w:rStyle w:val="FootnoteReference"/>
          <w:szCs w:val="22"/>
        </w:rPr>
        <w:footnoteReference w:id="73"/>
      </w:r>
      <w:r w:rsidRPr="007B1543">
        <w:rPr>
          <w:szCs w:val="22"/>
        </w:rPr>
        <w:t xml:space="preserve">  Therefore, with respect to regulatory or application fees, the provisions of sections 1.2105(a) and 1.2106(a) regarding default and delinquency in connection with competitive bidding are limited to circumstances in which the relevant party has not complied with a final payment deadline.</w:t>
      </w:r>
      <w:r>
        <w:rPr>
          <w:rStyle w:val="FootnoteReference"/>
          <w:szCs w:val="22"/>
        </w:rPr>
        <w:footnoteReference w:id="74"/>
      </w:r>
      <w:r w:rsidRPr="007B1543">
        <w:rPr>
          <w:szCs w:val="22"/>
        </w:rPr>
        <w:t xml:space="preserve">  Parties are also encouraged to consult with Auctions Division staff if they have any questions about default and delinquency disclosure requirements.</w:t>
      </w:r>
    </w:p>
    <w:p w:rsidR="00C96CC6" w:rsidRPr="007B1543" w:rsidP="00C96CC6" w14:paraId="77EED659" w14:textId="77777777">
      <w:pPr>
        <w:pStyle w:val="ParaNum"/>
        <w:widowControl/>
      </w:pPr>
      <w:r w:rsidRPr="007B1543">
        <w:rPr>
          <w:szCs w:val="22"/>
        </w:rPr>
        <w:t>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75"/>
      </w:r>
      <w:r w:rsidRPr="007B1543">
        <w:rPr>
          <w:szCs w:val="22"/>
        </w:rPr>
        <w:t xml:space="preserve">  Under the red light rule, applications and other </w:t>
      </w:r>
      <w:r w:rsidRPr="002A0DC5">
        <w:t>requests</w:t>
      </w:r>
      <w:r w:rsidRPr="007B1543">
        <w:rPr>
          <w:szCs w:val="22"/>
        </w:rPr>
        <w:t xml:space="preserve"> for benefits filed by parties that have outstanding debts owed to the Commission will not be processed.  In the same rulemaking order, the Commission explicitly declared, however, that its competitive bidding rules “are not affected” by the red light rule.</w:t>
      </w:r>
      <w:r>
        <w:rPr>
          <w:rStyle w:val="FootnoteReference"/>
          <w:szCs w:val="22"/>
        </w:rPr>
        <w:footnoteReference w:id="76"/>
      </w:r>
      <w:r w:rsidRPr="007B1543">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C96CC6" w:rsidRPr="007B1543" w:rsidP="00C96CC6" w14:paraId="20A21D61" w14:textId="13E5730C">
      <w:pPr>
        <w:pStyle w:val="ParaNum"/>
        <w:widowControl/>
      </w:pPr>
      <w:r>
        <w:rPr>
          <w:szCs w:val="22"/>
        </w:rPr>
        <w:t>MB and OEA</w:t>
      </w:r>
      <w:r>
        <w:rPr>
          <w:szCs w:val="22"/>
        </w:rPr>
        <w:t xml:space="preserve"> remind each applicant</w:t>
      </w:r>
      <w:r w:rsidRPr="007B1543">
        <w:rPr>
          <w:szCs w:val="22"/>
        </w:rPr>
        <w:t xml:space="preserve">, however, that the Commission’s Red Light Display System, which </w:t>
      </w:r>
      <w:r w:rsidRPr="002A0DC5">
        <w:t>provides</w:t>
      </w:r>
      <w:r w:rsidRPr="007B1543">
        <w:rPr>
          <w:szCs w:val="22"/>
        </w:rPr>
        <w:t xml:space="preserve">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77"/>
      </w:r>
      <w:r w:rsidRPr="007B1543">
        <w:rPr>
          <w:szCs w:val="22"/>
        </w:rPr>
        <w:t xml:space="preserve">  Thus, while the red light rule ultimately may prevent the processing of long-form applications by auction winners, an auction applicant’s lack of current “red light” status is not necessarily determinative of its eligibility to participate in an auction </w:t>
      </w:r>
      <w:r>
        <w:rPr>
          <w:szCs w:val="22"/>
        </w:rPr>
        <w:t>(</w:t>
      </w:r>
      <w:r w:rsidRPr="007B1543">
        <w:rPr>
          <w:szCs w:val="22"/>
        </w:rPr>
        <w:t xml:space="preserve">or </w:t>
      </w:r>
      <w:r>
        <w:rPr>
          <w:szCs w:val="22"/>
        </w:rPr>
        <w:t>whether it will have an increased</w:t>
      </w:r>
      <w:r w:rsidRPr="007B1543">
        <w:rPr>
          <w:szCs w:val="22"/>
        </w:rPr>
        <w:t xml:space="preserve"> upfront payment obligation</w:t>
      </w:r>
      <w:r>
        <w:rPr>
          <w:szCs w:val="22"/>
        </w:rPr>
        <w:t>)</w:t>
      </w:r>
      <w:r w:rsidRPr="007B1543">
        <w:rPr>
          <w:szCs w:val="22"/>
        </w:rPr>
        <w:t>.</w:t>
      </w:r>
      <w:r>
        <w:rPr>
          <w:rStyle w:val="FootnoteReference"/>
          <w:szCs w:val="22"/>
        </w:rPr>
        <w:footnoteReference w:id="78"/>
      </w:r>
    </w:p>
    <w:p w:rsidR="00C96CC6" w:rsidRPr="00E612AB" w:rsidP="00C96CC6" w14:paraId="064DCE42" w14:textId="11B3169B">
      <w:pPr>
        <w:pStyle w:val="ParaNum"/>
        <w:widowControl/>
      </w:pPr>
      <w:r w:rsidRPr="007B1543">
        <w:rPr>
          <w:szCs w:val="22"/>
        </w:rPr>
        <w:t xml:space="preserve">Moreover, applicants in Auction </w:t>
      </w:r>
      <w:r>
        <w:rPr>
          <w:szCs w:val="22"/>
        </w:rPr>
        <w:t>100</w:t>
      </w:r>
      <w:r w:rsidRPr="007B1543">
        <w:rPr>
          <w:szCs w:val="22"/>
        </w:rPr>
        <w:t xml:space="preserve"> should note that any long-form applications filed after the close of bidding will be reviewed for compliance with the Commission’s red light rule,</w:t>
      </w:r>
      <w:r>
        <w:rPr>
          <w:rStyle w:val="FootnoteReference"/>
          <w:szCs w:val="22"/>
        </w:rPr>
        <w:footnoteReference w:id="79"/>
      </w:r>
      <w:r w:rsidRPr="007B1543">
        <w:rPr>
          <w:szCs w:val="22"/>
        </w:rPr>
        <w:t xml:space="preserve"> and such review may result in the dismissal of a winning bidder’s long-form application.</w:t>
      </w:r>
      <w:r>
        <w:rPr>
          <w:rStyle w:val="FootnoteReference"/>
          <w:szCs w:val="22"/>
        </w:rPr>
        <w:footnoteReference w:id="80"/>
      </w:r>
      <w:r>
        <w:rPr>
          <w:szCs w:val="22"/>
        </w:rPr>
        <w:t xml:space="preserve">  </w:t>
      </w:r>
      <w:r w:rsidR="00BC0ED4">
        <w:rPr>
          <w:szCs w:val="22"/>
        </w:rPr>
        <w:t>We</w:t>
      </w:r>
      <w:r>
        <w:rPr>
          <w:szCs w:val="22"/>
        </w:rPr>
        <w:t xml:space="preserve"> strongly encourage each applicant to carefully review all records and other available federal agency databases and information sources to determine whether the applicant, or any of its affiliates, or any of its controlling interests, or any of the affiliates of its controlling interests, currently owes or was ever delinquent in the payment of non-tax debt owed to any federal agency.</w:t>
      </w:r>
    </w:p>
    <w:p w:rsidR="00C96CC6" w:rsidP="00C96CC6" w14:paraId="71EE8068" w14:textId="1D5DD11A">
      <w:pPr>
        <w:pStyle w:val="Heading1"/>
        <w:tabs>
          <w:tab w:val="num" w:pos="720"/>
        </w:tabs>
      </w:pPr>
      <w:bookmarkStart w:id="588" w:name="_Toc6220309"/>
      <w:bookmarkStart w:id="589" w:name="_Toc6232642"/>
      <w:bookmarkStart w:id="590" w:name="_Toc505077414"/>
      <w:bookmarkStart w:id="591" w:name="_Toc507144296"/>
      <w:bookmarkStart w:id="592" w:name="_Toc507166595"/>
      <w:bookmarkStart w:id="593" w:name="_Toc508121619"/>
      <w:bookmarkStart w:id="594" w:name="_Toc508638834"/>
      <w:bookmarkStart w:id="595" w:name="_Toc508895708"/>
      <w:bookmarkStart w:id="596" w:name="_Toc508953820"/>
      <w:bookmarkStart w:id="597" w:name="_Toc509388466"/>
      <w:bookmarkStart w:id="598" w:name="_Toc509492107"/>
      <w:bookmarkStart w:id="599" w:name="_Toc529870335"/>
      <w:bookmarkStart w:id="600" w:name="_Toc530566513"/>
      <w:bookmarkStart w:id="601" w:name="_Toc531608855"/>
      <w:bookmarkStart w:id="602" w:name="_Toc531700847"/>
      <w:bookmarkStart w:id="603" w:name="_Toc532976628"/>
      <w:bookmarkStart w:id="604" w:name="_Toc536103105"/>
      <w:bookmarkStart w:id="605" w:name="_Toc944549"/>
      <w:bookmarkStart w:id="606" w:name="_Toc4164750"/>
      <w:bookmarkStart w:id="607" w:name="_Toc4419553"/>
      <w:bookmarkStart w:id="608" w:name="_Toc5609529"/>
      <w:bookmarkStart w:id="609" w:name="_Toc5975785"/>
      <w:r>
        <w:t>Pre</w:t>
      </w:r>
      <w:r w:rsidR="006A445A">
        <w:t xml:space="preserve">paring for </w:t>
      </w:r>
      <w:r w:rsidR="00CA58CF">
        <w:t>Bidding</w:t>
      </w:r>
      <w:bookmarkEnd w:id="588"/>
      <w:bookmarkEnd w:id="589"/>
      <w:r w:rsidR="00CA58CF">
        <w:t xml:space="preserve"> </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C96CC6" w:rsidP="00C06E1B" w14:paraId="65C10C17" w14:textId="4324EB84">
      <w:pPr>
        <w:pStyle w:val="Heading2"/>
      </w:pPr>
      <w:bookmarkStart w:id="610" w:name="_Toc532976629"/>
      <w:bookmarkStart w:id="611" w:name="_Toc536103106"/>
      <w:bookmarkStart w:id="612" w:name="_Toc944550"/>
      <w:bookmarkStart w:id="613" w:name="_Toc4164751"/>
      <w:bookmarkStart w:id="614" w:name="_Toc4419554"/>
      <w:bookmarkStart w:id="615" w:name="_Toc5609530"/>
      <w:bookmarkStart w:id="616" w:name="_Toc505077415"/>
      <w:bookmarkStart w:id="617" w:name="_Toc507144297"/>
      <w:bookmarkStart w:id="618" w:name="_Toc507166596"/>
      <w:bookmarkStart w:id="619" w:name="_Toc508121620"/>
      <w:bookmarkStart w:id="620" w:name="_Toc508638835"/>
      <w:bookmarkStart w:id="621" w:name="_Toc508895709"/>
      <w:bookmarkStart w:id="622" w:name="_Toc508953821"/>
      <w:bookmarkStart w:id="623" w:name="_Toc509388467"/>
      <w:bookmarkStart w:id="624" w:name="_Toc509492108"/>
      <w:bookmarkStart w:id="625" w:name="_Toc529870336"/>
      <w:bookmarkStart w:id="626" w:name="_Toc530566514"/>
      <w:bookmarkStart w:id="627" w:name="_Toc531608856"/>
      <w:bookmarkStart w:id="628" w:name="_Toc531700848"/>
      <w:bookmarkStart w:id="629" w:name="_Toc5975786"/>
      <w:bookmarkStart w:id="630" w:name="_Toc6220310"/>
      <w:bookmarkStart w:id="631" w:name="_Toc6232643"/>
      <w:r>
        <w:t xml:space="preserve">Online Tutorial on Bidding Process </w:t>
      </w:r>
      <w:bookmarkEnd w:id="610"/>
      <w:bookmarkEnd w:id="611"/>
      <w:bookmarkEnd w:id="612"/>
      <w:bookmarkEnd w:id="613"/>
      <w:bookmarkEnd w:id="614"/>
      <w:bookmarkEnd w:id="615"/>
      <w:r>
        <w:t>– Available June 7, 2019</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C96CC6" w:rsidRPr="00A6495A" w:rsidP="00C57C9E" w14:paraId="55C098A6" w14:textId="44300256">
      <w:pPr>
        <w:pStyle w:val="ParaNum"/>
        <w:widowControl/>
      </w:pPr>
      <w:r w:rsidRPr="00C57C9E">
        <w:rPr>
          <w:szCs w:val="22"/>
        </w:rPr>
        <w:t>MB and OEA</w:t>
      </w:r>
      <w:r w:rsidRPr="00C57C9E" w:rsidR="007E342F">
        <w:rPr>
          <w:szCs w:val="22"/>
        </w:rPr>
        <w:t xml:space="preserve"> will provide educational materials on the bidding process for Auction 100 in advance of the start of the mock auction, beginning with the release of an FCC Auction Bidding System User Guide, followed by an online bidding procedures tutorial</w:t>
      </w:r>
      <w:r w:rsidR="00C06E1B">
        <w:rPr>
          <w:szCs w:val="22"/>
        </w:rPr>
        <w:t xml:space="preserve"> on June 7, 2019</w:t>
      </w:r>
      <w:r w:rsidRPr="00C57C9E" w:rsidR="007E342F">
        <w:rPr>
          <w:szCs w:val="22"/>
        </w:rPr>
        <w:t>.</w:t>
      </w:r>
      <w:r w:rsidRPr="00C57C9E">
        <w:rPr>
          <w:szCs w:val="22"/>
        </w:rPr>
        <w:t xml:space="preserve">  This</w:t>
      </w:r>
      <w:r w:rsidRPr="00C57C9E" w:rsidR="00C51944">
        <w:rPr>
          <w:szCs w:val="22"/>
        </w:rPr>
        <w:t xml:space="preserve"> </w:t>
      </w:r>
      <w:r w:rsidRPr="00C57C9E">
        <w:rPr>
          <w:szCs w:val="22"/>
        </w:rPr>
        <w:t xml:space="preserve">online </w:t>
      </w:r>
      <w:r w:rsidRPr="002A0DC5">
        <w:t>tutorial</w:t>
      </w:r>
      <w:r w:rsidRPr="00C57C9E">
        <w:rPr>
          <w:szCs w:val="22"/>
        </w:rPr>
        <w:t xml:space="preserve"> will provide information about auction conduct, the FCC auction bidding system, and auction rules.  </w:t>
      </w:r>
      <w:r w:rsidRPr="00C57C9E" w:rsidR="00C57C9E">
        <w:rPr>
          <w:szCs w:val="22"/>
        </w:rPr>
        <w:t>Additional information on the bidding procedures tutorial will be announced in a future public notice</w:t>
      </w:r>
      <w:r w:rsidRPr="00A6495A">
        <w:t xml:space="preserve">. </w:t>
      </w:r>
      <w:r w:rsidRPr="00A6495A" w:rsidR="009A122A">
        <w:t xml:space="preserve"> </w:t>
      </w:r>
      <w:r w:rsidR="009A122A">
        <w:t xml:space="preserve"> When it becomes available, this</w:t>
      </w:r>
      <w:r w:rsidRPr="00A6495A" w:rsidR="009A122A">
        <w:t xml:space="preserve"> tutorial will be accessible </w:t>
      </w:r>
      <w:r w:rsidR="00490BB8">
        <w:t>in</w:t>
      </w:r>
      <w:r w:rsidRPr="00A6495A" w:rsidR="00490BB8">
        <w:t xml:space="preserve"> </w:t>
      </w:r>
      <w:r w:rsidRPr="00A6495A" w:rsidR="009A122A">
        <w:t>the</w:t>
      </w:r>
      <w:r w:rsidR="009A122A">
        <w:t xml:space="preserve"> “Education” </w:t>
      </w:r>
      <w:r w:rsidR="00490BB8">
        <w:t xml:space="preserve">section </w:t>
      </w:r>
      <w:r w:rsidR="009A122A">
        <w:t>of the</w:t>
      </w:r>
      <w:r w:rsidRPr="00A6495A" w:rsidR="009A122A">
        <w:t xml:space="preserve"> Auction 100 web</w:t>
      </w:r>
      <w:r w:rsidR="009A122A">
        <w:t>site</w:t>
      </w:r>
      <w:r w:rsidRPr="00A6495A" w:rsidR="009A122A">
        <w:t xml:space="preserve"> at </w:t>
      </w:r>
      <w:hyperlink r:id="rId8" w:history="1">
        <w:r w:rsidR="009A122A">
          <w:rPr>
            <w:rStyle w:val="Hyperlink"/>
          </w:rPr>
          <w:t>www.fcc.gov/auction/100</w:t>
        </w:r>
      </w:hyperlink>
      <w:r w:rsidRPr="00A6495A" w:rsidR="009A122A">
        <w:t>.</w:t>
      </w:r>
    </w:p>
    <w:p w:rsidR="00C96CC6" w:rsidRPr="009A122A" w:rsidP="00C96CC6" w14:paraId="58ACE8ED" w14:textId="1CB947BA">
      <w:pPr>
        <w:pStyle w:val="ParaNum"/>
        <w:widowControl/>
        <w:rPr>
          <w:szCs w:val="22"/>
        </w:rPr>
      </w:pPr>
      <w:r>
        <w:t>A</w:t>
      </w:r>
      <w:r>
        <w:t xml:space="preserve">n online tutorial </w:t>
      </w:r>
      <w:r>
        <w:t xml:space="preserve">was previously released </w:t>
      </w:r>
      <w:r>
        <w:t xml:space="preserve">to assist applicants in understanding the Auction 100 application filing requirements.  </w:t>
      </w:r>
      <w:r w:rsidRPr="00EE07F6" w:rsidR="00C57C9E">
        <w:t>Th</w:t>
      </w:r>
      <w:r w:rsidR="00C57C9E">
        <w:t xml:space="preserve">e </w:t>
      </w:r>
      <w:r w:rsidRPr="00EE07F6">
        <w:t xml:space="preserve">Auction </w:t>
      </w:r>
      <w:r>
        <w:t xml:space="preserve">100 </w:t>
      </w:r>
      <w:r w:rsidRPr="00EE07F6">
        <w:t xml:space="preserve">Application Filing Tutorial is available </w:t>
      </w:r>
      <w:r w:rsidR="00490BB8">
        <w:t xml:space="preserve">in </w:t>
      </w:r>
      <w:r>
        <w:t xml:space="preserve">the </w:t>
      </w:r>
      <w:r w:rsidR="00C61655">
        <w:t>“</w:t>
      </w:r>
      <w:r>
        <w:t>Education</w:t>
      </w:r>
      <w:r w:rsidR="00C61655">
        <w:t>”</w:t>
      </w:r>
      <w:r>
        <w:t xml:space="preserve"> </w:t>
      </w:r>
      <w:r w:rsidR="00490BB8">
        <w:t xml:space="preserve">section </w:t>
      </w:r>
      <w:r>
        <w:t xml:space="preserve">of </w:t>
      </w:r>
      <w:r w:rsidRPr="00EE07F6">
        <w:t xml:space="preserve">the Auction </w:t>
      </w:r>
      <w:r>
        <w:t>100</w:t>
      </w:r>
      <w:r w:rsidRPr="00EE07F6">
        <w:t xml:space="preserve"> website</w:t>
      </w:r>
      <w:r w:rsidR="00C57C9E">
        <w:t xml:space="preserve"> at </w:t>
      </w:r>
      <w:hyperlink r:id="rId8" w:history="1">
        <w:r w:rsidR="00791622">
          <w:rPr>
            <w:rStyle w:val="Hyperlink"/>
          </w:rPr>
          <w:t>www.fcc.gov/auction/100</w:t>
        </w:r>
      </w:hyperlink>
      <w:r w:rsidRPr="00EE07F6">
        <w:t>.</w:t>
      </w:r>
    </w:p>
    <w:p w:rsidR="009A122A" w:rsidRPr="005F7D13" w:rsidP="00C96CC6" w14:paraId="47F4844F" w14:textId="0BE4FB20">
      <w:pPr>
        <w:pStyle w:val="ParaNum"/>
        <w:widowControl/>
        <w:rPr>
          <w:szCs w:val="22"/>
        </w:rPr>
      </w:pPr>
      <w:r w:rsidRPr="00A6495A">
        <w:t>Once posted, th</w:t>
      </w:r>
      <w:r>
        <w:t>e</w:t>
      </w:r>
      <w:r w:rsidRPr="00A6495A">
        <w:t xml:space="preserve"> </w:t>
      </w:r>
      <w:r>
        <w:t xml:space="preserve">Auction 100 </w:t>
      </w:r>
      <w:r w:rsidRPr="00A6495A">
        <w:t>tutorial</w:t>
      </w:r>
      <w:r>
        <w:t>s</w:t>
      </w:r>
      <w:r w:rsidRPr="00A6495A">
        <w:t xml:space="preserve"> will remain </w:t>
      </w:r>
      <w:r w:rsidRPr="003C1151">
        <w:t xml:space="preserve">available </w:t>
      </w:r>
      <w:r>
        <w:t xml:space="preserve">and accessible anytime </w:t>
      </w:r>
      <w:r w:rsidRPr="003C1151">
        <w:t>for reference in connection with the procedures outlined in this Public Notice</w:t>
      </w:r>
      <w:r w:rsidRPr="00A6495A">
        <w:t>.</w:t>
      </w:r>
    </w:p>
    <w:p w:rsidR="00C96CC6" w:rsidP="00C06E1B" w14:paraId="7C70B704" w14:textId="4992DC72">
      <w:pPr>
        <w:pStyle w:val="Heading2"/>
      </w:pPr>
      <w:bookmarkStart w:id="632" w:name="_Toc505077417"/>
      <w:bookmarkStart w:id="633" w:name="_Toc507144299"/>
      <w:bookmarkStart w:id="634" w:name="_Toc507166598"/>
      <w:bookmarkStart w:id="635" w:name="_Toc508121622"/>
      <w:bookmarkStart w:id="636" w:name="_Toc508638836"/>
      <w:bookmarkStart w:id="637" w:name="_Toc508895710"/>
      <w:bookmarkStart w:id="638" w:name="_Toc508953822"/>
      <w:bookmarkStart w:id="639" w:name="_Toc509388468"/>
      <w:bookmarkStart w:id="640" w:name="_Toc509492109"/>
      <w:bookmarkStart w:id="641" w:name="_Toc529870337"/>
      <w:bookmarkStart w:id="642" w:name="_Toc530566515"/>
      <w:bookmarkStart w:id="643" w:name="_Toc531608857"/>
      <w:bookmarkStart w:id="644" w:name="_Toc531700849"/>
      <w:bookmarkStart w:id="645" w:name="_Toc532976630"/>
      <w:bookmarkStart w:id="646" w:name="_Toc536103107"/>
      <w:bookmarkStart w:id="647" w:name="_Toc944551"/>
      <w:bookmarkStart w:id="648" w:name="_Toc4164752"/>
      <w:bookmarkStart w:id="649" w:name="_Toc4419555"/>
      <w:bookmarkStart w:id="650" w:name="_Toc5609531"/>
      <w:bookmarkStart w:id="651" w:name="_Toc5975787"/>
      <w:bookmarkStart w:id="652" w:name="_Toc6220311"/>
      <w:bookmarkStart w:id="653" w:name="_Toc6232644"/>
      <w:r>
        <w:t>Application Processing and Correction of Deficiencies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1767AE" w:rsidP="001767AE" w14:paraId="01638B14" w14:textId="132A903D">
      <w:pPr>
        <w:pStyle w:val="ParaNum"/>
        <w:widowControl/>
        <w:rPr>
          <w:szCs w:val="22"/>
        </w:rPr>
      </w:pPr>
      <w:r w:rsidRPr="002774E9">
        <w:rPr>
          <w:szCs w:val="22"/>
        </w:rPr>
        <w:t xml:space="preserve">Commission </w:t>
      </w:r>
      <w:r w:rsidR="009A122A">
        <w:rPr>
          <w:szCs w:val="22"/>
        </w:rPr>
        <w:t xml:space="preserve">staff </w:t>
      </w:r>
      <w:r w:rsidRPr="002774E9">
        <w:rPr>
          <w:szCs w:val="22"/>
        </w:rPr>
        <w:t xml:space="preserve">will process all </w:t>
      </w:r>
      <w:r w:rsidR="004B39A9">
        <w:rPr>
          <w:szCs w:val="22"/>
        </w:rPr>
        <w:t xml:space="preserve">short-form </w:t>
      </w:r>
      <w:r w:rsidRPr="002774E9">
        <w:rPr>
          <w:szCs w:val="22"/>
        </w:rPr>
        <w:t xml:space="preserve">applications </w:t>
      </w:r>
      <w:r>
        <w:rPr>
          <w:szCs w:val="22"/>
        </w:rPr>
        <w:t xml:space="preserve">listed in Attachment A </w:t>
      </w:r>
      <w:r w:rsidRPr="002774E9">
        <w:rPr>
          <w:szCs w:val="22"/>
        </w:rPr>
        <w:t>to determine which are complete, and subsequent</w:t>
      </w:r>
      <w:r>
        <w:rPr>
          <w:szCs w:val="22"/>
        </w:rPr>
        <w:t xml:space="preserve">ly </w:t>
      </w:r>
      <w:r w:rsidRPr="002774E9">
        <w:rPr>
          <w:szCs w:val="22"/>
        </w:rPr>
        <w:t>will issue a public notice identifying</w:t>
      </w:r>
      <w:r>
        <w:rPr>
          <w:szCs w:val="22"/>
        </w:rPr>
        <w:t xml:space="preserve"> (1)</w:t>
      </w:r>
      <w:r w:rsidRPr="002774E9">
        <w:rPr>
          <w:szCs w:val="22"/>
        </w:rPr>
        <w:t xml:space="preserve"> those that are co</w:t>
      </w:r>
      <w:r>
        <w:rPr>
          <w:szCs w:val="22"/>
        </w:rPr>
        <w:t xml:space="preserve">mplete; or (2) </w:t>
      </w:r>
      <w:r w:rsidRPr="002774E9">
        <w:rPr>
          <w:szCs w:val="22"/>
        </w:rPr>
        <w:t xml:space="preserve">those that are incomplete </w:t>
      </w:r>
      <w:r w:rsidRPr="00DF7948">
        <w:rPr>
          <w:szCs w:val="22"/>
        </w:rPr>
        <w:t>or def</w:t>
      </w:r>
      <w:r>
        <w:rPr>
          <w:szCs w:val="22"/>
        </w:rPr>
        <w:t>i</w:t>
      </w:r>
      <w:r w:rsidRPr="00DF7948">
        <w:rPr>
          <w:szCs w:val="22"/>
        </w:rPr>
        <w:t>cient because</w:t>
      </w:r>
      <w:r w:rsidRPr="002774E9">
        <w:rPr>
          <w:szCs w:val="22"/>
        </w:rPr>
        <w:t xml:space="preserve"> of minor defects that may be </w:t>
      </w:r>
      <w:r w:rsidRPr="002A0DC5">
        <w:t>corrected</w:t>
      </w:r>
      <w:r w:rsidRPr="002774E9">
        <w:rPr>
          <w:szCs w:val="22"/>
        </w:rPr>
        <w:t xml:space="preserve">.  </w:t>
      </w:r>
      <w:r>
        <w:rPr>
          <w:szCs w:val="22"/>
        </w:rPr>
        <w:t xml:space="preserve">An applicant whose application is incomplete will have a limited opportunity to address deficiencies during a resubmission window, the dates </w:t>
      </w:r>
      <w:r w:rsidR="00C57C9E">
        <w:rPr>
          <w:szCs w:val="22"/>
        </w:rPr>
        <w:t xml:space="preserve">and procedures </w:t>
      </w:r>
      <w:r>
        <w:rPr>
          <w:szCs w:val="22"/>
        </w:rPr>
        <w:t>for which will be announced in a future public notice.</w:t>
      </w:r>
      <w:r>
        <w:rPr>
          <w:szCs w:val="22"/>
        </w:rPr>
        <w:t xml:space="preserve"> </w:t>
      </w:r>
    </w:p>
    <w:p w:rsidR="001767AE" w:rsidRPr="007E4A5E" w:rsidP="001767AE" w14:paraId="5F0BD932" w14:textId="5BBAB01B">
      <w:pPr>
        <w:pStyle w:val="ParaNum"/>
        <w:widowControl/>
        <w:rPr>
          <w:szCs w:val="22"/>
        </w:rPr>
      </w:pPr>
      <w:r>
        <w:rPr>
          <w:szCs w:val="22"/>
        </w:rPr>
        <w:t>Commission staff</w:t>
      </w:r>
      <w:r w:rsidRPr="001C2E9C">
        <w:rPr>
          <w:szCs w:val="22"/>
        </w:rPr>
        <w:t xml:space="preserve"> will communicate only with an applicant’s contact person or certifying official, as designated on the </w:t>
      </w:r>
      <w:r>
        <w:rPr>
          <w:szCs w:val="22"/>
        </w:rPr>
        <w:t>short-form application</w:t>
      </w:r>
      <w:r w:rsidRPr="001C2E9C">
        <w:rPr>
          <w:szCs w:val="22"/>
        </w:rPr>
        <w:t xml:space="preserve">, </w:t>
      </w:r>
      <w:r w:rsidRPr="00DF7948">
        <w:rPr>
          <w:szCs w:val="22"/>
        </w:rPr>
        <w:t>unless the applicant’s certifying official</w:t>
      </w:r>
      <w:r w:rsidRPr="001C2E9C">
        <w:rPr>
          <w:szCs w:val="22"/>
        </w:rPr>
        <w:t xml:space="preserve"> or contact person notifies the Commission in writing that applicant’s </w:t>
      </w:r>
      <w:r w:rsidRPr="007E4A5E">
        <w:rPr>
          <w:szCs w:val="22"/>
        </w:rPr>
        <w:t>counsel or other representative is authorized to speak on its behalf.</w:t>
      </w:r>
      <w:r>
        <w:rPr>
          <w:rStyle w:val="FootnoteReference"/>
          <w:szCs w:val="22"/>
        </w:rPr>
        <w:footnoteReference w:id="81"/>
      </w:r>
      <w:r w:rsidRPr="007E4A5E">
        <w:rPr>
          <w:szCs w:val="22"/>
        </w:rPr>
        <w:t xml:space="preserve">  Authorizations may be sent by email to </w:t>
      </w:r>
      <w:hyperlink r:id="rId6" w:history="1">
        <w:r>
          <w:rPr>
            <w:rStyle w:val="Hyperlink"/>
            <w:szCs w:val="22"/>
          </w:rPr>
          <w:t>auction100@fcc.gov</w:t>
        </w:r>
      </w:hyperlink>
      <w:hyperlink r:id="rId9" w:history="1"/>
      <w:r w:rsidRPr="007E4A5E">
        <w:rPr>
          <w:szCs w:val="22"/>
        </w:rPr>
        <w:t>.</w:t>
      </w:r>
    </w:p>
    <w:p w:rsidR="00637337" w:rsidP="00C06E1B" w14:paraId="33E6ADCB" w14:textId="3BC91326">
      <w:pPr>
        <w:pStyle w:val="Heading2"/>
      </w:pPr>
      <w:bookmarkStart w:id="654" w:name="_Toc4164753"/>
      <w:bookmarkStart w:id="655" w:name="_Toc4419556"/>
      <w:bookmarkStart w:id="656" w:name="_Toc5609532"/>
      <w:bookmarkStart w:id="657" w:name="_Toc5975788"/>
      <w:bookmarkStart w:id="658" w:name="_Toc6220312"/>
      <w:bookmarkStart w:id="659" w:name="_Toc6232645"/>
      <w:bookmarkStart w:id="660" w:name="_Toc532976631"/>
      <w:bookmarkStart w:id="661" w:name="_Toc536103108"/>
      <w:bookmarkStart w:id="662" w:name="_Toc944552"/>
      <w:bookmarkStart w:id="663" w:name="_Toc505077418"/>
      <w:bookmarkStart w:id="664" w:name="_Toc507144300"/>
      <w:bookmarkStart w:id="665" w:name="_Toc507166599"/>
      <w:bookmarkStart w:id="666" w:name="_Toc508121623"/>
      <w:bookmarkStart w:id="667" w:name="_Toc508638837"/>
      <w:bookmarkStart w:id="668" w:name="_Toc508895711"/>
      <w:bookmarkStart w:id="669" w:name="_Toc508953823"/>
      <w:bookmarkStart w:id="670" w:name="_Toc509388469"/>
      <w:bookmarkStart w:id="671" w:name="_Toc509492110"/>
      <w:bookmarkStart w:id="672" w:name="_Toc529870338"/>
      <w:bookmarkStart w:id="673" w:name="_Toc530566516"/>
      <w:bookmarkStart w:id="674" w:name="_Toc531608858"/>
      <w:bookmarkStart w:id="675" w:name="_Toc531700850"/>
      <w:r>
        <w:t>Upfront Payments</w:t>
      </w:r>
      <w:bookmarkEnd w:id="654"/>
      <w:bookmarkEnd w:id="655"/>
      <w:bookmarkEnd w:id="656"/>
      <w:r>
        <w:t xml:space="preserve"> </w:t>
      </w:r>
      <w:r w:rsidR="00C06E1B">
        <w:t>– Due May 23, 2019</w:t>
      </w:r>
      <w:bookmarkEnd w:id="657"/>
      <w:bookmarkEnd w:id="658"/>
      <w:bookmarkEnd w:id="659"/>
    </w:p>
    <w:p w:rsidR="00637337" w:rsidP="00637337" w14:paraId="33A6190B" w14:textId="02D86DE7">
      <w:pPr>
        <w:pStyle w:val="ParaNum"/>
        <w:widowControl/>
      </w:pPr>
      <w:r>
        <w:t>In 2018, Congress passed legislation amending the Act to provide that upfront payments for future Commission auctions are to be deposited in the U.S. Treasury.</w:t>
      </w:r>
      <w:r>
        <w:rPr>
          <w:rStyle w:val="FootnoteReference"/>
        </w:rPr>
        <w:footnoteReference w:id="82"/>
      </w:r>
      <w:r>
        <w:t xml:space="preserve"> </w:t>
      </w:r>
      <w:r w:rsidR="00E935BF">
        <w:t xml:space="preserve"> </w:t>
      </w:r>
      <w:r>
        <w:t>Accordingly, upfront payments for Auction 100 must be wired to, and will be deposited in, the U.S. Treasury.</w:t>
      </w:r>
      <w:r>
        <w:rPr>
          <w:rStyle w:val="FootnoteReference"/>
        </w:rPr>
        <w:footnoteReference w:id="83"/>
      </w:r>
    </w:p>
    <w:p w:rsidR="00DF06C2" w:rsidRPr="00B83400" w:rsidP="001D24F2" w14:paraId="43FCEAA8" w14:textId="181C5FB5">
      <w:pPr>
        <w:pStyle w:val="Heading3"/>
      </w:pPr>
      <w:bookmarkStart w:id="676" w:name="_Toc6220313"/>
      <w:bookmarkStart w:id="677" w:name="_Toc6232646"/>
      <w:r>
        <w:t>Deadline for Upfront Payments</w:t>
      </w:r>
      <w:bookmarkEnd w:id="676"/>
      <w:bookmarkEnd w:id="677"/>
    </w:p>
    <w:p w:rsidR="00637337" w:rsidRPr="00C06E1B" w:rsidP="00637337" w14:paraId="061B7BBD" w14:textId="43FD6EF9">
      <w:pPr>
        <w:pStyle w:val="ParaNum"/>
        <w:widowControl/>
      </w:pPr>
      <w:r w:rsidRPr="000C360D">
        <w:rPr>
          <w:szCs w:val="22"/>
        </w:rPr>
        <w:t>In order to be eligible to bid in this auction, a</w:t>
      </w:r>
      <w:r>
        <w:rPr>
          <w:szCs w:val="22"/>
        </w:rPr>
        <w:t xml:space="preserve"> sufficie</w:t>
      </w:r>
      <w:r w:rsidRPr="000C360D">
        <w:rPr>
          <w:szCs w:val="22"/>
        </w:rPr>
        <w:t>n</w:t>
      </w:r>
      <w:r>
        <w:rPr>
          <w:szCs w:val="22"/>
        </w:rPr>
        <w:t>t</w:t>
      </w:r>
      <w:r w:rsidRPr="000C360D">
        <w:rPr>
          <w:szCs w:val="22"/>
        </w:rPr>
        <w:t xml:space="preserve"> upfront payment </w:t>
      </w:r>
      <w:r>
        <w:rPr>
          <w:szCs w:val="22"/>
        </w:rPr>
        <w:t xml:space="preserve">and a complete and accurate </w:t>
      </w:r>
      <w:r w:rsidRPr="000C360D">
        <w:rPr>
          <w:szCs w:val="22"/>
        </w:rPr>
        <w:t xml:space="preserve">FCC </w:t>
      </w:r>
      <w:r w:rsidRPr="002A0DC5">
        <w:t>Remittance</w:t>
      </w:r>
      <w:r w:rsidRPr="000C360D">
        <w:rPr>
          <w:szCs w:val="22"/>
        </w:rPr>
        <w:t xml:space="preserve"> Advice Form (FCC Form 159)</w:t>
      </w:r>
      <w:r>
        <w:rPr>
          <w:szCs w:val="22"/>
        </w:rPr>
        <w:t xml:space="preserve"> must be submitted before </w:t>
      </w:r>
      <w:r w:rsidR="00C06E1B">
        <w:rPr>
          <w:szCs w:val="22"/>
        </w:rPr>
        <w:t>6:00 p.m. ET on May 23, 2019</w:t>
      </w:r>
      <w:r>
        <w:rPr>
          <w:szCs w:val="22"/>
        </w:rPr>
        <w:t xml:space="preserve">, </w:t>
      </w:r>
      <w:r w:rsidRPr="008C484E">
        <w:rPr>
          <w:b/>
          <w:szCs w:val="22"/>
        </w:rPr>
        <w:t xml:space="preserve">following the procedures outlined </w:t>
      </w:r>
      <w:r w:rsidR="00EC7E9E">
        <w:rPr>
          <w:b/>
          <w:szCs w:val="22"/>
        </w:rPr>
        <w:t>in</w:t>
      </w:r>
      <w:r w:rsidRPr="008C484E">
        <w:rPr>
          <w:b/>
          <w:szCs w:val="22"/>
        </w:rPr>
        <w:t xml:space="preserve"> the instructions in Attachment B to this Public Notice</w:t>
      </w:r>
      <w:r w:rsidRPr="000C360D">
        <w:rPr>
          <w:szCs w:val="22"/>
        </w:rPr>
        <w:t xml:space="preserve">.  </w:t>
      </w:r>
      <w:r w:rsidRPr="00FB2B9B">
        <w:rPr>
          <w:szCs w:val="22"/>
        </w:rPr>
        <w:t>After completing its short-form application, an applicant will have access to an electronic version of the FCC Form 159</w:t>
      </w:r>
      <w:r>
        <w:rPr>
          <w:szCs w:val="22"/>
        </w:rPr>
        <w:t>.</w:t>
      </w:r>
      <w:r w:rsidRPr="00FB2B9B">
        <w:rPr>
          <w:szCs w:val="22"/>
        </w:rPr>
        <w:t xml:space="preserve"> </w:t>
      </w:r>
      <w:r>
        <w:rPr>
          <w:szCs w:val="22"/>
        </w:rPr>
        <w:t xml:space="preserve"> This Form 159</w:t>
      </w:r>
      <w:r w:rsidRPr="000C360D">
        <w:rPr>
          <w:szCs w:val="22"/>
        </w:rPr>
        <w:t xml:space="preserve"> can be printed, and </w:t>
      </w:r>
      <w:r w:rsidRPr="008C484E">
        <w:rPr>
          <w:b/>
          <w:szCs w:val="22"/>
        </w:rPr>
        <w:t>the completed form must be sent by fax to the FCC at (202) 418-2843</w:t>
      </w:r>
      <w:r w:rsidR="00EC7E9E">
        <w:rPr>
          <w:b/>
          <w:szCs w:val="22"/>
        </w:rPr>
        <w:t>,</w:t>
      </w:r>
      <w:r>
        <w:rPr>
          <w:b/>
          <w:szCs w:val="22"/>
        </w:rPr>
        <w:t xml:space="preserve"> or </w:t>
      </w:r>
      <w:r w:rsidR="00EC7E9E">
        <w:rPr>
          <w:b/>
          <w:szCs w:val="22"/>
        </w:rPr>
        <w:t xml:space="preserve">by </w:t>
      </w:r>
      <w:r>
        <w:rPr>
          <w:b/>
          <w:szCs w:val="22"/>
        </w:rPr>
        <w:t xml:space="preserve">email to </w:t>
      </w:r>
      <w:hyperlink r:id="rId10" w:history="1">
        <w:r w:rsidRPr="00C61655">
          <w:rPr>
            <w:rStyle w:val="Hyperlink"/>
            <w:b/>
            <w:szCs w:val="22"/>
          </w:rPr>
          <w:t>RROGWireFaxes@fcc.gov</w:t>
        </w:r>
      </w:hyperlink>
      <w:r>
        <w:rPr>
          <w:szCs w:val="22"/>
        </w:rPr>
        <w:t>.</w:t>
      </w:r>
    </w:p>
    <w:p w:rsidR="00637337" w:rsidP="00637337" w14:paraId="2D22AA49" w14:textId="77777777">
      <w:pPr>
        <w:pStyle w:val="Heading3"/>
      </w:pPr>
      <w:bookmarkStart w:id="678" w:name="_Toc507679101"/>
      <w:bookmarkStart w:id="679" w:name="_Toc508187762"/>
      <w:bookmarkStart w:id="680" w:name="_Toc508261266"/>
      <w:bookmarkStart w:id="681" w:name="_Toc508261479"/>
      <w:bookmarkStart w:id="682" w:name="_Toc508638840"/>
      <w:bookmarkStart w:id="683" w:name="_Toc508895714"/>
      <w:bookmarkStart w:id="684" w:name="_Toc508953826"/>
      <w:bookmarkStart w:id="685" w:name="_Toc509388472"/>
      <w:bookmarkStart w:id="686" w:name="_Toc509492113"/>
      <w:bookmarkStart w:id="687" w:name="_Toc529870341"/>
      <w:bookmarkStart w:id="688" w:name="_Toc530566519"/>
      <w:bookmarkStart w:id="689" w:name="_Toc531608861"/>
      <w:bookmarkStart w:id="690" w:name="_Toc531700853"/>
      <w:bookmarkStart w:id="691" w:name="_Toc532976634"/>
      <w:bookmarkStart w:id="692" w:name="_Toc4164755"/>
      <w:bookmarkStart w:id="693" w:name="_Toc4419558"/>
      <w:bookmarkStart w:id="694" w:name="_Toc5609534"/>
      <w:bookmarkStart w:id="695" w:name="_Toc5975790"/>
      <w:bookmarkStart w:id="696" w:name="_Toc6220314"/>
      <w:bookmarkStart w:id="697" w:name="_Toc6232647"/>
      <w:r>
        <w:t>Upfront Payments and Bidding Eligibility</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637337" w:rsidP="00637337" w14:paraId="25EB8132" w14:textId="77777777">
      <w:pPr>
        <w:pStyle w:val="ParaNum"/>
        <w:widowControl/>
        <w:rPr>
          <w:szCs w:val="22"/>
        </w:rPr>
      </w:pPr>
      <w:r>
        <w:rPr>
          <w:szCs w:val="22"/>
        </w:rPr>
        <w:t xml:space="preserve">MB and OEA have delegated </w:t>
      </w:r>
      <w:r w:rsidRPr="001C2E9C">
        <w:rPr>
          <w:szCs w:val="22"/>
        </w:rPr>
        <w:t xml:space="preserve">authority and discretion to determine appropriate upfront payments for each </w:t>
      </w:r>
      <w:r>
        <w:rPr>
          <w:szCs w:val="22"/>
        </w:rPr>
        <w:t xml:space="preserve">construction permit being auctioned, taking into account such factors as the efficiency of the auction </w:t>
      </w:r>
      <w:r w:rsidRPr="002A0DC5">
        <w:t>process</w:t>
      </w:r>
      <w:r>
        <w:rPr>
          <w:szCs w:val="22"/>
        </w:rPr>
        <w:t xml:space="preserve"> and the potential value of similar construction permits</w:t>
      </w:r>
      <w:r w:rsidRPr="001C2E9C">
        <w:rPr>
          <w:szCs w:val="22"/>
        </w:rPr>
        <w:t>.</w:t>
      </w:r>
      <w:r>
        <w:rPr>
          <w:rStyle w:val="FootnoteReference"/>
          <w:szCs w:val="22"/>
        </w:rPr>
        <w:footnoteReference w:id="84"/>
      </w:r>
      <w:r w:rsidRPr="001C2E9C">
        <w:rPr>
          <w:szCs w:val="22"/>
        </w:rPr>
        <w:t xml:space="preserve">  Upfront payments </w:t>
      </w:r>
      <w:r>
        <w:rPr>
          <w:szCs w:val="22"/>
        </w:rPr>
        <w:t>that are related to the specific construction permits being auctioned protect against</w:t>
      </w:r>
      <w:r w:rsidRPr="001C2E9C">
        <w:rPr>
          <w:szCs w:val="22"/>
        </w:rPr>
        <w:t xml:space="preserve"> frivolous or insincere bidding</w:t>
      </w:r>
      <w:r>
        <w:rPr>
          <w:szCs w:val="22"/>
        </w:rPr>
        <w:t xml:space="preserve">, and </w:t>
      </w:r>
      <w:r w:rsidRPr="001C2E9C">
        <w:rPr>
          <w:szCs w:val="22"/>
        </w:rPr>
        <w:t xml:space="preserve">provide the Commission with a source of funds </w:t>
      </w:r>
      <w:r>
        <w:rPr>
          <w:szCs w:val="22"/>
        </w:rPr>
        <w:t>from which to collect payments owed at the close of bidding</w:t>
      </w:r>
      <w:r w:rsidRPr="001C2E9C">
        <w:rPr>
          <w:szCs w:val="22"/>
        </w:rPr>
        <w:t>.</w:t>
      </w:r>
      <w:r>
        <w:rPr>
          <w:rStyle w:val="FootnoteReference"/>
          <w:szCs w:val="22"/>
        </w:rPr>
        <w:footnoteReference w:id="85"/>
      </w:r>
      <w:r w:rsidRPr="001C2E9C">
        <w:rPr>
          <w:szCs w:val="22"/>
        </w:rPr>
        <w:t xml:space="preserve">  </w:t>
      </w:r>
    </w:p>
    <w:p w:rsidR="00637337" w:rsidRPr="001C2E9C" w:rsidP="00637337" w14:paraId="56C82A5D" w14:textId="0B0165D8">
      <w:pPr>
        <w:pStyle w:val="ParaNum"/>
        <w:widowControl/>
        <w:rPr>
          <w:szCs w:val="22"/>
        </w:rPr>
      </w:pPr>
      <w:r>
        <w:rPr>
          <w:szCs w:val="22"/>
        </w:rPr>
        <w:t>A</w:t>
      </w:r>
      <w:r w:rsidRPr="001C2E9C">
        <w:rPr>
          <w:szCs w:val="22"/>
        </w:rPr>
        <w:t>pplicants that are former defaulters</w:t>
      </w:r>
      <w:r>
        <w:rPr>
          <w:szCs w:val="22"/>
        </w:rPr>
        <w:t>, as described above, must</w:t>
      </w:r>
      <w:r w:rsidRPr="001C2E9C">
        <w:rPr>
          <w:szCs w:val="22"/>
        </w:rPr>
        <w:t xml:space="preserve"> pay upfront payments 50</w:t>
      </w:r>
      <w:r w:rsidR="00490BB8">
        <w:rPr>
          <w:szCs w:val="22"/>
        </w:rPr>
        <w:t>%</w:t>
      </w:r>
      <w:r w:rsidRPr="001C2E9C" w:rsidR="00490BB8">
        <w:rPr>
          <w:szCs w:val="22"/>
        </w:rPr>
        <w:t xml:space="preserve"> </w:t>
      </w:r>
      <w:r w:rsidRPr="001C2E9C">
        <w:rPr>
          <w:szCs w:val="22"/>
        </w:rPr>
        <w:t>greater than non-former defaulters.</w:t>
      </w:r>
      <w:r>
        <w:rPr>
          <w:rStyle w:val="FootnoteReference"/>
          <w:szCs w:val="22"/>
        </w:rPr>
        <w:footnoteReference w:id="86"/>
      </w:r>
      <w:r w:rsidRPr="001C2E9C">
        <w:rPr>
          <w:szCs w:val="22"/>
        </w:rPr>
        <w:t xml:space="preserve">  For purposes of this </w:t>
      </w:r>
      <w:r>
        <w:rPr>
          <w:szCs w:val="22"/>
        </w:rPr>
        <w:t>classification as a former defaulter or a former delinquent</w:t>
      </w:r>
      <w:r w:rsidRPr="001C2E9C">
        <w:rPr>
          <w:szCs w:val="22"/>
        </w:rPr>
        <w:t xml:space="preserve">, </w:t>
      </w:r>
      <w:r>
        <w:rPr>
          <w:szCs w:val="22"/>
        </w:rPr>
        <w:t xml:space="preserve">defaults and delinquencies of </w:t>
      </w:r>
      <w:r w:rsidRPr="001C2E9C">
        <w:rPr>
          <w:szCs w:val="22"/>
        </w:rPr>
        <w:t>the applicant itself</w:t>
      </w:r>
      <w:r>
        <w:rPr>
          <w:szCs w:val="22"/>
        </w:rPr>
        <w:t xml:space="preserve"> and</w:t>
      </w:r>
      <w:r w:rsidRPr="001C2E9C">
        <w:rPr>
          <w:szCs w:val="22"/>
        </w:rPr>
        <w:t xml:space="preserve"> its controlling interests</w:t>
      </w:r>
      <w:r>
        <w:rPr>
          <w:szCs w:val="22"/>
        </w:rPr>
        <w:t xml:space="preserve"> are included</w:t>
      </w:r>
      <w:r w:rsidRPr="001C2E9C">
        <w:rPr>
          <w:szCs w:val="22"/>
        </w:rPr>
        <w:t>.</w:t>
      </w:r>
      <w:r>
        <w:rPr>
          <w:rStyle w:val="FootnoteReference"/>
          <w:szCs w:val="22"/>
        </w:rPr>
        <w:footnoteReference w:id="87"/>
      </w:r>
    </w:p>
    <w:p w:rsidR="00637337" w:rsidRPr="00AA2B80" w:rsidP="00637337" w14:paraId="580E0B66" w14:textId="77777777">
      <w:pPr>
        <w:pStyle w:val="ParaNum"/>
        <w:widowControl/>
        <w:rPr>
          <w:szCs w:val="22"/>
        </w:rPr>
      </w:pPr>
      <w:r w:rsidRPr="002A0DC5">
        <w:t>Applicants</w:t>
      </w:r>
      <w:r w:rsidRPr="000C360D">
        <w:rPr>
          <w:szCs w:val="22"/>
        </w:rPr>
        <w:t xml:space="preserve"> must make upfront payments </w:t>
      </w:r>
      <w:r>
        <w:rPr>
          <w:szCs w:val="22"/>
        </w:rPr>
        <w:t xml:space="preserve">sufficient </w:t>
      </w:r>
      <w:r w:rsidRPr="000C360D">
        <w:rPr>
          <w:szCs w:val="22"/>
        </w:rPr>
        <w:t>to obtain bidding eligibility</w:t>
      </w:r>
      <w:r>
        <w:rPr>
          <w:szCs w:val="22"/>
        </w:rPr>
        <w:t xml:space="preserve"> on the construction permits on which they will bid</w:t>
      </w:r>
      <w:r w:rsidRPr="000C360D">
        <w:rPr>
          <w:szCs w:val="22"/>
        </w:rPr>
        <w:t xml:space="preserve">.  </w:t>
      </w:r>
      <w:r>
        <w:rPr>
          <w:szCs w:val="22"/>
        </w:rPr>
        <w:t>The Bureaus proposed, i</w:t>
      </w:r>
      <w:r w:rsidRPr="000C360D">
        <w:rPr>
          <w:szCs w:val="22"/>
        </w:rPr>
        <w:t xml:space="preserve">n the </w:t>
      </w:r>
      <w:r w:rsidRPr="000C360D">
        <w:rPr>
          <w:i/>
          <w:szCs w:val="22"/>
        </w:rPr>
        <w:t xml:space="preserve">Auction </w:t>
      </w:r>
      <w:r>
        <w:rPr>
          <w:i/>
          <w:szCs w:val="22"/>
        </w:rPr>
        <w:t>100</w:t>
      </w:r>
      <w:r w:rsidRPr="000C360D">
        <w:rPr>
          <w:i/>
          <w:szCs w:val="22"/>
        </w:rPr>
        <w:t xml:space="preserve"> Comment Public Notice</w:t>
      </w:r>
      <w:r w:rsidRPr="000C360D">
        <w:rPr>
          <w:szCs w:val="22"/>
        </w:rPr>
        <w:t>, that the amount of the upfront payment would determine a bidder’s initial bidding eligibility, the maximum number of bidding units on which a bidder may place bids</w:t>
      </w:r>
      <w:r>
        <w:rPr>
          <w:szCs w:val="22"/>
        </w:rPr>
        <w:t xml:space="preserve"> in any single round</w:t>
      </w:r>
      <w:r w:rsidRPr="000C360D">
        <w:rPr>
          <w:szCs w:val="22"/>
        </w:rPr>
        <w:t>.</w:t>
      </w:r>
      <w:r>
        <w:rPr>
          <w:rStyle w:val="FootnoteReference"/>
          <w:szCs w:val="22"/>
        </w:rPr>
        <w:footnoteReference w:id="88"/>
      </w:r>
      <w:r w:rsidRPr="000C360D">
        <w:rPr>
          <w:szCs w:val="22"/>
        </w:rPr>
        <w:t xml:space="preserve"> </w:t>
      </w:r>
      <w:r>
        <w:rPr>
          <w:szCs w:val="22"/>
        </w:rPr>
        <w:t xml:space="preserve"> </w:t>
      </w:r>
      <w:r w:rsidRPr="000C360D">
        <w:rPr>
          <w:szCs w:val="22"/>
        </w:rPr>
        <w:t xml:space="preserve">Under </w:t>
      </w:r>
      <w:r>
        <w:rPr>
          <w:szCs w:val="22"/>
        </w:rPr>
        <w:t>that</w:t>
      </w:r>
      <w:r w:rsidRPr="000C360D">
        <w:rPr>
          <w:szCs w:val="22"/>
        </w:rPr>
        <w:t xml:space="preserve"> proposal, in order to bid on a particular </w:t>
      </w:r>
      <w:r>
        <w:rPr>
          <w:szCs w:val="22"/>
        </w:rPr>
        <w:t>construction permit</w:t>
      </w:r>
      <w:r w:rsidRPr="000C360D">
        <w:rPr>
          <w:szCs w:val="22"/>
        </w:rPr>
        <w:t xml:space="preserve">, </w:t>
      </w:r>
      <w:r>
        <w:rPr>
          <w:szCs w:val="22"/>
        </w:rPr>
        <w:t xml:space="preserve">otherwise </w:t>
      </w:r>
      <w:r w:rsidRPr="000C360D">
        <w:rPr>
          <w:szCs w:val="22"/>
        </w:rPr>
        <w:t>qualified bidder</w:t>
      </w:r>
      <w:r>
        <w:rPr>
          <w:szCs w:val="22"/>
        </w:rPr>
        <w:t>s that are designated in Attachment A of this Public Notice for that construction permit</w:t>
      </w:r>
      <w:r w:rsidRPr="000C360D">
        <w:rPr>
          <w:szCs w:val="22"/>
        </w:rPr>
        <w:t xml:space="preserve"> must have a current eligibility level that meets or exceeds the number of bidding units assigned to that </w:t>
      </w:r>
      <w:r>
        <w:rPr>
          <w:szCs w:val="22"/>
        </w:rPr>
        <w:t>construction permit</w:t>
      </w:r>
      <w:r w:rsidRPr="000C360D">
        <w:rPr>
          <w:szCs w:val="22"/>
        </w:rPr>
        <w:t xml:space="preserve">.  </w:t>
      </w:r>
      <w:r w:rsidRPr="000C360D">
        <w:rPr>
          <w:b/>
          <w:szCs w:val="22"/>
        </w:rPr>
        <w:t xml:space="preserve">At a minimum, therefore, an applicant’s total upfront payment must be enough to establish eligibility to bid on at least one of the </w:t>
      </w:r>
      <w:r>
        <w:rPr>
          <w:b/>
          <w:szCs w:val="22"/>
        </w:rPr>
        <w:t>construction permits</w:t>
      </w:r>
      <w:r w:rsidRPr="000C360D">
        <w:rPr>
          <w:b/>
          <w:szCs w:val="22"/>
        </w:rPr>
        <w:t xml:space="preserve"> </w:t>
      </w:r>
      <w:r>
        <w:rPr>
          <w:b/>
          <w:szCs w:val="22"/>
        </w:rPr>
        <w:t>designated for that applicant in Attachment A of this Public Notice</w:t>
      </w:r>
      <w:r w:rsidRPr="000C360D">
        <w:rPr>
          <w:b/>
          <w:szCs w:val="22"/>
        </w:rPr>
        <w:t>, or else the applicant will not be eligible to participate in the auction.</w:t>
      </w:r>
      <w:r w:rsidRPr="000C360D">
        <w:rPr>
          <w:szCs w:val="22"/>
        </w:rPr>
        <w:t xml:space="preserve">  An applicant does not have to make an upfront payment to cover all </w:t>
      </w:r>
      <w:r>
        <w:rPr>
          <w:szCs w:val="22"/>
        </w:rPr>
        <w:t>construction permits</w:t>
      </w:r>
      <w:r w:rsidRPr="000C360D">
        <w:rPr>
          <w:szCs w:val="22"/>
        </w:rPr>
        <w:t xml:space="preserve"> </w:t>
      </w:r>
      <w:r>
        <w:rPr>
          <w:szCs w:val="22"/>
        </w:rPr>
        <w:t>designated for that</w:t>
      </w:r>
      <w:r w:rsidRPr="000C360D">
        <w:rPr>
          <w:szCs w:val="22"/>
        </w:rPr>
        <w:t xml:space="preserve"> applicant </w:t>
      </w:r>
      <w:r>
        <w:rPr>
          <w:szCs w:val="22"/>
        </w:rPr>
        <w:t>in Attachment A of this Public Notice</w:t>
      </w:r>
      <w:r w:rsidRPr="000C360D">
        <w:rPr>
          <w:szCs w:val="22"/>
        </w:rPr>
        <w:t xml:space="preserve">, but </w:t>
      </w:r>
      <w:r>
        <w:rPr>
          <w:szCs w:val="22"/>
        </w:rPr>
        <w:t>only enough</w:t>
      </w:r>
      <w:r w:rsidRPr="000C360D">
        <w:rPr>
          <w:szCs w:val="22"/>
        </w:rPr>
        <w:t xml:space="preserve"> to cover the maximum number of bidding units that are associated with </w:t>
      </w:r>
      <w:r w:rsidRPr="00AA2B80">
        <w:rPr>
          <w:szCs w:val="22"/>
        </w:rPr>
        <w:t>construction permits on which the</w:t>
      </w:r>
      <w:r>
        <w:rPr>
          <w:szCs w:val="22"/>
        </w:rPr>
        <w:t xml:space="preserve">y </w:t>
      </w:r>
      <w:r w:rsidRPr="00AA2B80">
        <w:rPr>
          <w:szCs w:val="22"/>
        </w:rPr>
        <w:t xml:space="preserve">wish to place bids and hold provisionally winning bids </w:t>
      </w:r>
      <w:r>
        <w:rPr>
          <w:szCs w:val="22"/>
        </w:rPr>
        <w:t>in</w:t>
      </w:r>
      <w:r w:rsidRPr="00AA2B80">
        <w:rPr>
          <w:szCs w:val="22"/>
        </w:rPr>
        <w:t xml:space="preserve"> any given </w:t>
      </w:r>
      <w:r>
        <w:rPr>
          <w:szCs w:val="22"/>
        </w:rPr>
        <w:t>round</w:t>
      </w:r>
      <w:r w:rsidRPr="00AA2B80">
        <w:rPr>
          <w:szCs w:val="22"/>
        </w:rPr>
        <w:t>.</w:t>
      </w:r>
      <w:r>
        <w:rPr>
          <w:rStyle w:val="FootnoteReference"/>
          <w:szCs w:val="22"/>
        </w:rPr>
        <w:footnoteReference w:id="89"/>
      </w:r>
      <w:r>
        <w:rPr>
          <w:szCs w:val="22"/>
        </w:rPr>
        <w:t xml:space="preserve">  The </w:t>
      </w:r>
      <w:r w:rsidRPr="00884535">
        <w:rPr>
          <w:szCs w:val="22"/>
        </w:rPr>
        <w:t xml:space="preserve">total upfront payment does not affect the total dollar amount </w:t>
      </w:r>
      <w:r>
        <w:rPr>
          <w:szCs w:val="22"/>
        </w:rPr>
        <w:t>the</w:t>
      </w:r>
      <w:r w:rsidRPr="00884535">
        <w:rPr>
          <w:szCs w:val="22"/>
        </w:rPr>
        <w:t xml:space="preserve"> bidder may bid on any given construction permit.</w:t>
      </w:r>
    </w:p>
    <w:p w:rsidR="00637337" w:rsidRPr="000E45A2" w:rsidP="00637337" w14:paraId="2DD82B30" w14:textId="0507AC88">
      <w:pPr>
        <w:pStyle w:val="ParaNum"/>
        <w:widowControl/>
      </w:pPr>
      <w:r w:rsidRPr="000C360D">
        <w:t xml:space="preserve">In the </w:t>
      </w:r>
      <w:r w:rsidRPr="00E612AB">
        <w:rPr>
          <w:i/>
        </w:rPr>
        <w:t xml:space="preserve">Auction </w:t>
      </w:r>
      <w:r>
        <w:rPr>
          <w:i/>
        </w:rPr>
        <w:t>100</w:t>
      </w:r>
      <w:r w:rsidRPr="00E612AB">
        <w:rPr>
          <w:i/>
        </w:rPr>
        <w:t xml:space="preserve"> Comment Public</w:t>
      </w:r>
      <w:r w:rsidRPr="000C360D">
        <w:rPr>
          <w:i/>
        </w:rPr>
        <w:t xml:space="preserve"> Notice</w:t>
      </w:r>
      <w:r w:rsidRPr="000C360D">
        <w:t xml:space="preserve">, </w:t>
      </w:r>
      <w:r w:rsidRPr="00DF7948">
        <w:t xml:space="preserve">the Bureaus proposed an upfront payment for each construction permit, taking into account various factors related to the efficiency of the auction process and the potential value of similar spectrum, and sought comment on this proposal.  </w:t>
      </w:r>
      <w:r>
        <w:t>We</w:t>
      </w:r>
      <w:r w:rsidRPr="000E45A2">
        <w:t xml:space="preserve"> </w:t>
      </w:r>
      <w:r w:rsidRPr="00F03BE1">
        <w:t>received no comments on the proposal that the upfront payment amount would determine a bidder’s initial bidding eligibility</w:t>
      </w:r>
      <w:r>
        <w:t>, and this proposal is adopted</w:t>
      </w:r>
      <w:r w:rsidRPr="00F03BE1">
        <w:t xml:space="preserve">.  </w:t>
      </w:r>
      <w:r>
        <w:t xml:space="preserve">The specific </w:t>
      </w:r>
      <w:r w:rsidR="006A1BAC">
        <w:t xml:space="preserve">upfront payment amount and </w:t>
      </w:r>
      <w:r w:rsidRPr="000E45A2">
        <w:t xml:space="preserve">bidding units </w:t>
      </w:r>
      <w:r>
        <w:t xml:space="preserve">for each construction permit </w:t>
      </w:r>
      <w:r w:rsidRPr="000E45A2">
        <w:t>are set forth in Attachment A of this Public Notice.</w:t>
      </w:r>
    </w:p>
    <w:p w:rsidR="00637337" w:rsidRPr="008C484E" w:rsidP="00637337" w14:paraId="58FD8FD3" w14:textId="77777777">
      <w:pPr>
        <w:pStyle w:val="ParaNum"/>
        <w:widowControl/>
      </w:pPr>
      <w:r w:rsidRPr="00C07C81">
        <w:rPr>
          <w:szCs w:val="22"/>
        </w:rPr>
        <w:t xml:space="preserve">In calculating its upfront payment amount, an applicant should determine the </w:t>
      </w:r>
      <w:r w:rsidRPr="00C07C81">
        <w:rPr>
          <w:b/>
          <w:szCs w:val="22"/>
        </w:rPr>
        <w:t>maximum</w:t>
      </w:r>
      <w:r w:rsidRPr="00C07C81">
        <w:rPr>
          <w:szCs w:val="22"/>
        </w:rPr>
        <w:t xml:space="preserve"> number of bidding units on which it may wish to be active (bid on or hold provisionally winning bids on) in any single round, and submit an upfront payment amount covering that number of bidding units.</w:t>
      </w:r>
      <w:r>
        <w:rPr>
          <w:rStyle w:val="FootnoteReference"/>
          <w:szCs w:val="22"/>
        </w:rPr>
        <w:footnoteReference w:id="90"/>
      </w:r>
      <w:r w:rsidRPr="00C07C81">
        <w:rPr>
          <w:szCs w:val="22"/>
        </w:rPr>
        <w:t xml:space="preserve">  In order to make this calculation, an applicant should add together the bidding units for all construction permits on which it seeks to be active in any given round.  </w:t>
      </w:r>
      <w:r w:rsidRPr="00C07C81">
        <w:rPr>
          <w:b/>
          <w:szCs w:val="22"/>
        </w:rPr>
        <w:t>Applicants should check their calculations carefully, as there is no provision for increasing a bidder’s eligibility after the upfront payment deadline.</w:t>
      </w:r>
      <w:r>
        <w:rPr>
          <w:b/>
          <w:szCs w:val="22"/>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3420"/>
        <w:gridCol w:w="1890"/>
        <w:gridCol w:w="2340"/>
      </w:tblGrid>
      <w:tr w14:paraId="5A96A637" w14:textId="77777777" w:rsidTr="006C4B5A">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40"/>
        </w:trPr>
        <w:tc>
          <w:tcPr>
            <w:tcW w:w="9540" w:type="dxa"/>
            <w:gridSpan w:val="4"/>
            <w:vAlign w:val="center"/>
          </w:tcPr>
          <w:p w:rsidR="00637337" w:rsidRPr="004A2C56" w:rsidP="00637337" w14:paraId="1283851F" w14:textId="77777777">
            <w:pPr>
              <w:keepNext/>
              <w:widowControl/>
              <w:spacing w:before="120" w:after="120"/>
              <w:rPr>
                <w:b/>
                <w:szCs w:val="22"/>
              </w:rPr>
            </w:pPr>
            <w:r w:rsidRPr="004A2C56">
              <w:rPr>
                <w:b/>
                <w:szCs w:val="22"/>
              </w:rPr>
              <w:t xml:space="preserve">Example: Upfront Payments, Bidding Eligibility, and Bidding Flexibility </w:t>
            </w:r>
          </w:p>
        </w:tc>
      </w:tr>
      <w:tr w14:paraId="702D9C5F" w14:textId="77777777" w:rsidTr="00637337">
        <w:tblPrEx>
          <w:tblW w:w="9540" w:type="dxa"/>
          <w:tblInd w:w="108" w:type="dxa"/>
          <w:tblLayout w:type="fixed"/>
          <w:tblLook w:val="0000"/>
        </w:tblPrEx>
        <w:trPr>
          <w:cantSplit/>
          <w:trHeight w:val="269"/>
        </w:trPr>
        <w:tc>
          <w:tcPr>
            <w:tcW w:w="1890" w:type="dxa"/>
            <w:shd w:val="pct35" w:color="000000" w:fill="FFFFFF"/>
            <w:vAlign w:val="center"/>
          </w:tcPr>
          <w:p w:rsidR="00637337" w:rsidRPr="004A2C56" w:rsidP="00637337" w14:paraId="60736F69" w14:textId="77777777">
            <w:pPr>
              <w:keepNext/>
              <w:widowControl/>
              <w:jc w:val="center"/>
              <w:rPr>
                <w:b/>
                <w:szCs w:val="22"/>
              </w:rPr>
            </w:pPr>
            <w:r w:rsidRPr="004A2C56">
              <w:rPr>
                <w:b/>
                <w:szCs w:val="22"/>
              </w:rPr>
              <w:t>Construction Permit</w:t>
            </w:r>
          </w:p>
        </w:tc>
        <w:tc>
          <w:tcPr>
            <w:tcW w:w="3420" w:type="dxa"/>
            <w:shd w:val="pct35" w:color="000000" w:fill="FFFFFF"/>
            <w:vAlign w:val="center"/>
          </w:tcPr>
          <w:p w:rsidR="00637337" w:rsidRPr="004A2C56" w:rsidP="00637337" w14:paraId="4785EA68" w14:textId="77777777">
            <w:pPr>
              <w:keepNext/>
              <w:widowControl/>
              <w:jc w:val="center"/>
              <w:rPr>
                <w:b/>
                <w:szCs w:val="22"/>
              </w:rPr>
            </w:pPr>
            <w:r w:rsidRPr="004A2C56">
              <w:rPr>
                <w:b/>
                <w:szCs w:val="22"/>
              </w:rPr>
              <w:t>Market Name</w:t>
            </w:r>
          </w:p>
        </w:tc>
        <w:tc>
          <w:tcPr>
            <w:tcW w:w="1890" w:type="dxa"/>
            <w:shd w:val="pct35" w:color="000000" w:fill="FFFFFF"/>
            <w:vAlign w:val="center"/>
          </w:tcPr>
          <w:p w:rsidR="00637337" w:rsidRPr="004A2C56" w:rsidP="00637337" w14:paraId="777E7AC2" w14:textId="77777777">
            <w:pPr>
              <w:keepNext/>
              <w:widowControl/>
              <w:jc w:val="center"/>
              <w:rPr>
                <w:b/>
                <w:szCs w:val="22"/>
              </w:rPr>
            </w:pPr>
            <w:r w:rsidRPr="004A2C56">
              <w:rPr>
                <w:b/>
                <w:szCs w:val="22"/>
              </w:rPr>
              <w:t>Bidding Units</w:t>
            </w:r>
          </w:p>
        </w:tc>
        <w:tc>
          <w:tcPr>
            <w:tcW w:w="2340" w:type="dxa"/>
            <w:shd w:val="pct35" w:color="000000" w:fill="FFFFFF"/>
            <w:vAlign w:val="center"/>
          </w:tcPr>
          <w:p w:rsidR="00637337" w:rsidRPr="004A2C56" w:rsidP="00637337" w14:paraId="4A3862A8" w14:textId="77777777">
            <w:pPr>
              <w:keepNext/>
              <w:widowControl/>
              <w:jc w:val="center"/>
              <w:rPr>
                <w:b/>
                <w:szCs w:val="22"/>
              </w:rPr>
            </w:pPr>
            <w:r w:rsidRPr="004A2C56">
              <w:rPr>
                <w:b/>
                <w:szCs w:val="22"/>
              </w:rPr>
              <w:t>Upfront Payment</w:t>
            </w:r>
          </w:p>
        </w:tc>
      </w:tr>
      <w:tr w14:paraId="3EF0998C" w14:textId="77777777" w:rsidTr="006C4B5A">
        <w:tblPrEx>
          <w:tblW w:w="9540" w:type="dxa"/>
          <w:tblInd w:w="108" w:type="dxa"/>
          <w:tblLayout w:type="fixed"/>
          <w:tblLook w:val="0000"/>
        </w:tblPrEx>
        <w:trPr>
          <w:cantSplit/>
          <w:trHeight w:val="323"/>
        </w:trPr>
        <w:tc>
          <w:tcPr>
            <w:tcW w:w="1890" w:type="dxa"/>
            <w:vAlign w:val="center"/>
          </w:tcPr>
          <w:p w:rsidR="00637337" w:rsidRPr="004A2C56" w:rsidP="00637337" w14:paraId="20D4E472" w14:textId="5424A12D">
            <w:pPr>
              <w:keepNext/>
              <w:widowControl/>
              <w:jc w:val="center"/>
              <w:rPr>
                <w:b/>
                <w:szCs w:val="22"/>
              </w:rPr>
            </w:pPr>
            <w:r w:rsidRPr="004A2C56">
              <w:rPr>
                <w:szCs w:val="22"/>
              </w:rPr>
              <w:t>FMT06</w:t>
            </w:r>
            <w:r w:rsidR="006A1BAC">
              <w:rPr>
                <w:szCs w:val="22"/>
              </w:rPr>
              <w:t>5</w:t>
            </w:r>
          </w:p>
        </w:tc>
        <w:tc>
          <w:tcPr>
            <w:tcW w:w="3420" w:type="dxa"/>
            <w:vAlign w:val="center"/>
          </w:tcPr>
          <w:p w:rsidR="00637337" w:rsidRPr="004A2C56" w:rsidP="00637337" w14:paraId="224CADAD" w14:textId="45B33537">
            <w:pPr>
              <w:keepNext/>
              <w:widowControl/>
              <w:rPr>
                <w:b/>
                <w:szCs w:val="22"/>
              </w:rPr>
            </w:pPr>
            <w:r>
              <w:rPr>
                <w:szCs w:val="22"/>
              </w:rPr>
              <w:t>Mobile, Alabama</w:t>
            </w:r>
          </w:p>
        </w:tc>
        <w:tc>
          <w:tcPr>
            <w:tcW w:w="1890" w:type="dxa"/>
            <w:vAlign w:val="center"/>
          </w:tcPr>
          <w:p w:rsidR="00637337" w:rsidRPr="004A2C56" w:rsidP="00637337" w14:paraId="72AF8B87" w14:textId="6B4586E8">
            <w:pPr>
              <w:keepNext/>
              <w:widowControl/>
              <w:ind w:right="612"/>
              <w:jc w:val="right"/>
              <w:rPr>
                <w:szCs w:val="22"/>
              </w:rPr>
            </w:pPr>
            <w:r>
              <w:rPr>
                <w:szCs w:val="22"/>
              </w:rPr>
              <w:t>5</w:t>
            </w:r>
            <w:r w:rsidRPr="004A2C56">
              <w:rPr>
                <w:szCs w:val="22"/>
              </w:rPr>
              <w:t>,</w:t>
            </w:r>
            <w:r>
              <w:rPr>
                <w:szCs w:val="22"/>
              </w:rPr>
              <w:t>0</w:t>
            </w:r>
            <w:r w:rsidRPr="004A2C56">
              <w:rPr>
                <w:szCs w:val="22"/>
              </w:rPr>
              <w:t>00</w:t>
            </w:r>
          </w:p>
        </w:tc>
        <w:tc>
          <w:tcPr>
            <w:tcW w:w="2340" w:type="dxa"/>
            <w:vAlign w:val="center"/>
          </w:tcPr>
          <w:p w:rsidR="00637337" w:rsidRPr="004A2C56" w:rsidP="00637337" w14:paraId="5388B766" w14:textId="7195C1A5">
            <w:pPr>
              <w:keepNext/>
              <w:widowControl/>
              <w:ind w:right="792"/>
              <w:jc w:val="right"/>
              <w:rPr>
                <w:b/>
                <w:szCs w:val="22"/>
              </w:rPr>
            </w:pPr>
            <w:r w:rsidRPr="004A2C56">
              <w:rPr>
                <w:szCs w:val="22"/>
              </w:rPr>
              <w:t>$</w:t>
            </w:r>
            <w:r w:rsidR="006A1BAC">
              <w:rPr>
                <w:szCs w:val="22"/>
              </w:rPr>
              <w:t>5</w:t>
            </w:r>
            <w:r w:rsidRPr="004A2C56">
              <w:rPr>
                <w:szCs w:val="22"/>
              </w:rPr>
              <w:t>,</w:t>
            </w:r>
            <w:r w:rsidR="006A1BAC">
              <w:rPr>
                <w:szCs w:val="22"/>
              </w:rPr>
              <w:t>0</w:t>
            </w:r>
            <w:r w:rsidRPr="004A2C56">
              <w:rPr>
                <w:szCs w:val="22"/>
              </w:rPr>
              <w:t>00</w:t>
            </w:r>
          </w:p>
        </w:tc>
      </w:tr>
      <w:tr w14:paraId="658D256F" w14:textId="77777777" w:rsidTr="006C4B5A">
        <w:tblPrEx>
          <w:tblW w:w="9540" w:type="dxa"/>
          <w:tblInd w:w="108" w:type="dxa"/>
          <w:tblLayout w:type="fixed"/>
          <w:tblLook w:val="0000"/>
        </w:tblPrEx>
        <w:trPr>
          <w:cantSplit/>
          <w:trHeight w:val="350"/>
        </w:trPr>
        <w:tc>
          <w:tcPr>
            <w:tcW w:w="1890" w:type="dxa"/>
            <w:vAlign w:val="center"/>
          </w:tcPr>
          <w:p w:rsidR="00637337" w:rsidRPr="004A2C56" w:rsidP="00637337" w14:paraId="2F3F735E" w14:textId="1583F70D">
            <w:pPr>
              <w:keepNext/>
              <w:widowControl/>
              <w:jc w:val="center"/>
              <w:rPr>
                <w:b/>
                <w:szCs w:val="22"/>
              </w:rPr>
            </w:pPr>
            <w:r w:rsidRPr="004A2C56">
              <w:rPr>
                <w:szCs w:val="22"/>
              </w:rPr>
              <w:t>FMT07</w:t>
            </w:r>
            <w:r w:rsidR="006A1BAC">
              <w:rPr>
                <w:szCs w:val="22"/>
              </w:rPr>
              <w:t>0</w:t>
            </w:r>
          </w:p>
        </w:tc>
        <w:tc>
          <w:tcPr>
            <w:tcW w:w="3420" w:type="dxa"/>
            <w:vAlign w:val="center"/>
          </w:tcPr>
          <w:p w:rsidR="00637337" w:rsidRPr="004A2C56" w:rsidP="00637337" w14:paraId="30399904" w14:textId="2F38D351">
            <w:pPr>
              <w:keepNext/>
              <w:widowControl/>
              <w:rPr>
                <w:b/>
                <w:szCs w:val="22"/>
              </w:rPr>
            </w:pPr>
            <w:r>
              <w:rPr>
                <w:szCs w:val="22"/>
              </w:rPr>
              <w:t>Louisville, Kentucky</w:t>
            </w:r>
            <w:r w:rsidRPr="004A2C56">
              <w:rPr>
                <w:szCs w:val="22"/>
              </w:rPr>
              <w:t xml:space="preserve"> </w:t>
            </w:r>
          </w:p>
        </w:tc>
        <w:tc>
          <w:tcPr>
            <w:tcW w:w="1890" w:type="dxa"/>
            <w:vAlign w:val="center"/>
          </w:tcPr>
          <w:p w:rsidR="00637337" w:rsidRPr="004A2C56" w:rsidP="00637337" w14:paraId="2CB00D50" w14:textId="150380B6">
            <w:pPr>
              <w:keepNext/>
              <w:widowControl/>
              <w:ind w:right="612"/>
              <w:jc w:val="right"/>
              <w:rPr>
                <w:szCs w:val="22"/>
              </w:rPr>
            </w:pPr>
            <w:r>
              <w:rPr>
                <w:szCs w:val="22"/>
              </w:rPr>
              <w:t>35</w:t>
            </w:r>
            <w:r w:rsidRPr="004A2C56">
              <w:rPr>
                <w:szCs w:val="22"/>
              </w:rPr>
              <w:t>,000</w:t>
            </w:r>
          </w:p>
        </w:tc>
        <w:tc>
          <w:tcPr>
            <w:tcW w:w="2340" w:type="dxa"/>
            <w:vAlign w:val="center"/>
          </w:tcPr>
          <w:p w:rsidR="00637337" w:rsidRPr="004A2C56" w:rsidP="00637337" w14:paraId="78FB8E40" w14:textId="5A039936">
            <w:pPr>
              <w:keepNext/>
              <w:widowControl/>
              <w:ind w:right="792"/>
              <w:jc w:val="right"/>
              <w:rPr>
                <w:b/>
                <w:szCs w:val="22"/>
              </w:rPr>
            </w:pPr>
            <w:r w:rsidRPr="004A2C56">
              <w:rPr>
                <w:szCs w:val="22"/>
              </w:rPr>
              <w:t>$</w:t>
            </w:r>
            <w:r w:rsidR="006A1BAC">
              <w:rPr>
                <w:szCs w:val="22"/>
              </w:rPr>
              <w:t>35</w:t>
            </w:r>
            <w:r w:rsidRPr="004A2C56">
              <w:rPr>
                <w:szCs w:val="22"/>
              </w:rPr>
              <w:t>,000</w:t>
            </w:r>
          </w:p>
        </w:tc>
      </w:tr>
      <w:tr w14:paraId="592BD1A9" w14:textId="77777777" w:rsidTr="006C4B5A">
        <w:tblPrEx>
          <w:tblW w:w="9540" w:type="dxa"/>
          <w:tblInd w:w="108" w:type="dxa"/>
          <w:tblLayout w:type="fixed"/>
          <w:tblLook w:val="0000"/>
        </w:tblPrEx>
        <w:trPr>
          <w:cantSplit/>
          <w:trHeight w:val="2420"/>
        </w:trPr>
        <w:tc>
          <w:tcPr>
            <w:tcW w:w="9540" w:type="dxa"/>
            <w:gridSpan w:val="4"/>
          </w:tcPr>
          <w:p w:rsidR="00637337" w:rsidRPr="004A2C56" w:rsidP="00637337" w14:paraId="72E1FAA6" w14:textId="77777777">
            <w:pPr>
              <w:keepNext/>
              <w:widowControl/>
              <w:rPr>
                <w:szCs w:val="22"/>
              </w:rPr>
            </w:pPr>
          </w:p>
          <w:p w:rsidR="00637337" w:rsidRPr="00CC1D6B" w:rsidP="00CC1D6B" w14:paraId="23283952" w14:textId="05DFBCE6">
            <w:pPr>
              <w:keepNext/>
              <w:widowControl/>
              <w:spacing w:after="120"/>
              <w:rPr>
                <w:szCs w:val="22"/>
              </w:rPr>
            </w:pPr>
            <w:r w:rsidRPr="004A2C56">
              <w:rPr>
                <w:szCs w:val="22"/>
              </w:rPr>
              <w:t xml:space="preserve">If a bidder wishes to bid on both construction permits in a round, </w:t>
            </w:r>
            <w:r w:rsidRPr="004A2C56">
              <w:t xml:space="preserve">each construction permit must be designated for that bidder in Attachment A of this Public Notice, </w:t>
            </w:r>
            <w:r w:rsidRPr="004A2C56">
              <w:rPr>
                <w:szCs w:val="22"/>
              </w:rPr>
              <w:t xml:space="preserve">and that bidder must have purchased at least </w:t>
            </w:r>
            <w:r w:rsidR="006A1BAC">
              <w:rPr>
                <w:szCs w:val="22"/>
              </w:rPr>
              <w:t>40</w:t>
            </w:r>
            <w:r w:rsidRPr="004A2C56">
              <w:rPr>
                <w:szCs w:val="22"/>
              </w:rPr>
              <w:t>,</w:t>
            </w:r>
            <w:r w:rsidR="006A1BAC">
              <w:rPr>
                <w:szCs w:val="22"/>
              </w:rPr>
              <w:t>0</w:t>
            </w:r>
            <w:r w:rsidRPr="004A2C56">
              <w:rPr>
                <w:szCs w:val="22"/>
              </w:rPr>
              <w:t>00 bidding units (</w:t>
            </w:r>
            <w:r w:rsidR="006A1BAC">
              <w:rPr>
                <w:szCs w:val="22"/>
              </w:rPr>
              <w:t>5</w:t>
            </w:r>
            <w:r w:rsidRPr="004A2C56">
              <w:rPr>
                <w:szCs w:val="22"/>
              </w:rPr>
              <w:t>,</w:t>
            </w:r>
            <w:r w:rsidR="006A1BAC">
              <w:rPr>
                <w:szCs w:val="22"/>
              </w:rPr>
              <w:t>0</w:t>
            </w:r>
            <w:r w:rsidRPr="004A2C56">
              <w:rPr>
                <w:szCs w:val="22"/>
              </w:rPr>
              <w:t xml:space="preserve">00 + </w:t>
            </w:r>
            <w:r w:rsidR="006A1BAC">
              <w:rPr>
                <w:szCs w:val="22"/>
              </w:rPr>
              <w:t>35</w:t>
            </w:r>
            <w:r w:rsidRPr="004A2C56">
              <w:rPr>
                <w:szCs w:val="22"/>
              </w:rPr>
              <w:t xml:space="preserve">,000) of bidding eligibility.  If it only wishes to bid on one, but not both, purchasing </w:t>
            </w:r>
            <w:r w:rsidR="006A1BAC">
              <w:rPr>
                <w:szCs w:val="22"/>
              </w:rPr>
              <w:t>35</w:t>
            </w:r>
            <w:r w:rsidRPr="004A2C56">
              <w:rPr>
                <w:szCs w:val="22"/>
              </w:rPr>
              <w:t xml:space="preserve">,000 bidding units would meet the eligibility requirement for either construction permit.  The bidder would be able to bid on either construction permit, but not both at the same time.  If the bidder purchased only </w:t>
            </w:r>
            <w:r w:rsidR="006A1BAC">
              <w:rPr>
                <w:szCs w:val="22"/>
              </w:rPr>
              <w:t>5</w:t>
            </w:r>
            <w:r w:rsidRPr="004A2C56">
              <w:rPr>
                <w:szCs w:val="22"/>
              </w:rPr>
              <w:t>,</w:t>
            </w:r>
            <w:r w:rsidR="006A1BAC">
              <w:rPr>
                <w:szCs w:val="22"/>
              </w:rPr>
              <w:t>0</w:t>
            </w:r>
            <w:r w:rsidRPr="004A2C56">
              <w:rPr>
                <w:szCs w:val="22"/>
              </w:rPr>
              <w:t xml:space="preserve">00 bidding units, the bidder would have enough eligibility to bid for the </w:t>
            </w:r>
            <w:r w:rsidR="006A1BAC">
              <w:rPr>
                <w:szCs w:val="22"/>
              </w:rPr>
              <w:t>Mobile, Alabama</w:t>
            </w:r>
            <w:r w:rsidRPr="004A2C56">
              <w:rPr>
                <w:szCs w:val="22"/>
              </w:rPr>
              <w:t xml:space="preserve">, construction permit but not for the </w:t>
            </w:r>
            <w:r w:rsidR="006A1BAC">
              <w:rPr>
                <w:szCs w:val="22"/>
              </w:rPr>
              <w:t>Louisville, Kentucky</w:t>
            </w:r>
            <w:r w:rsidRPr="004A2C56">
              <w:rPr>
                <w:szCs w:val="22"/>
              </w:rPr>
              <w:t>, construction permit.</w:t>
            </w:r>
          </w:p>
        </w:tc>
      </w:tr>
    </w:tbl>
    <w:p w:rsidR="00637337" w:rsidRPr="00CA6286" w:rsidP="00637337" w14:paraId="01171631" w14:textId="77777777"/>
    <w:p w:rsidR="00637337" w:rsidRPr="00AA2B80" w:rsidP="00637337" w14:paraId="6DBB0873" w14:textId="77777777">
      <w:pPr>
        <w:pStyle w:val="ParaNum"/>
        <w:widowControl/>
        <w:rPr>
          <w:szCs w:val="22"/>
        </w:rPr>
      </w:pPr>
      <w:r>
        <w:rPr>
          <w:szCs w:val="22"/>
        </w:rPr>
        <w:t>If an applicant is a f</w:t>
      </w:r>
      <w:r w:rsidRPr="000C360D">
        <w:rPr>
          <w:szCs w:val="22"/>
        </w:rPr>
        <w:t>ormer defaulter</w:t>
      </w:r>
      <w:r>
        <w:rPr>
          <w:szCs w:val="22"/>
        </w:rPr>
        <w:t>, it</w:t>
      </w:r>
      <w:r w:rsidRPr="000C360D">
        <w:rPr>
          <w:szCs w:val="22"/>
        </w:rPr>
        <w:t xml:space="preserve"> must calculate </w:t>
      </w:r>
      <w:r>
        <w:rPr>
          <w:szCs w:val="22"/>
        </w:rPr>
        <w:t>its</w:t>
      </w:r>
      <w:r w:rsidRPr="000C360D">
        <w:rPr>
          <w:szCs w:val="22"/>
        </w:rPr>
        <w:t xml:space="preserve"> upfront payment </w:t>
      </w:r>
      <w:r w:rsidRPr="001F60FA">
        <w:rPr>
          <w:szCs w:val="22"/>
        </w:rPr>
        <w:t xml:space="preserve">for all of its </w:t>
      </w:r>
      <w:r>
        <w:rPr>
          <w:szCs w:val="22"/>
        </w:rPr>
        <w:t>identified</w:t>
      </w:r>
      <w:r w:rsidRPr="00AA2B80">
        <w:rPr>
          <w:szCs w:val="22"/>
        </w:rPr>
        <w:t xml:space="preserve"> construction permits by multiplying the number of bidding units on which it wishes to be active by 1.5.</w:t>
      </w:r>
      <w:r>
        <w:rPr>
          <w:rStyle w:val="FootnoteReference"/>
          <w:szCs w:val="22"/>
        </w:rPr>
        <w:footnoteReference w:id="91"/>
      </w:r>
      <w:r w:rsidRPr="00AA2B80">
        <w:rPr>
          <w:szCs w:val="22"/>
        </w:rPr>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92"/>
      </w:r>
    </w:p>
    <w:p w:rsidR="00637337" w:rsidP="00C06E1B" w14:paraId="3B401BE4" w14:textId="77777777">
      <w:pPr>
        <w:pStyle w:val="Heading2"/>
      </w:pPr>
      <w:bookmarkStart w:id="698" w:name="_Toc505077423"/>
      <w:bookmarkStart w:id="699" w:name="_Toc507144305"/>
      <w:bookmarkStart w:id="700" w:name="_Toc507166604"/>
      <w:bookmarkStart w:id="701" w:name="_Toc508121627"/>
      <w:bookmarkStart w:id="702" w:name="_Toc508638841"/>
      <w:bookmarkStart w:id="703" w:name="_Toc508895715"/>
      <w:bookmarkStart w:id="704" w:name="_Toc508953827"/>
      <w:bookmarkStart w:id="705" w:name="_Toc509388473"/>
      <w:bookmarkStart w:id="706" w:name="_Toc509492114"/>
      <w:bookmarkStart w:id="707" w:name="_Toc529870342"/>
      <w:bookmarkStart w:id="708" w:name="_Toc530566520"/>
      <w:bookmarkStart w:id="709" w:name="_Toc531608862"/>
      <w:bookmarkStart w:id="710" w:name="_Toc531700854"/>
      <w:bookmarkStart w:id="711" w:name="_Toc532976635"/>
      <w:bookmarkStart w:id="712" w:name="_Toc4164756"/>
      <w:bookmarkStart w:id="713" w:name="_Toc4419559"/>
      <w:bookmarkStart w:id="714" w:name="_Toc5609535"/>
      <w:bookmarkStart w:id="715" w:name="_Toc5975791"/>
      <w:bookmarkStart w:id="716" w:name="_Toc6220315"/>
      <w:bookmarkStart w:id="717" w:name="_Toc6232648"/>
      <w:r>
        <w:t>Auction Registration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637337" w:rsidRPr="002774E9" w:rsidP="00637337" w14:paraId="257ABF70" w14:textId="77777777">
      <w:pPr>
        <w:pStyle w:val="ParaNum"/>
        <w:widowControl/>
        <w:rPr>
          <w:szCs w:val="22"/>
        </w:rPr>
      </w:pPr>
      <w:r w:rsidRPr="00AA2B80">
        <w:rPr>
          <w:szCs w:val="22"/>
        </w:rPr>
        <w:t>A</w:t>
      </w:r>
      <w:r>
        <w:rPr>
          <w:szCs w:val="22"/>
        </w:rPr>
        <w:t>t least one week</w:t>
      </w:r>
      <w:r w:rsidRPr="00AA2B80">
        <w:rPr>
          <w:szCs w:val="22"/>
        </w:rPr>
        <w:t xml:space="preserve"> before the </w:t>
      </w:r>
      <w:r>
        <w:rPr>
          <w:szCs w:val="22"/>
        </w:rPr>
        <w:t xml:space="preserve">beginning of bidding in the </w:t>
      </w:r>
      <w:r w:rsidRPr="00AA2B80">
        <w:rPr>
          <w:szCs w:val="22"/>
        </w:rPr>
        <w:t xml:space="preserve">auction, </w:t>
      </w:r>
      <w:r>
        <w:rPr>
          <w:szCs w:val="22"/>
        </w:rPr>
        <w:t xml:space="preserve">we </w:t>
      </w:r>
      <w:r w:rsidRPr="00AA2B80">
        <w:rPr>
          <w:szCs w:val="22"/>
        </w:rPr>
        <w:t xml:space="preserve">will issue a public notice announcing all </w:t>
      </w:r>
      <w:r w:rsidRPr="002774E9">
        <w:rPr>
          <w:szCs w:val="22"/>
        </w:rPr>
        <w:t xml:space="preserve">qualified bidders for the auction.  Qualified bidders are those applicants with submitted FCC Form 175 applications that are deemed </w:t>
      </w:r>
      <w:r>
        <w:rPr>
          <w:szCs w:val="22"/>
        </w:rPr>
        <w:t xml:space="preserve">timely </w:t>
      </w:r>
      <w:r w:rsidRPr="002774E9">
        <w:rPr>
          <w:szCs w:val="22"/>
        </w:rPr>
        <w:t xml:space="preserve">filed, accurate, and </w:t>
      </w:r>
      <w:r>
        <w:rPr>
          <w:szCs w:val="22"/>
        </w:rPr>
        <w:t xml:space="preserve">substantially </w:t>
      </w:r>
      <w:r w:rsidRPr="002774E9">
        <w:rPr>
          <w:szCs w:val="22"/>
        </w:rPr>
        <w:t>complete, provided that such applicants have timely submitted an upfront payment that is sufficient to qualify them to bid.</w:t>
      </w:r>
    </w:p>
    <w:p w:rsidR="00637337" w:rsidRPr="001C2E9C" w:rsidP="00637337" w14:paraId="710EFBB5" w14:textId="77777777">
      <w:pPr>
        <w:pStyle w:val="ParaNum"/>
        <w:widowControl/>
        <w:rPr>
          <w:szCs w:val="22"/>
        </w:rPr>
      </w:pPr>
      <w:r w:rsidRPr="002774E9">
        <w:rPr>
          <w:szCs w:val="22"/>
        </w:rPr>
        <w:t>All qualified bidders are automatically registered for the auction.  Registration materials will be distributed prior to the auction by overnight mail.  The mailing will be sent only to the contact person at the contact address listed in the FCC Form 175 and will include the SecurID</w:t>
      </w:r>
      <w:r w:rsidRPr="002774E9">
        <w:rPr>
          <w:szCs w:val="22"/>
          <w:vertAlign w:val="superscript"/>
        </w:rPr>
        <w:t>®</w:t>
      </w:r>
      <w:r w:rsidRPr="002774E9">
        <w:rPr>
          <w:szCs w:val="22"/>
        </w:rPr>
        <w:t xml:space="preserve"> tokens that</w:t>
      </w:r>
      <w:r w:rsidRPr="001C2E9C">
        <w:rPr>
          <w:szCs w:val="22"/>
        </w:rPr>
        <w:t xml:space="preserve"> will be required to place bids, the </w:t>
      </w:r>
      <w:r>
        <w:rPr>
          <w:szCs w:val="22"/>
        </w:rPr>
        <w:t>web address and instructions for accessing and logging in to the a</w:t>
      </w:r>
      <w:r w:rsidRPr="001C2E9C">
        <w:rPr>
          <w:szCs w:val="22"/>
        </w:rPr>
        <w:t xml:space="preserve">uction </w:t>
      </w:r>
      <w:r>
        <w:rPr>
          <w:szCs w:val="22"/>
        </w:rPr>
        <w:t>bidding s</w:t>
      </w:r>
      <w:r w:rsidRPr="001C2E9C">
        <w:rPr>
          <w:szCs w:val="22"/>
        </w:rPr>
        <w:t>ystem</w:t>
      </w:r>
      <w:r>
        <w:rPr>
          <w:szCs w:val="22"/>
        </w:rPr>
        <w:t xml:space="preserve">, an FCC assigned username (User ID) for each authorized bidder, </w:t>
      </w:r>
      <w:r w:rsidRPr="001C2E9C">
        <w:rPr>
          <w:szCs w:val="22"/>
        </w:rPr>
        <w:t>and the Auction Bidder Line phone number.</w:t>
      </w:r>
    </w:p>
    <w:p w:rsidR="00637337" w:rsidRPr="001C2E9C" w:rsidP="00637337" w14:paraId="66DB4EA8" w14:textId="7B40867A">
      <w:pPr>
        <w:pStyle w:val="ParaNum"/>
        <w:widowControl/>
        <w:rPr>
          <w:szCs w:val="22"/>
        </w:rPr>
      </w:pPr>
      <w:r w:rsidRPr="001C2E9C">
        <w:rPr>
          <w:szCs w:val="22"/>
        </w:rPr>
        <w:t xml:space="preserve">Qualified bidders that do not receive this registration mailing will not be able to submit bids.  Therefore, </w:t>
      </w:r>
      <w:r w:rsidR="00763F18">
        <w:rPr>
          <w:szCs w:val="22"/>
        </w:rPr>
        <w:t xml:space="preserve">if </w:t>
      </w:r>
      <w:r w:rsidRPr="001C2E9C" w:rsidR="00763F18">
        <w:rPr>
          <w:szCs w:val="22"/>
        </w:rPr>
        <w:t xml:space="preserve">this mailing </w:t>
      </w:r>
      <w:r w:rsidR="00763F18">
        <w:rPr>
          <w:szCs w:val="22"/>
        </w:rPr>
        <w:t xml:space="preserve">is not received </w:t>
      </w:r>
      <w:r w:rsidRPr="001C2E9C" w:rsidR="00763F18">
        <w:rPr>
          <w:szCs w:val="22"/>
        </w:rPr>
        <w:t xml:space="preserve">by noon </w:t>
      </w:r>
      <w:r w:rsidRPr="0023256E" w:rsidR="00763F18">
        <w:rPr>
          <w:szCs w:val="22"/>
        </w:rPr>
        <w:t xml:space="preserve">on </w:t>
      </w:r>
      <w:r w:rsidRPr="00F67A95" w:rsidR="00763F18">
        <w:rPr>
          <w:szCs w:val="22"/>
        </w:rPr>
        <w:t xml:space="preserve">Wednesday, </w:t>
      </w:r>
      <w:r w:rsidR="00763F18">
        <w:rPr>
          <w:szCs w:val="22"/>
        </w:rPr>
        <w:t>June 19</w:t>
      </w:r>
      <w:r w:rsidRPr="00F67A95" w:rsidR="00763F18">
        <w:rPr>
          <w:szCs w:val="22"/>
        </w:rPr>
        <w:t>, 201</w:t>
      </w:r>
      <w:r w:rsidR="00763F18">
        <w:rPr>
          <w:szCs w:val="22"/>
        </w:rPr>
        <w:t>9</w:t>
      </w:r>
      <w:r w:rsidRPr="0023256E" w:rsidR="00763F18">
        <w:rPr>
          <w:szCs w:val="22"/>
        </w:rPr>
        <w:t>, call the</w:t>
      </w:r>
      <w:r w:rsidR="00763F18">
        <w:rPr>
          <w:szCs w:val="22"/>
        </w:rPr>
        <w:t xml:space="preserve"> Auctions Hotline at </w:t>
      </w:r>
      <w:r w:rsidRPr="00D25662" w:rsidR="00763F18">
        <w:rPr>
          <w:szCs w:val="22"/>
        </w:rPr>
        <w:t>(717) 338-2868.  Receipt</w:t>
      </w:r>
      <w:r w:rsidRPr="00D25662">
        <w:rPr>
          <w:szCs w:val="22"/>
        </w:rPr>
        <w:t xml:space="preserve"> of th</w:t>
      </w:r>
      <w:r w:rsidR="00763F18">
        <w:rPr>
          <w:szCs w:val="22"/>
        </w:rPr>
        <w:t>is</w:t>
      </w:r>
      <w:r w:rsidRPr="00D25662">
        <w:rPr>
          <w:szCs w:val="22"/>
        </w:rPr>
        <w:t xml:space="preserve"> registration </w:t>
      </w:r>
      <w:r w:rsidRPr="00D25662" w:rsidR="00763F18">
        <w:rPr>
          <w:szCs w:val="22"/>
        </w:rPr>
        <w:t>mailing is critical to participating in the auction, and each applicant is responsible for ensuring it has received all of the registration material</w:t>
      </w:r>
      <w:r w:rsidR="00DF06C2">
        <w:rPr>
          <w:szCs w:val="22"/>
        </w:rPr>
        <w:t>s</w:t>
      </w:r>
      <w:r w:rsidRPr="001C2E9C">
        <w:rPr>
          <w:szCs w:val="22"/>
        </w:rPr>
        <w:t>.</w:t>
      </w:r>
    </w:p>
    <w:p w:rsidR="00C96CC6" w:rsidRPr="000E45A2" w:rsidP="00C96CC6" w14:paraId="2791A950" w14:textId="25032892">
      <w:pPr>
        <w:pStyle w:val="ParaNum"/>
        <w:widowControl/>
      </w:pPr>
      <w:r w:rsidRPr="001C2E9C">
        <w:rPr>
          <w:szCs w:val="22"/>
        </w:rPr>
        <w:t>In the event that SecurID</w:t>
      </w:r>
      <w:r w:rsidRPr="00CA6286">
        <w:rPr>
          <w:szCs w:val="22"/>
          <w:vertAlign w:val="superscript"/>
        </w:rPr>
        <w:t>®</w:t>
      </w:r>
      <w:r w:rsidRPr="001C2E9C">
        <w:rPr>
          <w:szCs w:val="22"/>
        </w:rPr>
        <w:t xml:space="preserve"> tokens are lost or damaged, only a person who has been designated as an </w:t>
      </w:r>
      <w:r w:rsidRPr="002A0DC5">
        <w:t>authorized</w:t>
      </w:r>
      <w:r w:rsidRPr="001C2E9C">
        <w:rPr>
          <w:szCs w:val="22"/>
        </w:rPr>
        <w:t xml:space="preserve"> bidder, the contact person, or the certifying official on the applicant’s short-form application may request replacements.  </w:t>
      </w:r>
      <w:r>
        <w:rPr>
          <w:szCs w:val="22"/>
        </w:rPr>
        <w:t xml:space="preserve">To request </w:t>
      </w:r>
      <w:r w:rsidRPr="001C2E9C">
        <w:rPr>
          <w:szCs w:val="22"/>
        </w:rPr>
        <w:t>replacement of these items</w:t>
      </w:r>
      <w:r>
        <w:rPr>
          <w:szCs w:val="22"/>
        </w:rPr>
        <w:t xml:space="preserve">, </w:t>
      </w:r>
      <w:r w:rsidRPr="001C2E9C">
        <w:rPr>
          <w:szCs w:val="22"/>
        </w:rPr>
        <w:t xml:space="preserve">call </w:t>
      </w:r>
      <w:r>
        <w:rPr>
          <w:szCs w:val="22"/>
        </w:rPr>
        <w:t xml:space="preserve">the Auction </w:t>
      </w:r>
      <w:r>
        <w:rPr>
          <w:szCs w:val="22"/>
        </w:rPr>
        <w:t>Bidder Line at the telephone number provided in the registration materials or the Auctions Hotline at (717) 338-2868</w:t>
      </w:r>
      <w:r w:rsidRPr="001C2E9C">
        <w:rPr>
          <w:szCs w:val="22"/>
        </w:rPr>
        <w: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C96CC6" w:rsidP="00C06E1B" w14:paraId="264527F9" w14:textId="77777777">
      <w:pPr>
        <w:pStyle w:val="Heading2"/>
      </w:pPr>
      <w:bookmarkStart w:id="718" w:name="_Toc505077424"/>
      <w:bookmarkStart w:id="719" w:name="_Toc507144306"/>
      <w:bookmarkStart w:id="720" w:name="_Toc507166605"/>
      <w:bookmarkStart w:id="721" w:name="_Toc508121628"/>
      <w:bookmarkStart w:id="722" w:name="_Toc508638842"/>
      <w:bookmarkStart w:id="723" w:name="_Toc508895716"/>
      <w:bookmarkStart w:id="724" w:name="_Toc508953828"/>
      <w:bookmarkStart w:id="725" w:name="_Toc509388474"/>
      <w:bookmarkStart w:id="726" w:name="_Toc509492115"/>
      <w:bookmarkStart w:id="727" w:name="_Toc529870343"/>
      <w:bookmarkStart w:id="728" w:name="_Toc530566521"/>
      <w:bookmarkStart w:id="729" w:name="_Toc531608863"/>
      <w:bookmarkStart w:id="730" w:name="_Toc531700855"/>
      <w:bookmarkStart w:id="731" w:name="_Toc532976636"/>
      <w:bookmarkStart w:id="732" w:name="_Toc536103113"/>
      <w:bookmarkStart w:id="733" w:name="_Toc944554"/>
      <w:bookmarkStart w:id="734" w:name="_Toc4164757"/>
      <w:bookmarkStart w:id="735" w:name="_Toc4419560"/>
      <w:bookmarkStart w:id="736" w:name="_Toc5609536"/>
      <w:bookmarkStart w:id="737" w:name="_Toc5975792"/>
      <w:bookmarkStart w:id="738" w:name="_Toc6220316"/>
      <w:bookmarkStart w:id="739" w:name="_Toc6232649"/>
      <w:r>
        <w:t>Remote Electronic Bidding</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637337" w:rsidRPr="001C2E9C" w:rsidP="00637337" w14:paraId="15F1A2EB" w14:textId="77777777">
      <w:pPr>
        <w:pStyle w:val="ParaNum"/>
        <w:widowControl/>
        <w:rPr>
          <w:szCs w:val="22"/>
        </w:rPr>
      </w:pPr>
      <w:r w:rsidRPr="001C2E9C">
        <w:rPr>
          <w:szCs w:val="22"/>
        </w:rPr>
        <w:t xml:space="preserve">The Commission will conduct this auction over the Internet, and telephonic bidding will be available as well.  Only qualified bidders </w:t>
      </w:r>
      <w:r>
        <w:rPr>
          <w:szCs w:val="22"/>
        </w:rPr>
        <w:t>will be</w:t>
      </w:r>
      <w:r w:rsidRPr="001C2E9C">
        <w:rPr>
          <w:szCs w:val="22"/>
        </w:rPr>
        <w:t xml:space="preserve"> permitted to bid.  Each applicant indicate</w:t>
      </w:r>
      <w:r>
        <w:rPr>
          <w:szCs w:val="22"/>
        </w:rPr>
        <w:t>s</w:t>
      </w:r>
      <w:r w:rsidRPr="001C2E9C">
        <w:rPr>
          <w:szCs w:val="22"/>
        </w:rPr>
        <w:t xml:space="preserve"> its bidding preference</w:t>
      </w:r>
      <w:r>
        <w:rPr>
          <w:szCs w:val="22"/>
        </w:rPr>
        <w:t xml:space="preserve"> — </w:t>
      </w:r>
      <w:r w:rsidRPr="001C2E9C">
        <w:rPr>
          <w:szCs w:val="22"/>
        </w:rPr>
        <w:t>electronic or telephonic</w:t>
      </w:r>
      <w:r>
        <w:rPr>
          <w:szCs w:val="22"/>
        </w:rPr>
        <w:t xml:space="preserve"> —</w:t>
      </w:r>
      <w:r w:rsidRPr="001C2E9C">
        <w:rPr>
          <w:szCs w:val="22"/>
        </w:rPr>
        <w:t xml:space="preserve"> on </w:t>
      </w:r>
      <w:r>
        <w:rPr>
          <w:szCs w:val="22"/>
        </w:rPr>
        <w:t>its</w:t>
      </w:r>
      <w:r w:rsidRPr="001C2E9C">
        <w:rPr>
          <w:szCs w:val="22"/>
        </w:rPr>
        <w:t xml:space="preserve"> </w:t>
      </w:r>
      <w:r>
        <w:rPr>
          <w:szCs w:val="22"/>
        </w:rPr>
        <w:t>FCC Form 175</w:t>
      </w:r>
      <w:r w:rsidRPr="001C2E9C">
        <w:rPr>
          <w:szCs w:val="22"/>
        </w:rPr>
        <w:t>.  In either case, each authorized bidder must have its own SecurID</w:t>
      </w:r>
      <w:r w:rsidRPr="00CA6286">
        <w:rPr>
          <w:szCs w:val="22"/>
          <w:vertAlign w:val="superscript"/>
        </w:rPr>
        <w:t>®</w:t>
      </w:r>
      <w:r w:rsidRPr="001C2E9C">
        <w:rPr>
          <w:szCs w:val="22"/>
        </w:rPr>
        <w:t xml:space="preserve"> token, which the </w:t>
      </w:r>
      <w:r>
        <w:rPr>
          <w:szCs w:val="22"/>
        </w:rPr>
        <w:t>Commission</w:t>
      </w:r>
      <w:r w:rsidRPr="001C2E9C">
        <w:rPr>
          <w:szCs w:val="22"/>
        </w:rPr>
        <w:t xml:space="preserve"> will provide at no charge.  Each applicant with one authorized bidder will be issued two SecurID</w:t>
      </w:r>
      <w:r w:rsidRPr="00CA6286">
        <w:rPr>
          <w:szCs w:val="22"/>
          <w:vertAlign w:val="superscript"/>
        </w:rPr>
        <w:t>®</w:t>
      </w:r>
      <w:r w:rsidRPr="001C2E9C">
        <w:rPr>
          <w:szCs w:val="22"/>
        </w:rPr>
        <w:t xml:space="preserve"> tokens, while applicants with two or three authorized bidders will be issued three tokens.  </w:t>
      </w:r>
      <w:r w:rsidRPr="001C2E9C">
        <w:rPr>
          <w:b/>
          <w:szCs w:val="22"/>
        </w:rPr>
        <w:t>For security purposes, the SecurID</w:t>
      </w:r>
      <w:r w:rsidRPr="00CA6286">
        <w:rPr>
          <w:szCs w:val="22"/>
          <w:vertAlign w:val="superscript"/>
        </w:rPr>
        <w:t>®</w:t>
      </w:r>
      <w:r w:rsidRPr="001C2E9C">
        <w:rPr>
          <w:b/>
          <w:szCs w:val="22"/>
        </w:rPr>
        <w:t xml:space="preserve"> tokens, </w:t>
      </w:r>
      <w:r>
        <w:rPr>
          <w:b/>
          <w:szCs w:val="22"/>
        </w:rPr>
        <w:t xml:space="preserve">bidding system web address, FCC assigned username, and </w:t>
      </w:r>
      <w:r w:rsidRPr="001C2E9C">
        <w:rPr>
          <w:b/>
          <w:szCs w:val="22"/>
        </w:rPr>
        <w:t>the telephonic bidding telephone number</w:t>
      </w:r>
      <w:r>
        <w:rPr>
          <w:b/>
          <w:szCs w:val="22"/>
        </w:rPr>
        <w:t xml:space="preserve"> </w:t>
      </w:r>
      <w:r w:rsidRPr="001C2E9C">
        <w:rPr>
          <w:b/>
          <w:szCs w:val="22"/>
        </w:rPr>
        <w:t xml:space="preserve">are only mailed to the contact person at the contact address listed on the </w:t>
      </w:r>
      <w:r>
        <w:rPr>
          <w:b/>
          <w:szCs w:val="22"/>
        </w:rPr>
        <w:t>FCC Form 175</w:t>
      </w:r>
      <w:r w:rsidRPr="001C2E9C">
        <w:rPr>
          <w:b/>
          <w:szCs w:val="22"/>
        </w:rPr>
        <w:t>.</w:t>
      </w:r>
      <w:r>
        <w:rPr>
          <w:szCs w:val="22"/>
        </w:rPr>
        <w:t xml:space="preserve">  Each</w:t>
      </w:r>
      <w:r w:rsidRPr="001C2E9C">
        <w:rPr>
          <w:szCs w:val="22"/>
        </w:rPr>
        <w:t xml:space="preserve"> SecurID</w:t>
      </w:r>
      <w:r w:rsidRPr="00CA6286">
        <w:rPr>
          <w:szCs w:val="22"/>
          <w:vertAlign w:val="superscript"/>
        </w:rPr>
        <w:t>®</w:t>
      </w:r>
      <w:r w:rsidRPr="001C2E9C">
        <w:rPr>
          <w:szCs w:val="22"/>
        </w:rPr>
        <w:t xml:space="preserve"> token is</w:t>
      </w:r>
      <w:r>
        <w:rPr>
          <w:szCs w:val="22"/>
        </w:rPr>
        <w:t xml:space="preserve"> tailored to a specific auction.  </w:t>
      </w:r>
      <w:r w:rsidRPr="001C2E9C">
        <w:rPr>
          <w:szCs w:val="22"/>
        </w:rPr>
        <w:t>SecurID</w:t>
      </w:r>
      <w:r w:rsidRPr="00CA6286">
        <w:rPr>
          <w:szCs w:val="22"/>
          <w:vertAlign w:val="superscript"/>
        </w:rPr>
        <w:t>®</w:t>
      </w:r>
      <w:r w:rsidRPr="001C2E9C">
        <w:rPr>
          <w:szCs w:val="22"/>
        </w:rPr>
        <w:t xml:space="preserve"> tokens issued for other auctions or obtained from a source other than the FCC will not work for Auction </w:t>
      </w:r>
      <w:r>
        <w:rPr>
          <w:szCs w:val="22"/>
        </w:rPr>
        <w:t>100</w:t>
      </w:r>
      <w:r w:rsidRPr="001C2E9C">
        <w:rPr>
          <w:szCs w:val="22"/>
        </w:rPr>
        <w:t xml:space="preserve">.  </w:t>
      </w:r>
    </w:p>
    <w:p w:rsidR="00637337" w:rsidRPr="00DF7948" w:rsidP="00637337" w14:paraId="7203C1C6" w14:textId="77777777">
      <w:pPr>
        <w:pStyle w:val="ParaNum"/>
        <w:widowControl/>
        <w:rPr>
          <w:szCs w:val="22"/>
        </w:rPr>
      </w:pPr>
      <w:r w:rsidRPr="002A0DC5">
        <w:t>Please</w:t>
      </w:r>
      <w:r w:rsidRPr="00DF7948">
        <w:rPr>
          <w:szCs w:val="22"/>
        </w:rPr>
        <w:t xml:space="preserve"> note that the SecurID</w:t>
      </w:r>
      <w:r w:rsidRPr="00DF7948">
        <w:rPr>
          <w:szCs w:val="22"/>
          <w:vertAlign w:val="superscript"/>
        </w:rPr>
        <w:t>®</w:t>
      </w:r>
      <w:r w:rsidRPr="00DF7948">
        <w:rPr>
          <w:szCs w:val="22"/>
        </w:rPr>
        <w:t xml:space="preserve"> tokens can be recycled, and </w:t>
      </w:r>
      <w:r>
        <w:rPr>
          <w:szCs w:val="22"/>
        </w:rPr>
        <w:t>we</w:t>
      </w:r>
      <w:r w:rsidRPr="00DF7948">
        <w:rPr>
          <w:szCs w:val="22"/>
        </w:rPr>
        <w:t xml:space="preserve"> encourage bidders to return the tokens to the FCC.  Pre-addressed envelopes will be provided to return the tokens once bidding has closed.</w:t>
      </w:r>
    </w:p>
    <w:p w:rsidR="00637337" w:rsidP="00C06E1B" w14:paraId="152DAFCF" w14:textId="1217755F">
      <w:pPr>
        <w:pStyle w:val="Heading2"/>
      </w:pPr>
      <w:bookmarkStart w:id="740" w:name="_Toc532976637"/>
      <w:bookmarkStart w:id="741" w:name="_Toc4164758"/>
      <w:bookmarkStart w:id="742" w:name="_Toc4419561"/>
      <w:bookmarkStart w:id="743" w:name="_Toc5609537"/>
      <w:bookmarkStart w:id="744" w:name="_Toc505077425"/>
      <w:bookmarkStart w:id="745" w:name="_Toc507144307"/>
      <w:bookmarkStart w:id="746" w:name="_Toc507166606"/>
      <w:bookmarkStart w:id="747" w:name="_Toc508121629"/>
      <w:bookmarkStart w:id="748" w:name="_Toc508638843"/>
      <w:bookmarkStart w:id="749" w:name="_Toc508895717"/>
      <w:bookmarkStart w:id="750" w:name="_Toc508953829"/>
      <w:bookmarkStart w:id="751" w:name="_Toc509388475"/>
      <w:bookmarkStart w:id="752" w:name="_Toc509492116"/>
      <w:bookmarkStart w:id="753" w:name="_Toc529870344"/>
      <w:bookmarkStart w:id="754" w:name="_Toc530566522"/>
      <w:bookmarkStart w:id="755" w:name="_Toc531608864"/>
      <w:bookmarkStart w:id="756" w:name="_Toc531700856"/>
      <w:bookmarkStart w:id="757" w:name="_Toc5975793"/>
      <w:bookmarkStart w:id="758" w:name="_Toc6220317"/>
      <w:bookmarkStart w:id="759" w:name="_Toc6232650"/>
      <w:r>
        <w:t>Mock Auction</w:t>
      </w:r>
      <w:bookmarkEnd w:id="740"/>
      <w:bookmarkEnd w:id="741"/>
      <w:bookmarkEnd w:id="742"/>
      <w:bookmarkEnd w:id="743"/>
      <w:r>
        <w:t xml:space="preserve"> </w:t>
      </w:r>
      <w:bookmarkEnd w:id="744"/>
      <w:bookmarkEnd w:id="745"/>
      <w:bookmarkEnd w:id="746"/>
      <w:bookmarkEnd w:id="747"/>
      <w:bookmarkEnd w:id="748"/>
      <w:bookmarkEnd w:id="749"/>
      <w:bookmarkEnd w:id="750"/>
      <w:bookmarkEnd w:id="751"/>
      <w:bookmarkEnd w:id="752"/>
      <w:bookmarkEnd w:id="753"/>
      <w:bookmarkEnd w:id="754"/>
      <w:bookmarkEnd w:id="755"/>
      <w:bookmarkEnd w:id="756"/>
      <w:r w:rsidR="00763F18">
        <w:t>– June 21, 2019</w:t>
      </w:r>
      <w:bookmarkEnd w:id="757"/>
      <w:bookmarkEnd w:id="758"/>
      <w:bookmarkEnd w:id="759"/>
    </w:p>
    <w:p w:rsidR="00F85E5F" w:rsidP="00220473" w14:paraId="6D92E914" w14:textId="57B5221E">
      <w:pPr>
        <w:pStyle w:val="ParaNum"/>
        <w:widowControl/>
      </w:pPr>
      <w:r w:rsidRPr="001C2E9C">
        <w:rPr>
          <w:szCs w:val="22"/>
        </w:rPr>
        <w:t xml:space="preserve">All qualified bidders will be eligible to participate in a mock </w:t>
      </w:r>
      <w:r w:rsidRPr="00D25662">
        <w:rPr>
          <w:szCs w:val="22"/>
        </w:rPr>
        <w:t xml:space="preserve">auction </w:t>
      </w:r>
      <w:r w:rsidR="00763F18">
        <w:rPr>
          <w:szCs w:val="22"/>
        </w:rPr>
        <w:t>on Friday, June 21, 2019</w:t>
      </w:r>
      <w:r w:rsidRPr="00D25662">
        <w:rPr>
          <w:szCs w:val="22"/>
        </w:rPr>
        <w:t xml:space="preserve">.  </w:t>
      </w:r>
      <w:r w:rsidRPr="00DF7948">
        <w:rPr>
          <w:szCs w:val="22"/>
        </w:rPr>
        <w:t xml:space="preserve">The </w:t>
      </w:r>
      <w:r w:rsidRPr="002A0DC5">
        <w:t>mock</w:t>
      </w:r>
      <w:r w:rsidRPr="00DF7948">
        <w:rPr>
          <w:szCs w:val="22"/>
        </w:rPr>
        <w:t xml:space="preserve"> auction will enable </w:t>
      </w:r>
      <w:r>
        <w:rPr>
          <w:szCs w:val="22"/>
        </w:rPr>
        <w:t xml:space="preserve">qualified </w:t>
      </w:r>
      <w:r w:rsidRPr="00DF7948">
        <w:rPr>
          <w:szCs w:val="22"/>
        </w:rPr>
        <w:t xml:space="preserve">bidders to become familiar with the FCC </w:t>
      </w:r>
      <w:r>
        <w:rPr>
          <w:szCs w:val="22"/>
        </w:rPr>
        <w:t>a</w:t>
      </w:r>
      <w:r w:rsidRPr="00DF7948">
        <w:rPr>
          <w:szCs w:val="22"/>
        </w:rPr>
        <w:t xml:space="preserve">uction </w:t>
      </w:r>
      <w:r>
        <w:rPr>
          <w:szCs w:val="22"/>
        </w:rPr>
        <w:t>bidding s</w:t>
      </w:r>
      <w:r w:rsidRPr="00DF7948">
        <w:rPr>
          <w:szCs w:val="22"/>
        </w:rPr>
        <w:t xml:space="preserve">ystem </w:t>
      </w:r>
      <w:r>
        <w:rPr>
          <w:szCs w:val="22"/>
        </w:rPr>
        <w:t xml:space="preserve">and to practice submitting bids </w:t>
      </w:r>
      <w:r w:rsidRPr="00DF7948">
        <w:rPr>
          <w:szCs w:val="22"/>
        </w:rPr>
        <w:t xml:space="preserve">prior to the auction.  </w:t>
      </w:r>
      <w:r>
        <w:rPr>
          <w:szCs w:val="22"/>
        </w:rPr>
        <w:t>We</w:t>
      </w:r>
      <w:r w:rsidRPr="00DF7948">
        <w:rPr>
          <w:szCs w:val="22"/>
        </w:rPr>
        <w:t xml:space="preserve"> strongly recommend that all </w:t>
      </w:r>
      <w:r>
        <w:rPr>
          <w:szCs w:val="22"/>
        </w:rPr>
        <w:t xml:space="preserve">qualified </w:t>
      </w:r>
      <w:r w:rsidRPr="00DF7948">
        <w:rPr>
          <w:szCs w:val="22"/>
        </w:rPr>
        <w:t>bidders</w:t>
      </w:r>
      <w:r>
        <w:rPr>
          <w:szCs w:val="22"/>
        </w:rPr>
        <w:t>, including all their authorized bidders,</w:t>
      </w:r>
      <w:r w:rsidRPr="00DF7948">
        <w:rPr>
          <w:szCs w:val="22"/>
        </w:rPr>
        <w:t xml:space="preserve"> participate in the mock auction.</w:t>
      </w:r>
      <w:r>
        <w:rPr>
          <w:szCs w:val="22"/>
        </w:rPr>
        <w:t xml:space="preserve">  </w:t>
      </w:r>
      <w:r w:rsidRPr="001C2E9C">
        <w:rPr>
          <w:szCs w:val="22"/>
        </w:rPr>
        <w:t>Details will be announced by public notice.</w:t>
      </w:r>
      <w:bookmarkStart w:id="760" w:name="_Toc505077426"/>
      <w:bookmarkStart w:id="761" w:name="_Toc507144308"/>
      <w:bookmarkStart w:id="762" w:name="_Toc507166607"/>
      <w:bookmarkStart w:id="763" w:name="_Toc508121630"/>
      <w:bookmarkStart w:id="764" w:name="_Toc508638844"/>
      <w:bookmarkStart w:id="765" w:name="_Toc508895718"/>
      <w:bookmarkStart w:id="766" w:name="_Toc508953830"/>
      <w:bookmarkStart w:id="767" w:name="_Toc509388476"/>
      <w:bookmarkStart w:id="768" w:name="_Toc509492117"/>
      <w:bookmarkStart w:id="769" w:name="_Toc529870345"/>
      <w:bookmarkStart w:id="770" w:name="_Toc530566523"/>
      <w:bookmarkStart w:id="771" w:name="_Toc531608865"/>
      <w:bookmarkStart w:id="772" w:name="_Toc531700857"/>
      <w:bookmarkStart w:id="773" w:name="_Toc532976638"/>
      <w:bookmarkStart w:id="774" w:name="_Toc536103115"/>
    </w:p>
    <w:p w:rsidR="00C96CC6" w:rsidP="008104F7" w14:paraId="26EFEAB5" w14:textId="3345CB89">
      <w:pPr>
        <w:pStyle w:val="Heading1"/>
      </w:pPr>
      <w:bookmarkStart w:id="775" w:name="_Toc6220318"/>
      <w:bookmarkStart w:id="776" w:name="_Toc6232651"/>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t>Bidding</w:t>
      </w:r>
      <w:bookmarkEnd w:id="775"/>
      <w:bookmarkEnd w:id="776"/>
      <w:r>
        <w:t xml:space="preserve"> </w:t>
      </w:r>
    </w:p>
    <w:p w:rsidR="00C96CC6" w:rsidP="00C06E1B" w14:paraId="2D5003F5" w14:textId="77777777">
      <w:pPr>
        <w:pStyle w:val="Heading2"/>
      </w:pPr>
      <w:bookmarkStart w:id="777" w:name="_Toc505077427"/>
      <w:bookmarkStart w:id="778" w:name="_Toc507144309"/>
      <w:bookmarkStart w:id="779" w:name="_Toc507166608"/>
      <w:bookmarkStart w:id="780" w:name="_Toc508121631"/>
      <w:bookmarkStart w:id="781" w:name="_Toc508638845"/>
      <w:bookmarkStart w:id="782" w:name="_Toc508895719"/>
      <w:bookmarkStart w:id="783" w:name="_Toc508953831"/>
      <w:bookmarkStart w:id="784" w:name="_Toc509388477"/>
      <w:bookmarkStart w:id="785" w:name="_Toc509492118"/>
      <w:bookmarkStart w:id="786" w:name="_Toc529870346"/>
      <w:bookmarkStart w:id="787" w:name="_Toc530566524"/>
      <w:bookmarkStart w:id="788" w:name="_Toc531608866"/>
      <w:bookmarkStart w:id="789" w:name="_Toc531700858"/>
      <w:bookmarkStart w:id="790" w:name="_Toc532976639"/>
      <w:bookmarkStart w:id="791" w:name="_Toc536103116"/>
      <w:bookmarkStart w:id="792" w:name="_Toc944556"/>
      <w:bookmarkStart w:id="793" w:name="_Toc4164760"/>
      <w:bookmarkStart w:id="794" w:name="_Toc4419563"/>
      <w:bookmarkStart w:id="795" w:name="_Toc5609539"/>
      <w:bookmarkStart w:id="796" w:name="_Toc5975795"/>
      <w:bookmarkStart w:id="797" w:name="_Toc6220319"/>
      <w:bookmarkStart w:id="798" w:name="_Toc6232652"/>
      <w:r>
        <w:t>Auction Structure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C96CC6" w:rsidRPr="00AB4AC3" w:rsidP="00C96CC6" w14:paraId="71B48CF1" w14:textId="77777777">
      <w:pPr>
        <w:pStyle w:val="Heading3"/>
      </w:pPr>
      <w:bookmarkStart w:id="799" w:name="_Toc505077428"/>
      <w:bookmarkStart w:id="800" w:name="_Toc507144310"/>
      <w:bookmarkStart w:id="801" w:name="_Toc507166609"/>
      <w:bookmarkStart w:id="802" w:name="_Toc508121632"/>
      <w:bookmarkStart w:id="803" w:name="_Toc508638846"/>
      <w:bookmarkStart w:id="804" w:name="_Toc508895720"/>
      <w:bookmarkStart w:id="805" w:name="_Toc508953832"/>
      <w:bookmarkStart w:id="806" w:name="_Toc509388478"/>
      <w:bookmarkStart w:id="807" w:name="_Toc509492119"/>
      <w:bookmarkStart w:id="808" w:name="_Toc529870347"/>
      <w:bookmarkStart w:id="809" w:name="_Toc530566525"/>
      <w:bookmarkStart w:id="810" w:name="_Toc531608867"/>
      <w:bookmarkStart w:id="811" w:name="_Toc531700859"/>
      <w:bookmarkStart w:id="812" w:name="_Toc532976640"/>
      <w:bookmarkStart w:id="813" w:name="_Toc536103117"/>
      <w:bookmarkStart w:id="814" w:name="_Toc944557"/>
      <w:bookmarkStart w:id="815" w:name="_Toc4164761"/>
      <w:bookmarkStart w:id="816" w:name="_Toc4419564"/>
      <w:bookmarkStart w:id="817" w:name="_Toc5609540"/>
      <w:bookmarkStart w:id="818" w:name="_Toc5975796"/>
      <w:bookmarkStart w:id="819" w:name="_Toc6220320"/>
      <w:bookmarkStart w:id="820" w:name="_Toc6232653"/>
      <w:r>
        <w:t>Simultaneous Multiple-Round Auction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C96CC6" w:rsidRPr="00C83CA0" w:rsidP="00C96CC6" w14:paraId="368FE992" w14:textId="580CE2A0">
      <w:pPr>
        <w:pStyle w:val="ParaNum"/>
        <w:widowControl/>
      </w:pPr>
      <w:r w:rsidRPr="001C2E9C">
        <w:rPr>
          <w:szCs w:val="22"/>
        </w:rPr>
        <w:t xml:space="preserve">In the </w:t>
      </w:r>
      <w:r w:rsidRPr="001C2E9C">
        <w:rPr>
          <w:i/>
          <w:szCs w:val="22"/>
        </w:rPr>
        <w:t xml:space="preserve">Auction </w:t>
      </w:r>
      <w:r>
        <w:rPr>
          <w:i/>
          <w:szCs w:val="22"/>
        </w:rPr>
        <w:t>100</w:t>
      </w:r>
      <w:r w:rsidRPr="001C2E9C">
        <w:rPr>
          <w:i/>
          <w:szCs w:val="22"/>
        </w:rPr>
        <w:t xml:space="preserve"> Comment Public Notice</w:t>
      </w:r>
      <w:r w:rsidRPr="001C2E9C">
        <w:rPr>
          <w:szCs w:val="22"/>
        </w:rPr>
        <w:t>, the Bureau</w:t>
      </w:r>
      <w:r>
        <w:rPr>
          <w:szCs w:val="22"/>
        </w:rPr>
        <w:t>s</w:t>
      </w:r>
      <w:r w:rsidRPr="001C2E9C">
        <w:rPr>
          <w:szCs w:val="22"/>
        </w:rPr>
        <w:t xml:space="preserve"> proposed to auction </w:t>
      </w:r>
      <w:r>
        <w:rPr>
          <w:szCs w:val="22"/>
        </w:rPr>
        <w:t>all construction permits listed in Attachment A of this Public Notice</w:t>
      </w:r>
      <w:r w:rsidRPr="001C2E9C">
        <w:rPr>
          <w:szCs w:val="22"/>
        </w:rPr>
        <w:t xml:space="preserve"> in a single auction using the Commission’s standar</w:t>
      </w:r>
      <w:r>
        <w:rPr>
          <w:szCs w:val="22"/>
        </w:rPr>
        <w:t>d simultaneous multiple-round</w:t>
      </w:r>
      <w:r w:rsidRPr="001C2E9C">
        <w:rPr>
          <w:szCs w:val="22"/>
        </w:rPr>
        <w:t xml:space="preserve"> auction format.</w:t>
      </w:r>
      <w:r>
        <w:rPr>
          <w:rStyle w:val="FootnoteReference"/>
          <w:szCs w:val="22"/>
        </w:rPr>
        <w:footnoteReference w:id="93"/>
      </w:r>
      <w:r w:rsidRPr="001C2E9C">
        <w:rPr>
          <w:szCs w:val="22"/>
        </w:rPr>
        <w:t xml:space="preserve">  This type of auction offers every </w:t>
      </w:r>
      <w:r>
        <w:rPr>
          <w:szCs w:val="22"/>
        </w:rPr>
        <w:t>construction permit</w:t>
      </w:r>
      <w:r w:rsidRPr="001C2E9C">
        <w:rPr>
          <w:szCs w:val="22"/>
        </w:rPr>
        <w:t xml:space="preserve"> for bid at the same time and consists of successive bidding rounds in which </w:t>
      </w:r>
      <w:r>
        <w:rPr>
          <w:szCs w:val="22"/>
        </w:rPr>
        <w:t xml:space="preserve">qualified </w:t>
      </w:r>
      <w:r w:rsidRPr="001C2E9C">
        <w:rPr>
          <w:szCs w:val="22"/>
        </w:rPr>
        <w:t xml:space="preserve">bidders may place bids on individual </w:t>
      </w:r>
      <w:r>
        <w:rPr>
          <w:szCs w:val="22"/>
        </w:rPr>
        <w:t>construction permits</w:t>
      </w:r>
      <w:r w:rsidRPr="001C2E9C">
        <w:rPr>
          <w:szCs w:val="22"/>
        </w:rPr>
        <w:t xml:space="preserve">. </w:t>
      </w:r>
      <w:r>
        <w:rPr>
          <w:szCs w:val="22"/>
        </w:rPr>
        <w:t xml:space="preserve"> </w:t>
      </w:r>
      <w:r w:rsidR="00A70DF4">
        <w:rPr>
          <w:szCs w:val="22"/>
        </w:rPr>
        <w:t>We</w:t>
      </w:r>
      <w:r>
        <w:rPr>
          <w:szCs w:val="22"/>
        </w:rPr>
        <w:t xml:space="preserve"> received no comment on this proposal, and this proposal is adopted.  </w:t>
      </w:r>
      <w:r w:rsidRPr="00AA2B80">
        <w:t>Unless otherwise announced, bids will be accepted on all construction permits in each round of the auction until bidding stops on every construction</w:t>
      </w:r>
      <w:r w:rsidRPr="006B5883">
        <w:t xml:space="preserve"> permit</w:t>
      </w:r>
      <w:r w:rsidRPr="001C2E9C">
        <w:t>.</w:t>
      </w:r>
    </w:p>
    <w:p w:rsidR="00C96CC6" w:rsidP="00C96CC6" w14:paraId="4A004ECB" w14:textId="77777777">
      <w:pPr>
        <w:pStyle w:val="Heading3"/>
      </w:pPr>
      <w:bookmarkStart w:id="821" w:name="_Toc505077429"/>
      <w:bookmarkStart w:id="822" w:name="_Toc507144311"/>
      <w:bookmarkStart w:id="823" w:name="_Toc507166610"/>
      <w:bookmarkStart w:id="824" w:name="_Toc508121633"/>
      <w:bookmarkStart w:id="825" w:name="_Toc508638847"/>
      <w:bookmarkStart w:id="826" w:name="_Toc508895721"/>
      <w:bookmarkStart w:id="827" w:name="_Toc508953833"/>
      <w:bookmarkStart w:id="828" w:name="_Toc509388479"/>
      <w:bookmarkStart w:id="829" w:name="_Toc509492120"/>
      <w:bookmarkStart w:id="830" w:name="_Toc529870348"/>
      <w:bookmarkStart w:id="831" w:name="_Toc530566526"/>
      <w:bookmarkStart w:id="832" w:name="_Toc531608868"/>
      <w:bookmarkStart w:id="833" w:name="_Toc531700860"/>
      <w:bookmarkStart w:id="834" w:name="_Toc532976641"/>
      <w:bookmarkStart w:id="835" w:name="_Toc536103118"/>
      <w:bookmarkStart w:id="836" w:name="_Toc944558"/>
      <w:bookmarkStart w:id="837" w:name="_Toc4164762"/>
      <w:bookmarkStart w:id="838" w:name="_Toc4419565"/>
      <w:bookmarkStart w:id="839" w:name="_Toc5609541"/>
      <w:bookmarkStart w:id="840" w:name="_Toc5975797"/>
      <w:bookmarkStart w:id="841" w:name="_Toc6220321"/>
      <w:bookmarkStart w:id="842" w:name="_Toc6232654"/>
      <w:r>
        <w:t>Eligibility and Activity Rules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C96CC6" w:rsidRPr="001C2E9C" w:rsidP="00C96CC6" w14:paraId="08DBA9E6" w14:textId="381ACBA2">
      <w:pPr>
        <w:pStyle w:val="ParaNum"/>
        <w:widowControl/>
        <w:rPr>
          <w:szCs w:val="22"/>
        </w:rPr>
      </w:pPr>
      <w:r w:rsidRPr="002A0DC5">
        <w:t>As</w:t>
      </w:r>
      <w:r w:rsidRPr="001C2E9C">
        <w:rPr>
          <w:szCs w:val="22"/>
        </w:rPr>
        <w:t xml:space="preserve"> discussed above, </w:t>
      </w:r>
      <w:r w:rsidR="00305B88">
        <w:rPr>
          <w:szCs w:val="22"/>
        </w:rPr>
        <w:t>MB and OEA</w:t>
      </w:r>
      <w:r w:rsidRPr="001C2E9C">
        <w:rPr>
          <w:szCs w:val="22"/>
        </w:rPr>
        <w:t xml:space="preserve"> will use upfront payments to determine initial (maximum) </w:t>
      </w:r>
      <w:r>
        <w:rPr>
          <w:szCs w:val="22"/>
        </w:rPr>
        <w:t xml:space="preserve">bidding </w:t>
      </w:r>
      <w:r w:rsidRPr="001C2E9C">
        <w:rPr>
          <w:szCs w:val="22"/>
        </w:rPr>
        <w:t xml:space="preserve">eligibility (as measured in bidding units) for Auction </w:t>
      </w:r>
      <w:r>
        <w:rPr>
          <w:szCs w:val="22"/>
        </w:rPr>
        <w:t>100</w:t>
      </w:r>
      <w:r w:rsidRPr="001C2E9C">
        <w:rPr>
          <w:szCs w:val="22"/>
        </w:rPr>
        <w:t>.</w:t>
      </w:r>
      <w:r>
        <w:rPr>
          <w:rStyle w:val="FootnoteReference"/>
          <w:szCs w:val="22"/>
        </w:rPr>
        <w:footnoteReference w:id="94"/>
      </w:r>
      <w:r w:rsidRPr="001C2E9C">
        <w:rPr>
          <w:szCs w:val="22"/>
        </w:rPr>
        <w:t xml:space="preserve">  The amount of the upfront payment submitted by a bidder determines initial bidding eligibility, the maximum number of bidding units on </w:t>
      </w:r>
      <w:r w:rsidRPr="00DF7948">
        <w:rPr>
          <w:szCs w:val="22"/>
        </w:rPr>
        <w:t>which a bidder may be active.  As noted earlier, each construction permit is assigned a specific number of bidding units as listed in Attachment</w:t>
      </w:r>
      <w:r w:rsidRPr="001C2E9C">
        <w:rPr>
          <w:szCs w:val="22"/>
        </w:rPr>
        <w:t xml:space="preserve"> A.  Bidding units </w:t>
      </w:r>
      <w:r>
        <w:rPr>
          <w:szCs w:val="22"/>
        </w:rPr>
        <w:t>assigned to each construction permit</w:t>
      </w:r>
      <w:r w:rsidRPr="001C2E9C">
        <w:rPr>
          <w:szCs w:val="22"/>
        </w:rPr>
        <w:t xml:space="preserve"> do not change as prices rise during the auction.  </w:t>
      </w:r>
      <w:r>
        <w:rPr>
          <w:szCs w:val="22"/>
        </w:rPr>
        <w:t>U</w:t>
      </w:r>
      <w:r w:rsidRPr="001C2E9C">
        <w:rPr>
          <w:szCs w:val="22"/>
        </w:rPr>
        <w:t>pfront payment</w:t>
      </w:r>
      <w:r>
        <w:rPr>
          <w:szCs w:val="22"/>
        </w:rPr>
        <w:t>s</w:t>
      </w:r>
      <w:r w:rsidRPr="001C2E9C">
        <w:rPr>
          <w:szCs w:val="22"/>
        </w:rPr>
        <w:t xml:space="preserve"> </w:t>
      </w:r>
      <w:r>
        <w:rPr>
          <w:szCs w:val="22"/>
        </w:rPr>
        <w:t>are</w:t>
      </w:r>
      <w:r w:rsidRPr="001C2E9C">
        <w:rPr>
          <w:szCs w:val="22"/>
        </w:rPr>
        <w:t xml:space="preserve"> not attributed to specific </w:t>
      </w:r>
      <w:r>
        <w:rPr>
          <w:szCs w:val="22"/>
        </w:rPr>
        <w:t>construction permits</w:t>
      </w:r>
      <w:r w:rsidRPr="001C2E9C">
        <w:rPr>
          <w:szCs w:val="22"/>
        </w:rPr>
        <w:t xml:space="preserve">.  Rather, a bidder may place bids on any of the </w:t>
      </w:r>
      <w:r>
        <w:rPr>
          <w:szCs w:val="22"/>
        </w:rPr>
        <w:t>construction permits</w:t>
      </w:r>
      <w:r w:rsidRPr="001C2E9C">
        <w:rPr>
          <w:szCs w:val="22"/>
        </w:rPr>
        <w:t xml:space="preserve"> </w:t>
      </w:r>
      <w:r>
        <w:rPr>
          <w:szCs w:val="22"/>
        </w:rPr>
        <w:t xml:space="preserve">for which it is designated an applicant in Attachment A of this Public Notice </w:t>
      </w:r>
      <w:r w:rsidRPr="001C2E9C">
        <w:rPr>
          <w:szCs w:val="22"/>
        </w:rPr>
        <w:t xml:space="preserve">as long as the total number of bidding units associated with those </w:t>
      </w:r>
      <w:r>
        <w:rPr>
          <w:szCs w:val="22"/>
        </w:rPr>
        <w:t>construction permits</w:t>
      </w:r>
      <w:r w:rsidRPr="001C2E9C">
        <w:rPr>
          <w:szCs w:val="22"/>
        </w:rPr>
        <w:t xml:space="preserve"> does not exceed its current eligibility.  Eligibility cannot be increased during the auction; it can only remain the same or decrease.  Thus, in calculating its upfront </w:t>
      </w:r>
      <w:r w:rsidRPr="001C2E9C">
        <w:rPr>
          <w:szCs w:val="22"/>
        </w:rPr>
        <w:t>payment amount</w:t>
      </w:r>
      <w:r>
        <w:rPr>
          <w:szCs w:val="22"/>
        </w:rPr>
        <w:t xml:space="preserve"> and therefore its initial bidding eligibility</w:t>
      </w:r>
      <w:r w:rsidRPr="001C2E9C">
        <w:rPr>
          <w:szCs w:val="22"/>
        </w:rPr>
        <w:t xml:space="preserve">, an applicant must determine the maximum number of bidding units </w:t>
      </w:r>
      <w:r>
        <w:rPr>
          <w:szCs w:val="22"/>
        </w:rPr>
        <w:t xml:space="preserve">on which </w:t>
      </w:r>
      <w:r w:rsidRPr="001C2E9C">
        <w:rPr>
          <w:szCs w:val="22"/>
        </w:rPr>
        <w:t xml:space="preserve">it may wish to bid or hold provisionally winning bids in any single round, and submit an upfront payment amount covering that total number of bidding units.  At a minimum, an applicant’s upfront payment must cover the bidding units for at least one of the </w:t>
      </w:r>
      <w:r>
        <w:rPr>
          <w:szCs w:val="22"/>
        </w:rPr>
        <w:t>construction permits for which it is designated an applicant in Attachment A of this Public Notice</w:t>
      </w:r>
      <w:r w:rsidRPr="001C2E9C">
        <w:rPr>
          <w:szCs w:val="22"/>
        </w:rPr>
        <w:t xml:space="preserve">.  The total upfront payment does not affect the total dollar amount a bidder may bid on any given </w:t>
      </w:r>
      <w:r>
        <w:rPr>
          <w:szCs w:val="22"/>
        </w:rPr>
        <w:t xml:space="preserve">construction permit.  </w:t>
      </w:r>
      <w:r w:rsidR="002101C0">
        <w:rPr>
          <w:szCs w:val="22"/>
        </w:rPr>
        <w:t>We</w:t>
      </w:r>
      <w:r>
        <w:rPr>
          <w:szCs w:val="22"/>
        </w:rPr>
        <w:t xml:space="preserve"> received no comments on the bidding eligibility proposals, and these proposals are adopted.</w:t>
      </w:r>
    </w:p>
    <w:p w:rsidR="00C96CC6" w:rsidP="00C96CC6" w14:paraId="6E11A276" w14:textId="77777777">
      <w:pPr>
        <w:pStyle w:val="ParaNum"/>
        <w:widowControl/>
        <w:rPr>
          <w:szCs w:val="22"/>
        </w:rPr>
      </w:pPr>
      <w:r>
        <w:rPr>
          <w:szCs w:val="22"/>
        </w:rPr>
        <w:t>T</w:t>
      </w:r>
      <w:r w:rsidRPr="001C2E9C">
        <w:rPr>
          <w:szCs w:val="22"/>
        </w:rPr>
        <w:t xml:space="preserve">o ensure that an auction closes within a reasonable period of time, an activity rule </w:t>
      </w:r>
      <w:r w:rsidRPr="00AA2B80">
        <w:rPr>
          <w:szCs w:val="22"/>
        </w:rPr>
        <w:t xml:space="preserve">requires bidders to bid actively throughout the auction, rather than wait until late in the auction before participating.  Bidders are required to be </w:t>
      </w:r>
      <w:r w:rsidRPr="00DF7948">
        <w:rPr>
          <w:szCs w:val="22"/>
        </w:rPr>
        <w:t xml:space="preserve">active on a specific percentage of their current bidding eligibility during each round of the auction.  </w:t>
      </w:r>
    </w:p>
    <w:p w:rsidR="00C96CC6" w:rsidRPr="00B122F7" w:rsidP="00C96CC6" w14:paraId="359274C4" w14:textId="77777777">
      <w:pPr>
        <w:pStyle w:val="ParaNum"/>
        <w:widowControl/>
        <w:rPr>
          <w:szCs w:val="22"/>
        </w:rPr>
      </w:pPr>
      <w:r w:rsidRPr="00DF7948">
        <w:rPr>
          <w:szCs w:val="22"/>
        </w:rPr>
        <w:t xml:space="preserve">A bidder’s activity level in a round is the sum of the bidding units associated with construction permits covered by the bidder’s </w:t>
      </w:r>
      <w:r>
        <w:rPr>
          <w:szCs w:val="22"/>
        </w:rPr>
        <w:t xml:space="preserve">new bids in the current round and </w:t>
      </w:r>
      <w:r w:rsidRPr="00DF7948">
        <w:rPr>
          <w:szCs w:val="22"/>
        </w:rPr>
        <w:t>provisionally winning bids</w:t>
      </w:r>
      <w:r>
        <w:rPr>
          <w:szCs w:val="22"/>
        </w:rPr>
        <w:t xml:space="preserve"> from the previous round</w:t>
      </w:r>
      <w:r w:rsidRPr="00DF7948">
        <w:rPr>
          <w:szCs w:val="22"/>
        </w:rPr>
        <w:t>.</w:t>
      </w:r>
      <w:r>
        <w:rPr>
          <w:rStyle w:val="FootnoteReference"/>
          <w:szCs w:val="22"/>
        </w:rPr>
        <w:footnoteReference w:id="95"/>
      </w:r>
      <w:r w:rsidRPr="00DF7948">
        <w:rPr>
          <w:szCs w:val="22"/>
        </w:rPr>
        <w:t xml:space="preserve">  </w:t>
      </w:r>
    </w:p>
    <w:p w:rsidR="00C96CC6" w:rsidRPr="002235C4" w:rsidP="00C96CC6" w14:paraId="4E964C42" w14:textId="06DAE43F">
      <w:pPr>
        <w:pStyle w:val="ParaNum"/>
        <w:widowControl/>
      </w:pPr>
      <w:r>
        <w:t>We</w:t>
      </w:r>
      <w:r>
        <w:t xml:space="preserve"> received no comments on the eligibility and activity rules proposal.  Therefore, in order to ensure that the auction closes within a reasonable period of time, </w:t>
      </w:r>
      <w:r w:rsidR="002101C0">
        <w:t>MB and OEA</w:t>
      </w:r>
      <w:r>
        <w:t xml:space="preserve"> adopt the proposal with the following </w:t>
      </w:r>
      <w:r w:rsidRPr="00893034">
        <w:rPr>
          <w:szCs w:val="22"/>
        </w:rPr>
        <w:t>activity</w:t>
      </w:r>
      <w:r>
        <w:t xml:space="preserve"> requirement: a bidder is required to be active on 100</w:t>
      </w:r>
      <w:r w:rsidR="0067006D">
        <w:t>%</w:t>
      </w:r>
      <w:r>
        <w:t xml:space="preserve"> of its current eligibility during each round of the auction.  That is, a bidder must either place a bid or be a provisionally winning bidder during each round of the auction</w:t>
      </w:r>
      <w:r w:rsidRPr="006B5883">
        <w:rPr>
          <w:szCs w:val="22"/>
        </w:rPr>
        <w:t xml:space="preserve">.  </w:t>
      </w:r>
      <w:r w:rsidRPr="00183E39">
        <w:rPr>
          <w:szCs w:val="22"/>
        </w:rPr>
        <w:t>Failure to maintain</w:t>
      </w:r>
      <w:r w:rsidRPr="001C2E9C">
        <w:rPr>
          <w:szCs w:val="22"/>
        </w:rPr>
        <w:t xml:space="preserve"> the requisite activity level will result in the use of an activity </w:t>
      </w:r>
      <w:r>
        <w:rPr>
          <w:szCs w:val="22"/>
        </w:rPr>
        <w:t xml:space="preserve">rule </w:t>
      </w:r>
      <w:r w:rsidRPr="001C2E9C">
        <w:rPr>
          <w:szCs w:val="22"/>
        </w:rPr>
        <w:t>waiver, if any remain, or a reduction in the bidder’s eligibility, possibly curtailing or eliminating the bidder’s ability to place additional bids in the auction</w:t>
      </w:r>
      <w:r>
        <w:rPr>
          <w:szCs w:val="22"/>
        </w:rPr>
        <w:t>.</w:t>
      </w:r>
      <w:r>
        <w:rPr>
          <w:rStyle w:val="FootnoteReference"/>
          <w:szCs w:val="22"/>
        </w:rPr>
        <w:footnoteReference w:id="96"/>
      </w:r>
    </w:p>
    <w:p w:rsidR="00C96CC6" w:rsidP="00C96CC6" w14:paraId="76F85DA2" w14:textId="77777777">
      <w:pPr>
        <w:pStyle w:val="Heading3"/>
      </w:pPr>
      <w:bookmarkStart w:id="843" w:name="_Toc505077430"/>
      <w:bookmarkStart w:id="844" w:name="_Toc507144312"/>
      <w:bookmarkStart w:id="845" w:name="_Toc507166611"/>
      <w:bookmarkStart w:id="846" w:name="_Toc508121634"/>
      <w:bookmarkStart w:id="847" w:name="_Toc508638848"/>
      <w:bookmarkStart w:id="848" w:name="_Toc508895722"/>
      <w:bookmarkStart w:id="849" w:name="_Toc508953834"/>
      <w:bookmarkStart w:id="850" w:name="_Toc509388480"/>
      <w:bookmarkStart w:id="851" w:name="_Toc509492121"/>
      <w:bookmarkStart w:id="852" w:name="_Toc529870349"/>
      <w:bookmarkStart w:id="853" w:name="_Toc530566527"/>
      <w:bookmarkStart w:id="854" w:name="_Toc531608869"/>
      <w:bookmarkStart w:id="855" w:name="_Toc531700861"/>
      <w:bookmarkStart w:id="856" w:name="_Toc532976642"/>
      <w:bookmarkStart w:id="857" w:name="_Toc536103119"/>
      <w:bookmarkStart w:id="858" w:name="_Toc944559"/>
      <w:bookmarkStart w:id="859" w:name="_Toc4164763"/>
      <w:bookmarkStart w:id="860" w:name="_Toc4419566"/>
      <w:bookmarkStart w:id="861" w:name="_Toc5609542"/>
      <w:bookmarkStart w:id="862" w:name="_Toc5975798"/>
      <w:bookmarkStart w:id="863" w:name="_Toc6220322"/>
      <w:bookmarkStart w:id="864" w:name="_Toc6232655"/>
      <w:r>
        <w:t>Activity Rule Waivers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C96CC6" w:rsidRPr="001C2E9C" w:rsidP="00C96CC6" w14:paraId="312D1201" w14:textId="2C22A0B1">
      <w:pPr>
        <w:pStyle w:val="ParaNum"/>
        <w:widowControl/>
        <w:rPr>
          <w:szCs w:val="22"/>
        </w:rPr>
      </w:pPr>
      <w:r w:rsidRPr="001C2E9C">
        <w:rPr>
          <w:szCs w:val="22"/>
        </w:rPr>
        <w:t xml:space="preserve">In </w:t>
      </w:r>
      <w:r w:rsidRPr="002A0DC5">
        <w:t>the</w:t>
      </w:r>
      <w:r w:rsidRPr="001C2E9C">
        <w:rPr>
          <w:szCs w:val="22"/>
        </w:rPr>
        <w:t xml:space="preserve"> </w:t>
      </w:r>
      <w:r w:rsidRPr="001C2E9C">
        <w:rPr>
          <w:i/>
          <w:szCs w:val="22"/>
        </w:rPr>
        <w:t xml:space="preserve">Auction </w:t>
      </w:r>
      <w:r>
        <w:rPr>
          <w:i/>
          <w:szCs w:val="22"/>
        </w:rPr>
        <w:t>100</w:t>
      </w:r>
      <w:r w:rsidRPr="001C2E9C">
        <w:rPr>
          <w:i/>
          <w:szCs w:val="22"/>
        </w:rPr>
        <w:t xml:space="preserve"> </w:t>
      </w:r>
      <w:r w:rsidRPr="0085441E">
        <w:rPr>
          <w:i/>
          <w:szCs w:val="22"/>
        </w:rPr>
        <w:t>Comment</w:t>
      </w:r>
      <w:r w:rsidRPr="001C2E9C">
        <w:rPr>
          <w:i/>
          <w:szCs w:val="22"/>
        </w:rPr>
        <w:t xml:space="preserve"> Public Notice</w:t>
      </w:r>
      <w:r w:rsidRPr="001C2E9C">
        <w:rPr>
          <w:szCs w:val="22"/>
        </w:rPr>
        <w:t>, the Bureau</w:t>
      </w:r>
      <w:r>
        <w:rPr>
          <w:szCs w:val="22"/>
        </w:rPr>
        <w:t>s</w:t>
      </w:r>
      <w:r w:rsidRPr="001C2E9C">
        <w:rPr>
          <w:szCs w:val="22"/>
        </w:rPr>
        <w:t xml:space="preserve"> proposed that each bidder in the auction be provided with three activity </w:t>
      </w:r>
      <w:r>
        <w:rPr>
          <w:szCs w:val="22"/>
        </w:rPr>
        <w:t>rule</w:t>
      </w:r>
      <w:r w:rsidRPr="001C2E9C">
        <w:rPr>
          <w:szCs w:val="22"/>
        </w:rPr>
        <w:t xml:space="preserve"> waivers.</w:t>
      </w:r>
      <w:r>
        <w:rPr>
          <w:rStyle w:val="FootnoteReference"/>
          <w:szCs w:val="22"/>
        </w:rPr>
        <w:footnoteReference w:id="97"/>
      </w:r>
      <w:r w:rsidRPr="001C2E9C">
        <w:rPr>
          <w:szCs w:val="22"/>
        </w:rPr>
        <w:t xml:space="preserve">  </w:t>
      </w:r>
      <w:r w:rsidR="001030F8">
        <w:rPr>
          <w:szCs w:val="22"/>
        </w:rPr>
        <w:t>We</w:t>
      </w:r>
      <w:r>
        <w:rPr>
          <w:szCs w:val="22"/>
        </w:rPr>
        <w:t xml:space="preserve"> received no comments on this issue.</w:t>
      </w:r>
    </w:p>
    <w:p w:rsidR="00C96CC6" w:rsidRPr="001C2E9C" w:rsidP="00C96CC6" w14:paraId="29187779" w14:textId="08204059">
      <w:pPr>
        <w:pStyle w:val="ParaNum"/>
        <w:widowControl/>
        <w:rPr>
          <w:szCs w:val="22"/>
        </w:rPr>
      </w:pPr>
      <w:r w:rsidRPr="002A0DC5">
        <w:t>Therefore</w:t>
      </w:r>
      <w:r w:rsidRPr="001C2E9C">
        <w:rPr>
          <w:szCs w:val="22"/>
        </w:rPr>
        <w:t xml:space="preserve">, </w:t>
      </w:r>
      <w:r w:rsidR="002101C0">
        <w:rPr>
          <w:szCs w:val="22"/>
        </w:rPr>
        <w:t>MB and OEA</w:t>
      </w:r>
      <w:r w:rsidRPr="001C2E9C">
        <w:rPr>
          <w:szCs w:val="22"/>
        </w:rPr>
        <w:t xml:space="preserve"> adopt </w:t>
      </w:r>
      <w:r>
        <w:rPr>
          <w:szCs w:val="22"/>
        </w:rPr>
        <w:t>this</w:t>
      </w:r>
      <w:r w:rsidRPr="001C2E9C">
        <w:rPr>
          <w:szCs w:val="22"/>
        </w:rPr>
        <w:t xml:space="preserve"> proposal to provide bidders with three activity rule waivers.  Bidders may use an activity </w:t>
      </w:r>
      <w:r>
        <w:rPr>
          <w:szCs w:val="22"/>
        </w:rPr>
        <w:t>rule</w:t>
      </w:r>
      <w:r w:rsidRPr="001C2E9C">
        <w:rPr>
          <w:szCs w:val="22"/>
        </w:rPr>
        <w:t xml:space="preserve"> waiver in any round during the course of the auction.  Use of a</w:t>
      </w:r>
      <w:r>
        <w:rPr>
          <w:szCs w:val="22"/>
        </w:rPr>
        <w:t>n activity</w:t>
      </w:r>
      <w:r w:rsidRPr="001C2E9C">
        <w:rPr>
          <w:szCs w:val="22"/>
        </w:rPr>
        <w:t xml:space="preserve"> </w:t>
      </w:r>
      <w:r>
        <w:rPr>
          <w:szCs w:val="22"/>
        </w:rPr>
        <w:t>rule</w:t>
      </w:r>
      <w:r w:rsidRPr="001C2E9C">
        <w:rPr>
          <w:szCs w:val="22"/>
        </w:rPr>
        <w:t xml:space="preserve"> waiver preserves the bidder’s eligibility despite </w:t>
      </w:r>
      <w:r>
        <w:rPr>
          <w:szCs w:val="22"/>
        </w:rPr>
        <w:t xml:space="preserve">its </w:t>
      </w:r>
      <w:r w:rsidRPr="001C2E9C">
        <w:rPr>
          <w:szCs w:val="22"/>
        </w:rPr>
        <w:t xml:space="preserve">activity in the current round being below the required minimum activity level.  An activity </w:t>
      </w:r>
      <w:r>
        <w:rPr>
          <w:szCs w:val="22"/>
        </w:rPr>
        <w:t>rule</w:t>
      </w:r>
      <w:r w:rsidRPr="001C2E9C">
        <w:rPr>
          <w:szCs w:val="22"/>
        </w:rPr>
        <w:t xml:space="preserve"> waiver applies to an entire round of bidding</w:t>
      </w:r>
      <w:r>
        <w:rPr>
          <w:szCs w:val="22"/>
        </w:rPr>
        <w:t xml:space="preserve">, </w:t>
      </w:r>
      <w:r w:rsidRPr="001C2E9C">
        <w:rPr>
          <w:szCs w:val="22"/>
        </w:rPr>
        <w:t xml:space="preserve">not to a particular </w:t>
      </w:r>
      <w:r>
        <w:rPr>
          <w:szCs w:val="22"/>
        </w:rPr>
        <w:t>construction permit</w:t>
      </w:r>
      <w:r w:rsidRPr="001C2E9C">
        <w:rPr>
          <w:szCs w:val="22"/>
        </w:rPr>
        <w:t xml:space="preserve">.  </w:t>
      </w:r>
      <w:r>
        <w:rPr>
          <w:szCs w:val="22"/>
        </w:rPr>
        <w:t>Activity rule w</w:t>
      </w:r>
      <w:r w:rsidRPr="001C2E9C">
        <w:rPr>
          <w:szCs w:val="22"/>
        </w:rPr>
        <w:t>aivers can be either proactive or automatic</w:t>
      </w:r>
      <w:r>
        <w:rPr>
          <w:szCs w:val="22"/>
        </w:rPr>
        <w:t>.  Activity rule waivers</w:t>
      </w:r>
      <w:r w:rsidRPr="001C2E9C">
        <w:rPr>
          <w:szCs w:val="22"/>
        </w:rPr>
        <w:t xml:space="preserve"> are principally a mechanism for</w:t>
      </w:r>
      <w:r>
        <w:rPr>
          <w:szCs w:val="22"/>
        </w:rPr>
        <w:t xml:space="preserve"> a bidder</w:t>
      </w:r>
      <w:r w:rsidRPr="001C2E9C">
        <w:rPr>
          <w:szCs w:val="22"/>
        </w:rPr>
        <w:t xml:space="preserve"> to avoid the loss of bidding eligibility in the event that exigent circumstances prevent </w:t>
      </w:r>
      <w:r>
        <w:rPr>
          <w:szCs w:val="22"/>
        </w:rPr>
        <w:t>it</w:t>
      </w:r>
      <w:r w:rsidRPr="001C2E9C">
        <w:rPr>
          <w:szCs w:val="22"/>
        </w:rPr>
        <w:t xml:space="preserve"> from </w:t>
      </w:r>
      <w:r>
        <w:rPr>
          <w:szCs w:val="22"/>
        </w:rPr>
        <w:t>bidding</w:t>
      </w:r>
      <w:r w:rsidRPr="001C2E9C">
        <w:rPr>
          <w:szCs w:val="22"/>
        </w:rPr>
        <w:t xml:space="preserve"> in a particular round.  </w:t>
      </w:r>
    </w:p>
    <w:p w:rsidR="00C96CC6" w:rsidRPr="001C2E9C" w:rsidP="00C96CC6" w14:paraId="2AAC1EE5" w14:textId="77777777">
      <w:pPr>
        <w:pStyle w:val="ParaNum"/>
        <w:widowControl/>
        <w:rPr>
          <w:szCs w:val="22"/>
        </w:rPr>
      </w:pPr>
      <w:r w:rsidRPr="002A0DC5">
        <w:t>The</w:t>
      </w:r>
      <w:r w:rsidRPr="001C2E9C">
        <w:rPr>
          <w:szCs w:val="22"/>
        </w:rPr>
        <w:t xml:space="preserve"> FCC </w:t>
      </w:r>
      <w:r>
        <w:rPr>
          <w:szCs w:val="22"/>
        </w:rPr>
        <w:t>a</w:t>
      </w:r>
      <w:r w:rsidRPr="001C2E9C">
        <w:rPr>
          <w:szCs w:val="22"/>
        </w:rPr>
        <w:t xml:space="preserve">uction </w:t>
      </w:r>
      <w:r>
        <w:rPr>
          <w:szCs w:val="22"/>
        </w:rPr>
        <w:t>bidding s</w:t>
      </w:r>
      <w:r w:rsidRPr="001C2E9C">
        <w:rPr>
          <w:szCs w:val="22"/>
        </w:rPr>
        <w:t xml:space="preserve">ystem </w:t>
      </w:r>
      <w:r>
        <w:rPr>
          <w:szCs w:val="22"/>
        </w:rPr>
        <w:t xml:space="preserve">will </w:t>
      </w:r>
      <w:r w:rsidRPr="001C2E9C">
        <w:rPr>
          <w:szCs w:val="22"/>
        </w:rPr>
        <w:t xml:space="preserve">assume that </w:t>
      </w:r>
      <w:r>
        <w:rPr>
          <w:szCs w:val="22"/>
        </w:rPr>
        <w:t xml:space="preserve">a </w:t>
      </w:r>
      <w:r w:rsidRPr="001C2E9C">
        <w:rPr>
          <w:szCs w:val="22"/>
        </w:rPr>
        <w:t xml:space="preserve">bidder </w:t>
      </w:r>
      <w:r>
        <w:rPr>
          <w:szCs w:val="22"/>
        </w:rPr>
        <w:t xml:space="preserve">that does not meet the </w:t>
      </w:r>
      <w:r w:rsidRPr="001C2E9C">
        <w:rPr>
          <w:szCs w:val="22"/>
        </w:rPr>
        <w:t>activity</w:t>
      </w:r>
      <w:r>
        <w:rPr>
          <w:szCs w:val="22"/>
        </w:rPr>
        <w:t xml:space="preserve"> requirement</w:t>
      </w:r>
      <w:r w:rsidRPr="001C2E9C">
        <w:rPr>
          <w:szCs w:val="22"/>
        </w:rPr>
        <w:t xml:space="preserve"> would prefer to </w:t>
      </w:r>
      <w:r>
        <w:rPr>
          <w:szCs w:val="22"/>
        </w:rPr>
        <w:t>use</w:t>
      </w:r>
      <w:r w:rsidRPr="001C2E9C">
        <w:rPr>
          <w:szCs w:val="22"/>
        </w:rPr>
        <w:t xml:space="preserve"> an activity </w:t>
      </w:r>
      <w:r>
        <w:rPr>
          <w:szCs w:val="22"/>
        </w:rPr>
        <w:t>rule</w:t>
      </w:r>
      <w:r w:rsidRPr="001C2E9C">
        <w:rPr>
          <w:szCs w:val="22"/>
        </w:rPr>
        <w:t xml:space="preserve"> waiver (if available) rather than lose bidding eligibility.  Therefore, the system will automatically apply a waiver at the end of any bidding round </w:t>
      </w:r>
      <w:r>
        <w:rPr>
          <w:szCs w:val="22"/>
        </w:rPr>
        <w:t xml:space="preserve">in which </w:t>
      </w:r>
      <w:r w:rsidRPr="001C2E9C">
        <w:rPr>
          <w:szCs w:val="22"/>
        </w:rPr>
        <w:t>a bidder’s activity level is below the minimum required unless (1) the</w:t>
      </w:r>
      <w:r>
        <w:rPr>
          <w:szCs w:val="22"/>
        </w:rPr>
        <w:t xml:space="preserve"> bidder has </w:t>
      </w:r>
      <w:r w:rsidRPr="001C2E9C">
        <w:rPr>
          <w:szCs w:val="22"/>
        </w:rPr>
        <w:t xml:space="preserve">no </w:t>
      </w:r>
      <w:r>
        <w:rPr>
          <w:szCs w:val="22"/>
        </w:rPr>
        <w:t xml:space="preserve">activity rule </w:t>
      </w:r>
      <w:r w:rsidRPr="001C2E9C">
        <w:rPr>
          <w:szCs w:val="22"/>
        </w:rPr>
        <w:t xml:space="preserve">waivers </w:t>
      </w:r>
      <w:r>
        <w:rPr>
          <w:szCs w:val="22"/>
        </w:rPr>
        <w:t xml:space="preserve">remaining </w:t>
      </w:r>
      <w:r w:rsidRPr="001C2E9C">
        <w:rPr>
          <w:szCs w:val="22"/>
        </w:rPr>
        <w:t>or (2) the bidder overrides the automatic application of a waiver by reducing eligibility</w:t>
      </w:r>
      <w:r>
        <w:rPr>
          <w:szCs w:val="22"/>
        </w:rPr>
        <w:t>, thereby meeting the activity requirement</w:t>
      </w:r>
      <w:r w:rsidRPr="001C2E9C">
        <w:rPr>
          <w:szCs w:val="22"/>
        </w:rPr>
        <w:t xml:space="preserve">.  If </w:t>
      </w:r>
      <w:r>
        <w:rPr>
          <w:szCs w:val="22"/>
        </w:rPr>
        <w:t xml:space="preserve">a bidder has </w:t>
      </w:r>
      <w:r w:rsidRPr="001C2E9C">
        <w:rPr>
          <w:szCs w:val="22"/>
        </w:rPr>
        <w:t>no waivers remain</w:t>
      </w:r>
      <w:r>
        <w:rPr>
          <w:szCs w:val="22"/>
        </w:rPr>
        <w:t>ing</w:t>
      </w:r>
      <w:r w:rsidRPr="001C2E9C">
        <w:rPr>
          <w:szCs w:val="22"/>
        </w:rPr>
        <w:t xml:space="preserve"> and </w:t>
      </w:r>
      <w:r>
        <w:rPr>
          <w:szCs w:val="22"/>
        </w:rPr>
        <w:t>does not satisfy</w:t>
      </w:r>
      <w:r w:rsidRPr="001C2E9C">
        <w:rPr>
          <w:szCs w:val="22"/>
        </w:rPr>
        <w:t xml:space="preserve"> the </w:t>
      </w:r>
      <w:r>
        <w:rPr>
          <w:szCs w:val="22"/>
        </w:rPr>
        <w:t xml:space="preserve">required activity level, </w:t>
      </w:r>
      <w:r w:rsidRPr="001C2E9C">
        <w:rPr>
          <w:szCs w:val="22"/>
        </w:rPr>
        <w:t xml:space="preserve">the bidder’s </w:t>
      </w:r>
      <w:r>
        <w:rPr>
          <w:szCs w:val="22"/>
        </w:rPr>
        <w:t xml:space="preserve">current </w:t>
      </w:r>
      <w:r w:rsidRPr="001C2E9C">
        <w:rPr>
          <w:szCs w:val="22"/>
        </w:rPr>
        <w:t>eligibility</w:t>
      </w:r>
      <w:r>
        <w:rPr>
          <w:szCs w:val="22"/>
        </w:rPr>
        <w:t xml:space="preserve"> will be permanently reduced</w:t>
      </w:r>
      <w:r w:rsidRPr="001C2E9C">
        <w:rPr>
          <w:szCs w:val="22"/>
        </w:rPr>
        <w:t xml:space="preserve">, possibly curtailing or eliminating </w:t>
      </w:r>
      <w:r>
        <w:rPr>
          <w:szCs w:val="22"/>
        </w:rPr>
        <w:t xml:space="preserve">the </w:t>
      </w:r>
      <w:r w:rsidRPr="001C2E9C">
        <w:rPr>
          <w:szCs w:val="22"/>
        </w:rPr>
        <w:t>ability to place additional bids in the auction.</w:t>
      </w:r>
    </w:p>
    <w:p w:rsidR="00C96CC6" w:rsidRPr="001C2E9C" w:rsidP="00C96CC6" w14:paraId="282A0B0A" w14:textId="77777777">
      <w:pPr>
        <w:pStyle w:val="ParaNum"/>
        <w:widowControl/>
        <w:rPr>
          <w:szCs w:val="22"/>
        </w:rPr>
      </w:pPr>
      <w:r w:rsidRPr="001C2E9C">
        <w:rPr>
          <w:szCs w:val="22"/>
        </w:rPr>
        <w:t xml:space="preserve">A bidder with insufficient activity </w:t>
      </w:r>
      <w:r>
        <w:rPr>
          <w:szCs w:val="22"/>
        </w:rPr>
        <w:t xml:space="preserve">may wish </w:t>
      </w:r>
      <w:r w:rsidRPr="001C2E9C">
        <w:rPr>
          <w:szCs w:val="22"/>
        </w:rPr>
        <w:t xml:space="preserve">to reduce </w:t>
      </w:r>
      <w:r>
        <w:rPr>
          <w:szCs w:val="22"/>
        </w:rPr>
        <w:t xml:space="preserve">its </w:t>
      </w:r>
      <w:r w:rsidRPr="001C2E9C">
        <w:rPr>
          <w:szCs w:val="22"/>
        </w:rPr>
        <w:t xml:space="preserve">bidding eligibility rather than use an activity </w:t>
      </w:r>
      <w:r>
        <w:rPr>
          <w:szCs w:val="22"/>
        </w:rPr>
        <w:t>rule</w:t>
      </w:r>
      <w:r w:rsidRPr="001C2E9C">
        <w:rPr>
          <w:szCs w:val="22"/>
        </w:rPr>
        <w:t xml:space="preserve"> waiver</w:t>
      </w:r>
      <w:r>
        <w:rPr>
          <w:szCs w:val="22"/>
        </w:rPr>
        <w:t>.  If so, the bidder</w:t>
      </w:r>
      <w:r w:rsidRPr="001C2E9C">
        <w:rPr>
          <w:szCs w:val="22"/>
        </w:rPr>
        <w:t xml:space="preserve"> must affirmatively override the automatic waiver mechanism during the bidding round by using the </w:t>
      </w:r>
      <w:r w:rsidRPr="00781F59">
        <w:rPr>
          <w:i/>
          <w:szCs w:val="22"/>
        </w:rPr>
        <w:t>reduce eligibility</w:t>
      </w:r>
      <w:r w:rsidRPr="001C2E9C">
        <w:rPr>
          <w:szCs w:val="22"/>
        </w:rPr>
        <w:t xml:space="preserve"> function in the </w:t>
      </w:r>
      <w:r>
        <w:rPr>
          <w:szCs w:val="22"/>
        </w:rPr>
        <w:t>FCC a</w:t>
      </w:r>
      <w:r w:rsidRPr="001C2E9C">
        <w:rPr>
          <w:szCs w:val="22"/>
        </w:rPr>
        <w:t xml:space="preserve">uction </w:t>
      </w:r>
      <w:r>
        <w:rPr>
          <w:szCs w:val="22"/>
        </w:rPr>
        <w:t>bidding s</w:t>
      </w:r>
      <w:r w:rsidRPr="001C2E9C">
        <w:rPr>
          <w:szCs w:val="22"/>
        </w:rPr>
        <w:t xml:space="preserve">ystem.  In </w:t>
      </w:r>
      <w:r w:rsidRPr="001C2E9C">
        <w:rPr>
          <w:szCs w:val="22"/>
        </w:rPr>
        <w:t xml:space="preserve">this case, the bidder’s eligibility </w:t>
      </w:r>
      <w:r>
        <w:rPr>
          <w:szCs w:val="22"/>
        </w:rPr>
        <w:t>would be</w:t>
      </w:r>
      <w:r w:rsidRPr="001C2E9C">
        <w:rPr>
          <w:szCs w:val="22"/>
        </w:rPr>
        <w:t xml:space="preserve"> </w:t>
      </w:r>
      <w:r w:rsidRPr="00B15925">
        <w:rPr>
          <w:szCs w:val="22"/>
        </w:rPr>
        <w:t xml:space="preserve">permanently reduced to bring </w:t>
      </w:r>
      <w:r>
        <w:rPr>
          <w:szCs w:val="22"/>
        </w:rPr>
        <w:t>it</w:t>
      </w:r>
      <w:r w:rsidRPr="00B15925">
        <w:rPr>
          <w:szCs w:val="22"/>
        </w:rPr>
        <w:t xml:space="preserve"> into compliance with the activity </w:t>
      </w:r>
      <w:r>
        <w:rPr>
          <w:szCs w:val="22"/>
        </w:rPr>
        <w:t xml:space="preserve">rule </w:t>
      </w:r>
      <w:r w:rsidRPr="00B15925">
        <w:rPr>
          <w:szCs w:val="22"/>
        </w:rPr>
        <w:t xml:space="preserve">described </w:t>
      </w:r>
      <w:r w:rsidRPr="005E52E0">
        <w:rPr>
          <w:szCs w:val="22"/>
        </w:rPr>
        <w:t>above.</w:t>
      </w:r>
      <w:r w:rsidRPr="00183E39">
        <w:rPr>
          <w:szCs w:val="22"/>
        </w:rPr>
        <w:t xml:space="preserve">  </w:t>
      </w:r>
      <w:r>
        <w:rPr>
          <w:szCs w:val="22"/>
        </w:rPr>
        <w:t>Reducing eligibility is an irreversible action; o</w:t>
      </w:r>
      <w:r w:rsidRPr="00183E39">
        <w:rPr>
          <w:szCs w:val="22"/>
        </w:rPr>
        <w:t>nce eligibility has been reduced, a bidder</w:t>
      </w:r>
      <w:r w:rsidRPr="001C2E9C">
        <w:rPr>
          <w:szCs w:val="22"/>
        </w:rPr>
        <w:t xml:space="preserve"> </w:t>
      </w:r>
      <w:r>
        <w:rPr>
          <w:szCs w:val="22"/>
        </w:rPr>
        <w:t>cannot</w:t>
      </w:r>
      <w:r w:rsidRPr="001C2E9C">
        <w:rPr>
          <w:szCs w:val="22"/>
        </w:rPr>
        <w:t xml:space="preserve"> regain its lost bidding eligibility.</w:t>
      </w:r>
    </w:p>
    <w:p w:rsidR="00C96CC6" w:rsidRPr="001C2E9C" w:rsidP="00C96CC6" w14:paraId="6FF63BEC" w14:textId="58514829">
      <w:pPr>
        <w:pStyle w:val="ParaNum"/>
        <w:widowControl/>
        <w:rPr>
          <w:szCs w:val="22"/>
        </w:rPr>
      </w:pPr>
      <w:r w:rsidRPr="002A0DC5">
        <w:t>Finally</w:t>
      </w:r>
      <w:r w:rsidRPr="001C2E9C">
        <w:rPr>
          <w:szCs w:val="22"/>
        </w:rPr>
        <w:t xml:space="preserve">, a bidder may apply an activity </w:t>
      </w:r>
      <w:r>
        <w:rPr>
          <w:szCs w:val="22"/>
        </w:rPr>
        <w:t>rule</w:t>
      </w:r>
      <w:r w:rsidRPr="001C2E9C">
        <w:rPr>
          <w:szCs w:val="22"/>
        </w:rPr>
        <w:t xml:space="preserve"> waiver proactively as a means to keep the auction open without placing a bid.  If a </w:t>
      </w:r>
      <w:r>
        <w:rPr>
          <w:szCs w:val="22"/>
        </w:rPr>
        <w:t xml:space="preserve">bidder </w:t>
      </w:r>
      <w:r w:rsidRPr="001C2E9C">
        <w:rPr>
          <w:szCs w:val="22"/>
        </w:rPr>
        <w:t>proactive</w:t>
      </w:r>
      <w:r>
        <w:rPr>
          <w:szCs w:val="22"/>
        </w:rPr>
        <w:t>ly</w:t>
      </w:r>
      <w:r w:rsidRPr="001C2E9C">
        <w:rPr>
          <w:szCs w:val="22"/>
        </w:rPr>
        <w:t xml:space="preserve"> </w:t>
      </w:r>
      <w:r>
        <w:rPr>
          <w:szCs w:val="22"/>
        </w:rPr>
        <w:t xml:space="preserve">were to apply an activity rule </w:t>
      </w:r>
      <w:r w:rsidRPr="001C2E9C">
        <w:rPr>
          <w:szCs w:val="22"/>
        </w:rPr>
        <w:t xml:space="preserve">waiver (using the </w:t>
      </w:r>
      <w:r>
        <w:rPr>
          <w:i/>
          <w:szCs w:val="22"/>
        </w:rPr>
        <w:t>proactive</w:t>
      </w:r>
      <w:r w:rsidRPr="00781F59">
        <w:rPr>
          <w:i/>
          <w:szCs w:val="22"/>
        </w:rPr>
        <w:t xml:space="preserve"> waiver</w:t>
      </w:r>
      <w:r w:rsidRPr="001C2E9C">
        <w:rPr>
          <w:szCs w:val="22"/>
        </w:rPr>
        <w:t xml:space="preserve"> function in the FCC </w:t>
      </w:r>
      <w:r>
        <w:rPr>
          <w:szCs w:val="22"/>
        </w:rPr>
        <w:t>a</w:t>
      </w:r>
      <w:r w:rsidRPr="001C2E9C">
        <w:rPr>
          <w:szCs w:val="22"/>
        </w:rPr>
        <w:t xml:space="preserve">uction </w:t>
      </w:r>
      <w:r>
        <w:rPr>
          <w:szCs w:val="22"/>
        </w:rPr>
        <w:t>bidding s</w:t>
      </w:r>
      <w:r w:rsidRPr="001C2E9C">
        <w:rPr>
          <w:szCs w:val="22"/>
        </w:rPr>
        <w:t>ystem) during a bidding round in which no bids are placed</w:t>
      </w:r>
      <w:r>
        <w:rPr>
          <w:szCs w:val="22"/>
        </w:rPr>
        <w:t xml:space="preserve">, </w:t>
      </w:r>
      <w:r w:rsidRPr="001C2E9C">
        <w:rPr>
          <w:szCs w:val="22"/>
        </w:rPr>
        <w:t xml:space="preserve">the auction will remain open and the bidder’s eligibility will be preserved.  </w:t>
      </w:r>
      <w:r>
        <w:rPr>
          <w:szCs w:val="22"/>
        </w:rPr>
        <w:t>A</w:t>
      </w:r>
      <w:r w:rsidRPr="001C2E9C">
        <w:rPr>
          <w:szCs w:val="22"/>
        </w:rPr>
        <w:t xml:space="preserve">n automatic waiver applied by the FCC </w:t>
      </w:r>
      <w:r>
        <w:rPr>
          <w:szCs w:val="22"/>
        </w:rPr>
        <w:t>a</w:t>
      </w:r>
      <w:r w:rsidRPr="001C2E9C">
        <w:rPr>
          <w:szCs w:val="22"/>
        </w:rPr>
        <w:t xml:space="preserve">uction </w:t>
      </w:r>
      <w:r>
        <w:rPr>
          <w:szCs w:val="22"/>
        </w:rPr>
        <w:t>bidding s</w:t>
      </w:r>
      <w:r w:rsidRPr="001C2E9C">
        <w:rPr>
          <w:szCs w:val="22"/>
        </w:rPr>
        <w:t xml:space="preserve">ystem in a round in which there </w:t>
      </w:r>
      <w:r>
        <w:rPr>
          <w:szCs w:val="22"/>
        </w:rPr>
        <w:t>are</w:t>
      </w:r>
      <w:r w:rsidRPr="001C2E9C">
        <w:rPr>
          <w:szCs w:val="22"/>
        </w:rPr>
        <w:t xml:space="preserve"> no new </w:t>
      </w:r>
      <w:r w:rsidRPr="001C2E9C">
        <w:rPr>
          <w:szCs w:val="22"/>
        </w:rPr>
        <w:t>bid</w:t>
      </w:r>
      <w:r>
        <w:rPr>
          <w:szCs w:val="22"/>
        </w:rPr>
        <w:t>s</w:t>
      </w:r>
      <w:r w:rsidRPr="001C2E9C">
        <w:rPr>
          <w:szCs w:val="22"/>
        </w:rPr>
        <w:t xml:space="preserve"> or </w:t>
      </w:r>
      <w:r>
        <w:rPr>
          <w:szCs w:val="22"/>
        </w:rPr>
        <w:t xml:space="preserve">a </w:t>
      </w:r>
      <w:r w:rsidRPr="001C2E9C">
        <w:rPr>
          <w:szCs w:val="22"/>
        </w:rPr>
        <w:t xml:space="preserve">proactive waiver will not keep the auction open.    </w:t>
      </w:r>
    </w:p>
    <w:p w:rsidR="00C96CC6" w:rsidP="00C96CC6" w14:paraId="5465BCE7" w14:textId="77777777">
      <w:pPr>
        <w:pStyle w:val="Heading3"/>
      </w:pPr>
      <w:bookmarkStart w:id="865" w:name="_Toc505077431"/>
      <w:bookmarkStart w:id="866" w:name="_Toc507144313"/>
      <w:bookmarkStart w:id="867" w:name="_Toc507166612"/>
      <w:bookmarkStart w:id="868" w:name="_Toc508121635"/>
      <w:bookmarkStart w:id="869" w:name="_Toc508638849"/>
      <w:bookmarkStart w:id="870" w:name="_Toc508895723"/>
      <w:bookmarkStart w:id="871" w:name="_Toc508953835"/>
      <w:bookmarkStart w:id="872" w:name="_Toc509388481"/>
      <w:bookmarkStart w:id="873" w:name="_Toc509492122"/>
      <w:bookmarkStart w:id="874" w:name="_Toc529870350"/>
      <w:bookmarkStart w:id="875" w:name="_Toc530566528"/>
      <w:bookmarkStart w:id="876" w:name="_Toc531608870"/>
      <w:bookmarkStart w:id="877" w:name="_Toc531700862"/>
      <w:bookmarkStart w:id="878" w:name="_Toc532976643"/>
      <w:bookmarkStart w:id="879" w:name="_Toc536103120"/>
      <w:bookmarkStart w:id="880" w:name="_Toc944560"/>
      <w:bookmarkStart w:id="881" w:name="_Toc4164764"/>
      <w:bookmarkStart w:id="882" w:name="_Toc4419567"/>
      <w:bookmarkStart w:id="883" w:name="_Toc5609543"/>
      <w:bookmarkStart w:id="884" w:name="_Toc5975799"/>
      <w:bookmarkStart w:id="885" w:name="_Toc6220323"/>
      <w:bookmarkStart w:id="886" w:name="_Toc6232656"/>
      <w:r>
        <w:t>Auction Stopping Rule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C96CC6" w:rsidRPr="001C2E9C" w:rsidP="00C96CC6" w14:paraId="5E0CC09C" w14:textId="77777777">
      <w:pPr>
        <w:pStyle w:val="ParaNum"/>
        <w:widowControl/>
        <w:rPr>
          <w:szCs w:val="22"/>
        </w:rPr>
      </w:pPr>
      <w:r w:rsidRPr="002A0DC5">
        <w:t>For</w:t>
      </w:r>
      <w:r w:rsidRPr="001C2E9C">
        <w:rPr>
          <w:szCs w:val="22"/>
        </w:rPr>
        <w:t xml:space="preserve"> Auction </w:t>
      </w:r>
      <w:r>
        <w:rPr>
          <w:szCs w:val="22"/>
        </w:rPr>
        <w:t>100</w:t>
      </w:r>
      <w:r w:rsidRPr="001C2E9C">
        <w:rPr>
          <w:szCs w:val="22"/>
        </w:rPr>
        <w:t>, the Bureau</w:t>
      </w:r>
      <w:r>
        <w:rPr>
          <w:szCs w:val="22"/>
        </w:rPr>
        <w:t>s</w:t>
      </w:r>
      <w:r w:rsidRPr="001C2E9C">
        <w:rPr>
          <w:szCs w:val="22"/>
        </w:rPr>
        <w:t xml:space="preserve"> proposed to employ a simultaneous stopping rule approach</w:t>
      </w:r>
      <w:r>
        <w:rPr>
          <w:szCs w:val="22"/>
        </w:rPr>
        <w:t>, which means all construction permits remain available for bidding until bidding stops on every construction permit</w:t>
      </w:r>
      <w:r w:rsidRPr="001C2E9C">
        <w:rPr>
          <w:szCs w:val="22"/>
        </w:rPr>
        <w:t>.</w:t>
      </w:r>
      <w:r>
        <w:rPr>
          <w:rStyle w:val="FootnoteReference"/>
          <w:szCs w:val="22"/>
        </w:rPr>
        <w:footnoteReference w:id="98"/>
      </w:r>
      <w:r w:rsidRPr="001C2E9C">
        <w:rPr>
          <w:szCs w:val="22"/>
        </w:rPr>
        <w:t xml:space="preserve">  </w:t>
      </w:r>
      <w:r>
        <w:rPr>
          <w:szCs w:val="22"/>
        </w:rPr>
        <w:t>S</w:t>
      </w:r>
      <w:r w:rsidRPr="001C2E9C">
        <w:rPr>
          <w:szCs w:val="22"/>
        </w:rPr>
        <w:t xml:space="preserve">pecifically, bidding will close on all </w:t>
      </w:r>
      <w:r>
        <w:rPr>
          <w:szCs w:val="22"/>
        </w:rPr>
        <w:t>construction permits</w:t>
      </w:r>
      <w:r w:rsidRPr="001C2E9C">
        <w:rPr>
          <w:szCs w:val="22"/>
        </w:rPr>
        <w:t xml:space="preserve"> after the first round in which no bidder submits any new bid</w:t>
      </w:r>
      <w:r>
        <w:rPr>
          <w:szCs w:val="22"/>
        </w:rPr>
        <w:t xml:space="preserve"> or </w:t>
      </w:r>
      <w:r w:rsidRPr="001C2E9C">
        <w:rPr>
          <w:szCs w:val="22"/>
        </w:rPr>
        <w:t>applies a proactive waiver.</w:t>
      </w:r>
      <w:r>
        <w:rPr>
          <w:rStyle w:val="FootnoteReference"/>
          <w:szCs w:val="22"/>
        </w:rPr>
        <w:footnoteReference w:id="99"/>
      </w:r>
    </w:p>
    <w:p w:rsidR="00C96CC6" w:rsidRPr="001C2E9C" w:rsidP="00C96CC6" w14:paraId="2A460095" w14:textId="77777777">
      <w:pPr>
        <w:pStyle w:val="ParaNum"/>
        <w:widowControl/>
        <w:rPr>
          <w:szCs w:val="22"/>
        </w:rPr>
      </w:pPr>
      <w:r>
        <w:t>The Bureaus</w:t>
      </w:r>
      <w:r w:rsidRPr="001C2E9C">
        <w:rPr>
          <w:szCs w:val="22"/>
        </w:rPr>
        <w:t xml:space="preserve"> also sought comment on alternative versions of the simultaneous stopping </w:t>
      </w:r>
      <w:r>
        <w:rPr>
          <w:szCs w:val="22"/>
        </w:rPr>
        <w:t>rule</w:t>
      </w:r>
      <w:r w:rsidRPr="001C2E9C">
        <w:rPr>
          <w:szCs w:val="22"/>
        </w:rPr>
        <w:t xml:space="preserve"> for Auction </w:t>
      </w:r>
      <w:r>
        <w:rPr>
          <w:szCs w:val="22"/>
        </w:rPr>
        <w:t>100</w:t>
      </w:r>
      <w:r w:rsidRPr="001C2E9C">
        <w:rPr>
          <w:szCs w:val="22"/>
        </w:rPr>
        <w:t>:</w:t>
      </w:r>
    </w:p>
    <w:p w:rsidR="00C96CC6" w:rsidP="00C96CC6" w14:paraId="5A911AC9" w14:textId="77777777">
      <w:pPr>
        <w:widowControl/>
        <w:spacing w:after="120"/>
        <w:ind w:left="720"/>
      </w:pPr>
      <w:r w:rsidRPr="001C2E9C">
        <w:t xml:space="preserve">Option 1.  The auction would close for all </w:t>
      </w:r>
      <w:r>
        <w:t>construction permits</w:t>
      </w:r>
      <w:r w:rsidRPr="001C2E9C">
        <w:t xml:space="preserve"> after the first round in which no bidder applies </w:t>
      </w:r>
      <w:r>
        <w:t xml:space="preserve">a </w:t>
      </w:r>
      <w:r w:rsidRPr="001C2E9C">
        <w:t xml:space="preserve">waiver or places any new bid on a </w:t>
      </w:r>
      <w:r>
        <w:t>construction permit</w:t>
      </w:r>
      <w:r w:rsidRPr="001C2E9C">
        <w:t xml:space="preserve"> </w:t>
      </w:r>
      <w:r>
        <w:t>for</w:t>
      </w:r>
      <w:r w:rsidRPr="001C2E9C">
        <w:t xml:space="preserve"> which it is not the provisionally winning bidder.  Thus, absent any other bidding activity, a bidder placing a new bid on a </w:t>
      </w:r>
      <w:r>
        <w:t>construction permit</w:t>
      </w:r>
      <w:r w:rsidRPr="001C2E9C">
        <w:t xml:space="preserve"> for which it is the provisionally winning bidder would not keep the auction open under this modified stopping </w:t>
      </w:r>
      <w:r>
        <w:t>rule</w:t>
      </w:r>
      <w:r w:rsidRPr="001C2E9C">
        <w:t>.</w:t>
      </w:r>
    </w:p>
    <w:p w:rsidR="00C96CC6" w:rsidP="00C96CC6" w14:paraId="0BBD75E0" w14:textId="77777777">
      <w:pPr>
        <w:widowControl/>
        <w:spacing w:after="120"/>
        <w:ind w:left="720"/>
      </w:pPr>
      <w:r w:rsidRPr="001C2E9C">
        <w:t xml:space="preserve">Option 2.  </w:t>
      </w:r>
      <w:r>
        <w:t>T</w:t>
      </w:r>
      <w:r w:rsidRPr="00CC3AEE">
        <w:rPr>
          <w:szCs w:val="22"/>
        </w:rPr>
        <w:t>he auction</w:t>
      </w:r>
      <w:r>
        <w:rPr>
          <w:szCs w:val="22"/>
        </w:rPr>
        <w:t xml:space="preserve"> would close</w:t>
      </w:r>
      <w:r w:rsidRPr="00CC3AEE">
        <w:rPr>
          <w:szCs w:val="22"/>
        </w:rPr>
        <w:t xml:space="preserve"> for all construction permits after the first round in w</w:t>
      </w:r>
      <w:r>
        <w:rPr>
          <w:szCs w:val="22"/>
        </w:rPr>
        <w:t>hich no bidder applies a proactive waiver</w:t>
      </w:r>
      <w:r w:rsidRPr="00CC3AEE">
        <w:rPr>
          <w:szCs w:val="22"/>
        </w:rPr>
        <w:t xml:space="preserve"> or places any new bid on a construction permit</w:t>
      </w:r>
      <w:r>
        <w:rPr>
          <w:szCs w:val="22"/>
        </w:rPr>
        <w:t xml:space="preserve"> that already has a provisionally winning bid</w:t>
      </w:r>
      <w:r w:rsidRPr="00CC3AEE">
        <w:rPr>
          <w:szCs w:val="22"/>
        </w:rPr>
        <w:t>.  Thus, absent any other bidding activity, a bidder placing a new bid on a</w:t>
      </w:r>
      <w:r>
        <w:rPr>
          <w:szCs w:val="22"/>
        </w:rPr>
        <w:t>n</w:t>
      </w:r>
      <w:r w:rsidRPr="00CC3AEE">
        <w:rPr>
          <w:szCs w:val="22"/>
        </w:rPr>
        <w:t xml:space="preserve"> </w:t>
      </w:r>
      <w:r>
        <w:rPr>
          <w:szCs w:val="22"/>
        </w:rPr>
        <w:t xml:space="preserve">FCC-held </w:t>
      </w:r>
      <w:r w:rsidRPr="00CC3AEE">
        <w:rPr>
          <w:szCs w:val="22"/>
        </w:rPr>
        <w:t>construction permit</w:t>
      </w:r>
      <w:r>
        <w:rPr>
          <w:szCs w:val="22"/>
        </w:rPr>
        <w:t xml:space="preserve"> (a construction permit that does not have a provisionally winning bid)</w:t>
      </w:r>
      <w:r w:rsidRPr="00CC3AEE">
        <w:rPr>
          <w:szCs w:val="22"/>
        </w:rPr>
        <w:t xml:space="preserve"> would not keep the auction open under this modified stopping </w:t>
      </w:r>
      <w:r>
        <w:rPr>
          <w:szCs w:val="22"/>
        </w:rPr>
        <w:t>rule</w:t>
      </w:r>
      <w:r w:rsidRPr="001C2E9C">
        <w:t>.</w:t>
      </w:r>
    </w:p>
    <w:p w:rsidR="00C96CC6" w:rsidRPr="001C2E9C" w:rsidP="00C96CC6" w14:paraId="7E5FD894" w14:textId="77777777">
      <w:pPr>
        <w:widowControl/>
        <w:spacing w:after="120"/>
        <w:ind w:left="720"/>
      </w:pPr>
      <w:r w:rsidRPr="001C2E9C">
        <w:t xml:space="preserve">Option </w:t>
      </w:r>
      <w:r>
        <w:t>3</w:t>
      </w:r>
      <w:r w:rsidRPr="001C2E9C">
        <w:t xml:space="preserve">.  </w:t>
      </w:r>
      <w:r>
        <w:t>The auction would close u</w:t>
      </w:r>
      <w:r w:rsidRPr="00CC3AEE">
        <w:rPr>
          <w:szCs w:val="22"/>
        </w:rPr>
        <w:t>s</w:t>
      </w:r>
      <w:r>
        <w:rPr>
          <w:szCs w:val="22"/>
        </w:rPr>
        <w:t>ing</w:t>
      </w:r>
      <w:r w:rsidRPr="00CC3AEE">
        <w:rPr>
          <w:szCs w:val="22"/>
        </w:rPr>
        <w:t xml:space="preserve"> a modified version of the simultaneous stopping </w:t>
      </w:r>
      <w:r>
        <w:rPr>
          <w:szCs w:val="22"/>
        </w:rPr>
        <w:t>rule that combines Option 1 and Option 2 above</w:t>
      </w:r>
      <w:r w:rsidRPr="001C2E9C">
        <w:t>.</w:t>
      </w:r>
    </w:p>
    <w:p w:rsidR="00C96CC6" w:rsidP="00C96CC6" w14:paraId="3E04AD89" w14:textId="767E9C83">
      <w:pPr>
        <w:widowControl/>
        <w:spacing w:after="120"/>
        <w:ind w:left="720"/>
      </w:pPr>
      <w:r>
        <w:t>Option 4</w:t>
      </w:r>
      <w:r w:rsidRPr="001C2E9C">
        <w:t xml:space="preserve">.  The auction would </w:t>
      </w:r>
      <w:r>
        <w:t>close</w:t>
      </w:r>
      <w:r w:rsidRPr="001C2E9C">
        <w:t xml:space="preserve"> after a specified number of additional rounds</w:t>
      </w:r>
      <w:r>
        <w:t xml:space="preserve"> (special stopping rule) to be announced by </w:t>
      </w:r>
      <w:r w:rsidR="002101C0">
        <w:t>MB and OEA</w:t>
      </w:r>
      <w:r w:rsidRPr="001C2E9C">
        <w:t xml:space="preserve">.  If </w:t>
      </w:r>
      <w:r w:rsidR="002101C0">
        <w:t>MB and OEA</w:t>
      </w:r>
      <w:r w:rsidRPr="001C2E9C">
        <w:t xml:space="preserve"> invoke this special stopping </w:t>
      </w:r>
      <w:r>
        <w:t>rule</w:t>
      </w:r>
      <w:r w:rsidRPr="001C2E9C">
        <w:t xml:space="preserve">, </w:t>
      </w:r>
      <w:r>
        <w:t>they</w:t>
      </w:r>
      <w:r w:rsidRPr="001C2E9C">
        <w:t xml:space="preserve"> will accept bids in the specified final round(s)</w:t>
      </w:r>
      <w:r>
        <w:t xml:space="preserve">, after which </w:t>
      </w:r>
      <w:r w:rsidRPr="001C2E9C">
        <w:t>the auction will close.</w:t>
      </w:r>
    </w:p>
    <w:p w:rsidR="00C96CC6" w:rsidRPr="001C2E9C" w:rsidP="00C96CC6" w14:paraId="54823FB4" w14:textId="77777777">
      <w:pPr>
        <w:widowControl/>
        <w:spacing w:after="120"/>
        <w:ind w:left="720"/>
      </w:pPr>
      <w:r>
        <w:t>Option 5</w:t>
      </w:r>
      <w:r w:rsidRPr="001C2E9C">
        <w:t>.  The auction would remain open even if no bidder places any new bids</w:t>
      </w:r>
      <w:r>
        <w:t xml:space="preserve"> or</w:t>
      </w:r>
      <w:r w:rsidRPr="001C2E9C">
        <w:t xml:space="preserve"> applies a waiver.  In this event, the effect will be the same as if a bidder had applied a waiver.  </w:t>
      </w:r>
      <w:r>
        <w:t>T</w:t>
      </w:r>
      <w:r w:rsidRPr="001C2E9C">
        <w:t>he activity rule will apply as usual, and a bidder with insufficient activity will either lose bidding eligibility or use a waiver.</w:t>
      </w:r>
    </w:p>
    <w:p w:rsidR="00C96CC6" w:rsidRPr="00726CD6" w:rsidP="00C96CC6" w14:paraId="23D2BB8D" w14:textId="35C7E7C0">
      <w:pPr>
        <w:pStyle w:val="ParaNum"/>
        <w:widowControl/>
      </w:pPr>
      <w:r w:rsidRPr="002A0DC5">
        <w:t>The</w:t>
      </w:r>
      <w:r>
        <w:rPr>
          <w:szCs w:val="22"/>
        </w:rPr>
        <w:t xml:space="preserve"> Bureaus</w:t>
      </w:r>
      <w:r w:rsidRPr="001C2E9C">
        <w:rPr>
          <w:szCs w:val="22"/>
        </w:rPr>
        <w:t xml:space="preserve"> proposed to exercise these options only in </w:t>
      </w:r>
      <w:r>
        <w:rPr>
          <w:szCs w:val="22"/>
        </w:rPr>
        <w:t xml:space="preserve">certain </w:t>
      </w:r>
      <w:r w:rsidRPr="001C2E9C">
        <w:rPr>
          <w:szCs w:val="22"/>
        </w:rPr>
        <w:t>circumstances</w:t>
      </w:r>
      <w:r>
        <w:rPr>
          <w:szCs w:val="22"/>
        </w:rPr>
        <w:t xml:space="preserve">, for example, </w:t>
      </w:r>
      <w:r w:rsidRPr="001C2E9C">
        <w:rPr>
          <w:szCs w:val="22"/>
        </w:rPr>
        <w:t>where the auction is proceeding unusually slowly or quickly, there is minimal overall bidding activity, or it appears likely that the auction will not close within a reasonable period of time or will close prematurely.</w:t>
      </w:r>
      <w:r>
        <w:rPr>
          <w:rStyle w:val="FootnoteReference"/>
          <w:szCs w:val="22"/>
        </w:rPr>
        <w:footnoteReference w:id="100"/>
      </w:r>
      <w:r w:rsidRPr="001C2E9C">
        <w:rPr>
          <w:szCs w:val="22"/>
        </w:rPr>
        <w:t xml:space="preserve">  </w:t>
      </w:r>
      <w:r>
        <w:rPr>
          <w:szCs w:val="22"/>
        </w:rPr>
        <w:t>B</w:t>
      </w:r>
      <w:r w:rsidRPr="00AA2B80">
        <w:rPr>
          <w:szCs w:val="22"/>
        </w:rPr>
        <w:t xml:space="preserve">efore exercising these options, </w:t>
      </w:r>
      <w:r w:rsidR="002101C0">
        <w:rPr>
          <w:szCs w:val="22"/>
        </w:rPr>
        <w:t>MB and OEA</w:t>
      </w:r>
      <w:r w:rsidRPr="00AA2B80">
        <w:rPr>
          <w:szCs w:val="22"/>
        </w:rPr>
        <w:t xml:space="preserve"> are likely to attempt to change the pace of the auction</w:t>
      </w:r>
      <w:r>
        <w:rPr>
          <w:szCs w:val="22"/>
        </w:rPr>
        <w:t>.  F</w:t>
      </w:r>
      <w:r w:rsidRPr="00AA2B80">
        <w:rPr>
          <w:szCs w:val="22"/>
        </w:rPr>
        <w:t xml:space="preserve">or example, </w:t>
      </w:r>
      <w:r w:rsidR="001030F8">
        <w:rPr>
          <w:szCs w:val="22"/>
        </w:rPr>
        <w:t>we</w:t>
      </w:r>
      <w:r>
        <w:rPr>
          <w:szCs w:val="22"/>
        </w:rPr>
        <w:t xml:space="preserve"> may adjust the pace of bidding by </w:t>
      </w:r>
      <w:r w:rsidRPr="00AA2B80">
        <w:rPr>
          <w:szCs w:val="22"/>
        </w:rPr>
        <w:t xml:space="preserve">changing the number of bidding rounds </w:t>
      </w:r>
      <w:r w:rsidRPr="00AA2B80">
        <w:rPr>
          <w:szCs w:val="22"/>
        </w:rPr>
        <w:t xml:space="preserve">per day and/or </w:t>
      </w:r>
      <w:r>
        <w:rPr>
          <w:szCs w:val="22"/>
        </w:rPr>
        <w:t xml:space="preserve">the </w:t>
      </w:r>
      <w:r w:rsidRPr="00AA2B80">
        <w:rPr>
          <w:szCs w:val="22"/>
        </w:rPr>
        <w:t>minimum acceptable bids.</w:t>
      </w:r>
      <w:r>
        <w:rPr>
          <w:rStyle w:val="FootnoteReference"/>
          <w:szCs w:val="22"/>
        </w:rPr>
        <w:footnoteReference w:id="101"/>
      </w:r>
      <w:r>
        <w:rPr>
          <w:szCs w:val="22"/>
        </w:rPr>
        <w:t xml:space="preserve">  The Bureaus</w:t>
      </w:r>
      <w:r>
        <w:rPr>
          <w:color w:val="000000"/>
        </w:rPr>
        <w:t xml:space="preserve"> proposed to retain the discretion to exercise any of these options with or without prior announcement during the auction.</w:t>
      </w:r>
      <w:r>
        <w:rPr>
          <w:rStyle w:val="FootnoteReference"/>
        </w:rPr>
        <w:footnoteReference w:id="102"/>
      </w:r>
      <w:r>
        <w:rPr>
          <w:color w:val="000000"/>
        </w:rPr>
        <w:t xml:space="preserve">  </w:t>
      </w:r>
      <w:r w:rsidR="001030F8">
        <w:rPr>
          <w:color w:val="000000"/>
        </w:rPr>
        <w:t>We</w:t>
      </w:r>
      <w:r>
        <w:rPr>
          <w:color w:val="000000"/>
        </w:rPr>
        <w:t xml:space="preserve"> received no comment on these proposals and adopt them for Auction 100.</w:t>
      </w:r>
    </w:p>
    <w:p w:rsidR="00C96CC6" w:rsidP="00C96CC6" w14:paraId="6671DDEC" w14:textId="77777777">
      <w:pPr>
        <w:pStyle w:val="Heading3"/>
      </w:pPr>
      <w:bookmarkStart w:id="887" w:name="_Toc505077432"/>
      <w:bookmarkStart w:id="888" w:name="_Toc507144314"/>
      <w:bookmarkStart w:id="889" w:name="_Toc507166613"/>
      <w:bookmarkStart w:id="890" w:name="_Toc508121636"/>
      <w:bookmarkStart w:id="891" w:name="_Toc508638850"/>
      <w:bookmarkStart w:id="892" w:name="_Toc508895724"/>
      <w:bookmarkStart w:id="893" w:name="_Toc508953836"/>
      <w:bookmarkStart w:id="894" w:name="_Toc509388482"/>
      <w:bookmarkStart w:id="895" w:name="_Toc509492123"/>
      <w:bookmarkStart w:id="896" w:name="_Toc529870351"/>
      <w:bookmarkStart w:id="897" w:name="_Toc530566529"/>
      <w:bookmarkStart w:id="898" w:name="_Toc531608871"/>
      <w:bookmarkStart w:id="899" w:name="_Toc531700863"/>
      <w:bookmarkStart w:id="900" w:name="_Toc532976644"/>
      <w:bookmarkStart w:id="901" w:name="_Toc536103121"/>
      <w:bookmarkStart w:id="902" w:name="_Toc944561"/>
      <w:bookmarkStart w:id="903" w:name="_Toc4164765"/>
      <w:bookmarkStart w:id="904" w:name="_Toc4419568"/>
      <w:bookmarkStart w:id="905" w:name="_Toc5609544"/>
      <w:bookmarkStart w:id="906" w:name="_Toc5975800"/>
      <w:bookmarkStart w:id="907" w:name="_Toc6220324"/>
      <w:bookmarkStart w:id="908" w:name="_Toc6232657"/>
      <w:r>
        <w:t>Auction Delay, Suspension, or Cancellation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C96CC6" w:rsidRPr="001C2E9C" w:rsidP="00C96CC6" w14:paraId="395B8E70" w14:textId="77777777">
      <w:pPr>
        <w:pStyle w:val="ParaNum"/>
        <w:widowControl/>
        <w:rPr>
          <w:szCs w:val="22"/>
        </w:rPr>
      </w:pPr>
      <w:r w:rsidRPr="002A0DC5">
        <w:t>In</w:t>
      </w:r>
      <w:r w:rsidRPr="001C2E9C">
        <w:rPr>
          <w:szCs w:val="22"/>
        </w:rPr>
        <w:t xml:space="preserve"> the </w:t>
      </w:r>
      <w:r w:rsidRPr="001C2E9C">
        <w:rPr>
          <w:i/>
          <w:szCs w:val="22"/>
        </w:rPr>
        <w:t xml:space="preserve">Auction </w:t>
      </w:r>
      <w:r>
        <w:rPr>
          <w:i/>
          <w:szCs w:val="22"/>
        </w:rPr>
        <w:t>100</w:t>
      </w:r>
      <w:r w:rsidRPr="001C2E9C">
        <w:rPr>
          <w:i/>
          <w:szCs w:val="22"/>
        </w:rPr>
        <w:t xml:space="preserve"> Comment Public Notice</w:t>
      </w:r>
      <w:r w:rsidRPr="001C2E9C">
        <w:rPr>
          <w:szCs w:val="22"/>
        </w:rPr>
        <w:t>, the Bureau</w:t>
      </w:r>
      <w:r>
        <w:rPr>
          <w:szCs w:val="22"/>
        </w:rPr>
        <w:t>s</w:t>
      </w:r>
      <w:r w:rsidRPr="001C2E9C">
        <w:rPr>
          <w:szCs w:val="22"/>
        </w:rPr>
        <w:t xml:space="preserve"> proposed that, by public notice </w:t>
      </w:r>
      <w:r>
        <w:rPr>
          <w:szCs w:val="22"/>
        </w:rPr>
        <w:t>and/</w:t>
      </w:r>
      <w:r w:rsidRPr="001C2E9C">
        <w:rPr>
          <w:szCs w:val="22"/>
        </w:rPr>
        <w:t xml:space="preserve">or by announcement </w:t>
      </w:r>
      <w:r>
        <w:rPr>
          <w:szCs w:val="22"/>
        </w:rPr>
        <w:t>through the FCC auction bidding system,</w:t>
      </w:r>
      <w:r w:rsidRPr="001C2E9C">
        <w:rPr>
          <w:szCs w:val="22"/>
        </w:rPr>
        <w:t xml:space="preserve"> </w:t>
      </w:r>
      <w:r>
        <w:rPr>
          <w:szCs w:val="22"/>
        </w:rPr>
        <w:t>they</w:t>
      </w:r>
      <w:r w:rsidRPr="001C2E9C">
        <w:rPr>
          <w:szCs w:val="22"/>
        </w:rPr>
        <w:t xml:space="preserve"> may delay, suspend, or cancel</w:t>
      </w:r>
      <w:r>
        <w:rPr>
          <w:szCs w:val="22"/>
        </w:rPr>
        <w:t xml:space="preserve"> bidding in</w:t>
      </w:r>
      <w:r w:rsidRPr="001C2E9C">
        <w:rPr>
          <w:szCs w:val="22"/>
        </w:rPr>
        <w:t xml:space="preserve"> the auction in the event of natural disaster, technical obstacle, administrative or weather necessity, evidence of an auction security breach or unlawful bidding activity, or for any other reason that affects the fair and efficient conduct of competitive bidding.</w:t>
      </w:r>
      <w:r>
        <w:rPr>
          <w:rStyle w:val="FootnoteReference"/>
          <w:szCs w:val="22"/>
        </w:rPr>
        <w:footnoteReference w:id="103"/>
      </w:r>
      <w:r w:rsidRPr="001C2E9C">
        <w:rPr>
          <w:szCs w:val="22"/>
        </w:rPr>
        <w:t xml:space="preserve">  </w:t>
      </w:r>
      <w:r>
        <w:rPr>
          <w:szCs w:val="22"/>
        </w:rPr>
        <w:t xml:space="preserve">We </w:t>
      </w:r>
      <w:r w:rsidRPr="001C2E9C">
        <w:rPr>
          <w:szCs w:val="22"/>
        </w:rPr>
        <w:t>received no comment on this issue.</w:t>
      </w:r>
    </w:p>
    <w:p w:rsidR="00C96CC6" w:rsidRPr="001C2E9C" w:rsidP="00C96CC6" w14:paraId="08742127" w14:textId="24AD99FD">
      <w:pPr>
        <w:pStyle w:val="ParaNum"/>
        <w:widowControl/>
        <w:rPr>
          <w:szCs w:val="22"/>
        </w:rPr>
      </w:pPr>
      <w:r w:rsidRPr="001C2E9C">
        <w:rPr>
          <w:szCs w:val="22"/>
        </w:rPr>
        <w:t xml:space="preserve">Because </w:t>
      </w:r>
      <w:r>
        <w:rPr>
          <w:szCs w:val="22"/>
        </w:rPr>
        <w:t>this</w:t>
      </w:r>
      <w:r w:rsidRPr="001C2E9C">
        <w:rPr>
          <w:szCs w:val="22"/>
        </w:rPr>
        <w:t xml:space="preserve"> approach has proven effective in resolving exigent circumstances in previous auctions, </w:t>
      </w:r>
      <w:r w:rsidR="002101C0">
        <w:rPr>
          <w:szCs w:val="22"/>
        </w:rPr>
        <w:t>MB and OEA</w:t>
      </w:r>
      <w:r>
        <w:rPr>
          <w:szCs w:val="22"/>
        </w:rPr>
        <w:t xml:space="preserve"> adopt these</w:t>
      </w:r>
      <w:r w:rsidRPr="001C2E9C">
        <w:rPr>
          <w:szCs w:val="22"/>
        </w:rPr>
        <w:t xml:space="preserve"> propos</w:t>
      </w:r>
      <w:r>
        <w:rPr>
          <w:szCs w:val="22"/>
        </w:rPr>
        <w:t>als</w:t>
      </w:r>
      <w:r w:rsidRPr="001C2E9C">
        <w:rPr>
          <w:szCs w:val="22"/>
        </w:rPr>
        <w:t xml:space="preserve"> regarding auction delay, suspension, or cancellation.  By public notice </w:t>
      </w:r>
      <w:r>
        <w:rPr>
          <w:szCs w:val="22"/>
        </w:rPr>
        <w:t>and/</w:t>
      </w:r>
      <w:r w:rsidRPr="001C2E9C">
        <w:rPr>
          <w:szCs w:val="22"/>
        </w:rPr>
        <w:t xml:space="preserve">or by announcement </w:t>
      </w:r>
      <w:r>
        <w:rPr>
          <w:szCs w:val="22"/>
        </w:rPr>
        <w:t>through the FCC auction bidding system</w:t>
      </w:r>
      <w:r w:rsidRPr="001C2E9C">
        <w:rPr>
          <w:szCs w:val="22"/>
        </w:rPr>
        <w:t xml:space="preserve">, </w:t>
      </w:r>
      <w:r>
        <w:rPr>
          <w:szCs w:val="22"/>
        </w:rPr>
        <w:t xml:space="preserve">we </w:t>
      </w:r>
      <w:r w:rsidRPr="001C2E9C">
        <w:rPr>
          <w:szCs w:val="22"/>
        </w:rPr>
        <w:t>may delay, suspend, or cancel</w:t>
      </w:r>
      <w:r>
        <w:rPr>
          <w:szCs w:val="22"/>
        </w:rPr>
        <w:t xml:space="preserve"> bidding in</w:t>
      </w:r>
      <w:r w:rsidRPr="001C2E9C">
        <w:rPr>
          <w:szCs w:val="22"/>
        </w:rPr>
        <w:t xml:space="preserve"> the auction in the event of natural disaster, technical obstacle, administrative or weather necessity, evidence of an auction security breach or unlawful bidding activity, or for any other reason that affects the fair and efficient conduct of competitive bidding.  In such cases, </w:t>
      </w:r>
      <w:r w:rsidR="002101C0">
        <w:rPr>
          <w:szCs w:val="22"/>
        </w:rPr>
        <w:t>MB and OEA</w:t>
      </w:r>
      <w:r w:rsidRPr="001C2E9C">
        <w:rPr>
          <w:szCs w:val="22"/>
        </w:rPr>
        <w:t xml:space="preserve">, in </w:t>
      </w:r>
      <w:r>
        <w:rPr>
          <w:szCs w:val="22"/>
        </w:rPr>
        <w:t>their</w:t>
      </w:r>
      <w:r w:rsidRPr="001C2E9C">
        <w:rPr>
          <w:szCs w:val="22"/>
        </w:rPr>
        <w:t xml:space="preserve"> sole discretion, may elect to resume the auction starting from the beginning of the current round</w:t>
      </w:r>
      <w:r>
        <w:rPr>
          <w:szCs w:val="22"/>
        </w:rPr>
        <w:t xml:space="preserve"> or </w:t>
      </w:r>
      <w:r w:rsidRPr="001C2E9C">
        <w:rPr>
          <w:szCs w:val="22"/>
        </w:rPr>
        <w:t xml:space="preserve">from some previous round, or cancel the auction in its entirety.  Network interruption may cause </w:t>
      </w:r>
      <w:r w:rsidR="002101C0">
        <w:rPr>
          <w:szCs w:val="22"/>
        </w:rPr>
        <w:t xml:space="preserve">MB and OEA </w:t>
      </w:r>
      <w:r w:rsidRPr="001C2E9C">
        <w:rPr>
          <w:szCs w:val="22"/>
        </w:rPr>
        <w:t xml:space="preserve">to delay or suspend the auction.  </w:t>
      </w:r>
      <w:r w:rsidR="002101C0">
        <w:rPr>
          <w:szCs w:val="22"/>
        </w:rPr>
        <w:t>MB and OEA</w:t>
      </w:r>
      <w:r>
        <w:rPr>
          <w:szCs w:val="22"/>
        </w:rPr>
        <w:t xml:space="preserve"> </w:t>
      </w:r>
      <w:r w:rsidRPr="001C2E9C">
        <w:rPr>
          <w:szCs w:val="22"/>
        </w:rPr>
        <w:t xml:space="preserve">emphasize that this authority </w:t>
      </w:r>
      <w:r w:rsidR="00420136">
        <w:rPr>
          <w:szCs w:val="22"/>
        </w:rPr>
        <w:t xml:space="preserve">will be exercised </w:t>
      </w:r>
      <w:r w:rsidRPr="001C2E9C">
        <w:rPr>
          <w:szCs w:val="22"/>
        </w:rPr>
        <w:t xml:space="preserve">solely </w:t>
      </w:r>
      <w:r>
        <w:rPr>
          <w:szCs w:val="22"/>
        </w:rPr>
        <w:t>at our</w:t>
      </w:r>
      <w:r w:rsidRPr="001C2E9C">
        <w:rPr>
          <w:szCs w:val="22"/>
        </w:rPr>
        <w:t xml:space="preserve"> discretion, and not</w:t>
      </w:r>
      <w:r>
        <w:rPr>
          <w:szCs w:val="22"/>
        </w:rPr>
        <w:t xml:space="preserve"> as a </w:t>
      </w:r>
      <w:r w:rsidRPr="001C2E9C">
        <w:rPr>
          <w:szCs w:val="22"/>
        </w:rPr>
        <w:t xml:space="preserve">substitute for situations in which bidders may wish to apply their activity </w:t>
      </w:r>
      <w:r>
        <w:rPr>
          <w:szCs w:val="22"/>
        </w:rPr>
        <w:t xml:space="preserve">rule </w:t>
      </w:r>
      <w:r w:rsidRPr="001C2E9C">
        <w:rPr>
          <w:szCs w:val="22"/>
        </w:rPr>
        <w:t>waivers.</w:t>
      </w:r>
    </w:p>
    <w:p w:rsidR="00C96CC6" w:rsidP="00C06E1B" w14:paraId="6A288D10" w14:textId="77777777">
      <w:pPr>
        <w:pStyle w:val="Heading2"/>
      </w:pPr>
      <w:bookmarkStart w:id="909" w:name="_Toc505077433"/>
      <w:bookmarkStart w:id="910" w:name="_Toc507144315"/>
      <w:bookmarkStart w:id="911" w:name="_Toc507166614"/>
      <w:bookmarkStart w:id="912" w:name="_Toc508121637"/>
      <w:bookmarkStart w:id="913" w:name="_Toc508638851"/>
      <w:bookmarkStart w:id="914" w:name="_Toc508895725"/>
      <w:bookmarkStart w:id="915" w:name="_Toc508953837"/>
      <w:bookmarkStart w:id="916" w:name="_Toc509388483"/>
      <w:bookmarkStart w:id="917" w:name="_Toc509492124"/>
      <w:bookmarkStart w:id="918" w:name="_Toc529870352"/>
      <w:bookmarkStart w:id="919" w:name="_Toc530566530"/>
      <w:bookmarkStart w:id="920" w:name="_Toc531608872"/>
      <w:bookmarkStart w:id="921" w:name="_Toc531700864"/>
      <w:bookmarkStart w:id="922" w:name="_Toc532976645"/>
      <w:bookmarkStart w:id="923" w:name="_Toc536103122"/>
      <w:bookmarkStart w:id="924" w:name="_Toc944562"/>
      <w:bookmarkStart w:id="925" w:name="_Toc4164766"/>
      <w:bookmarkStart w:id="926" w:name="_Toc4419569"/>
      <w:bookmarkStart w:id="927" w:name="_Toc5609545"/>
      <w:bookmarkStart w:id="928" w:name="_Toc5975801"/>
      <w:bookmarkStart w:id="929" w:name="_Toc6220325"/>
      <w:bookmarkStart w:id="930" w:name="_Toc6232658"/>
      <w:r>
        <w:t>Bidding Procedures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C96CC6" w:rsidP="00C96CC6" w14:paraId="30B88BFC" w14:textId="77777777">
      <w:pPr>
        <w:pStyle w:val="Heading3"/>
      </w:pPr>
      <w:bookmarkStart w:id="931" w:name="_Toc505077434"/>
      <w:bookmarkStart w:id="932" w:name="_Toc507144316"/>
      <w:bookmarkStart w:id="933" w:name="_Toc507166615"/>
      <w:bookmarkStart w:id="934" w:name="_Toc508121638"/>
      <w:bookmarkStart w:id="935" w:name="_Toc508638852"/>
      <w:bookmarkStart w:id="936" w:name="_Toc508895726"/>
      <w:bookmarkStart w:id="937" w:name="_Toc508953838"/>
      <w:bookmarkStart w:id="938" w:name="_Toc509388484"/>
      <w:bookmarkStart w:id="939" w:name="_Toc509492125"/>
      <w:bookmarkStart w:id="940" w:name="_Toc529870353"/>
      <w:bookmarkStart w:id="941" w:name="_Toc530566531"/>
      <w:bookmarkStart w:id="942" w:name="_Toc531608873"/>
      <w:bookmarkStart w:id="943" w:name="_Toc531700865"/>
      <w:bookmarkStart w:id="944" w:name="_Toc532976646"/>
      <w:bookmarkStart w:id="945" w:name="_Toc536103123"/>
      <w:bookmarkStart w:id="946" w:name="_Toc944563"/>
      <w:bookmarkStart w:id="947" w:name="_Toc4164767"/>
      <w:bookmarkStart w:id="948" w:name="_Toc4419570"/>
      <w:bookmarkStart w:id="949" w:name="_Toc5609546"/>
      <w:bookmarkStart w:id="950" w:name="_Toc5975802"/>
      <w:bookmarkStart w:id="951" w:name="_Toc6220326"/>
      <w:bookmarkStart w:id="952" w:name="_Toc6232659"/>
      <w:r>
        <w:t>Round Structure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C96CC6" w:rsidRPr="001C2E9C" w:rsidP="00C96CC6" w14:paraId="32DF0EFA" w14:textId="3AB16FA7">
      <w:pPr>
        <w:pStyle w:val="ParaNum"/>
        <w:widowControl/>
        <w:rPr>
          <w:szCs w:val="22"/>
        </w:rPr>
      </w:pPr>
      <w:bookmarkStart w:id="953" w:name="_Toc505077435"/>
      <w:r w:rsidRPr="001C2E9C">
        <w:rPr>
          <w:szCs w:val="22"/>
        </w:rPr>
        <w:t xml:space="preserve">Each bidding round is followed by the release of round results.  Multiple bidding rounds may be conducted </w:t>
      </w:r>
      <w:r>
        <w:rPr>
          <w:szCs w:val="22"/>
        </w:rPr>
        <w:t xml:space="preserve">each </w:t>
      </w:r>
      <w:r w:rsidRPr="001C2E9C">
        <w:rPr>
          <w:szCs w:val="22"/>
        </w:rPr>
        <w:t>day.</w:t>
      </w:r>
    </w:p>
    <w:p w:rsidR="00C96CC6" w:rsidRPr="00AA2B80" w:rsidP="00C96CC6" w14:paraId="324E4ACA" w14:textId="221CCF75">
      <w:pPr>
        <w:pStyle w:val="ParaNum"/>
        <w:widowControl/>
        <w:rPr>
          <w:szCs w:val="22"/>
        </w:rPr>
      </w:pPr>
      <w:r>
        <w:rPr>
          <w:szCs w:val="22"/>
        </w:rPr>
        <w:t xml:space="preserve">In the </w:t>
      </w:r>
      <w:r w:rsidRPr="00415F2C">
        <w:rPr>
          <w:i/>
          <w:szCs w:val="22"/>
        </w:rPr>
        <w:t xml:space="preserve">Auction </w:t>
      </w:r>
      <w:r>
        <w:rPr>
          <w:i/>
          <w:szCs w:val="22"/>
        </w:rPr>
        <w:t>100</w:t>
      </w:r>
      <w:r w:rsidRPr="00415F2C">
        <w:rPr>
          <w:i/>
          <w:szCs w:val="22"/>
        </w:rPr>
        <w:t xml:space="preserve"> Comment Public Notice</w:t>
      </w:r>
      <w:r>
        <w:rPr>
          <w:szCs w:val="22"/>
        </w:rPr>
        <w:t>, t</w:t>
      </w:r>
      <w:r w:rsidRPr="001C2E9C">
        <w:rPr>
          <w:szCs w:val="22"/>
        </w:rPr>
        <w:t>he Bureau</w:t>
      </w:r>
      <w:r>
        <w:rPr>
          <w:szCs w:val="22"/>
        </w:rPr>
        <w:t>s</w:t>
      </w:r>
      <w:r w:rsidRPr="001C2E9C">
        <w:rPr>
          <w:szCs w:val="22"/>
        </w:rPr>
        <w:t xml:space="preserve"> </w:t>
      </w:r>
      <w:r>
        <w:rPr>
          <w:szCs w:val="22"/>
        </w:rPr>
        <w:t>proposed to retain the</w:t>
      </w:r>
      <w:r w:rsidRPr="001C2E9C">
        <w:rPr>
          <w:szCs w:val="22"/>
        </w:rPr>
        <w:t xml:space="preserve"> discretion to change the bidding schedule in order to foster an auction pace that reasonably balances speed with the bidders’ need to study round results and adjust their bidding strategies.  </w:t>
      </w:r>
      <w:r w:rsidR="001030F8">
        <w:rPr>
          <w:szCs w:val="22"/>
        </w:rPr>
        <w:t>We</w:t>
      </w:r>
      <w:r>
        <w:rPr>
          <w:szCs w:val="22"/>
        </w:rPr>
        <w:t xml:space="preserve"> received no comment on these proposals and adopt them for Auction 100.  </w:t>
      </w:r>
      <w:r w:rsidR="00C83F0F">
        <w:rPr>
          <w:szCs w:val="22"/>
        </w:rPr>
        <w:t>MB and OEA</w:t>
      </w:r>
      <w:r>
        <w:rPr>
          <w:szCs w:val="22"/>
        </w:rPr>
        <w:t xml:space="preserve"> </w:t>
      </w:r>
      <w:r w:rsidRPr="001C2E9C">
        <w:rPr>
          <w:szCs w:val="22"/>
        </w:rPr>
        <w:t xml:space="preserve">may </w:t>
      </w:r>
      <w:r>
        <w:rPr>
          <w:szCs w:val="22"/>
        </w:rPr>
        <w:t xml:space="preserve">change </w:t>
      </w:r>
      <w:r w:rsidRPr="001C2E9C">
        <w:rPr>
          <w:szCs w:val="22"/>
        </w:rPr>
        <w:t xml:space="preserve">the amount of time for </w:t>
      </w:r>
      <w:r>
        <w:rPr>
          <w:szCs w:val="22"/>
        </w:rPr>
        <w:t xml:space="preserve">the </w:t>
      </w:r>
      <w:r w:rsidRPr="001C2E9C">
        <w:rPr>
          <w:szCs w:val="22"/>
        </w:rPr>
        <w:t xml:space="preserve">bidding rounds, the </w:t>
      </w:r>
      <w:r w:rsidRPr="00AA2B80">
        <w:rPr>
          <w:szCs w:val="22"/>
        </w:rPr>
        <w:t>amount of time between rounds, or the number of rounds per day, depending upon bidding activity and other factors</w:t>
      </w:r>
      <w:r w:rsidR="00F85E5F">
        <w:rPr>
          <w:szCs w:val="22"/>
        </w:rPr>
        <w:t>, by prior announcement</w:t>
      </w:r>
      <w:r w:rsidRPr="00AA2B80">
        <w:rPr>
          <w:szCs w:val="22"/>
        </w:rPr>
        <w:t>.</w:t>
      </w:r>
    </w:p>
    <w:p w:rsidR="00C96CC6" w:rsidP="00C96CC6" w14:paraId="0097E32E" w14:textId="77777777">
      <w:pPr>
        <w:pStyle w:val="Heading3"/>
      </w:pPr>
      <w:bookmarkStart w:id="954" w:name="_Toc507144317"/>
      <w:bookmarkStart w:id="955" w:name="_Toc507166616"/>
      <w:bookmarkStart w:id="956" w:name="_Toc508121639"/>
      <w:bookmarkStart w:id="957" w:name="_Toc508638853"/>
      <w:bookmarkStart w:id="958" w:name="_Toc508895727"/>
      <w:bookmarkStart w:id="959" w:name="_Toc508953839"/>
      <w:bookmarkStart w:id="960" w:name="_Toc509388485"/>
      <w:bookmarkStart w:id="961" w:name="_Toc509492126"/>
      <w:bookmarkStart w:id="962" w:name="_Toc529870354"/>
      <w:bookmarkStart w:id="963" w:name="_Toc530566532"/>
      <w:bookmarkStart w:id="964" w:name="_Toc531608874"/>
      <w:bookmarkStart w:id="965" w:name="_Toc531700866"/>
      <w:bookmarkStart w:id="966" w:name="_Toc532976647"/>
      <w:bookmarkStart w:id="967" w:name="_Toc536103124"/>
      <w:bookmarkStart w:id="968" w:name="_Toc944564"/>
      <w:bookmarkStart w:id="969" w:name="_Toc4164768"/>
      <w:bookmarkStart w:id="970" w:name="_Toc4419571"/>
      <w:bookmarkStart w:id="971" w:name="_Toc5609547"/>
      <w:bookmarkStart w:id="972" w:name="_Toc5975803"/>
      <w:bookmarkStart w:id="973" w:name="_Toc6220327"/>
      <w:bookmarkStart w:id="974" w:name="_Toc6232660"/>
      <w:r>
        <w:t>Reserve Price and Minimum Opening Bids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C96CC6" w:rsidP="00C96CC6" w14:paraId="5DF30D3D" w14:textId="4C67A52F">
      <w:pPr>
        <w:pStyle w:val="ParaNum"/>
        <w:widowControl/>
        <w:rPr>
          <w:szCs w:val="22"/>
        </w:rPr>
      </w:pPr>
      <w:r w:rsidRPr="002A0DC5">
        <w:t>Section</w:t>
      </w:r>
      <w:r w:rsidRPr="00A931B6">
        <w:rPr>
          <w:szCs w:val="22"/>
        </w:rPr>
        <w:t xml:space="preserve">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Pr>
          <w:rStyle w:val="FootnoteReference"/>
          <w:szCs w:val="22"/>
        </w:rPr>
        <w:footnoteReference w:id="104"/>
      </w:r>
      <w:r w:rsidRPr="00A931B6">
        <w:rPr>
          <w:szCs w:val="22"/>
        </w:rPr>
        <w:t xml:space="preserve">  Consistent with this mandate, the Commission directed </w:t>
      </w:r>
      <w:r w:rsidR="004F34A5">
        <w:rPr>
          <w:szCs w:val="22"/>
        </w:rPr>
        <w:t>u</w:t>
      </w:r>
      <w:r w:rsidRPr="00A931B6">
        <w:rPr>
          <w:szCs w:val="22"/>
        </w:rPr>
        <w:t>s to seek comment on the use of a minimum opening bid and/or reserve price prior to the start of each auction.</w:t>
      </w:r>
      <w:r>
        <w:rPr>
          <w:rStyle w:val="FootnoteReference"/>
          <w:szCs w:val="22"/>
        </w:rPr>
        <w:footnoteReference w:id="105"/>
      </w:r>
      <w:r w:rsidRPr="00A931B6">
        <w:rPr>
          <w:szCs w:val="22"/>
        </w:rPr>
        <w:t xml:space="preserve">  Among other factors, we must consider the amount of spectrum being auctioned, levels of incumbency, the availability of technology to provide service, the size of the geographic service areas, the extent of interference with </w:t>
      </w:r>
      <w:r w:rsidRPr="00A931B6">
        <w:rPr>
          <w:szCs w:val="22"/>
        </w:rPr>
        <w:t xml:space="preserve">other spectrum bands, and any other </w:t>
      </w:r>
      <w:r w:rsidRPr="003F4483">
        <w:rPr>
          <w:szCs w:val="22"/>
        </w:rPr>
        <w:t>relevant factors that could have an impact on the spectrum being auctioned.</w:t>
      </w:r>
      <w:r>
        <w:rPr>
          <w:rStyle w:val="FootnoteReference"/>
          <w:szCs w:val="22"/>
        </w:rPr>
        <w:footnoteReference w:id="106"/>
      </w:r>
      <w:r w:rsidRPr="004E0894">
        <w:rPr>
          <w:szCs w:val="22"/>
        </w:rPr>
        <w:t xml:space="preserve">  The Commission concluded that </w:t>
      </w:r>
      <w:r w:rsidR="004F34A5">
        <w:rPr>
          <w:szCs w:val="22"/>
        </w:rPr>
        <w:t>we</w:t>
      </w:r>
      <w:r w:rsidRPr="004E0894">
        <w:rPr>
          <w:szCs w:val="22"/>
        </w:rPr>
        <w:t xml:space="preserve"> should have the discretion to employ either or both of </w:t>
      </w:r>
      <w:r w:rsidRPr="0095321F">
        <w:rPr>
          <w:szCs w:val="22"/>
        </w:rPr>
        <w:t>these mechanisms for future auctions</w:t>
      </w:r>
      <w:r>
        <w:rPr>
          <w:szCs w:val="22"/>
        </w:rPr>
        <w:t>.</w:t>
      </w:r>
      <w:r>
        <w:rPr>
          <w:rStyle w:val="FootnoteReference"/>
          <w:szCs w:val="22"/>
        </w:rPr>
        <w:footnoteReference w:id="107"/>
      </w:r>
    </w:p>
    <w:p w:rsidR="00C96CC6" w:rsidP="00C96CC6" w14:paraId="504FB979" w14:textId="1672EB67">
      <w:pPr>
        <w:pStyle w:val="ParaNum"/>
        <w:widowControl/>
        <w:rPr>
          <w:szCs w:val="22"/>
        </w:rPr>
      </w:pPr>
      <w:r w:rsidRPr="002A0DC5">
        <w:t>In</w:t>
      </w:r>
      <w:r w:rsidRPr="000647D5">
        <w:rPr>
          <w:szCs w:val="22"/>
        </w:rPr>
        <w:t xml:space="preserve"> the </w:t>
      </w:r>
      <w:r w:rsidRPr="007B1543">
        <w:rPr>
          <w:i/>
          <w:szCs w:val="22"/>
        </w:rPr>
        <w:t xml:space="preserve">Auction </w:t>
      </w:r>
      <w:r>
        <w:rPr>
          <w:i/>
          <w:szCs w:val="22"/>
        </w:rPr>
        <w:t>100</w:t>
      </w:r>
      <w:r w:rsidRPr="007B1543">
        <w:rPr>
          <w:i/>
          <w:szCs w:val="22"/>
        </w:rPr>
        <w:t xml:space="preserve"> Comment Public Notice</w:t>
      </w:r>
      <w:r w:rsidRPr="007B1543">
        <w:rPr>
          <w:szCs w:val="22"/>
        </w:rPr>
        <w:t>, the Bureaus propose</w:t>
      </w:r>
      <w:r w:rsidR="00420136">
        <w:rPr>
          <w:szCs w:val="22"/>
        </w:rPr>
        <w:t>d not</w:t>
      </w:r>
      <w:r w:rsidRPr="007B1543">
        <w:rPr>
          <w:szCs w:val="22"/>
        </w:rPr>
        <w:t xml:space="preserve"> to establish reserve prices for </w:t>
      </w:r>
      <w:r w:rsidR="004D3B63">
        <w:rPr>
          <w:szCs w:val="22"/>
        </w:rPr>
        <w:t>specific</w:t>
      </w:r>
      <w:r w:rsidRPr="007B1543" w:rsidR="004D3B63">
        <w:rPr>
          <w:szCs w:val="22"/>
        </w:rPr>
        <w:t xml:space="preserve"> </w:t>
      </w:r>
      <w:r w:rsidRPr="007B1543">
        <w:rPr>
          <w:szCs w:val="22"/>
        </w:rPr>
        <w:t xml:space="preserve">construction permits </w:t>
      </w:r>
      <w:r>
        <w:rPr>
          <w:szCs w:val="22"/>
        </w:rPr>
        <w:t>listed in Attachment A</w:t>
      </w:r>
      <w:r w:rsidR="004D3B63">
        <w:rPr>
          <w:szCs w:val="22"/>
        </w:rPr>
        <w:t xml:space="preserve"> that are different from minimum opening bid amounts</w:t>
      </w:r>
      <w:r w:rsidRPr="007B1543">
        <w:rPr>
          <w:szCs w:val="22"/>
        </w:rPr>
        <w:t>.</w:t>
      </w:r>
      <w:r>
        <w:rPr>
          <w:rStyle w:val="FootnoteReference"/>
          <w:szCs w:val="22"/>
        </w:rPr>
        <w:footnoteReference w:id="108"/>
      </w:r>
      <w:r w:rsidRPr="007B1543">
        <w:rPr>
          <w:szCs w:val="22"/>
        </w:rPr>
        <w:t xml:space="preserve">  This is consistent with policy applied in earlier broadcast spectrum auctions.  </w:t>
      </w:r>
      <w:r w:rsidR="001030F8">
        <w:rPr>
          <w:szCs w:val="22"/>
        </w:rPr>
        <w:t>We</w:t>
      </w:r>
      <w:r>
        <w:rPr>
          <w:szCs w:val="22"/>
        </w:rPr>
        <w:t xml:space="preserve"> did not receive comment on this proposal and adopt it.</w:t>
      </w:r>
    </w:p>
    <w:p w:rsidR="00C96CC6" w:rsidRPr="007B1543" w:rsidP="00C96CC6" w14:paraId="1D8B33DF" w14:textId="134DD83D">
      <w:pPr>
        <w:pStyle w:val="ParaNum"/>
        <w:widowControl/>
        <w:rPr>
          <w:szCs w:val="22"/>
        </w:rPr>
      </w:pPr>
      <w:r>
        <w:rPr>
          <w:szCs w:val="22"/>
        </w:rPr>
        <w:t>T</w:t>
      </w:r>
      <w:r>
        <w:rPr>
          <w:szCs w:val="22"/>
        </w:rPr>
        <w:t xml:space="preserve">he Bureaus in the </w:t>
      </w:r>
      <w:r w:rsidRPr="000F2417">
        <w:rPr>
          <w:i/>
          <w:szCs w:val="22"/>
        </w:rPr>
        <w:t xml:space="preserve">Auction </w:t>
      </w:r>
      <w:r>
        <w:rPr>
          <w:i/>
          <w:szCs w:val="22"/>
        </w:rPr>
        <w:t>100</w:t>
      </w:r>
      <w:r w:rsidRPr="000F2417">
        <w:rPr>
          <w:i/>
          <w:szCs w:val="22"/>
        </w:rPr>
        <w:t xml:space="preserve"> Comment Public Notice</w:t>
      </w:r>
      <w:r>
        <w:rPr>
          <w:szCs w:val="22"/>
        </w:rPr>
        <w:t xml:space="preserve">, however, sought comment on specifically proposed minimum opening amounts for each construction permit listed in Attachment A to this Public Notice, </w:t>
      </w:r>
      <w:r w:rsidRPr="007B1543">
        <w:rPr>
          <w:szCs w:val="22"/>
        </w:rPr>
        <w:t>reasoning that a minimum opening bid, which has been used in other auctions, is an effective tool for accelerating the competitive bidding process.</w:t>
      </w:r>
      <w:r>
        <w:rPr>
          <w:rStyle w:val="FootnoteReference"/>
          <w:szCs w:val="22"/>
        </w:rPr>
        <w:footnoteReference w:id="109"/>
      </w:r>
      <w:r w:rsidRPr="007B1543">
        <w:rPr>
          <w:szCs w:val="22"/>
        </w:rPr>
        <w:t xml:space="preserve">  Specifically, a minimum opening bid was proposed for each construction permit by taking into account various factors relating to the efficiency of the auction and the potential value of the spectrum, including the type of service and class of facility offered, market size, population covered by the proposed broadcast facility, industry cash flow data, and recent broadcast transactions</w:t>
      </w:r>
      <w:r>
        <w:rPr>
          <w:szCs w:val="22"/>
        </w:rPr>
        <w:t>.</w:t>
      </w:r>
      <w:r w:rsidRPr="007B1543">
        <w:rPr>
          <w:szCs w:val="22"/>
        </w:rPr>
        <w:t xml:space="preserve">  </w:t>
      </w:r>
    </w:p>
    <w:p w:rsidR="00C96CC6" w:rsidRPr="00A31CE1" w:rsidP="00C96CC6" w14:paraId="0051AE7C" w14:textId="7D4B7FC5">
      <w:pPr>
        <w:pStyle w:val="ParaNum"/>
        <w:widowControl/>
      </w:pPr>
      <w:r>
        <w:t>We</w:t>
      </w:r>
      <w:r w:rsidRPr="007B1543">
        <w:rPr>
          <w:szCs w:val="22"/>
        </w:rPr>
        <w:t xml:space="preserve"> received no comments on the proposed minimum opening bids, </w:t>
      </w:r>
      <w:r>
        <w:rPr>
          <w:szCs w:val="22"/>
        </w:rPr>
        <w:t xml:space="preserve">and </w:t>
      </w:r>
      <w:r w:rsidRPr="007B1543">
        <w:rPr>
          <w:szCs w:val="22"/>
        </w:rPr>
        <w:t>therefore</w:t>
      </w:r>
      <w:r w:rsidRPr="0095321F">
        <w:rPr>
          <w:szCs w:val="22"/>
        </w:rPr>
        <w:t xml:space="preserve"> </w:t>
      </w:r>
      <w:r w:rsidR="00FF50C3">
        <w:rPr>
          <w:szCs w:val="22"/>
        </w:rPr>
        <w:t>MB and OEA</w:t>
      </w:r>
      <w:r w:rsidRPr="007B1543">
        <w:rPr>
          <w:szCs w:val="22"/>
        </w:rPr>
        <w:t xml:space="preserve"> adopt the minimum opening bid amounts proposed in the </w:t>
      </w:r>
      <w:r w:rsidRPr="007B1543">
        <w:rPr>
          <w:i/>
          <w:szCs w:val="22"/>
        </w:rPr>
        <w:t xml:space="preserve">Auction </w:t>
      </w:r>
      <w:r>
        <w:rPr>
          <w:i/>
          <w:szCs w:val="22"/>
        </w:rPr>
        <w:t>100</w:t>
      </w:r>
      <w:r w:rsidRPr="007B1543">
        <w:rPr>
          <w:i/>
          <w:szCs w:val="22"/>
        </w:rPr>
        <w:t xml:space="preserve"> Comment Public Notice.</w:t>
      </w:r>
      <w:r w:rsidRPr="007B1543">
        <w:rPr>
          <w:szCs w:val="22"/>
        </w:rPr>
        <w:t xml:space="preserve">  The specific minimum opening bid amounts for </w:t>
      </w:r>
      <w:r>
        <w:rPr>
          <w:szCs w:val="22"/>
        </w:rPr>
        <w:t xml:space="preserve">each of </w:t>
      </w:r>
      <w:r w:rsidRPr="007B1543">
        <w:rPr>
          <w:szCs w:val="22"/>
        </w:rPr>
        <w:t>the construction permits</w:t>
      </w:r>
      <w:r w:rsidRPr="00E8182C">
        <w:rPr>
          <w:szCs w:val="22"/>
        </w:rPr>
        <w:t xml:space="preserve"> are specified in Attachment</w:t>
      </w:r>
      <w:r w:rsidRPr="00DF7948">
        <w:rPr>
          <w:szCs w:val="22"/>
        </w:rPr>
        <w:t xml:space="preserve"> A to this </w:t>
      </w:r>
      <w:r>
        <w:rPr>
          <w:szCs w:val="22"/>
        </w:rPr>
        <w:t>P</w:t>
      </w:r>
      <w:r w:rsidRPr="00DF7948">
        <w:rPr>
          <w:szCs w:val="22"/>
        </w:rPr>
        <w:t xml:space="preserve">ublic </w:t>
      </w:r>
      <w:r>
        <w:rPr>
          <w:szCs w:val="22"/>
        </w:rPr>
        <w:t>N</w:t>
      </w:r>
      <w:r w:rsidRPr="00DF7948">
        <w:rPr>
          <w:szCs w:val="22"/>
        </w:rPr>
        <w:t>otice.</w:t>
      </w:r>
    </w:p>
    <w:p w:rsidR="00C96CC6" w:rsidP="00C96CC6" w14:paraId="589F6E90" w14:textId="77777777">
      <w:pPr>
        <w:pStyle w:val="Heading3"/>
      </w:pPr>
      <w:bookmarkStart w:id="975" w:name="_Toc505077436"/>
      <w:bookmarkStart w:id="976" w:name="_Toc507144318"/>
      <w:bookmarkStart w:id="977" w:name="_Toc507166617"/>
      <w:bookmarkStart w:id="978" w:name="_Toc508121640"/>
      <w:bookmarkStart w:id="979" w:name="_Toc508638854"/>
      <w:bookmarkStart w:id="980" w:name="_Toc508895728"/>
      <w:bookmarkStart w:id="981" w:name="_Toc508953840"/>
      <w:bookmarkStart w:id="982" w:name="_Toc509388486"/>
      <w:bookmarkStart w:id="983" w:name="_Toc509492127"/>
      <w:bookmarkStart w:id="984" w:name="_Toc529870355"/>
      <w:bookmarkStart w:id="985" w:name="_Toc530566533"/>
      <w:bookmarkStart w:id="986" w:name="_Toc531608875"/>
      <w:bookmarkStart w:id="987" w:name="_Toc531700867"/>
      <w:bookmarkStart w:id="988" w:name="_Toc532976648"/>
      <w:bookmarkStart w:id="989" w:name="_Toc536103125"/>
      <w:bookmarkStart w:id="990" w:name="_Toc944565"/>
      <w:bookmarkStart w:id="991" w:name="_Toc4164769"/>
      <w:bookmarkStart w:id="992" w:name="_Toc4419572"/>
      <w:bookmarkStart w:id="993" w:name="_Toc5609548"/>
      <w:bookmarkStart w:id="994" w:name="_Toc5975804"/>
      <w:bookmarkStart w:id="995" w:name="_Toc6220328"/>
      <w:bookmarkStart w:id="996" w:name="_Toc6232661"/>
      <w:r>
        <w:t>Bid Amounts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C96CC6" w:rsidP="00C96CC6" w14:paraId="776167E5" w14:textId="79FD4D5F">
      <w:pPr>
        <w:pStyle w:val="ParaNum"/>
        <w:widowControl/>
        <w:rPr>
          <w:szCs w:val="22"/>
        </w:rPr>
      </w:pPr>
      <w:r w:rsidRPr="009944E7">
        <w:rPr>
          <w:szCs w:val="22"/>
        </w:rPr>
        <w:t xml:space="preserve">In the </w:t>
      </w:r>
      <w:r w:rsidRPr="009944E7">
        <w:rPr>
          <w:i/>
          <w:szCs w:val="22"/>
        </w:rPr>
        <w:t xml:space="preserve">Auction </w:t>
      </w:r>
      <w:r>
        <w:rPr>
          <w:i/>
          <w:szCs w:val="22"/>
        </w:rPr>
        <w:t>100</w:t>
      </w:r>
      <w:r w:rsidRPr="009944E7">
        <w:rPr>
          <w:i/>
          <w:szCs w:val="22"/>
        </w:rPr>
        <w:t xml:space="preserve"> Comment Public Notice</w:t>
      </w:r>
      <w:r w:rsidRPr="009944E7">
        <w:rPr>
          <w:szCs w:val="22"/>
        </w:rPr>
        <w:t>, the Bureau</w:t>
      </w:r>
      <w:r>
        <w:rPr>
          <w:szCs w:val="22"/>
        </w:rPr>
        <w:t>s</w:t>
      </w:r>
      <w:r w:rsidRPr="009944E7">
        <w:rPr>
          <w:szCs w:val="22"/>
        </w:rPr>
        <w:t xml:space="preserve"> proposed that in each round, </w:t>
      </w:r>
      <w:r>
        <w:rPr>
          <w:szCs w:val="22"/>
        </w:rPr>
        <w:t xml:space="preserve">an </w:t>
      </w:r>
      <w:r w:rsidRPr="009944E7">
        <w:rPr>
          <w:szCs w:val="22"/>
        </w:rPr>
        <w:t>eligible bidder</w:t>
      </w:r>
      <w:r>
        <w:rPr>
          <w:szCs w:val="22"/>
        </w:rPr>
        <w:t xml:space="preserve"> will</w:t>
      </w:r>
      <w:r w:rsidRPr="009944E7">
        <w:rPr>
          <w:szCs w:val="22"/>
        </w:rPr>
        <w:t xml:space="preserve"> be able to place a bid on a given </w:t>
      </w:r>
      <w:r>
        <w:rPr>
          <w:szCs w:val="22"/>
        </w:rPr>
        <w:t>construction permit</w:t>
      </w:r>
      <w:r w:rsidRPr="009944E7">
        <w:rPr>
          <w:szCs w:val="22"/>
        </w:rPr>
        <w:t xml:space="preserve"> </w:t>
      </w:r>
      <w:r>
        <w:rPr>
          <w:szCs w:val="22"/>
        </w:rPr>
        <w:t xml:space="preserve">in any of up to nine different </w:t>
      </w:r>
      <w:r w:rsidRPr="009944E7">
        <w:rPr>
          <w:szCs w:val="22"/>
        </w:rPr>
        <w:t>amounts.</w:t>
      </w:r>
      <w:r>
        <w:rPr>
          <w:rStyle w:val="FootnoteReference"/>
          <w:szCs w:val="22"/>
        </w:rPr>
        <w:footnoteReference w:id="110"/>
      </w:r>
      <w:r w:rsidRPr="009944E7">
        <w:rPr>
          <w:szCs w:val="22"/>
        </w:rPr>
        <w:t xml:space="preserve">  Under the proposal, </w:t>
      </w:r>
      <w:r w:rsidRPr="00DF7948">
        <w:rPr>
          <w:szCs w:val="22"/>
        </w:rPr>
        <w:t xml:space="preserve">the FCC </w:t>
      </w:r>
      <w:r>
        <w:rPr>
          <w:szCs w:val="22"/>
        </w:rPr>
        <w:t>a</w:t>
      </w:r>
      <w:r w:rsidRPr="00DF7948">
        <w:rPr>
          <w:szCs w:val="22"/>
        </w:rPr>
        <w:t xml:space="preserve">uction </w:t>
      </w:r>
      <w:r>
        <w:rPr>
          <w:szCs w:val="22"/>
        </w:rPr>
        <w:t>bidding s</w:t>
      </w:r>
      <w:r w:rsidRPr="00DF7948">
        <w:rPr>
          <w:szCs w:val="22"/>
        </w:rPr>
        <w:t xml:space="preserve">ystem interface will list </w:t>
      </w:r>
      <w:r>
        <w:rPr>
          <w:szCs w:val="22"/>
        </w:rPr>
        <w:t>up to</w:t>
      </w:r>
      <w:r w:rsidRPr="00DF7948">
        <w:rPr>
          <w:szCs w:val="22"/>
        </w:rPr>
        <w:t xml:space="preserve"> nine acceptable bid amounts for each construction permit.  </w:t>
      </w:r>
      <w:r w:rsidR="00391F13">
        <w:rPr>
          <w:szCs w:val="22"/>
        </w:rPr>
        <w:t>We</w:t>
      </w:r>
      <w:r w:rsidRPr="00E457F0">
        <w:rPr>
          <w:szCs w:val="22"/>
        </w:rPr>
        <w:t xml:space="preserve"> received no comments on this proposal; therefore</w:t>
      </w:r>
      <w:r>
        <w:rPr>
          <w:szCs w:val="22"/>
        </w:rPr>
        <w:t>, it is adopted</w:t>
      </w:r>
      <w:r w:rsidRPr="009944E7">
        <w:rPr>
          <w:szCs w:val="22"/>
        </w:rPr>
        <w:t>.</w:t>
      </w:r>
    </w:p>
    <w:p w:rsidR="00C96CC6" w:rsidRPr="000910A3" w:rsidP="00C96CC6" w14:paraId="6EDBC5C2" w14:textId="360D5D1C">
      <w:pPr>
        <w:pStyle w:val="ParaNum"/>
        <w:widowControl/>
        <w:rPr>
          <w:szCs w:val="22"/>
        </w:rPr>
      </w:pPr>
      <w:r>
        <w:rPr>
          <w:szCs w:val="22"/>
        </w:rPr>
        <w:t xml:space="preserve">In the </w:t>
      </w:r>
      <w:r>
        <w:rPr>
          <w:i/>
          <w:szCs w:val="22"/>
        </w:rPr>
        <w:t>Auction 100 Comment Public Notice</w:t>
      </w:r>
      <w:r>
        <w:rPr>
          <w:szCs w:val="22"/>
        </w:rPr>
        <w:t>, in calculating t</w:t>
      </w:r>
      <w:r w:rsidRPr="001C2E9C">
        <w:rPr>
          <w:szCs w:val="22"/>
        </w:rPr>
        <w:t>he firs</w:t>
      </w:r>
      <w:r>
        <w:rPr>
          <w:szCs w:val="22"/>
        </w:rPr>
        <w:t xml:space="preserve">t of the acceptable bid amounts, the Bureaus proposed to use a </w:t>
      </w:r>
      <w:r w:rsidRPr="000910A3">
        <w:rPr>
          <w:i/>
          <w:szCs w:val="22"/>
        </w:rPr>
        <w:t>minimum acceptable bid increment percentage</w:t>
      </w:r>
      <w:r>
        <w:rPr>
          <w:szCs w:val="22"/>
        </w:rPr>
        <w:t xml:space="preserve"> of 10</w:t>
      </w:r>
      <w:r w:rsidR="0067006D">
        <w:rPr>
          <w:szCs w:val="22"/>
        </w:rPr>
        <w:t>%</w:t>
      </w:r>
      <w:r>
        <w:rPr>
          <w:szCs w:val="22"/>
        </w:rPr>
        <w:t>.  This means that the minimum acceptable bid amount for a construction permit will be approximately 10</w:t>
      </w:r>
      <w:r w:rsidR="0067006D">
        <w:rPr>
          <w:szCs w:val="22"/>
        </w:rPr>
        <w:t>%</w:t>
      </w:r>
      <w:r>
        <w:rPr>
          <w:szCs w:val="22"/>
        </w:rPr>
        <w:t xml:space="preserve"> greater than the provisionally winning bid amount for the construction permit.  To calculate the eight additional acceptable bid amounts, the Bureaus proposed in the </w:t>
      </w:r>
      <w:r w:rsidRPr="000910A3">
        <w:rPr>
          <w:i/>
          <w:szCs w:val="22"/>
        </w:rPr>
        <w:t xml:space="preserve">Auction </w:t>
      </w:r>
      <w:r>
        <w:rPr>
          <w:i/>
          <w:szCs w:val="22"/>
        </w:rPr>
        <w:t>100</w:t>
      </w:r>
      <w:r w:rsidRPr="000910A3">
        <w:rPr>
          <w:i/>
          <w:szCs w:val="22"/>
        </w:rPr>
        <w:t xml:space="preserve"> Comment Public Notice</w:t>
      </w:r>
      <w:r>
        <w:rPr>
          <w:szCs w:val="22"/>
        </w:rPr>
        <w:t xml:space="preserve"> to use an </w:t>
      </w:r>
      <w:r>
        <w:rPr>
          <w:i/>
          <w:szCs w:val="22"/>
        </w:rPr>
        <w:t xml:space="preserve">additional </w:t>
      </w:r>
      <w:r w:rsidRPr="00781F59">
        <w:rPr>
          <w:i/>
          <w:szCs w:val="22"/>
        </w:rPr>
        <w:t>bid increment percentage</w:t>
      </w:r>
      <w:r>
        <w:rPr>
          <w:szCs w:val="22"/>
        </w:rPr>
        <w:t xml:space="preserve"> of 5</w:t>
      </w:r>
      <w:r w:rsidR="002B479E">
        <w:rPr>
          <w:szCs w:val="22"/>
        </w:rPr>
        <w:t>%</w:t>
      </w:r>
      <w:r>
        <w:rPr>
          <w:szCs w:val="22"/>
        </w:rPr>
        <w:t xml:space="preserve">.  </w:t>
      </w:r>
      <w:r>
        <w:rPr>
          <w:color w:val="000000"/>
          <w:szCs w:val="22"/>
        </w:rPr>
        <w:t xml:space="preserve">We </w:t>
      </w:r>
      <w:r w:rsidRPr="00893034">
        <w:rPr>
          <w:szCs w:val="22"/>
        </w:rPr>
        <w:t>did</w:t>
      </w:r>
      <w:r w:rsidRPr="003D4617">
        <w:rPr>
          <w:color w:val="000000"/>
          <w:szCs w:val="22"/>
        </w:rPr>
        <w:t xml:space="preserve"> not receive any comments on </w:t>
      </w:r>
      <w:r>
        <w:rPr>
          <w:color w:val="000000"/>
          <w:szCs w:val="22"/>
        </w:rPr>
        <w:t xml:space="preserve">these </w:t>
      </w:r>
      <w:r w:rsidRPr="003D4617">
        <w:rPr>
          <w:color w:val="000000"/>
          <w:szCs w:val="22"/>
        </w:rPr>
        <w:t>proposal</w:t>
      </w:r>
      <w:r>
        <w:rPr>
          <w:color w:val="000000"/>
          <w:szCs w:val="22"/>
        </w:rPr>
        <w:t>s to use 10</w:t>
      </w:r>
      <w:r w:rsidR="0067006D">
        <w:rPr>
          <w:color w:val="000000"/>
          <w:szCs w:val="22"/>
        </w:rPr>
        <w:t>%</w:t>
      </w:r>
      <w:r>
        <w:rPr>
          <w:color w:val="000000"/>
          <w:szCs w:val="22"/>
        </w:rPr>
        <w:t xml:space="preserve"> and 5</w:t>
      </w:r>
      <w:r w:rsidR="0067006D">
        <w:rPr>
          <w:color w:val="000000"/>
          <w:szCs w:val="22"/>
        </w:rPr>
        <w:t>%</w:t>
      </w:r>
      <w:r>
        <w:rPr>
          <w:color w:val="000000"/>
          <w:szCs w:val="22"/>
        </w:rPr>
        <w:t xml:space="preserve"> respectively in our calculation of nine acceptable bid amounts for each construction permit</w:t>
      </w:r>
      <w:r w:rsidRPr="003D4617">
        <w:rPr>
          <w:color w:val="000000"/>
          <w:szCs w:val="22"/>
        </w:rPr>
        <w:t xml:space="preserve">.  </w:t>
      </w:r>
      <w:r w:rsidRPr="003D4617">
        <w:rPr>
          <w:szCs w:val="22"/>
        </w:rPr>
        <w:t xml:space="preserve">Our experience in previous broadcast auctions assures us that a </w:t>
      </w:r>
      <w:r w:rsidRPr="003D4617">
        <w:rPr>
          <w:color w:val="000000"/>
          <w:szCs w:val="22"/>
        </w:rPr>
        <w:t xml:space="preserve">minimum acceptable bid </w:t>
      </w:r>
      <w:r>
        <w:rPr>
          <w:color w:val="000000"/>
          <w:szCs w:val="22"/>
        </w:rPr>
        <w:t xml:space="preserve">increment </w:t>
      </w:r>
      <w:r w:rsidRPr="003D4617">
        <w:rPr>
          <w:szCs w:val="22"/>
        </w:rPr>
        <w:t>percentage of 10</w:t>
      </w:r>
      <w:r w:rsidR="0067006D">
        <w:rPr>
          <w:szCs w:val="22"/>
        </w:rPr>
        <w:t>%</w:t>
      </w:r>
      <w:r w:rsidRPr="003D4617">
        <w:rPr>
          <w:szCs w:val="22"/>
        </w:rPr>
        <w:t xml:space="preserve"> </w:t>
      </w:r>
      <w:r>
        <w:rPr>
          <w:szCs w:val="22"/>
        </w:rPr>
        <w:t>and an additional bid increment percentage of 5</w:t>
      </w:r>
      <w:r w:rsidR="0067006D">
        <w:rPr>
          <w:szCs w:val="22"/>
        </w:rPr>
        <w:t>%</w:t>
      </w:r>
      <w:r>
        <w:rPr>
          <w:szCs w:val="22"/>
        </w:rPr>
        <w:t xml:space="preserve"> are </w:t>
      </w:r>
      <w:r w:rsidRPr="003D4617">
        <w:rPr>
          <w:szCs w:val="22"/>
        </w:rPr>
        <w:t xml:space="preserve">sufficient to ensure active bidding.  Therefore, </w:t>
      </w:r>
      <w:r>
        <w:rPr>
          <w:szCs w:val="22"/>
        </w:rPr>
        <w:t xml:space="preserve">we </w:t>
      </w:r>
      <w:r w:rsidRPr="003D4617">
        <w:rPr>
          <w:color w:val="000000"/>
          <w:szCs w:val="22"/>
        </w:rPr>
        <w:t>will begin the auction with a minimum acceptable bid</w:t>
      </w:r>
      <w:r>
        <w:rPr>
          <w:color w:val="000000"/>
          <w:szCs w:val="22"/>
        </w:rPr>
        <w:t xml:space="preserve"> increment</w:t>
      </w:r>
      <w:r w:rsidRPr="003D4617">
        <w:rPr>
          <w:color w:val="000000"/>
          <w:szCs w:val="22"/>
        </w:rPr>
        <w:t xml:space="preserve"> percentage of 10</w:t>
      </w:r>
      <w:r w:rsidR="0067006D">
        <w:rPr>
          <w:color w:val="000000"/>
          <w:szCs w:val="22"/>
        </w:rPr>
        <w:t>%</w:t>
      </w:r>
      <w:r>
        <w:rPr>
          <w:color w:val="000000"/>
          <w:szCs w:val="22"/>
        </w:rPr>
        <w:t xml:space="preserve"> and an additional bid increment percentage of 5</w:t>
      </w:r>
      <w:r w:rsidR="0067006D">
        <w:rPr>
          <w:color w:val="000000"/>
          <w:szCs w:val="22"/>
        </w:rPr>
        <w:t>%</w:t>
      </w:r>
      <w:r>
        <w:rPr>
          <w:color w:val="000000"/>
          <w:szCs w:val="22"/>
        </w:rPr>
        <w:t>.</w:t>
      </w:r>
    </w:p>
    <w:p w:rsidR="00C96CC6" w:rsidRPr="000D1F47" w:rsidP="00C96CC6" w14:paraId="003E9034" w14:textId="37C05921">
      <w:pPr>
        <w:pStyle w:val="ParaNum"/>
        <w:widowControl/>
        <w:rPr>
          <w:szCs w:val="22"/>
        </w:rPr>
      </w:pPr>
      <w:r>
        <w:rPr>
          <w:szCs w:val="22"/>
        </w:rPr>
        <w:t>In Auction 100, t</w:t>
      </w:r>
      <w:r w:rsidRPr="001C2E9C">
        <w:rPr>
          <w:szCs w:val="22"/>
        </w:rPr>
        <w:t xml:space="preserve">he minimum acceptable bid amount for a </w:t>
      </w:r>
      <w:r>
        <w:rPr>
          <w:szCs w:val="22"/>
        </w:rPr>
        <w:t>construction permit</w:t>
      </w:r>
      <w:r w:rsidRPr="001C2E9C">
        <w:rPr>
          <w:szCs w:val="22"/>
        </w:rPr>
        <w:t xml:space="preserve"> will be equal to its minimum opening bid amount until there is a provisionally winning bid </w:t>
      </w:r>
      <w:r>
        <w:rPr>
          <w:szCs w:val="22"/>
        </w:rPr>
        <w:t>for</w:t>
      </w:r>
      <w:r w:rsidRPr="001C2E9C">
        <w:rPr>
          <w:szCs w:val="22"/>
        </w:rPr>
        <w:t xml:space="preserve"> the </w:t>
      </w:r>
      <w:r>
        <w:rPr>
          <w:szCs w:val="22"/>
        </w:rPr>
        <w:t>construction permit</w:t>
      </w:r>
      <w:r w:rsidRPr="001C2E9C">
        <w:rPr>
          <w:szCs w:val="22"/>
        </w:rPr>
        <w:t xml:space="preserve">.  After there is a provisionally winning bid for a </w:t>
      </w:r>
      <w:r>
        <w:rPr>
          <w:szCs w:val="22"/>
        </w:rPr>
        <w:t>construction permit</w:t>
      </w:r>
      <w:r w:rsidRPr="001C2E9C">
        <w:rPr>
          <w:szCs w:val="22"/>
        </w:rPr>
        <w:t>, the minimum acceptable bid amount</w:t>
      </w:r>
      <w:r>
        <w:rPr>
          <w:szCs w:val="22"/>
        </w:rPr>
        <w:t xml:space="preserve"> will be calculated by multiplying the provisionally winning bid amount by one plus the minimum acceptable bid percentage—i.e., provisionally winning bid amount * 1.10, rounded.</w:t>
      </w:r>
      <w:r>
        <w:rPr>
          <w:rStyle w:val="FootnoteReference"/>
          <w:szCs w:val="22"/>
        </w:rPr>
        <w:footnoteReference w:id="111"/>
      </w:r>
    </w:p>
    <w:p w:rsidR="00C96CC6" w:rsidRPr="00326155" w:rsidP="00C96CC6" w14:paraId="7B2EBD94" w14:textId="250BD55B">
      <w:pPr>
        <w:pStyle w:val="ParaNum"/>
        <w:widowControl/>
        <w:rPr>
          <w:szCs w:val="22"/>
        </w:rPr>
      </w:pPr>
      <w:r w:rsidRPr="002A0DC5">
        <w:t>In</w:t>
      </w:r>
      <w:r>
        <w:rPr>
          <w:szCs w:val="22"/>
        </w:rPr>
        <w:t xml:space="preserve"> Auction 100, the FCC auction bidding system will calculate t</w:t>
      </w:r>
      <w:r w:rsidRPr="003D4617">
        <w:rPr>
          <w:szCs w:val="22"/>
        </w:rPr>
        <w:t xml:space="preserve">he eight additional bid amounts </w:t>
      </w:r>
      <w:r>
        <w:rPr>
          <w:szCs w:val="22"/>
        </w:rPr>
        <w:t xml:space="preserve">by multiplying </w:t>
      </w:r>
      <w:r w:rsidRPr="003D4617">
        <w:rPr>
          <w:szCs w:val="22"/>
        </w:rPr>
        <w:t xml:space="preserve">the </w:t>
      </w:r>
      <w:r>
        <w:rPr>
          <w:szCs w:val="22"/>
        </w:rPr>
        <w:t>minimum acceptable bid amount by the additional bid increment percentage of 5</w:t>
      </w:r>
      <w:r w:rsidR="0067006D">
        <w:rPr>
          <w:szCs w:val="22"/>
        </w:rPr>
        <w:t>%</w:t>
      </w:r>
      <w:r>
        <w:rPr>
          <w:szCs w:val="22"/>
        </w:rPr>
        <w:t>, and that result (rounded</w:t>
      </w:r>
      <w:r>
        <w:rPr>
          <w:rStyle w:val="FootnoteReference"/>
          <w:szCs w:val="22"/>
        </w:rPr>
        <w:footnoteReference w:id="112"/>
      </w:r>
      <w:r>
        <w:rPr>
          <w:szCs w:val="22"/>
        </w:rPr>
        <w:t>) is the additional increment amount</w:t>
      </w:r>
      <w:r w:rsidRPr="002519AE">
        <w:rPr>
          <w:szCs w:val="22"/>
        </w:rPr>
        <w:t xml:space="preserve">.  The first additional acceptable bid amount equals the minimum acceptable bid amount plus the </w:t>
      </w:r>
      <w:r>
        <w:rPr>
          <w:szCs w:val="22"/>
        </w:rPr>
        <w:t>additional increment amount.</w:t>
      </w:r>
      <w:r w:rsidRPr="002519AE">
        <w:rPr>
          <w:szCs w:val="22"/>
        </w:rPr>
        <w:t xml:space="preserve"> </w:t>
      </w:r>
      <w:r>
        <w:rPr>
          <w:szCs w:val="22"/>
        </w:rPr>
        <w:t xml:space="preserve"> T</w:t>
      </w:r>
      <w:r w:rsidRPr="002519AE">
        <w:rPr>
          <w:szCs w:val="22"/>
        </w:rPr>
        <w:t xml:space="preserve">he second additional acceptable bid amount equals the minimum acceptable bid amount plus two times the </w:t>
      </w:r>
      <w:r>
        <w:rPr>
          <w:szCs w:val="22"/>
        </w:rPr>
        <w:t>additional</w:t>
      </w:r>
      <w:r w:rsidRPr="002519AE">
        <w:rPr>
          <w:szCs w:val="22"/>
        </w:rPr>
        <w:t xml:space="preserve"> increment </w:t>
      </w:r>
      <w:r>
        <w:rPr>
          <w:szCs w:val="22"/>
        </w:rPr>
        <w:t xml:space="preserve">amount; </w:t>
      </w:r>
      <w:r w:rsidRPr="002519AE">
        <w:rPr>
          <w:szCs w:val="22"/>
        </w:rPr>
        <w:t xml:space="preserve">the third additional acceptable bid amount </w:t>
      </w:r>
      <w:r>
        <w:rPr>
          <w:szCs w:val="22"/>
        </w:rPr>
        <w:t>is</w:t>
      </w:r>
      <w:r w:rsidRPr="002519AE">
        <w:rPr>
          <w:szCs w:val="22"/>
        </w:rPr>
        <w:t xml:space="preserve"> the minimum acceptable bid amount plus three times the </w:t>
      </w:r>
      <w:r>
        <w:rPr>
          <w:szCs w:val="22"/>
        </w:rPr>
        <w:t xml:space="preserve">additional </w:t>
      </w:r>
      <w:r w:rsidRPr="002519AE">
        <w:rPr>
          <w:szCs w:val="22"/>
        </w:rPr>
        <w:t xml:space="preserve">increment </w:t>
      </w:r>
      <w:r>
        <w:rPr>
          <w:szCs w:val="22"/>
        </w:rPr>
        <w:t xml:space="preserve">amount; etc.  Because </w:t>
      </w:r>
      <w:r w:rsidRPr="002519AE">
        <w:rPr>
          <w:szCs w:val="22"/>
        </w:rPr>
        <w:t xml:space="preserve">the </w:t>
      </w:r>
      <w:r>
        <w:rPr>
          <w:szCs w:val="22"/>
        </w:rPr>
        <w:t xml:space="preserve">additional bid </w:t>
      </w:r>
      <w:r w:rsidRPr="002519AE">
        <w:rPr>
          <w:szCs w:val="22"/>
        </w:rPr>
        <w:t xml:space="preserve">increment percentage is </w:t>
      </w:r>
      <w:r>
        <w:rPr>
          <w:szCs w:val="22"/>
        </w:rPr>
        <w:t>5</w:t>
      </w:r>
      <w:r w:rsidR="0067006D">
        <w:rPr>
          <w:szCs w:val="22"/>
        </w:rPr>
        <w:t>%</w:t>
      </w:r>
      <w:r w:rsidRPr="002519AE">
        <w:rPr>
          <w:szCs w:val="22"/>
        </w:rPr>
        <w:t xml:space="preserve">, the calculation </w:t>
      </w:r>
      <w:r>
        <w:rPr>
          <w:szCs w:val="22"/>
        </w:rPr>
        <w:t xml:space="preserve">of the additional increment amount </w:t>
      </w:r>
      <w:r w:rsidRPr="002519AE">
        <w:rPr>
          <w:szCs w:val="22"/>
        </w:rPr>
        <w:t>is (minimum acceptable bid amount) * (0.0</w:t>
      </w:r>
      <w:r>
        <w:rPr>
          <w:szCs w:val="22"/>
        </w:rPr>
        <w:t>5</w:t>
      </w:r>
      <w:r w:rsidRPr="002519AE">
        <w:rPr>
          <w:szCs w:val="22"/>
        </w:rPr>
        <w:t>), rounded</w:t>
      </w:r>
      <w:r>
        <w:rPr>
          <w:szCs w:val="22"/>
        </w:rPr>
        <w:t>.  The first additional acceptable bid amount equals</w:t>
      </w:r>
      <w:r w:rsidRPr="002519AE">
        <w:rPr>
          <w:szCs w:val="22"/>
        </w:rPr>
        <w:t xml:space="preserve"> (minimum acceptable bid amount) </w:t>
      </w:r>
      <w:r>
        <w:rPr>
          <w:szCs w:val="22"/>
        </w:rPr>
        <w:t xml:space="preserve">+ (additional increment amount); the second additional acceptable bid amount equals </w:t>
      </w:r>
      <w:r w:rsidRPr="002519AE">
        <w:rPr>
          <w:szCs w:val="22"/>
        </w:rPr>
        <w:t xml:space="preserve">(minimum acceptable bid amount) </w:t>
      </w:r>
      <w:r>
        <w:rPr>
          <w:szCs w:val="22"/>
        </w:rPr>
        <w:t>+ (2*(additional increment amount)); the third additional acceptable bid amount equals</w:t>
      </w:r>
      <w:r w:rsidRPr="002519AE">
        <w:rPr>
          <w:szCs w:val="22"/>
        </w:rPr>
        <w:t xml:space="preserve"> (minimum acceptable bid amount) </w:t>
      </w:r>
      <w:r>
        <w:rPr>
          <w:szCs w:val="22"/>
        </w:rPr>
        <w:t>+ (3*(additional increment amount))</w:t>
      </w:r>
      <w:r w:rsidRPr="002519AE">
        <w:rPr>
          <w:szCs w:val="22"/>
        </w:rPr>
        <w:t>; etc.</w:t>
      </w:r>
      <w:r>
        <w:rPr>
          <w:szCs w:val="22"/>
        </w:rPr>
        <w:t xml:space="preserve">  </w:t>
      </w:r>
    </w:p>
    <w:p w:rsidR="00C96CC6" w:rsidP="00C96CC6" w14:paraId="4B2BDACA" w14:textId="3F79D07C">
      <w:pPr>
        <w:pStyle w:val="ParaNum"/>
        <w:widowControl/>
        <w:tabs>
          <w:tab w:val="num" w:pos="1080"/>
          <w:tab w:val="left" w:pos="1440"/>
        </w:tabs>
        <w:rPr>
          <w:szCs w:val="22"/>
        </w:rPr>
      </w:pPr>
      <w:bookmarkStart w:id="997" w:name="_Hlk536097449"/>
      <w:r>
        <w:t xml:space="preserve">The Bureaus proposed to retain the discretion to change the minimum acceptable bid amounts, the minimum acceptable bid increment percentage, the additional bid increment percentage, and the number of acceptable bid amounts if </w:t>
      </w:r>
      <w:r w:rsidR="00FF50C3">
        <w:t>MB and OEA</w:t>
      </w:r>
      <w:r>
        <w:t xml:space="preserve"> determine that circumstances so dictate, consistent with past practice.</w:t>
      </w:r>
      <w:r>
        <w:rPr>
          <w:rStyle w:val="FootnoteReference"/>
        </w:rPr>
        <w:footnoteReference w:id="113"/>
      </w:r>
      <w:r>
        <w:t xml:space="preserve">  Further, the Bureaus proposed to retain the discretion to do so on a construction permit-by-construction permit basis.  The Bureaus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t>
      </w:r>
      <w:r w:rsidR="00FF50C3">
        <w:t>MB and OEA</w:t>
      </w:r>
      <w:r w:rsidR="00046B4F">
        <w:t xml:space="preserve"> </w:t>
      </w:r>
      <w:r>
        <w:t xml:space="preserve">could set a $1,000 limit on increases in minimum acceptable bid amounts over provisionally winning bids.  Thus, if calculating a minimum acceptable bid using the </w:t>
      </w:r>
      <w:r>
        <w:rPr>
          <w:szCs w:val="22"/>
        </w:rPr>
        <w:t xml:space="preserve">minimum acceptable bid increment percentage </w:t>
      </w:r>
      <w:r>
        <w:t>results in a minimum acceptable bid amount that is $1,200 higher than the provisionally winning bid on a construction permit, the minimum acceptable bid amount would instead be capped at $1,000 above the provisionally winning bid</w:t>
      </w:r>
      <w:bookmarkEnd w:id="997"/>
      <w:r>
        <w:t xml:space="preserve">.  </w:t>
      </w:r>
    </w:p>
    <w:p w:rsidR="00C96CC6" w:rsidRPr="001C2E9C" w:rsidP="00C96CC6" w14:paraId="6C75618E" w14:textId="26506BBB">
      <w:pPr>
        <w:pStyle w:val="ParaNum"/>
        <w:widowControl/>
        <w:tabs>
          <w:tab w:val="num" w:pos="1080"/>
          <w:tab w:val="left" w:pos="1440"/>
        </w:tabs>
        <w:rPr>
          <w:szCs w:val="22"/>
        </w:rPr>
      </w:pPr>
      <w:r>
        <w:rPr>
          <w:szCs w:val="22"/>
        </w:rPr>
        <w:t>We</w:t>
      </w:r>
      <w:r w:rsidRPr="002519AE">
        <w:rPr>
          <w:szCs w:val="22"/>
        </w:rPr>
        <w:t xml:space="preserve"> </w:t>
      </w:r>
      <w:r>
        <w:rPr>
          <w:szCs w:val="22"/>
        </w:rPr>
        <w:t xml:space="preserve">did not receive any comments on </w:t>
      </w:r>
      <w:r w:rsidR="00420136">
        <w:rPr>
          <w:szCs w:val="22"/>
        </w:rPr>
        <w:t xml:space="preserve">these </w:t>
      </w:r>
      <w:r>
        <w:rPr>
          <w:szCs w:val="22"/>
        </w:rPr>
        <w:t xml:space="preserve">proposals to </w:t>
      </w:r>
      <w:r w:rsidRPr="002519AE">
        <w:rPr>
          <w:szCs w:val="22"/>
        </w:rPr>
        <w:t xml:space="preserve">retain the discretion to change </w:t>
      </w:r>
      <w:r>
        <w:rPr>
          <w:szCs w:val="22"/>
        </w:rPr>
        <w:t>bid amounts</w:t>
      </w:r>
      <w:r w:rsidRPr="002519AE">
        <w:rPr>
          <w:szCs w:val="22"/>
        </w:rPr>
        <w:t xml:space="preserve"> </w:t>
      </w:r>
      <w:r>
        <w:rPr>
          <w:szCs w:val="22"/>
        </w:rPr>
        <w:t xml:space="preserve">as described above </w:t>
      </w:r>
      <w:r w:rsidRPr="002519AE">
        <w:rPr>
          <w:szCs w:val="22"/>
        </w:rPr>
        <w:t xml:space="preserve">if </w:t>
      </w:r>
      <w:r w:rsidR="00420136">
        <w:rPr>
          <w:szCs w:val="22"/>
        </w:rPr>
        <w:t>we</w:t>
      </w:r>
      <w:r w:rsidRPr="002519AE" w:rsidR="00420136">
        <w:rPr>
          <w:szCs w:val="22"/>
        </w:rPr>
        <w:t xml:space="preserve"> </w:t>
      </w:r>
      <w:r w:rsidRPr="002519AE">
        <w:rPr>
          <w:szCs w:val="22"/>
        </w:rPr>
        <w:t xml:space="preserve">determine that </w:t>
      </w:r>
      <w:r w:rsidRPr="00DF7948">
        <w:rPr>
          <w:szCs w:val="22"/>
        </w:rPr>
        <w:t xml:space="preserve">circumstances so dictate.  </w:t>
      </w:r>
      <w:r>
        <w:rPr>
          <w:szCs w:val="22"/>
        </w:rPr>
        <w:t>MB and OEA</w:t>
      </w:r>
      <w:r>
        <w:rPr>
          <w:szCs w:val="22"/>
        </w:rPr>
        <w:t xml:space="preserve"> adopt these proposals.  </w:t>
      </w:r>
      <w:r>
        <w:t>If we exercise this discretion, we will alert bidders by announcement in the FCC auction bidding system during the auction.</w:t>
      </w:r>
    </w:p>
    <w:p w:rsidR="00C96CC6" w:rsidP="00C96CC6" w14:paraId="6E2C6D2F" w14:textId="77777777">
      <w:pPr>
        <w:pStyle w:val="Heading3"/>
      </w:pPr>
      <w:bookmarkStart w:id="998" w:name="_Toc505077437"/>
      <w:bookmarkStart w:id="999" w:name="_Toc507144319"/>
      <w:bookmarkStart w:id="1000" w:name="_Toc507166618"/>
      <w:bookmarkStart w:id="1001" w:name="_Toc508121641"/>
      <w:bookmarkStart w:id="1002" w:name="_Toc508638855"/>
      <w:bookmarkStart w:id="1003" w:name="_Toc508895729"/>
      <w:bookmarkStart w:id="1004" w:name="_Toc508953841"/>
      <w:bookmarkStart w:id="1005" w:name="_Toc509388487"/>
      <w:bookmarkStart w:id="1006" w:name="_Toc509492128"/>
      <w:bookmarkStart w:id="1007" w:name="_Toc529870356"/>
      <w:bookmarkStart w:id="1008" w:name="_Toc530566534"/>
      <w:bookmarkStart w:id="1009" w:name="_Toc531608876"/>
      <w:bookmarkStart w:id="1010" w:name="_Toc531700868"/>
      <w:bookmarkStart w:id="1011" w:name="_Toc532976649"/>
      <w:bookmarkStart w:id="1012" w:name="_Toc536103126"/>
      <w:bookmarkStart w:id="1013" w:name="_Toc944566"/>
      <w:bookmarkStart w:id="1014" w:name="_Toc4164770"/>
      <w:bookmarkStart w:id="1015" w:name="_Toc4419573"/>
      <w:bookmarkStart w:id="1016" w:name="_Toc5609549"/>
      <w:bookmarkStart w:id="1017" w:name="_Toc5975805"/>
      <w:bookmarkStart w:id="1018" w:name="_Toc6220329"/>
      <w:bookmarkStart w:id="1019" w:name="_Toc6232662"/>
      <w:r>
        <w:t>Provisionally Winning Bids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C96CC6" w:rsidRPr="001C2E9C" w:rsidP="00C96CC6" w14:paraId="396593CB" w14:textId="77777777">
      <w:pPr>
        <w:pStyle w:val="ParaNum"/>
        <w:widowControl/>
        <w:tabs>
          <w:tab w:val="num" w:pos="1080"/>
          <w:tab w:val="left" w:pos="1440"/>
        </w:tabs>
        <w:rPr>
          <w:szCs w:val="22"/>
        </w:rPr>
      </w:pPr>
      <w:r>
        <w:rPr>
          <w:szCs w:val="22"/>
        </w:rPr>
        <w:t>Consistent with practice in past auctions,</w:t>
      </w:r>
      <w:r>
        <w:rPr>
          <w:rStyle w:val="FootnoteReference"/>
          <w:szCs w:val="22"/>
        </w:rPr>
        <w:footnoteReference w:id="114"/>
      </w:r>
      <w:r>
        <w:rPr>
          <w:szCs w:val="22"/>
        </w:rPr>
        <w:t xml:space="preserve"> the FCC auction bidding system a</w:t>
      </w:r>
      <w:r w:rsidRPr="001C2E9C">
        <w:rPr>
          <w:szCs w:val="22"/>
        </w:rPr>
        <w:t>t the end of each bidding round</w:t>
      </w:r>
      <w:r>
        <w:rPr>
          <w:szCs w:val="22"/>
        </w:rPr>
        <w:t xml:space="preserve"> will determine </w:t>
      </w:r>
      <w:r w:rsidRPr="001C2E9C">
        <w:rPr>
          <w:szCs w:val="22"/>
        </w:rPr>
        <w:t xml:space="preserve">a </w:t>
      </w:r>
      <w:r w:rsidRPr="00781F59">
        <w:rPr>
          <w:i/>
          <w:szCs w:val="22"/>
        </w:rPr>
        <w:t>provisionally winning bid</w:t>
      </w:r>
      <w:r w:rsidRPr="001C2E9C">
        <w:rPr>
          <w:szCs w:val="22"/>
        </w:rPr>
        <w:t xml:space="preserve"> </w:t>
      </w:r>
      <w:r>
        <w:rPr>
          <w:szCs w:val="22"/>
        </w:rPr>
        <w:t xml:space="preserve">for each construction permit </w:t>
      </w:r>
      <w:r w:rsidRPr="001C2E9C">
        <w:rPr>
          <w:szCs w:val="22"/>
        </w:rPr>
        <w:t xml:space="preserve">based on the </w:t>
      </w:r>
      <w:r w:rsidRPr="001C2E9C">
        <w:rPr>
          <w:szCs w:val="22"/>
        </w:rPr>
        <w:t xml:space="preserve">highest bid amount received for </w:t>
      </w:r>
      <w:r>
        <w:rPr>
          <w:szCs w:val="22"/>
        </w:rPr>
        <w:t>that permit</w:t>
      </w:r>
      <w:r w:rsidRPr="001C2E9C">
        <w:rPr>
          <w:szCs w:val="22"/>
        </w:rPr>
        <w:t xml:space="preserve">.  A provisionally winning bid will remain the provisionally winning bid until there is a higher bid on the same </w:t>
      </w:r>
      <w:r>
        <w:rPr>
          <w:szCs w:val="22"/>
        </w:rPr>
        <w:t>construction permit</w:t>
      </w:r>
      <w:r w:rsidRPr="001C2E9C">
        <w:rPr>
          <w:szCs w:val="22"/>
        </w:rPr>
        <w:t xml:space="preserve"> at the close of a subsequent round.  Provisionally winning bids at the end of the auction become the winning bids.  </w:t>
      </w:r>
    </w:p>
    <w:p w:rsidR="00C96CC6" w:rsidRPr="009944E7" w:rsidP="00C96CC6" w14:paraId="08E3A5FF" w14:textId="36B9085C">
      <w:pPr>
        <w:pStyle w:val="ParaNum"/>
        <w:widowControl/>
        <w:rPr>
          <w:szCs w:val="22"/>
        </w:rPr>
      </w:pPr>
      <w:r w:rsidRPr="002A0DC5">
        <w:t>In</w:t>
      </w:r>
      <w:r w:rsidRPr="009944E7">
        <w:rPr>
          <w:szCs w:val="22"/>
        </w:rPr>
        <w:t xml:space="preserve"> the </w:t>
      </w:r>
      <w:r w:rsidRPr="009944E7">
        <w:rPr>
          <w:i/>
          <w:szCs w:val="22"/>
        </w:rPr>
        <w:t xml:space="preserve">Auction </w:t>
      </w:r>
      <w:r>
        <w:rPr>
          <w:i/>
          <w:szCs w:val="22"/>
        </w:rPr>
        <w:t>100</w:t>
      </w:r>
      <w:r w:rsidRPr="009944E7">
        <w:rPr>
          <w:i/>
          <w:szCs w:val="22"/>
        </w:rPr>
        <w:t xml:space="preserve"> Comment</w:t>
      </w:r>
      <w:r w:rsidRPr="009944E7">
        <w:rPr>
          <w:szCs w:val="22"/>
        </w:rPr>
        <w:t xml:space="preserve"> </w:t>
      </w:r>
      <w:r w:rsidRPr="009944E7">
        <w:rPr>
          <w:i/>
          <w:szCs w:val="22"/>
        </w:rPr>
        <w:t>Public Notice</w:t>
      </w:r>
      <w:r w:rsidRPr="009944E7">
        <w:rPr>
          <w:szCs w:val="22"/>
        </w:rPr>
        <w:t>, the Bureau</w:t>
      </w:r>
      <w:r>
        <w:rPr>
          <w:szCs w:val="22"/>
        </w:rPr>
        <w:t>s</w:t>
      </w:r>
      <w:r w:rsidRPr="009944E7">
        <w:rPr>
          <w:szCs w:val="22"/>
        </w:rPr>
        <w:t xml:space="preserve"> proposed to use a </w:t>
      </w:r>
      <w:r>
        <w:rPr>
          <w:szCs w:val="22"/>
        </w:rPr>
        <w:t>pseudo-</w:t>
      </w:r>
      <w:r w:rsidRPr="009944E7">
        <w:rPr>
          <w:szCs w:val="22"/>
        </w:rPr>
        <w:t xml:space="preserve">random number generator to select a single provisionally winning bid in the event of identical high bid amounts being submitted on a </w:t>
      </w:r>
      <w:r>
        <w:rPr>
          <w:szCs w:val="22"/>
        </w:rPr>
        <w:t>construction permit</w:t>
      </w:r>
      <w:r w:rsidRPr="009944E7">
        <w:rPr>
          <w:szCs w:val="22"/>
        </w:rPr>
        <w:t xml:space="preserve"> in a given round (i.e., tied bids).</w:t>
      </w:r>
      <w:r>
        <w:rPr>
          <w:rStyle w:val="FootnoteReference"/>
          <w:szCs w:val="22"/>
        </w:rPr>
        <w:footnoteReference w:id="115"/>
      </w:r>
      <w:r w:rsidRPr="009944E7">
        <w:rPr>
          <w:szCs w:val="22"/>
        </w:rPr>
        <w:t xml:space="preserve">  No comments were received on this proposal.  </w:t>
      </w:r>
      <w:r w:rsidRPr="001C2E9C">
        <w:rPr>
          <w:szCs w:val="22"/>
        </w:rPr>
        <w:t xml:space="preserve">Hence, </w:t>
      </w:r>
      <w:r w:rsidR="00FF50C3">
        <w:rPr>
          <w:szCs w:val="22"/>
        </w:rPr>
        <w:t>MB and OEA</w:t>
      </w:r>
      <w:r w:rsidRPr="001C2E9C">
        <w:rPr>
          <w:szCs w:val="22"/>
        </w:rPr>
        <w:t xml:space="preserve"> </w:t>
      </w:r>
      <w:r w:rsidRPr="00DF7948">
        <w:rPr>
          <w:szCs w:val="22"/>
        </w:rPr>
        <w:t>adopt th</w:t>
      </w:r>
      <w:r>
        <w:rPr>
          <w:szCs w:val="22"/>
        </w:rPr>
        <w:t>is</w:t>
      </w:r>
      <w:r w:rsidRPr="00DF7948">
        <w:rPr>
          <w:szCs w:val="22"/>
        </w:rPr>
        <w:t xml:space="preserve"> proposal </w:t>
      </w:r>
      <w:r>
        <w:rPr>
          <w:szCs w:val="22"/>
        </w:rPr>
        <w:t xml:space="preserve">for </w:t>
      </w:r>
      <w:r w:rsidRPr="00DF7948">
        <w:rPr>
          <w:szCs w:val="22"/>
        </w:rPr>
        <w:t>tied bids</w:t>
      </w:r>
      <w:r w:rsidRPr="001C2E9C">
        <w:rPr>
          <w:szCs w:val="22"/>
        </w:rPr>
        <w:t xml:space="preserve">.  </w:t>
      </w:r>
    </w:p>
    <w:p w:rsidR="00C96CC6" w:rsidRPr="00B15925" w:rsidP="00C96CC6" w14:paraId="2063D38C" w14:textId="77777777">
      <w:pPr>
        <w:pStyle w:val="ParaNum"/>
        <w:widowControl/>
        <w:tabs>
          <w:tab w:val="num" w:pos="1080"/>
          <w:tab w:val="left" w:pos="1440"/>
        </w:tabs>
        <w:rPr>
          <w:szCs w:val="22"/>
        </w:rPr>
      </w:pPr>
      <w:r>
        <w:rPr>
          <w:szCs w:val="22"/>
        </w:rPr>
        <w:t>Accordingly, t</w:t>
      </w:r>
      <w:r w:rsidRPr="001C2E9C">
        <w:rPr>
          <w:szCs w:val="22"/>
        </w:rPr>
        <w:t xml:space="preserve">he FCC </w:t>
      </w:r>
      <w:r>
        <w:rPr>
          <w:szCs w:val="22"/>
        </w:rPr>
        <w:t>a</w:t>
      </w:r>
      <w:r w:rsidRPr="001C2E9C">
        <w:rPr>
          <w:szCs w:val="22"/>
        </w:rPr>
        <w:t xml:space="preserve">uction </w:t>
      </w:r>
      <w:r>
        <w:rPr>
          <w:szCs w:val="22"/>
        </w:rPr>
        <w:t>bidding s</w:t>
      </w:r>
      <w:r w:rsidRPr="001C2E9C">
        <w:rPr>
          <w:szCs w:val="22"/>
        </w:rPr>
        <w:t xml:space="preserve">ystem will assign a </w:t>
      </w:r>
      <w:r>
        <w:rPr>
          <w:szCs w:val="22"/>
        </w:rPr>
        <w:t>pseudo-</w:t>
      </w:r>
      <w:r w:rsidRPr="001C2E9C">
        <w:rPr>
          <w:szCs w:val="22"/>
        </w:rPr>
        <w:t xml:space="preserve">random number to each bid upon submission.  The tied bid with the highest </w:t>
      </w:r>
      <w:r>
        <w:rPr>
          <w:szCs w:val="22"/>
        </w:rPr>
        <w:t>pseudo-</w:t>
      </w:r>
      <w:r w:rsidRPr="001C2E9C">
        <w:rPr>
          <w:szCs w:val="22"/>
        </w:rPr>
        <w:t xml:space="preserve">random number wins the tiebreaker and becomes the provisionally winning bid.  </w:t>
      </w:r>
      <w:r>
        <w:rPr>
          <w:szCs w:val="22"/>
        </w:rPr>
        <w:t>The remaining b</w:t>
      </w:r>
      <w:r w:rsidRPr="001C2E9C">
        <w:rPr>
          <w:szCs w:val="22"/>
        </w:rPr>
        <w:t xml:space="preserve">idders, </w:t>
      </w:r>
      <w:r>
        <w:rPr>
          <w:szCs w:val="22"/>
        </w:rPr>
        <w:t>as well as the</w:t>
      </w:r>
      <w:r w:rsidRPr="001C2E9C">
        <w:rPr>
          <w:szCs w:val="22"/>
        </w:rPr>
        <w:t xml:space="preserve"> provisionally winning bid</w:t>
      </w:r>
      <w:r>
        <w:rPr>
          <w:szCs w:val="22"/>
        </w:rPr>
        <w:t>der</w:t>
      </w:r>
      <w:r w:rsidRPr="001C2E9C">
        <w:rPr>
          <w:szCs w:val="22"/>
        </w:rPr>
        <w:t xml:space="preserve">, can submit higher bids in subsequent rounds.  However, if the auction were to </w:t>
      </w:r>
      <w:r>
        <w:rPr>
          <w:szCs w:val="22"/>
        </w:rPr>
        <w:t>close</w:t>
      </w:r>
      <w:r w:rsidRPr="001C2E9C">
        <w:rPr>
          <w:szCs w:val="22"/>
        </w:rPr>
        <w:t xml:space="preserve"> with no other bids being placed, the winning bidder would be the one that placed the </w:t>
      </w:r>
      <w:r w:rsidRPr="00B15925">
        <w:rPr>
          <w:szCs w:val="22"/>
        </w:rPr>
        <w:t>provisionally winning bid.</w:t>
      </w:r>
      <w:r>
        <w:rPr>
          <w:szCs w:val="22"/>
        </w:rPr>
        <w:t xml:space="preserve">  If the construction permit receives any bids in a subsequent round, the provisionally winning bid again will be determined by the highest bid amount received for the construction permit.</w:t>
      </w:r>
    </w:p>
    <w:p w:rsidR="00C96CC6" w:rsidP="00C96CC6" w14:paraId="30B76645" w14:textId="77777777">
      <w:pPr>
        <w:pStyle w:val="ParaNum"/>
        <w:widowControl/>
        <w:tabs>
          <w:tab w:val="num" w:pos="1080"/>
          <w:tab w:val="clear" w:pos="1440"/>
        </w:tabs>
      </w:pPr>
      <w:r>
        <w:t>A provisionally winning bid will be retained until there is a higher bid on the construction permit at the close of a subsequent round.  As a reminder, provisionally winning bids count toward activity for purposes of the activity rule.</w:t>
      </w:r>
      <w:r>
        <w:rPr>
          <w:rStyle w:val="FootnoteReference"/>
        </w:rPr>
        <w:footnoteReference w:id="116"/>
      </w:r>
    </w:p>
    <w:p w:rsidR="00C96CC6" w:rsidP="00C96CC6" w14:paraId="06DB38B1" w14:textId="77777777">
      <w:pPr>
        <w:pStyle w:val="Heading3"/>
      </w:pPr>
      <w:bookmarkStart w:id="1020" w:name="_Toc505077438"/>
      <w:bookmarkStart w:id="1021" w:name="_Toc507144320"/>
      <w:bookmarkStart w:id="1022" w:name="_Toc507166619"/>
      <w:bookmarkStart w:id="1023" w:name="_Toc508121642"/>
      <w:bookmarkStart w:id="1024" w:name="_Toc508638856"/>
      <w:bookmarkStart w:id="1025" w:name="_Toc508895730"/>
      <w:bookmarkStart w:id="1026" w:name="_Toc508953842"/>
      <w:bookmarkStart w:id="1027" w:name="_Toc509388488"/>
      <w:bookmarkStart w:id="1028" w:name="_Toc509492129"/>
      <w:bookmarkStart w:id="1029" w:name="_Toc529870357"/>
      <w:bookmarkStart w:id="1030" w:name="_Toc530566535"/>
      <w:bookmarkStart w:id="1031" w:name="_Toc531608877"/>
      <w:bookmarkStart w:id="1032" w:name="_Toc531700869"/>
      <w:bookmarkStart w:id="1033" w:name="_Toc532976650"/>
      <w:bookmarkStart w:id="1034" w:name="_Toc536103127"/>
      <w:bookmarkStart w:id="1035" w:name="_Toc944567"/>
      <w:bookmarkStart w:id="1036" w:name="_Toc4164771"/>
      <w:bookmarkStart w:id="1037" w:name="_Toc4419574"/>
      <w:bookmarkStart w:id="1038" w:name="_Toc5609550"/>
      <w:bookmarkStart w:id="1039" w:name="_Toc5975806"/>
      <w:bookmarkStart w:id="1040" w:name="_Toc6220330"/>
      <w:bookmarkStart w:id="1041" w:name="_Toc6232663"/>
      <w:r>
        <w:t>Bidding</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C96CC6" w:rsidRPr="001C2E9C" w:rsidP="00C96CC6" w14:paraId="231A86B0" w14:textId="77777777">
      <w:pPr>
        <w:pStyle w:val="ParaNum"/>
        <w:widowControl/>
        <w:tabs>
          <w:tab w:val="num" w:pos="1080"/>
          <w:tab w:val="left" w:pos="1440"/>
        </w:tabs>
        <w:rPr>
          <w:szCs w:val="22"/>
        </w:rPr>
      </w:pPr>
      <w:r w:rsidRPr="001C2E9C">
        <w:rPr>
          <w:szCs w:val="22"/>
        </w:rPr>
        <w:t xml:space="preserve">All bidding will take place remotely either through the FCC </w:t>
      </w:r>
      <w:r>
        <w:rPr>
          <w:szCs w:val="22"/>
        </w:rPr>
        <w:t>a</w:t>
      </w:r>
      <w:r w:rsidRPr="001C2E9C">
        <w:rPr>
          <w:szCs w:val="22"/>
        </w:rPr>
        <w:t xml:space="preserve">uction </w:t>
      </w:r>
      <w:r>
        <w:rPr>
          <w:szCs w:val="22"/>
        </w:rPr>
        <w:t>bidding s</w:t>
      </w:r>
      <w:r w:rsidRPr="001C2E9C">
        <w:rPr>
          <w:szCs w:val="22"/>
        </w:rPr>
        <w:t xml:space="preserve">ystem or by telephonic bidding.  There will be no on-site bidding during Auction </w:t>
      </w:r>
      <w:r>
        <w:rPr>
          <w:szCs w:val="22"/>
        </w:rPr>
        <w:t>100</w:t>
      </w:r>
      <w:r w:rsidRPr="001C2E9C">
        <w:rPr>
          <w:szCs w:val="22"/>
        </w:rPr>
        <w:t>.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C96CC6" w:rsidRPr="001C2E9C" w:rsidP="00C96CC6" w14:paraId="4BADE41B" w14:textId="77777777">
      <w:pPr>
        <w:pStyle w:val="ParaNum"/>
        <w:widowControl/>
        <w:tabs>
          <w:tab w:val="num" w:pos="1080"/>
          <w:tab w:val="left" w:pos="1440"/>
        </w:tabs>
        <w:rPr>
          <w:szCs w:val="22"/>
        </w:rPr>
      </w:pPr>
      <w:r w:rsidRPr="001C2E9C">
        <w:rPr>
          <w:szCs w:val="22"/>
        </w:rPr>
        <w:t>A</w:t>
      </w:r>
      <w:r>
        <w:rPr>
          <w:szCs w:val="22"/>
        </w:rPr>
        <w:t>n Auction 100</w:t>
      </w:r>
      <w:r w:rsidRPr="001C2E9C">
        <w:rPr>
          <w:szCs w:val="22"/>
        </w:rPr>
        <w:t xml:space="preserve"> bidder’s ability to bid on specific </w:t>
      </w:r>
      <w:r>
        <w:rPr>
          <w:szCs w:val="22"/>
        </w:rPr>
        <w:t>construction permits</w:t>
      </w:r>
      <w:r w:rsidRPr="001C2E9C">
        <w:rPr>
          <w:szCs w:val="22"/>
        </w:rPr>
        <w:t xml:space="preserve"> is determined by two factors: (1) the </w:t>
      </w:r>
      <w:r>
        <w:rPr>
          <w:szCs w:val="22"/>
        </w:rPr>
        <w:t>construction permits</w:t>
      </w:r>
      <w:r w:rsidRPr="001C2E9C">
        <w:rPr>
          <w:szCs w:val="22"/>
        </w:rPr>
        <w:t xml:space="preserve"> </w:t>
      </w:r>
      <w:r>
        <w:rPr>
          <w:szCs w:val="22"/>
        </w:rPr>
        <w:t xml:space="preserve">designated for that applicant in Attachment A of this Public Notice </w:t>
      </w:r>
      <w:r w:rsidRPr="001C2E9C">
        <w:rPr>
          <w:szCs w:val="22"/>
        </w:rPr>
        <w:t xml:space="preserve">and (2) the bidder’s eligibility.  The bid submission screens will allow bidders to submit bids on only those </w:t>
      </w:r>
      <w:r>
        <w:rPr>
          <w:szCs w:val="22"/>
        </w:rPr>
        <w:t>construction permits designated for that applicant in Attachment A of this Public Notice</w:t>
      </w:r>
      <w:r w:rsidRPr="001C2E9C">
        <w:rPr>
          <w:szCs w:val="22"/>
        </w:rPr>
        <w:t>.</w:t>
      </w:r>
    </w:p>
    <w:p w:rsidR="00C96CC6" w:rsidRPr="001C2E9C" w:rsidP="00C96CC6" w14:paraId="6914B54D" w14:textId="5046C5DF">
      <w:pPr>
        <w:pStyle w:val="ParaNum"/>
        <w:widowControl/>
        <w:tabs>
          <w:tab w:val="num" w:pos="1080"/>
          <w:tab w:val="left" w:pos="1440"/>
        </w:tabs>
        <w:rPr>
          <w:szCs w:val="22"/>
        </w:rPr>
      </w:pPr>
      <w:r w:rsidRPr="001C2E9C">
        <w:rPr>
          <w:szCs w:val="22"/>
        </w:rPr>
        <w:t xml:space="preserve">In order to access the bidding function of the FCC </w:t>
      </w:r>
      <w:r>
        <w:rPr>
          <w:szCs w:val="22"/>
        </w:rPr>
        <w:t>a</w:t>
      </w:r>
      <w:r w:rsidRPr="001C2E9C">
        <w:rPr>
          <w:szCs w:val="22"/>
        </w:rPr>
        <w:t xml:space="preserve">uction </w:t>
      </w:r>
      <w:r>
        <w:rPr>
          <w:szCs w:val="22"/>
        </w:rPr>
        <w:t>bidding s</w:t>
      </w:r>
      <w:r w:rsidRPr="001C2E9C">
        <w:rPr>
          <w:szCs w:val="22"/>
        </w:rPr>
        <w:t>ystem, bidders must be logged in during the bidding round using the passcode generated by the SecurID</w:t>
      </w:r>
      <w:r w:rsidRPr="00CA6286">
        <w:rPr>
          <w:szCs w:val="22"/>
          <w:vertAlign w:val="superscript"/>
        </w:rPr>
        <w:t>®</w:t>
      </w:r>
      <w:r w:rsidRPr="001C2E9C">
        <w:rPr>
          <w:szCs w:val="22"/>
        </w:rPr>
        <w:t xml:space="preserve"> token and a personal identification number (PIN) created by the bidder.  Bidders are strongly encouraged to print a </w:t>
      </w:r>
      <w:r w:rsidRPr="00781F59">
        <w:rPr>
          <w:i/>
          <w:szCs w:val="22"/>
        </w:rPr>
        <w:t>round summary</w:t>
      </w:r>
      <w:r w:rsidRPr="001C2E9C">
        <w:rPr>
          <w:szCs w:val="22"/>
        </w:rPr>
        <w:t xml:space="preserve"> for each round after they have completed all of their activity for that round.</w:t>
      </w:r>
    </w:p>
    <w:p w:rsidR="00C96CC6" w:rsidRPr="009944E7" w:rsidP="00C96CC6" w14:paraId="5A7C2E7A" w14:textId="77777777">
      <w:pPr>
        <w:pStyle w:val="ParaNum"/>
        <w:widowControl/>
        <w:tabs>
          <w:tab w:val="num" w:pos="1080"/>
          <w:tab w:val="left" w:pos="1440"/>
        </w:tabs>
        <w:rPr>
          <w:szCs w:val="22"/>
        </w:rPr>
      </w:pPr>
      <w:r w:rsidRPr="009944E7">
        <w:rPr>
          <w:szCs w:val="22"/>
        </w:rPr>
        <w:t xml:space="preserve">In each round, eligible bidders will be able to place bids on a given </w:t>
      </w:r>
      <w:r>
        <w:rPr>
          <w:szCs w:val="22"/>
        </w:rPr>
        <w:t>construction permit</w:t>
      </w:r>
      <w:r w:rsidRPr="009944E7">
        <w:rPr>
          <w:szCs w:val="22"/>
        </w:rPr>
        <w:t xml:space="preserve"> in </w:t>
      </w:r>
      <w:r>
        <w:rPr>
          <w:szCs w:val="22"/>
        </w:rPr>
        <w:t xml:space="preserve">any of up to nine pre-defined </w:t>
      </w:r>
      <w:r w:rsidRPr="009944E7">
        <w:rPr>
          <w:szCs w:val="22"/>
        </w:rPr>
        <w:t>bid amounts.</w:t>
      </w:r>
      <w:r>
        <w:rPr>
          <w:rStyle w:val="FootnoteReference"/>
          <w:szCs w:val="22"/>
        </w:rPr>
        <w:footnoteReference w:id="117"/>
      </w:r>
      <w:r w:rsidRPr="009944E7">
        <w:rPr>
          <w:szCs w:val="22"/>
        </w:rPr>
        <w:t xml:space="preserve">  For each </w:t>
      </w:r>
      <w:r>
        <w:rPr>
          <w:szCs w:val="22"/>
        </w:rPr>
        <w:t>construction permit</w:t>
      </w:r>
      <w:r w:rsidRPr="009944E7">
        <w:rPr>
          <w:szCs w:val="22"/>
        </w:rPr>
        <w:t xml:space="preserve">, the FCC </w:t>
      </w:r>
      <w:r>
        <w:rPr>
          <w:szCs w:val="22"/>
        </w:rPr>
        <w:t>a</w:t>
      </w:r>
      <w:r w:rsidRPr="009944E7">
        <w:rPr>
          <w:szCs w:val="22"/>
        </w:rPr>
        <w:t xml:space="preserve">uction </w:t>
      </w:r>
      <w:r>
        <w:rPr>
          <w:szCs w:val="22"/>
        </w:rPr>
        <w:t>bidding s</w:t>
      </w:r>
      <w:r w:rsidRPr="009944E7">
        <w:rPr>
          <w:szCs w:val="22"/>
        </w:rPr>
        <w:t>ystem will list the acceptable bid amounts in a drop-down box.</w:t>
      </w:r>
      <w:r>
        <w:rPr>
          <w:rStyle w:val="FootnoteReference"/>
          <w:szCs w:val="22"/>
        </w:rPr>
        <w:footnoteReference w:id="118"/>
      </w:r>
      <w:r w:rsidRPr="009944E7">
        <w:rPr>
          <w:szCs w:val="22"/>
        </w:rPr>
        <w:t xml:space="preserve">  Bidders use the drop-down box to select from among the acceptable bid amounts.  The FCC </w:t>
      </w:r>
      <w:r>
        <w:rPr>
          <w:szCs w:val="22"/>
        </w:rPr>
        <w:t>a</w:t>
      </w:r>
      <w:r w:rsidRPr="009944E7">
        <w:rPr>
          <w:szCs w:val="22"/>
        </w:rPr>
        <w:t xml:space="preserve">uction </w:t>
      </w:r>
      <w:r>
        <w:rPr>
          <w:szCs w:val="22"/>
        </w:rPr>
        <w:t>bidding s</w:t>
      </w:r>
      <w:r w:rsidRPr="009944E7">
        <w:rPr>
          <w:szCs w:val="22"/>
        </w:rPr>
        <w:t xml:space="preserve">ystem also includes an </w:t>
      </w:r>
      <w:r w:rsidRPr="00781F59">
        <w:rPr>
          <w:i/>
          <w:szCs w:val="22"/>
        </w:rPr>
        <w:t>upload</w:t>
      </w:r>
      <w:r w:rsidRPr="009944E7">
        <w:rPr>
          <w:szCs w:val="22"/>
        </w:rPr>
        <w:t xml:space="preserve"> function that allows text files containing bid information</w:t>
      </w:r>
      <w:r>
        <w:rPr>
          <w:szCs w:val="22"/>
        </w:rPr>
        <w:t xml:space="preserve"> to be uploaded</w:t>
      </w:r>
      <w:r w:rsidRPr="009944E7">
        <w:rPr>
          <w:szCs w:val="22"/>
        </w:rPr>
        <w:t>.</w:t>
      </w:r>
    </w:p>
    <w:p w:rsidR="00C96CC6" w:rsidRPr="006B5854" w:rsidP="00C96CC6" w14:paraId="690FE08D" w14:textId="4FB3C93B">
      <w:pPr>
        <w:pStyle w:val="ParaNum"/>
        <w:widowControl/>
        <w:tabs>
          <w:tab w:val="num" w:pos="1080"/>
          <w:tab w:val="left" w:pos="1440"/>
        </w:tabs>
        <w:rPr>
          <w:szCs w:val="22"/>
        </w:rPr>
      </w:pPr>
      <w:r w:rsidRPr="001C2E9C">
        <w:rPr>
          <w:szCs w:val="22"/>
        </w:rPr>
        <w:t xml:space="preserve">Until a bid has been placed on a </w:t>
      </w:r>
      <w:r>
        <w:rPr>
          <w:szCs w:val="22"/>
        </w:rPr>
        <w:t>construction permit</w:t>
      </w:r>
      <w:r w:rsidRPr="001C2E9C">
        <w:rPr>
          <w:szCs w:val="22"/>
        </w:rPr>
        <w:t xml:space="preserve">, the minimum acceptable bid amount for that </w:t>
      </w:r>
      <w:r>
        <w:rPr>
          <w:szCs w:val="22"/>
        </w:rPr>
        <w:t>permit</w:t>
      </w:r>
      <w:r w:rsidRPr="001C2E9C">
        <w:rPr>
          <w:szCs w:val="22"/>
        </w:rPr>
        <w:t xml:space="preserve"> will be equal to its minimum opening bid amount.  Once there are bids on a </w:t>
      </w:r>
      <w:r>
        <w:rPr>
          <w:szCs w:val="22"/>
        </w:rPr>
        <w:t>permit</w:t>
      </w:r>
      <w:r w:rsidRPr="001C2E9C">
        <w:rPr>
          <w:szCs w:val="22"/>
        </w:rPr>
        <w:t xml:space="preserve">, minimum </w:t>
      </w:r>
      <w:r w:rsidRPr="00183E39">
        <w:rPr>
          <w:szCs w:val="22"/>
        </w:rPr>
        <w:t xml:space="preserve">acceptable bids </w:t>
      </w:r>
      <w:r>
        <w:rPr>
          <w:szCs w:val="22"/>
        </w:rPr>
        <w:t xml:space="preserve">for the following round </w:t>
      </w:r>
      <w:r w:rsidRPr="00183E39">
        <w:rPr>
          <w:szCs w:val="22"/>
        </w:rPr>
        <w:t xml:space="preserve">will be determined as described </w:t>
      </w:r>
      <w:r w:rsidRPr="00D275F7">
        <w:rPr>
          <w:szCs w:val="22"/>
        </w:rPr>
        <w:t>in Section IV.B.3</w:t>
      </w:r>
      <w:r>
        <w:rPr>
          <w:szCs w:val="22"/>
        </w:rPr>
        <w:t>.</w:t>
      </w:r>
      <w:r w:rsidR="002F4A7B">
        <w:rPr>
          <w:szCs w:val="22"/>
        </w:rPr>
        <w:t xml:space="preserve"> Bid Amounts</w:t>
      </w:r>
      <w:r w:rsidRPr="00D275F7">
        <w:rPr>
          <w:szCs w:val="22"/>
        </w:rPr>
        <w:t>,</w:t>
      </w:r>
      <w:r w:rsidRPr="006B5854">
        <w:rPr>
          <w:szCs w:val="22"/>
        </w:rPr>
        <w:t xml:space="preserve"> above.</w:t>
      </w:r>
    </w:p>
    <w:p w:rsidR="00C96CC6" w:rsidRPr="001C2E9C" w:rsidP="00C96CC6" w14:paraId="21266016" w14:textId="77777777">
      <w:pPr>
        <w:pStyle w:val="ParaNum"/>
        <w:widowControl/>
        <w:tabs>
          <w:tab w:val="num" w:pos="1080"/>
          <w:tab w:val="left" w:pos="1440"/>
        </w:tabs>
        <w:rPr>
          <w:szCs w:val="22"/>
        </w:rPr>
      </w:pPr>
      <w:r w:rsidRPr="001C2E9C">
        <w:rPr>
          <w:szCs w:val="22"/>
        </w:rPr>
        <w:t xml:space="preserve">During a round, an eligible bidder may submit bids for as many </w:t>
      </w:r>
      <w:r>
        <w:rPr>
          <w:szCs w:val="22"/>
        </w:rPr>
        <w:t>construction permits</w:t>
      </w:r>
      <w:r w:rsidRPr="001C2E9C">
        <w:rPr>
          <w:szCs w:val="22"/>
        </w:rPr>
        <w:t xml:space="preserve"> as it wishes </w:t>
      </w:r>
      <w:r>
        <w:rPr>
          <w:szCs w:val="22"/>
        </w:rPr>
        <w:t xml:space="preserve">(providing that it is eligible </w:t>
      </w:r>
      <w:r w:rsidRPr="00DF7948">
        <w:rPr>
          <w:szCs w:val="22"/>
        </w:rPr>
        <w:t>to bid on the specific permits), remove</w:t>
      </w:r>
      <w:r w:rsidRPr="001C2E9C">
        <w:rPr>
          <w:szCs w:val="22"/>
        </w:rPr>
        <w:t xml:space="preserve"> bids placed in the current bidding round, or permanently reduce eligibility.  If multiple bids </w:t>
      </w:r>
      <w:r>
        <w:rPr>
          <w:szCs w:val="22"/>
        </w:rPr>
        <w:t xml:space="preserve">are submitted </w:t>
      </w:r>
      <w:r w:rsidRPr="001C2E9C">
        <w:rPr>
          <w:szCs w:val="22"/>
        </w:rPr>
        <w:t xml:space="preserve">for the same </w:t>
      </w:r>
      <w:r>
        <w:rPr>
          <w:szCs w:val="22"/>
        </w:rPr>
        <w:t>construction permit</w:t>
      </w:r>
      <w:r w:rsidRPr="001C2E9C">
        <w:rPr>
          <w:szCs w:val="22"/>
        </w:rPr>
        <w:t xml:space="preserve"> in the same round, the system takes the last bid entered as that bidder’s bid for the round.  </w:t>
      </w:r>
      <w:r>
        <w:rPr>
          <w:szCs w:val="22"/>
        </w:rPr>
        <w:t>B</w:t>
      </w:r>
      <w:r w:rsidRPr="001C2E9C">
        <w:rPr>
          <w:szCs w:val="22"/>
        </w:rPr>
        <w:t xml:space="preserve">idding units associated with </w:t>
      </w:r>
      <w:r>
        <w:rPr>
          <w:szCs w:val="22"/>
        </w:rPr>
        <w:t>construction permits</w:t>
      </w:r>
      <w:r w:rsidRPr="001C2E9C">
        <w:rPr>
          <w:szCs w:val="22"/>
        </w:rPr>
        <w:t xml:space="preserve"> for which the bidder has removed bid</w:t>
      </w:r>
      <w:r>
        <w:rPr>
          <w:szCs w:val="22"/>
        </w:rPr>
        <w:t>s</w:t>
      </w:r>
      <w:r w:rsidRPr="001C2E9C">
        <w:rPr>
          <w:szCs w:val="22"/>
        </w:rPr>
        <w:t xml:space="preserve"> do not count towards current activity.</w:t>
      </w:r>
    </w:p>
    <w:p w:rsidR="00C96CC6" w:rsidP="00C96CC6" w14:paraId="5840DDD1" w14:textId="77777777">
      <w:pPr>
        <w:pStyle w:val="Heading3"/>
      </w:pPr>
      <w:bookmarkStart w:id="1042" w:name="_Toc505077439"/>
      <w:bookmarkStart w:id="1043" w:name="_Toc507144321"/>
      <w:bookmarkStart w:id="1044" w:name="_Toc507166620"/>
      <w:bookmarkStart w:id="1045" w:name="_Toc508121643"/>
      <w:bookmarkStart w:id="1046" w:name="_Toc508638857"/>
      <w:bookmarkStart w:id="1047" w:name="_Toc508895731"/>
      <w:bookmarkStart w:id="1048" w:name="_Toc508953843"/>
      <w:bookmarkStart w:id="1049" w:name="_Toc509388489"/>
      <w:bookmarkStart w:id="1050" w:name="_Toc509492130"/>
      <w:bookmarkStart w:id="1051" w:name="_Toc529870358"/>
      <w:bookmarkStart w:id="1052" w:name="_Toc530566536"/>
      <w:bookmarkStart w:id="1053" w:name="_Toc531608878"/>
      <w:bookmarkStart w:id="1054" w:name="_Toc531700870"/>
      <w:bookmarkStart w:id="1055" w:name="_Toc532976651"/>
      <w:bookmarkStart w:id="1056" w:name="_Toc536103128"/>
      <w:bookmarkStart w:id="1057" w:name="_Toc944568"/>
      <w:bookmarkStart w:id="1058" w:name="_Toc4164772"/>
      <w:bookmarkStart w:id="1059" w:name="_Toc4419575"/>
      <w:bookmarkStart w:id="1060" w:name="_Toc5609551"/>
      <w:bookmarkStart w:id="1061" w:name="_Toc5975807"/>
      <w:bookmarkStart w:id="1062" w:name="_Toc6220331"/>
      <w:bookmarkStart w:id="1063" w:name="_Toc6232664"/>
      <w:r>
        <w:t>Bid Removal and Bid Withdrawal</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C96CC6" w:rsidRPr="006016AD" w:rsidP="00C96CC6" w14:paraId="4B8A931C" w14:textId="77777777">
      <w:pPr>
        <w:pStyle w:val="ParaNum"/>
        <w:widowControl/>
        <w:tabs>
          <w:tab w:val="num" w:pos="1080"/>
          <w:tab w:val="left" w:pos="1440"/>
        </w:tabs>
        <w:rPr>
          <w:szCs w:val="22"/>
        </w:rPr>
      </w:pPr>
      <w:r w:rsidRPr="001C2E9C">
        <w:rPr>
          <w:szCs w:val="22"/>
        </w:rPr>
        <w:t xml:space="preserve">In the </w:t>
      </w:r>
      <w:r w:rsidRPr="001C2E9C">
        <w:rPr>
          <w:i/>
          <w:szCs w:val="22"/>
        </w:rPr>
        <w:t xml:space="preserve">Auction </w:t>
      </w:r>
      <w:r>
        <w:rPr>
          <w:i/>
          <w:szCs w:val="22"/>
        </w:rPr>
        <w:t>100</w:t>
      </w:r>
      <w:r w:rsidRPr="001C2E9C">
        <w:rPr>
          <w:i/>
          <w:szCs w:val="22"/>
        </w:rPr>
        <w:t xml:space="preserve"> Comment Public Notice</w:t>
      </w:r>
      <w:r w:rsidRPr="001C2E9C">
        <w:rPr>
          <w:szCs w:val="22"/>
        </w:rPr>
        <w:t xml:space="preserve">, the </w:t>
      </w:r>
      <w:r>
        <w:rPr>
          <w:szCs w:val="22"/>
        </w:rPr>
        <w:t>Bureaus</w:t>
      </w:r>
      <w:r w:rsidRPr="001C2E9C">
        <w:rPr>
          <w:szCs w:val="22"/>
        </w:rPr>
        <w:t xml:space="preserve"> </w:t>
      </w:r>
      <w:r>
        <w:rPr>
          <w:szCs w:val="22"/>
        </w:rPr>
        <w:t xml:space="preserve">explained </w:t>
      </w:r>
      <w:r w:rsidRPr="001C2E9C">
        <w:rPr>
          <w:szCs w:val="22"/>
        </w:rPr>
        <w:t>bid removal procedures</w:t>
      </w:r>
      <w:r>
        <w:rPr>
          <w:szCs w:val="22"/>
        </w:rPr>
        <w:t xml:space="preserve"> </w:t>
      </w:r>
      <w:r>
        <w:t>in the FCC auction bidding system</w:t>
      </w:r>
      <w:r w:rsidRPr="001C2E9C">
        <w:rPr>
          <w:szCs w:val="22"/>
        </w:rPr>
        <w:t>.</w:t>
      </w:r>
      <w:r>
        <w:rPr>
          <w:rStyle w:val="FootnoteReference"/>
          <w:szCs w:val="22"/>
        </w:rPr>
        <w:footnoteReference w:id="119"/>
      </w:r>
      <w:r w:rsidRPr="001C2E9C">
        <w:rPr>
          <w:szCs w:val="22"/>
        </w:rPr>
        <w:t xml:space="preserve">  </w:t>
      </w:r>
      <w:r>
        <w:rPr>
          <w:szCs w:val="22"/>
        </w:rPr>
        <w:t xml:space="preserve">Each qualified </w:t>
      </w:r>
      <w:r w:rsidRPr="001C2E9C">
        <w:rPr>
          <w:szCs w:val="22"/>
        </w:rPr>
        <w:t>bidder</w:t>
      </w:r>
      <w:r>
        <w:rPr>
          <w:szCs w:val="22"/>
        </w:rPr>
        <w:t xml:space="preserve"> has the option of</w:t>
      </w:r>
      <w:r w:rsidRPr="001C2E9C">
        <w:rPr>
          <w:szCs w:val="22"/>
        </w:rPr>
        <w:t xml:space="preserve"> remov</w:t>
      </w:r>
      <w:r>
        <w:rPr>
          <w:szCs w:val="22"/>
        </w:rPr>
        <w:t>ing</w:t>
      </w:r>
      <w:r w:rsidRPr="001C2E9C">
        <w:rPr>
          <w:szCs w:val="22"/>
        </w:rPr>
        <w:t xml:space="preserve"> a</w:t>
      </w:r>
      <w:r>
        <w:rPr>
          <w:szCs w:val="22"/>
        </w:rPr>
        <w:t>ny</w:t>
      </w:r>
      <w:r w:rsidRPr="001C2E9C">
        <w:rPr>
          <w:szCs w:val="22"/>
        </w:rPr>
        <w:t xml:space="preserve"> bid</w:t>
      </w:r>
      <w:r>
        <w:rPr>
          <w:szCs w:val="22"/>
        </w:rPr>
        <w:t>s</w:t>
      </w:r>
      <w:r w:rsidRPr="001C2E9C">
        <w:rPr>
          <w:szCs w:val="22"/>
        </w:rPr>
        <w:t xml:space="preserve"> placed</w:t>
      </w:r>
      <w:r>
        <w:rPr>
          <w:szCs w:val="22"/>
        </w:rPr>
        <w:t xml:space="preserve"> in a round provided that such </w:t>
      </w:r>
      <w:r w:rsidRPr="00DF7948">
        <w:rPr>
          <w:szCs w:val="22"/>
        </w:rPr>
        <w:t xml:space="preserve">bids are removed before the close of that bidding round.  By </w:t>
      </w:r>
      <w:r>
        <w:rPr>
          <w:szCs w:val="22"/>
        </w:rPr>
        <w:t xml:space="preserve">removing a bid within a round, </w:t>
      </w:r>
      <w:r w:rsidRPr="00DF7948">
        <w:rPr>
          <w:szCs w:val="22"/>
        </w:rPr>
        <w:t>a bidder effectively “</w:t>
      </w:r>
      <w:r w:rsidRPr="00DF7948">
        <w:rPr>
          <w:szCs w:val="22"/>
        </w:rPr>
        <w:t>unsubmit</w:t>
      </w:r>
      <w:r>
        <w:rPr>
          <w:szCs w:val="22"/>
        </w:rPr>
        <w:t>s</w:t>
      </w:r>
      <w:r w:rsidRPr="00DF7948">
        <w:rPr>
          <w:szCs w:val="22"/>
        </w:rPr>
        <w:t xml:space="preserve">” </w:t>
      </w:r>
      <w:r>
        <w:rPr>
          <w:szCs w:val="22"/>
        </w:rPr>
        <w:t>the bid</w:t>
      </w:r>
      <w:r w:rsidRPr="00DF7948">
        <w:rPr>
          <w:szCs w:val="22"/>
        </w:rPr>
        <w:t>.  A bidder removing a bid placed in the same round is not subject to withdrawal payments</w:t>
      </w:r>
      <w:r>
        <w:rPr>
          <w:szCs w:val="22"/>
        </w:rPr>
        <w:t xml:space="preserve">.  </w:t>
      </w:r>
      <w:r w:rsidRPr="00DF7948">
        <w:rPr>
          <w:szCs w:val="22"/>
        </w:rPr>
        <w:t xml:space="preserve">Removing a bid will affect a bidder’s activity because a removed bid no longer counts toward bidding activity for the round.  </w:t>
      </w:r>
      <w:r>
        <w:rPr>
          <w:szCs w:val="22"/>
        </w:rPr>
        <w:t xml:space="preserve">Once a round closes, a bidder may no longer </w:t>
      </w:r>
      <w:r w:rsidRPr="006016AD">
        <w:rPr>
          <w:szCs w:val="22"/>
        </w:rPr>
        <w:t>remove a bid.</w:t>
      </w:r>
    </w:p>
    <w:p w:rsidR="00C96CC6" w:rsidP="00C96CC6" w14:paraId="1E3A8080" w14:textId="6FAA1797">
      <w:pPr>
        <w:pStyle w:val="ParaNum"/>
        <w:widowControl/>
        <w:tabs>
          <w:tab w:val="num" w:pos="1080"/>
          <w:tab w:val="clear" w:pos="1440"/>
        </w:tabs>
      </w:pPr>
      <w:r w:rsidRPr="006016AD">
        <w:rPr>
          <w:szCs w:val="22"/>
        </w:rPr>
        <w:t xml:space="preserve">In the </w:t>
      </w:r>
      <w:r w:rsidRPr="006016AD">
        <w:rPr>
          <w:i/>
          <w:szCs w:val="22"/>
        </w:rPr>
        <w:t xml:space="preserve">Auction </w:t>
      </w:r>
      <w:r>
        <w:rPr>
          <w:i/>
          <w:szCs w:val="22"/>
        </w:rPr>
        <w:t>100</w:t>
      </w:r>
      <w:r w:rsidRPr="006016AD">
        <w:rPr>
          <w:i/>
          <w:szCs w:val="22"/>
        </w:rPr>
        <w:t xml:space="preserve"> Comment Public Notice</w:t>
      </w:r>
      <w:r w:rsidRPr="006016AD">
        <w:rPr>
          <w:szCs w:val="22"/>
        </w:rPr>
        <w:t xml:space="preserve">, the Bureaus proposed </w:t>
      </w:r>
      <w:r w:rsidRPr="006016AD">
        <w:t xml:space="preserve">to prohibit bidders from withdrawing any bid after </w:t>
      </w:r>
      <w:r>
        <w:t xml:space="preserve">close of </w:t>
      </w:r>
      <w:r w:rsidRPr="006016AD">
        <w:t>the round in which th</w:t>
      </w:r>
      <w:r>
        <w:t>at</w:t>
      </w:r>
      <w:r w:rsidRPr="006016AD">
        <w:t xml:space="preserve"> bid</w:t>
      </w:r>
      <w:r>
        <w:t xml:space="preserve"> wa</w:t>
      </w:r>
      <w:r w:rsidRPr="006016AD">
        <w:t>s placed.</w:t>
      </w:r>
      <w:r>
        <w:rPr>
          <w:rStyle w:val="FootnoteReference"/>
        </w:rPr>
        <w:footnoteReference w:id="120"/>
      </w:r>
      <w:r w:rsidRPr="006016AD">
        <w:t xml:space="preserve">  </w:t>
      </w:r>
      <w:r>
        <w:t>This</w:t>
      </w:r>
      <w:r>
        <w:rPr>
          <w:szCs w:val="22"/>
        </w:rPr>
        <w:t xml:space="preserve"> proposal was made </w:t>
      </w:r>
      <w:r>
        <w:t>i</w:t>
      </w:r>
      <w:r w:rsidRPr="00145458">
        <w:t xml:space="preserve">n recognition </w:t>
      </w:r>
      <w:r>
        <w:t xml:space="preserve">of the nature of the permits available in this auction, as well as the experience of the Bureaus with past auctions of broadcast construction permits.  </w:t>
      </w:r>
      <w:r w:rsidRPr="005749A5">
        <w:rPr>
          <w:szCs w:val="22"/>
        </w:rPr>
        <w:t xml:space="preserve">The Bureaus received </w:t>
      </w:r>
      <w:r>
        <w:rPr>
          <w:szCs w:val="22"/>
        </w:rPr>
        <w:t>no</w:t>
      </w:r>
      <w:r w:rsidRPr="005749A5">
        <w:rPr>
          <w:szCs w:val="22"/>
        </w:rPr>
        <w:t xml:space="preserve"> comment</w:t>
      </w:r>
      <w:r>
        <w:rPr>
          <w:szCs w:val="22"/>
        </w:rPr>
        <w:t>s</w:t>
      </w:r>
      <w:r w:rsidRPr="005749A5">
        <w:rPr>
          <w:szCs w:val="22"/>
        </w:rPr>
        <w:t xml:space="preserve"> </w:t>
      </w:r>
      <w:r>
        <w:rPr>
          <w:szCs w:val="22"/>
        </w:rPr>
        <w:t>on this issue of bid withdrawal</w:t>
      </w:r>
      <w:r w:rsidRPr="00A419EA">
        <w:rPr>
          <w:szCs w:val="22"/>
        </w:rPr>
        <w:t>.</w:t>
      </w:r>
      <w:r w:rsidRPr="00A419EA">
        <w:t xml:space="preserve">  Accordingly, </w:t>
      </w:r>
      <w:r w:rsidR="00FF50C3">
        <w:t>MB and OEA</w:t>
      </w:r>
      <w:r w:rsidRPr="00DF7948">
        <w:t xml:space="preserve"> will prohibit bid withdrawals in Auction </w:t>
      </w:r>
      <w:r>
        <w:t>100</w:t>
      </w:r>
      <w:r w:rsidRPr="00DF7948">
        <w:t>.  Bidders are cautioned to select bid amounts carefully because no bid withdrawals will be allowed, even if a bid was mistakenly or erroneously made.</w:t>
      </w:r>
    </w:p>
    <w:p w:rsidR="00C96CC6" w:rsidP="00C96CC6" w14:paraId="4560747C" w14:textId="77777777">
      <w:pPr>
        <w:pStyle w:val="Heading3"/>
      </w:pPr>
      <w:bookmarkStart w:id="1064" w:name="_Toc505077440"/>
      <w:bookmarkStart w:id="1065" w:name="_Toc507144322"/>
      <w:bookmarkStart w:id="1066" w:name="_Toc507166621"/>
      <w:bookmarkStart w:id="1067" w:name="_Toc508121644"/>
      <w:bookmarkStart w:id="1068" w:name="_Toc508638858"/>
      <w:bookmarkStart w:id="1069" w:name="_Toc508895732"/>
      <w:bookmarkStart w:id="1070" w:name="_Toc508953844"/>
      <w:bookmarkStart w:id="1071" w:name="_Toc509388490"/>
      <w:bookmarkStart w:id="1072" w:name="_Toc509492131"/>
      <w:bookmarkStart w:id="1073" w:name="_Toc529870359"/>
      <w:bookmarkStart w:id="1074" w:name="_Toc530566537"/>
      <w:bookmarkStart w:id="1075" w:name="_Toc531608879"/>
      <w:bookmarkStart w:id="1076" w:name="_Toc531700871"/>
      <w:bookmarkStart w:id="1077" w:name="_Toc532976652"/>
      <w:bookmarkStart w:id="1078" w:name="_Toc536103129"/>
      <w:bookmarkStart w:id="1079" w:name="_Toc944569"/>
      <w:bookmarkStart w:id="1080" w:name="_Toc4164773"/>
      <w:bookmarkStart w:id="1081" w:name="_Toc4419576"/>
      <w:bookmarkStart w:id="1082" w:name="_Toc5609552"/>
      <w:bookmarkStart w:id="1083" w:name="_Toc5975808"/>
      <w:bookmarkStart w:id="1084" w:name="_Toc6220332"/>
      <w:bookmarkStart w:id="1085" w:name="_Toc6232665"/>
      <w:r>
        <w:t>Round Results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C96CC6" w:rsidRPr="00790BC8" w:rsidP="00C96CC6" w14:paraId="2061858D" w14:textId="77777777">
      <w:pPr>
        <w:pStyle w:val="ParaNum"/>
        <w:widowControl/>
        <w:tabs>
          <w:tab w:val="num" w:pos="1080"/>
          <w:tab w:val="left" w:pos="1440"/>
        </w:tabs>
        <w:rPr>
          <w:szCs w:val="22"/>
        </w:rPr>
      </w:pPr>
      <w:r w:rsidRPr="00145458">
        <w:rPr>
          <w:color w:val="000000"/>
          <w:szCs w:val="22"/>
        </w:rPr>
        <w:t xml:space="preserve">Reports reflecting bidders’ identities for Auction </w:t>
      </w:r>
      <w:r>
        <w:rPr>
          <w:color w:val="000000"/>
          <w:szCs w:val="22"/>
        </w:rPr>
        <w:t>100</w:t>
      </w:r>
      <w:r w:rsidRPr="00145458">
        <w:rPr>
          <w:color w:val="000000"/>
          <w:szCs w:val="22"/>
        </w:rPr>
        <w:t xml:space="preserve"> will be available before and during the auction.  Thus, bidders will know in advance of </w:t>
      </w:r>
      <w:r>
        <w:rPr>
          <w:color w:val="000000"/>
          <w:szCs w:val="22"/>
        </w:rPr>
        <w:t xml:space="preserve">bidding in </w:t>
      </w:r>
      <w:r w:rsidRPr="00145458">
        <w:rPr>
          <w:color w:val="000000"/>
          <w:szCs w:val="22"/>
        </w:rPr>
        <w:t>this auction the identities of the bidders against which they are bidding</w:t>
      </w:r>
      <w:r>
        <w:rPr>
          <w:color w:val="000000"/>
          <w:szCs w:val="22"/>
        </w:rPr>
        <w:t>.</w:t>
      </w:r>
    </w:p>
    <w:p w:rsidR="00C96CC6" w:rsidRPr="001C6D47" w:rsidP="00C96CC6" w14:paraId="584D3728" w14:textId="27E0EF0B">
      <w:pPr>
        <w:pStyle w:val="ParaNum"/>
        <w:widowControl/>
        <w:tabs>
          <w:tab w:val="num" w:pos="1080"/>
          <w:tab w:val="clear" w:pos="1440"/>
        </w:tabs>
      </w:pPr>
      <w:r w:rsidRPr="00145458">
        <w:rPr>
          <w:color w:val="000000"/>
          <w:szCs w:val="22"/>
        </w:rPr>
        <w:t xml:space="preserve">Bids placed during a round will not be made public until the conclusion of that round.  After a round closes, </w:t>
      </w:r>
      <w:r w:rsidR="00FF50C3">
        <w:rPr>
          <w:color w:val="000000"/>
          <w:szCs w:val="22"/>
        </w:rPr>
        <w:t>MB and OEA</w:t>
      </w:r>
      <w:r w:rsidRPr="00145458">
        <w:rPr>
          <w:color w:val="000000"/>
          <w:szCs w:val="22"/>
        </w:rPr>
        <w:t xml:space="preserve"> will compile reports of all bids placed, current provisionally winning bids, new minimum acceptable bid amounts for the following round, whether the construction permit is FCC</w:t>
      </w:r>
      <w:r>
        <w:rPr>
          <w:color w:val="000000"/>
          <w:szCs w:val="22"/>
        </w:rPr>
        <w:t>-</w:t>
      </w:r>
      <w:r w:rsidRPr="00145458">
        <w:rPr>
          <w:color w:val="000000"/>
          <w:szCs w:val="22"/>
        </w:rPr>
        <w:t>held, and bidder eligibility status (bidding eligibility and activity rule waivers), and post the reports for public access</w:t>
      </w:r>
      <w:r w:rsidRPr="001C2E9C">
        <w:rPr>
          <w:szCs w:val="22"/>
        </w:rPr>
        <w:t>.</w:t>
      </w:r>
    </w:p>
    <w:p w:rsidR="00C96CC6" w:rsidP="00C96CC6" w14:paraId="2549D791" w14:textId="77777777">
      <w:pPr>
        <w:pStyle w:val="Heading3"/>
      </w:pPr>
      <w:bookmarkStart w:id="1086" w:name="_Toc505077441"/>
      <w:bookmarkStart w:id="1087" w:name="_Toc507144323"/>
      <w:bookmarkStart w:id="1088" w:name="_Toc507166622"/>
      <w:bookmarkStart w:id="1089" w:name="_Toc508121645"/>
      <w:bookmarkStart w:id="1090" w:name="_Toc508638859"/>
      <w:bookmarkStart w:id="1091" w:name="_Toc508895733"/>
      <w:bookmarkStart w:id="1092" w:name="_Toc508953845"/>
      <w:bookmarkStart w:id="1093" w:name="_Toc509388491"/>
      <w:bookmarkStart w:id="1094" w:name="_Toc509492132"/>
      <w:bookmarkStart w:id="1095" w:name="_Toc529870360"/>
      <w:bookmarkStart w:id="1096" w:name="_Toc530566538"/>
      <w:bookmarkStart w:id="1097" w:name="_Toc531608880"/>
      <w:bookmarkStart w:id="1098" w:name="_Toc531700872"/>
      <w:bookmarkStart w:id="1099" w:name="_Toc532976653"/>
      <w:bookmarkStart w:id="1100" w:name="_Toc536103130"/>
      <w:bookmarkStart w:id="1101" w:name="_Toc944570"/>
      <w:bookmarkStart w:id="1102" w:name="_Toc4164774"/>
      <w:bookmarkStart w:id="1103" w:name="_Toc4419577"/>
      <w:bookmarkStart w:id="1104" w:name="_Toc5609553"/>
      <w:bookmarkStart w:id="1105" w:name="_Toc5975809"/>
      <w:bookmarkStart w:id="1106" w:name="_Toc6220333"/>
      <w:bookmarkStart w:id="1107" w:name="_Toc6232666"/>
      <w:r>
        <w:t>Auction Announcements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C96CC6" w:rsidRPr="00CA6286" w:rsidP="00C96CC6" w14:paraId="1CDFADF2" w14:textId="77777777">
      <w:pPr>
        <w:pStyle w:val="ParaNum"/>
        <w:widowControl/>
        <w:tabs>
          <w:tab w:val="num" w:pos="1080"/>
          <w:tab w:val="left" w:pos="1440"/>
        </w:tabs>
      </w:pPr>
      <w:r w:rsidRPr="001C2E9C">
        <w:rPr>
          <w:szCs w:val="22"/>
        </w:rPr>
        <w:t xml:space="preserve">The Commission will use auction announcements to </w:t>
      </w:r>
      <w:r>
        <w:rPr>
          <w:szCs w:val="22"/>
        </w:rPr>
        <w:t xml:space="preserve">report necessary information </w:t>
      </w:r>
      <w:r w:rsidRPr="001C2E9C">
        <w:rPr>
          <w:szCs w:val="22"/>
        </w:rPr>
        <w:t xml:space="preserve">such as schedule changes.  All auction </w:t>
      </w:r>
      <w:r w:rsidRPr="00893034">
        <w:rPr>
          <w:color w:val="000000"/>
          <w:szCs w:val="22"/>
        </w:rPr>
        <w:t>announcements</w:t>
      </w:r>
      <w:r w:rsidRPr="001C2E9C">
        <w:rPr>
          <w:szCs w:val="22"/>
        </w:rPr>
        <w:t xml:space="preserve"> will be available by clicking a link in the FCC </w:t>
      </w:r>
      <w:r>
        <w:rPr>
          <w:szCs w:val="22"/>
        </w:rPr>
        <w:t>a</w:t>
      </w:r>
      <w:r w:rsidRPr="001C2E9C">
        <w:rPr>
          <w:szCs w:val="22"/>
        </w:rPr>
        <w:t>uction</w:t>
      </w:r>
      <w:r>
        <w:rPr>
          <w:szCs w:val="22"/>
        </w:rPr>
        <w:t xml:space="preserve"> bidding</w:t>
      </w:r>
      <w:r w:rsidRPr="001C2E9C">
        <w:rPr>
          <w:szCs w:val="22"/>
        </w:rPr>
        <w:t xml:space="preserve"> </w:t>
      </w:r>
      <w:r>
        <w:rPr>
          <w:szCs w:val="22"/>
        </w:rPr>
        <w:t>s</w:t>
      </w:r>
      <w:r w:rsidRPr="001C2E9C">
        <w:rPr>
          <w:szCs w:val="22"/>
        </w:rPr>
        <w:t>ystem.</w:t>
      </w:r>
    </w:p>
    <w:p w:rsidR="00C96CC6" w:rsidP="00C96CC6" w14:paraId="4C20CF57" w14:textId="77777777">
      <w:pPr>
        <w:pStyle w:val="Heading1"/>
        <w:tabs>
          <w:tab w:val="num" w:pos="720"/>
        </w:tabs>
      </w:pPr>
      <w:bookmarkStart w:id="1108" w:name="_Toc505077442"/>
      <w:bookmarkStart w:id="1109" w:name="_Toc507144324"/>
      <w:bookmarkStart w:id="1110" w:name="_Toc507166623"/>
      <w:bookmarkStart w:id="1111" w:name="_Toc508121646"/>
      <w:bookmarkStart w:id="1112" w:name="_Toc508638860"/>
      <w:bookmarkStart w:id="1113" w:name="_Toc508895734"/>
      <w:bookmarkStart w:id="1114" w:name="_Toc508953846"/>
      <w:bookmarkStart w:id="1115" w:name="_Toc509388492"/>
      <w:bookmarkStart w:id="1116" w:name="_Toc509492133"/>
      <w:bookmarkStart w:id="1117" w:name="_Toc529870361"/>
      <w:bookmarkStart w:id="1118" w:name="_Toc530566539"/>
      <w:bookmarkStart w:id="1119" w:name="_Toc531608881"/>
      <w:bookmarkStart w:id="1120" w:name="_Toc531700873"/>
      <w:bookmarkStart w:id="1121" w:name="_Toc532976654"/>
      <w:bookmarkStart w:id="1122" w:name="_Toc536103131"/>
      <w:bookmarkStart w:id="1123" w:name="_Toc944571"/>
      <w:bookmarkStart w:id="1124" w:name="_Toc4164775"/>
      <w:bookmarkStart w:id="1125" w:name="_Toc4419578"/>
      <w:bookmarkStart w:id="1126" w:name="_Toc5609554"/>
      <w:bookmarkStart w:id="1127" w:name="_Toc5975810"/>
      <w:bookmarkStart w:id="1128" w:name="_Toc6220334"/>
      <w:bookmarkStart w:id="1129" w:name="_Toc6232667"/>
      <w:r>
        <w:t>Post-Auction Procedures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C96CC6" w:rsidRPr="001C6D47" w:rsidP="00C96CC6" w14:paraId="21BF1FD0" w14:textId="77777777">
      <w:pPr>
        <w:pStyle w:val="ParaNum"/>
        <w:keepNext/>
        <w:widowControl/>
        <w:tabs>
          <w:tab w:val="num" w:pos="1080"/>
          <w:tab w:val="clear" w:pos="1440"/>
        </w:tabs>
      </w:pPr>
      <w:r>
        <w:rPr>
          <w:szCs w:val="22"/>
        </w:rPr>
        <w:t>Shortly after</w:t>
      </w:r>
      <w:r w:rsidRPr="001C2E9C">
        <w:rPr>
          <w:szCs w:val="22"/>
        </w:rPr>
        <w:t xml:space="preserve"> bidding has ended, the Commission will issue a public notice declaring the auction closed</w:t>
      </w:r>
      <w:r>
        <w:rPr>
          <w:szCs w:val="22"/>
        </w:rPr>
        <w:t xml:space="preserve">, </w:t>
      </w:r>
      <w:r w:rsidRPr="001C2E9C">
        <w:rPr>
          <w:szCs w:val="22"/>
        </w:rPr>
        <w:t xml:space="preserve">identifying </w:t>
      </w:r>
      <w:r>
        <w:rPr>
          <w:szCs w:val="22"/>
        </w:rPr>
        <w:t xml:space="preserve">the </w:t>
      </w:r>
      <w:r w:rsidRPr="00893034">
        <w:rPr>
          <w:color w:val="000000"/>
          <w:szCs w:val="22"/>
        </w:rPr>
        <w:t>winning</w:t>
      </w:r>
      <w:r w:rsidRPr="001C2E9C">
        <w:rPr>
          <w:szCs w:val="22"/>
        </w:rPr>
        <w:t xml:space="preserve"> bidders, </w:t>
      </w:r>
      <w:r>
        <w:rPr>
          <w:szCs w:val="22"/>
        </w:rPr>
        <w:t xml:space="preserve">and establishing the deadlines for submitting </w:t>
      </w:r>
      <w:r w:rsidRPr="001C2E9C">
        <w:rPr>
          <w:szCs w:val="22"/>
        </w:rPr>
        <w:t>down payment</w:t>
      </w:r>
      <w:r>
        <w:rPr>
          <w:szCs w:val="22"/>
        </w:rPr>
        <w:t>s,</w:t>
      </w:r>
      <w:r w:rsidRPr="001C2E9C">
        <w:rPr>
          <w:szCs w:val="22"/>
        </w:rPr>
        <w:t xml:space="preserve"> final </w:t>
      </w:r>
      <w:r w:rsidRPr="001F60FA">
        <w:rPr>
          <w:szCs w:val="22"/>
        </w:rPr>
        <w:t xml:space="preserve">payments, and the long-form </w:t>
      </w:r>
      <w:r w:rsidRPr="001C430B">
        <w:rPr>
          <w:szCs w:val="22"/>
        </w:rPr>
        <w:t>applications (FCC Form</w:t>
      </w:r>
      <w:r>
        <w:rPr>
          <w:szCs w:val="22"/>
        </w:rPr>
        <w:t>s</w:t>
      </w:r>
      <w:r w:rsidRPr="001C430B">
        <w:rPr>
          <w:szCs w:val="22"/>
        </w:rPr>
        <w:t xml:space="preserve"> </w:t>
      </w:r>
      <w:r>
        <w:rPr>
          <w:szCs w:val="22"/>
        </w:rPr>
        <w:t>349</w:t>
      </w:r>
      <w:r w:rsidRPr="001C430B">
        <w:rPr>
          <w:szCs w:val="22"/>
        </w:rPr>
        <w:t>).</w:t>
      </w:r>
    </w:p>
    <w:p w:rsidR="00C96CC6" w:rsidP="00C06E1B" w14:paraId="3C3434EC" w14:textId="77777777">
      <w:pPr>
        <w:pStyle w:val="Heading2"/>
      </w:pPr>
      <w:bookmarkStart w:id="1130" w:name="_Toc505077443"/>
      <w:bookmarkStart w:id="1131" w:name="_Toc507144325"/>
      <w:bookmarkStart w:id="1132" w:name="_Toc507166624"/>
      <w:bookmarkStart w:id="1133" w:name="_Toc508121647"/>
      <w:bookmarkStart w:id="1134" w:name="_Toc508638861"/>
      <w:bookmarkStart w:id="1135" w:name="_Toc508895735"/>
      <w:bookmarkStart w:id="1136" w:name="_Toc508953847"/>
      <w:bookmarkStart w:id="1137" w:name="_Toc509388493"/>
      <w:bookmarkStart w:id="1138" w:name="_Toc509492134"/>
      <w:bookmarkStart w:id="1139" w:name="_Toc529870362"/>
      <w:bookmarkStart w:id="1140" w:name="_Toc530566540"/>
      <w:bookmarkStart w:id="1141" w:name="_Toc531608882"/>
      <w:bookmarkStart w:id="1142" w:name="_Toc531700874"/>
      <w:bookmarkStart w:id="1143" w:name="_Toc532976655"/>
      <w:bookmarkStart w:id="1144" w:name="_Toc536103132"/>
      <w:bookmarkStart w:id="1145" w:name="_Toc944572"/>
      <w:bookmarkStart w:id="1146" w:name="_Toc4164776"/>
      <w:bookmarkStart w:id="1147" w:name="_Toc4419579"/>
      <w:bookmarkStart w:id="1148" w:name="_Toc5609555"/>
      <w:bookmarkStart w:id="1149" w:name="_Toc5975811"/>
      <w:bookmarkStart w:id="1150" w:name="_Toc6220335"/>
      <w:bookmarkStart w:id="1151" w:name="_Toc6232668"/>
      <w:r>
        <w:t>Down Payments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rsidR="00C96CC6" w:rsidRPr="007B1543" w:rsidP="00C96CC6" w14:paraId="39DF0AB7" w14:textId="1CFE720B">
      <w:pPr>
        <w:pStyle w:val="ParaNum"/>
        <w:widowControl/>
        <w:tabs>
          <w:tab w:val="num" w:pos="1080"/>
          <w:tab w:val="left" w:pos="1440"/>
        </w:tabs>
        <w:rPr>
          <w:szCs w:val="22"/>
        </w:rPr>
      </w:pPr>
      <w:r w:rsidRPr="001F60FA">
        <w:rPr>
          <w:szCs w:val="22"/>
        </w:rPr>
        <w:t xml:space="preserve">Within ten </w:t>
      </w:r>
      <w:r w:rsidRPr="00893034">
        <w:rPr>
          <w:color w:val="000000"/>
          <w:szCs w:val="22"/>
        </w:rPr>
        <w:t>business</w:t>
      </w:r>
      <w:r w:rsidRPr="001F60FA">
        <w:rPr>
          <w:szCs w:val="22"/>
        </w:rPr>
        <w:t xml:space="preserve"> days after release of the auction closing </w:t>
      </w:r>
      <w:r>
        <w:rPr>
          <w:szCs w:val="22"/>
        </w:rPr>
        <w:t xml:space="preserve">public </w:t>
      </w:r>
      <w:r w:rsidRPr="001F60FA">
        <w:rPr>
          <w:szCs w:val="22"/>
        </w:rPr>
        <w:t xml:space="preserve">notice, each winning bidder must submit sufficient funds (in addition to its upfront payment) to bring its total amount of money on deposit with the Commission for Auction </w:t>
      </w:r>
      <w:r>
        <w:rPr>
          <w:szCs w:val="22"/>
        </w:rPr>
        <w:t>100</w:t>
      </w:r>
      <w:r w:rsidRPr="001F60FA">
        <w:rPr>
          <w:szCs w:val="22"/>
        </w:rPr>
        <w:t xml:space="preserve"> to </w:t>
      </w:r>
      <w:r w:rsidR="0067006D">
        <w:rPr>
          <w:szCs w:val="22"/>
        </w:rPr>
        <w:t>20%</w:t>
      </w:r>
      <w:r w:rsidRPr="001F60FA">
        <w:rPr>
          <w:szCs w:val="22"/>
        </w:rPr>
        <w:t xml:space="preserve"> of the amount of its winning bid</w:t>
      </w:r>
      <w:r w:rsidR="00515DAC">
        <w:rPr>
          <w:szCs w:val="22"/>
        </w:rPr>
        <w:t>(</w:t>
      </w:r>
      <w:r w:rsidRPr="001F60FA">
        <w:rPr>
          <w:szCs w:val="22"/>
        </w:rPr>
        <w:t>s</w:t>
      </w:r>
      <w:r w:rsidR="00515DAC">
        <w:rPr>
          <w:szCs w:val="22"/>
        </w:rPr>
        <w:t>)</w:t>
      </w:r>
      <w:r w:rsidRPr="0095321F">
        <w:rPr>
          <w:szCs w:val="22"/>
        </w:rPr>
        <w:t>.</w:t>
      </w:r>
      <w:r>
        <w:rPr>
          <w:rStyle w:val="FootnoteReference"/>
          <w:szCs w:val="22"/>
        </w:rPr>
        <w:footnoteReference w:id="121"/>
      </w:r>
      <w:r w:rsidRPr="007B1543">
        <w:rPr>
          <w:szCs w:val="22"/>
        </w:rPr>
        <w:t xml:space="preserve"> </w:t>
      </w:r>
    </w:p>
    <w:p w:rsidR="00C96CC6" w:rsidP="00C06E1B" w14:paraId="3CAAE52C" w14:textId="77777777">
      <w:pPr>
        <w:pStyle w:val="Heading2"/>
      </w:pPr>
      <w:bookmarkStart w:id="1152" w:name="_Toc505077444"/>
      <w:bookmarkStart w:id="1153" w:name="_Toc507144326"/>
      <w:bookmarkStart w:id="1154" w:name="_Toc507166625"/>
      <w:bookmarkStart w:id="1155" w:name="_Toc508121648"/>
      <w:bookmarkStart w:id="1156" w:name="_Toc508638862"/>
      <w:bookmarkStart w:id="1157" w:name="_Toc508895736"/>
      <w:bookmarkStart w:id="1158" w:name="_Toc508953848"/>
      <w:bookmarkStart w:id="1159" w:name="_Toc509388494"/>
      <w:bookmarkStart w:id="1160" w:name="_Toc509492135"/>
      <w:bookmarkStart w:id="1161" w:name="_Toc529870363"/>
      <w:bookmarkStart w:id="1162" w:name="_Toc530566541"/>
      <w:bookmarkStart w:id="1163" w:name="_Toc531608883"/>
      <w:bookmarkStart w:id="1164" w:name="_Toc531700875"/>
      <w:bookmarkStart w:id="1165" w:name="_Toc532976656"/>
      <w:bookmarkStart w:id="1166" w:name="_Toc536103133"/>
      <w:bookmarkStart w:id="1167" w:name="_Toc944573"/>
      <w:bookmarkStart w:id="1168" w:name="_Toc4164777"/>
      <w:bookmarkStart w:id="1169" w:name="_Toc4419580"/>
      <w:bookmarkStart w:id="1170" w:name="_Toc5609556"/>
      <w:bookmarkStart w:id="1171" w:name="_Toc5975812"/>
      <w:bookmarkStart w:id="1172" w:name="_Toc6220336"/>
      <w:bookmarkStart w:id="1173" w:name="_Toc6232669"/>
      <w:r>
        <w:t>Final Payments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C96CC6" w:rsidRPr="00890B40" w:rsidP="00C96CC6" w14:paraId="0326A8E6" w14:textId="77777777">
      <w:pPr>
        <w:pStyle w:val="ParaNum"/>
        <w:widowControl/>
        <w:tabs>
          <w:tab w:val="num" w:pos="1080"/>
          <w:tab w:val="clear" w:pos="1440"/>
        </w:tabs>
      </w:pPr>
      <w:r w:rsidRPr="003F4483">
        <w:rPr>
          <w:szCs w:val="22"/>
        </w:rPr>
        <w:t xml:space="preserve">Each winning </w:t>
      </w:r>
      <w:r w:rsidRPr="004E0894">
        <w:rPr>
          <w:color w:val="000000"/>
          <w:szCs w:val="22"/>
        </w:rPr>
        <w:t>bidder</w:t>
      </w:r>
      <w:r w:rsidRPr="004E0894">
        <w:rPr>
          <w:szCs w:val="22"/>
        </w:rPr>
        <w:t xml:space="preserve"> will be required to submit the balance of the net amount </w:t>
      </w:r>
      <w:r>
        <w:rPr>
          <w:szCs w:val="22"/>
        </w:rPr>
        <w:t xml:space="preserve">for each </w:t>
      </w:r>
      <w:r w:rsidRPr="004E0894">
        <w:rPr>
          <w:szCs w:val="22"/>
        </w:rPr>
        <w:t xml:space="preserve">of its winning bids within </w:t>
      </w:r>
      <w:r w:rsidRPr="00EB163E">
        <w:rPr>
          <w:szCs w:val="22"/>
        </w:rPr>
        <w:t>ten</w:t>
      </w:r>
      <w:r w:rsidRPr="009307DC">
        <w:rPr>
          <w:szCs w:val="22"/>
        </w:rPr>
        <w:t xml:space="preserve"> business days after the </w:t>
      </w:r>
      <w:r w:rsidRPr="007E2CAF">
        <w:rPr>
          <w:szCs w:val="22"/>
        </w:rPr>
        <w:t>applicable deadline for submitting down payments.</w:t>
      </w:r>
      <w:r>
        <w:rPr>
          <w:rStyle w:val="FootnoteReference"/>
          <w:szCs w:val="22"/>
        </w:rPr>
        <w:footnoteReference w:id="122"/>
      </w:r>
    </w:p>
    <w:p w:rsidR="00C96CC6" w:rsidP="00C06E1B" w14:paraId="7D2A1FD8" w14:textId="77777777">
      <w:pPr>
        <w:pStyle w:val="Heading2"/>
      </w:pPr>
      <w:bookmarkStart w:id="1174" w:name="_Toc505077445"/>
      <w:bookmarkStart w:id="1175" w:name="_Toc507144327"/>
      <w:bookmarkStart w:id="1176" w:name="_Toc507166626"/>
      <w:bookmarkStart w:id="1177" w:name="_Toc508121649"/>
      <w:bookmarkStart w:id="1178" w:name="_Toc508638863"/>
      <w:bookmarkStart w:id="1179" w:name="_Toc508895737"/>
      <w:bookmarkStart w:id="1180" w:name="_Toc508953849"/>
      <w:bookmarkStart w:id="1181" w:name="_Toc509388495"/>
      <w:bookmarkStart w:id="1182" w:name="_Toc509492136"/>
      <w:bookmarkStart w:id="1183" w:name="_Toc529870364"/>
      <w:bookmarkStart w:id="1184" w:name="_Toc530566542"/>
      <w:bookmarkStart w:id="1185" w:name="_Toc531608884"/>
      <w:bookmarkStart w:id="1186" w:name="_Toc531700876"/>
      <w:bookmarkStart w:id="1187" w:name="_Toc532976657"/>
      <w:bookmarkStart w:id="1188" w:name="_Toc536103134"/>
      <w:bookmarkStart w:id="1189" w:name="_Toc944574"/>
      <w:bookmarkStart w:id="1190" w:name="_Toc4164778"/>
      <w:bookmarkStart w:id="1191" w:name="_Toc4419581"/>
      <w:bookmarkStart w:id="1192" w:name="_Toc5609557"/>
      <w:bookmarkStart w:id="1193" w:name="_Toc5975813"/>
      <w:bookmarkStart w:id="1194" w:name="_Toc6220337"/>
      <w:bookmarkStart w:id="1195" w:name="_Toc6232670"/>
      <w:r>
        <w:t>Long-Form Application (FCC Form 349)</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C96CC6" w:rsidRPr="0064745A" w:rsidP="00C96CC6" w14:paraId="5414ACB0" w14:textId="7B3F52AF">
      <w:pPr>
        <w:pStyle w:val="ParaNum"/>
        <w:widowControl/>
        <w:tabs>
          <w:tab w:val="num" w:pos="1080"/>
          <w:tab w:val="left" w:pos="1440"/>
        </w:tabs>
      </w:pPr>
      <w:r w:rsidRPr="000647D5">
        <w:rPr>
          <w:szCs w:val="22"/>
        </w:rPr>
        <w:t>The Commission’s rules</w:t>
      </w:r>
      <w:r w:rsidRPr="007B1543">
        <w:rPr>
          <w:szCs w:val="22"/>
        </w:rPr>
        <w:t xml:space="preserve"> currently provide that within thirty days following the close of bidding and notification to the winning bidders, unless a longer period is specified by public notice,</w:t>
      </w:r>
      <w:r>
        <w:rPr>
          <w:rStyle w:val="FootnoteReference"/>
          <w:szCs w:val="22"/>
        </w:rPr>
        <w:footnoteReference w:id="123"/>
      </w:r>
      <w:r>
        <w:rPr>
          <w:szCs w:val="22"/>
        </w:rPr>
        <w:t xml:space="preserve"> </w:t>
      </w:r>
      <w:r w:rsidRPr="007B1543">
        <w:rPr>
          <w:szCs w:val="22"/>
        </w:rPr>
        <w:t xml:space="preserve">winning bidders must electronically submit a properly completed long-form application (FCC Form </w:t>
      </w:r>
      <w:r>
        <w:rPr>
          <w:szCs w:val="22"/>
        </w:rPr>
        <w:t>349</w:t>
      </w:r>
      <w:r w:rsidRPr="007B1543">
        <w:rPr>
          <w:szCs w:val="22"/>
        </w:rPr>
        <w:t xml:space="preserve">, Application for </w:t>
      </w:r>
      <w:r>
        <w:rPr>
          <w:szCs w:val="22"/>
        </w:rPr>
        <w:t xml:space="preserve">Authority to </w:t>
      </w:r>
      <w:r w:rsidRPr="007B1543">
        <w:rPr>
          <w:szCs w:val="22"/>
        </w:rPr>
        <w:t>Construct</w:t>
      </w:r>
      <w:r>
        <w:rPr>
          <w:szCs w:val="22"/>
        </w:rPr>
        <w:t xml:space="preserve"> or</w:t>
      </w:r>
      <w:r w:rsidRPr="007B1543">
        <w:rPr>
          <w:szCs w:val="22"/>
        </w:rPr>
        <w:t xml:space="preserve"> </w:t>
      </w:r>
      <w:r>
        <w:rPr>
          <w:szCs w:val="22"/>
        </w:rPr>
        <w:t>Make Changes in an FM Translator or FM Booster</w:t>
      </w:r>
      <w:r w:rsidRPr="007B1543">
        <w:rPr>
          <w:szCs w:val="22"/>
        </w:rPr>
        <w:t xml:space="preserve"> Station) and required exhibits for each construction permit won through Auction </w:t>
      </w:r>
      <w:r>
        <w:rPr>
          <w:szCs w:val="22"/>
        </w:rPr>
        <w:t>100</w:t>
      </w:r>
      <w:r w:rsidRPr="007B1543">
        <w:rPr>
          <w:szCs w:val="22"/>
        </w:rPr>
        <w:t>.</w:t>
      </w:r>
      <w:r>
        <w:rPr>
          <w:rStyle w:val="FootnoteReference"/>
          <w:szCs w:val="22"/>
        </w:rPr>
        <w:footnoteReference w:id="124"/>
      </w:r>
      <w:r w:rsidRPr="007B1543">
        <w:rPr>
          <w:szCs w:val="22"/>
        </w:rPr>
        <w:t xml:space="preserve">  Further instructions on these and other filing requirements will be provided to winning bidders</w:t>
      </w:r>
      <w:r w:rsidRPr="0064745A">
        <w:rPr>
          <w:szCs w:val="22"/>
        </w:rPr>
        <w:t xml:space="preserve"> in the auction closing </w:t>
      </w:r>
      <w:r>
        <w:rPr>
          <w:szCs w:val="22"/>
        </w:rPr>
        <w:t xml:space="preserve">public </w:t>
      </w:r>
      <w:r w:rsidRPr="0064745A">
        <w:rPr>
          <w:szCs w:val="22"/>
        </w:rPr>
        <w:t>notice</w:t>
      </w:r>
      <w:r w:rsidRPr="0064745A">
        <w:t>.</w:t>
      </w:r>
      <w:r>
        <w:rPr>
          <w:rStyle w:val="FootnoteReference"/>
          <w:szCs w:val="22"/>
        </w:rPr>
        <w:footnoteReference w:id="125"/>
      </w:r>
    </w:p>
    <w:p w:rsidR="00C96CC6" w:rsidP="00C06E1B" w14:paraId="3831B939" w14:textId="77777777">
      <w:pPr>
        <w:pStyle w:val="Heading2"/>
      </w:pPr>
      <w:bookmarkStart w:id="1196" w:name="_Toc505077446"/>
      <w:bookmarkStart w:id="1197" w:name="_Toc507144328"/>
      <w:bookmarkStart w:id="1198" w:name="_Toc507166627"/>
      <w:bookmarkStart w:id="1199" w:name="_Toc508121650"/>
      <w:bookmarkStart w:id="1200" w:name="_Toc508638864"/>
      <w:bookmarkStart w:id="1201" w:name="_Toc508895738"/>
      <w:bookmarkStart w:id="1202" w:name="_Toc508953850"/>
      <w:bookmarkStart w:id="1203" w:name="_Toc509388496"/>
      <w:bookmarkStart w:id="1204" w:name="_Toc509492137"/>
      <w:bookmarkStart w:id="1205" w:name="_Toc529870365"/>
      <w:bookmarkStart w:id="1206" w:name="_Toc530566543"/>
      <w:bookmarkStart w:id="1207" w:name="_Toc531608885"/>
      <w:bookmarkStart w:id="1208" w:name="_Toc531700877"/>
      <w:bookmarkStart w:id="1209" w:name="_Toc532976658"/>
      <w:bookmarkStart w:id="1210" w:name="_Toc536103135"/>
      <w:bookmarkStart w:id="1211" w:name="_Toc944575"/>
      <w:bookmarkStart w:id="1212" w:name="_Toc4164779"/>
      <w:bookmarkStart w:id="1213" w:name="_Toc4419582"/>
      <w:bookmarkStart w:id="1214" w:name="_Toc5609558"/>
      <w:bookmarkStart w:id="1215" w:name="_Toc5975814"/>
      <w:bookmarkStart w:id="1216" w:name="_Toc6220338"/>
      <w:bookmarkStart w:id="1217" w:name="_Toc6232671"/>
      <w:r>
        <w:t>Default and Disqualification</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C96CC6" w:rsidRPr="001C2E9C" w:rsidP="00C96CC6" w14:paraId="669B9F04" w14:textId="47D15350">
      <w:pPr>
        <w:pStyle w:val="ParaNum"/>
        <w:widowControl/>
        <w:tabs>
          <w:tab w:val="num" w:pos="1080"/>
          <w:tab w:val="left" w:pos="1440"/>
        </w:tabs>
        <w:rPr>
          <w:szCs w:val="22"/>
        </w:rPr>
      </w:pPr>
      <w:r w:rsidRPr="001C2E9C">
        <w:rPr>
          <w:szCs w:val="22"/>
        </w:rPr>
        <w:t xml:space="preserve">Any winning bidder that defaults or is disqualified after the close of the auction (i.e., fails to remit the required down payment </w:t>
      </w:r>
      <w:r>
        <w:rPr>
          <w:szCs w:val="22"/>
        </w:rPr>
        <w:t>by the specified deadline,</w:t>
      </w:r>
      <w:r w:rsidRPr="001C2E9C">
        <w:rPr>
          <w:szCs w:val="22"/>
        </w:rPr>
        <w:t xml:space="preserve"> fails to submit a timely long-form application, fails to make </w:t>
      </w:r>
      <w:r>
        <w:rPr>
          <w:szCs w:val="22"/>
        </w:rPr>
        <w:t xml:space="preserve">a </w:t>
      </w:r>
      <w:r w:rsidRPr="001C2E9C">
        <w:rPr>
          <w:szCs w:val="22"/>
        </w:rPr>
        <w:t xml:space="preserve">full </w:t>
      </w:r>
      <w:r>
        <w:rPr>
          <w:szCs w:val="22"/>
        </w:rPr>
        <w:t xml:space="preserve">and timely final </w:t>
      </w:r>
      <w:r w:rsidRPr="001C2E9C">
        <w:rPr>
          <w:szCs w:val="22"/>
        </w:rPr>
        <w:t xml:space="preserve">payment, or is otherwise disqualified) </w:t>
      </w:r>
      <w:r>
        <w:rPr>
          <w:szCs w:val="22"/>
        </w:rPr>
        <w:t xml:space="preserve">is liable for </w:t>
      </w:r>
      <w:r w:rsidR="00046B4F">
        <w:rPr>
          <w:szCs w:val="22"/>
        </w:rPr>
        <w:t xml:space="preserve">a </w:t>
      </w:r>
      <w:r>
        <w:rPr>
          <w:szCs w:val="22"/>
        </w:rPr>
        <w:t xml:space="preserve">default </w:t>
      </w:r>
      <w:r w:rsidRPr="001C2E9C">
        <w:rPr>
          <w:szCs w:val="22"/>
        </w:rPr>
        <w:t xml:space="preserve">payment </w:t>
      </w:r>
      <w:r>
        <w:rPr>
          <w:szCs w:val="22"/>
        </w:rPr>
        <w:t xml:space="preserve">as </w:t>
      </w:r>
      <w:r w:rsidRPr="001C2E9C">
        <w:rPr>
          <w:szCs w:val="22"/>
        </w:rPr>
        <w:t xml:space="preserve">described in </w:t>
      </w:r>
      <w:r>
        <w:rPr>
          <w:szCs w:val="22"/>
        </w:rPr>
        <w:t>section</w:t>
      </w:r>
      <w:r w:rsidRPr="001C2E9C">
        <w:rPr>
          <w:szCs w:val="22"/>
        </w:rPr>
        <w:t xml:space="preserve"> 1.2104(g)(2).</w:t>
      </w:r>
      <w:r>
        <w:rPr>
          <w:rStyle w:val="FootnoteReference"/>
          <w:szCs w:val="22"/>
        </w:rPr>
        <w:footnoteReference w:id="126"/>
      </w:r>
      <w:r w:rsidRPr="001C2E9C">
        <w:rPr>
          <w:szCs w:val="22"/>
        </w:rPr>
        <w:t xml:space="preserve">  Th</w:t>
      </w:r>
      <w:r>
        <w:rPr>
          <w:szCs w:val="22"/>
        </w:rPr>
        <w:t xml:space="preserve">is </w:t>
      </w:r>
      <w:r w:rsidRPr="001C2E9C">
        <w:rPr>
          <w:szCs w:val="22"/>
        </w:rPr>
        <w:t xml:space="preserve">payment </w:t>
      </w:r>
      <w:r>
        <w:rPr>
          <w:szCs w:val="22"/>
        </w:rPr>
        <w:t xml:space="preserve">consists of </w:t>
      </w:r>
      <w:r w:rsidRPr="001C2E9C">
        <w:rPr>
          <w:szCs w:val="22"/>
        </w:rPr>
        <w:t xml:space="preserve">a deficiency payment, equal to the difference between the amount of the </w:t>
      </w:r>
      <w:r>
        <w:rPr>
          <w:szCs w:val="22"/>
        </w:rPr>
        <w:t xml:space="preserve">Auction 100 </w:t>
      </w:r>
      <w:r w:rsidRPr="001C2E9C">
        <w:rPr>
          <w:szCs w:val="22"/>
        </w:rPr>
        <w:t xml:space="preserve">bidder’s </w:t>
      </w:r>
      <w:r>
        <w:rPr>
          <w:szCs w:val="22"/>
        </w:rPr>
        <w:t xml:space="preserve">winning </w:t>
      </w:r>
      <w:r w:rsidRPr="001C2E9C">
        <w:rPr>
          <w:szCs w:val="22"/>
        </w:rPr>
        <w:t xml:space="preserve">bid and the amount of the winning bid the next time a </w:t>
      </w:r>
      <w:r>
        <w:rPr>
          <w:szCs w:val="22"/>
        </w:rPr>
        <w:t>construction permit</w:t>
      </w:r>
      <w:r w:rsidRPr="001C2E9C">
        <w:rPr>
          <w:szCs w:val="22"/>
        </w:rPr>
        <w:t xml:space="preserve"> covering the same spectrum is won in an auction, plus an additional payment equal to a percentage of the defaulter’s bid or of the subsequent winning bid, whichever is less.  </w:t>
      </w:r>
    </w:p>
    <w:p w:rsidR="00C96CC6" w:rsidRPr="00915E0F" w:rsidP="00C96CC6" w14:paraId="7B303816" w14:textId="6869D35B">
      <w:pPr>
        <w:pStyle w:val="ParaNum"/>
        <w:widowControl/>
        <w:tabs>
          <w:tab w:val="num" w:pos="1080"/>
          <w:tab w:val="left" w:pos="1440"/>
        </w:tabs>
        <w:rPr>
          <w:szCs w:val="22"/>
        </w:rPr>
      </w:pPr>
      <w:r w:rsidRPr="00915E0F">
        <w:rPr>
          <w:szCs w:val="22"/>
        </w:rPr>
        <w:t xml:space="preserve">The percentage of the applicable bid to be assessed as an additional payment for defaults in a particular auction is established in advance of the auction.  Accordingly, in the </w:t>
      </w:r>
      <w:r w:rsidRPr="00915E0F">
        <w:rPr>
          <w:i/>
          <w:szCs w:val="22"/>
        </w:rPr>
        <w:t xml:space="preserve">Auction </w:t>
      </w:r>
      <w:r>
        <w:rPr>
          <w:i/>
          <w:szCs w:val="22"/>
        </w:rPr>
        <w:t>100</w:t>
      </w:r>
      <w:r w:rsidRPr="00915E0F">
        <w:rPr>
          <w:i/>
          <w:szCs w:val="22"/>
        </w:rPr>
        <w:t xml:space="preserve"> Comment </w:t>
      </w:r>
      <w:r w:rsidRPr="00915E0F">
        <w:rPr>
          <w:i/>
          <w:szCs w:val="22"/>
        </w:rPr>
        <w:t>Public Notice</w:t>
      </w:r>
      <w:r w:rsidRPr="00915E0F">
        <w:rPr>
          <w:szCs w:val="22"/>
        </w:rPr>
        <w:t xml:space="preserve">, </w:t>
      </w:r>
      <w:r>
        <w:rPr>
          <w:szCs w:val="22"/>
        </w:rPr>
        <w:t>the Bureaus</w:t>
      </w:r>
      <w:r w:rsidRPr="00915E0F">
        <w:rPr>
          <w:szCs w:val="22"/>
        </w:rPr>
        <w:t xml:space="preserve"> proposed to set the additional default payment for this auction at </w:t>
      </w:r>
      <w:r>
        <w:rPr>
          <w:szCs w:val="22"/>
        </w:rPr>
        <w:t>20</w:t>
      </w:r>
      <w:r w:rsidR="0067006D">
        <w:rPr>
          <w:szCs w:val="22"/>
        </w:rPr>
        <w:t>%</w:t>
      </w:r>
      <w:r w:rsidRPr="00915E0F">
        <w:rPr>
          <w:szCs w:val="22"/>
        </w:rPr>
        <w:t xml:space="preserve"> of the applicable bid.  </w:t>
      </w:r>
      <w:r>
        <w:rPr>
          <w:szCs w:val="22"/>
        </w:rPr>
        <w:t xml:space="preserve">We </w:t>
      </w:r>
      <w:r w:rsidRPr="00915E0F">
        <w:rPr>
          <w:szCs w:val="22"/>
        </w:rPr>
        <w:t xml:space="preserve">received no comments on this proposal, and </w:t>
      </w:r>
      <w:r>
        <w:rPr>
          <w:szCs w:val="22"/>
        </w:rPr>
        <w:t xml:space="preserve">it is </w:t>
      </w:r>
      <w:r w:rsidRPr="00915E0F">
        <w:rPr>
          <w:szCs w:val="22"/>
        </w:rPr>
        <w:t>therefore</w:t>
      </w:r>
      <w:r>
        <w:rPr>
          <w:szCs w:val="22"/>
        </w:rPr>
        <w:t xml:space="preserve"> </w:t>
      </w:r>
      <w:r w:rsidRPr="00915E0F">
        <w:rPr>
          <w:szCs w:val="22"/>
        </w:rPr>
        <w:t>adopt</w:t>
      </w:r>
      <w:r>
        <w:rPr>
          <w:szCs w:val="22"/>
        </w:rPr>
        <w:t>ed</w:t>
      </w:r>
      <w:r w:rsidRPr="00915E0F">
        <w:rPr>
          <w:szCs w:val="22"/>
        </w:rPr>
        <w:t xml:space="preserve">. </w:t>
      </w:r>
    </w:p>
    <w:p w:rsidR="00C96CC6" w:rsidRPr="00956038" w:rsidP="00C96CC6" w14:paraId="03E4A9D1" w14:textId="77777777">
      <w:pPr>
        <w:pStyle w:val="ParaNum"/>
        <w:widowControl/>
      </w:pPr>
      <w:r w:rsidRPr="002A0DC5">
        <w:t>Finally</w:t>
      </w:r>
      <w:r w:rsidRPr="001C2E9C">
        <w:rPr>
          <w:szCs w:val="22"/>
        </w:rPr>
        <w:t xml:space="preserve">, in the event of a default, the Commission </w:t>
      </w:r>
      <w:r>
        <w:rPr>
          <w:szCs w:val="22"/>
        </w:rPr>
        <w:t>has the discretion to</w:t>
      </w:r>
      <w:r w:rsidRPr="001C2E9C">
        <w:rPr>
          <w:szCs w:val="22"/>
        </w:rPr>
        <w:t xml:space="preserve"> re-auction the </w:t>
      </w:r>
      <w:r>
        <w:rPr>
          <w:szCs w:val="22"/>
        </w:rPr>
        <w:t>construction permit</w:t>
      </w:r>
      <w:r w:rsidRPr="001C2E9C">
        <w:rPr>
          <w:szCs w:val="22"/>
        </w:rPr>
        <w:t xml:space="preserve"> or offer it to the next highest bidder (in descending order) at its final bid amount.</w:t>
      </w:r>
      <w:r>
        <w:rPr>
          <w:rStyle w:val="FootnoteReference"/>
          <w:szCs w:val="22"/>
        </w:rPr>
        <w:footnoteReference w:id="127"/>
      </w:r>
      <w:r w:rsidRPr="001C2E9C">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rPr>
          <w:szCs w:val="22"/>
        </w:rPr>
        <w:t>authorizations</w:t>
      </w:r>
      <w:r w:rsidRPr="001C2E9C">
        <w:rPr>
          <w:szCs w:val="22"/>
        </w:rPr>
        <w:t xml:space="preserve"> held by the applicant.</w:t>
      </w:r>
      <w:r>
        <w:rPr>
          <w:rStyle w:val="FootnoteReference"/>
          <w:szCs w:val="22"/>
        </w:rPr>
        <w:footnoteReference w:id="128"/>
      </w:r>
    </w:p>
    <w:p w:rsidR="00C96CC6" w:rsidP="00C06E1B" w14:paraId="76537A49" w14:textId="77777777">
      <w:pPr>
        <w:pStyle w:val="Heading2"/>
      </w:pPr>
      <w:bookmarkStart w:id="1218" w:name="_Toc505077447"/>
      <w:bookmarkStart w:id="1219" w:name="_Toc507144329"/>
      <w:bookmarkStart w:id="1220" w:name="_Toc507166628"/>
      <w:bookmarkStart w:id="1221" w:name="_Toc508121651"/>
      <w:bookmarkStart w:id="1222" w:name="_Toc508638865"/>
      <w:bookmarkStart w:id="1223" w:name="_Toc508895739"/>
      <w:bookmarkStart w:id="1224" w:name="_Toc508953851"/>
      <w:bookmarkStart w:id="1225" w:name="_Toc509388497"/>
      <w:bookmarkStart w:id="1226" w:name="_Toc509492138"/>
      <w:bookmarkStart w:id="1227" w:name="_Toc529870366"/>
      <w:bookmarkStart w:id="1228" w:name="_Toc530566544"/>
      <w:bookmarkStart w:id="1229" w:name="_Toc531608886"/>
      <w:bookmarkStart w:id="1230" w:name="_Toc531700878"/>
      <w:bookmarkStart w:id="1231" w:name="_Toc532976659"/>
      <w:bookmarkStart w:id="1232" w:name="_Toc536103136"/>
      <w:bookmarkStart w:id="1233" w:name="_Toc944576"/>
      <w:bookmarkStart w:id="1234" w:name="_Toc4164780"/>
      <w:bookmarkStart w:id="1235" w:name="_Toc4419583"/>
      <w:bookmarkStart w:id="1236" w:name="_Toc5609559"/>
      <w:bookmarkStart w:id="1237" w:name="_Toc5975815"/>
      <w:bookmarkStart w:id="1238" w:name="_Toc6220339"/>
      <w:bookmarkStart w:id="1239" w:name="_Toc6232672"/>
      <w:r>
        <w:t>Refund of Remaining Upfront Payment Balance</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C96CC6" w:rsidP="00C96CC6" w14:paraId="7B8727AB" w14:textId="77777777">
      <w:pPr>
        <w:pStyle w:val="ParaNum"/>
        <w:widowControl/>
        <w:tabs>
          <w:tab w:val="left" w:pos="1440"/>
        </w:tabs>
        <w:rPr>
          <w:szCs w:val="22"/>
        </w:rPr>
      </w:pPr>
      <w:r w:rsidRPr="00D275F7">
        <w:t xml:space="preserve">All refunds </w:t>
      </w:r>
      <w:r>
        <w:t xml:space="preserve">of upfront payment balances </w:t>
      </w:r>
      <w:r w:rsidRPr="00D275F7">
        <w:t>will be returned to the payer of record as identified on the FCC Form 159 unless</w:t>
      </w:r>
      <w:r>
        <w:t xml:space="preserve"> the payer submits written authorization instructing otherwise.  </w:t>
      </w:r>
      <w:r w:rsidRPr="00957F27">
        <w:rPr>
          <w:szCs w:val="22"/>
        </w:rPr>
        <w:t>Bidders are encouraged to us</w:t>
      </w:r>
      <w:r>
        <w:rPr>
          <w:szCs w:val="22"/>
        </w:rPr>
        <w:t>e</w:t>
      </w:r>
      <w:r w:rsidRPr="00957F27">
        <w:rPr>
          <w:szCs w:val="22"/>
        </w:rPr>
        <w:t xml:space="preserve"> the </w:t>
      </w:r>
      <w:r w:rsidRPr="00957F27">
        <w:rPr>
          <w:b/>
          <w:szCs w:val="22"/>
        </w:rPr>
        <w:t>Refund Information</w:t>
      </w:r>
      <w:r w:rsidRPr="00957F27">
        <w:rPr>
          <w:szCs w:val="22"/>
        </w:rPr>
        <w:t xml:space="preserve"> icon found on the </w:t>
      </w:r>
      <w:r w:rsidRPr="00957F27">
        <w:rPr>
          <w:i/>
          <w:szCs w:val="22"/>
        </w:rPr>
        <w:t>Auction Application Manager</w:t>
      </w:r>
      <w:r w:rsidRPr="00957F27">
        <w:rPr>
          <w:szCs w:val="22"/>
        </w:rPr>
        <w:t xml:space="preserve"> page or the </w:t>
      </w:r>
      <w:r w:rsidRPr="00957F27">
        <w:rPr>
          <w:b/>
          <w:szCs w:val="22"/>
        </w:rPr>
        <w:t xml:space="preserve">Refund </w:t>
      </w:r>
      <w:r>
        <w:rPr>
          <w:b/>
          <w:szCs w:val="22"/>
        </w:rPr>
        <w:t>Form</w:t>
      </w:r>
      <w:r w:rsidRPr="00957F27">
        <w:rPr>
          <w:szCs w:val="22"/>
        </w:rPr>
        <w:t xml:space="preserve"> link available on the </w:t>
      </w:r>
      <w:r w:rsidRPr="00957F27">
        <w:rPr>
          <w:i/>
          <w:szCs w:val="22"/>
        </w:rPr>
        <w:t>Auction Application Submit Confirmation</w:t>
      </w:r>
      <w:r w:rsidRPr="00957F27">
        <w:rPr>
          <w:szCs w:val="22"/>
        </w:rPr>
        <w:t xml:space="preserve"> page in the FCC </w:t>
      </w:r>
      <w:r>
        <w:rPr>
          <w:szCs w:val="22"/>
        </w:rPr>
        <w:t>a</w:t>
      </w:r>
      <w:r w:rsidRPr="00957F27">
        <w:rPr>
          <w:szCs w:val="22"/>
        </w:rPr>
        <w:t xml:space="preserve">uction </w:t>
      </w:r>
      <w:r>
        <w:rPr>
          <w:szCs w:val="22"/>
        </w:rPr>
        <w:t>application s</w:t>
      </w:r>
      <w:r w:rsidRPr="00957F27">
        <w:rPr>
          <w:szCs w:val="22"/>
        </w:rPr>
        <w:t>ystem</w:t>
      </w:r>
      <w:r>
        <w:rPr>
          <w:szCs w:val="22"/>
        </w:rPr>
        <w:t xml:space="preserve"> to access the form</w:t>
      </w:r>
      <w:r w:rsidRPr="00957F27">
        <w:rPr>
          <w:szCs w:val="22"/>
        </w:rPr>
        <w:t>.</w:t>
      </w:r>
      <w:r w:rsidRPr="00CF4E9A">
        <w:rPr>
          <w:b/>
          <w:szCs w:val="22"/>
        </w:rPr>
        <w:t xml:space="preserve">  </w:t>
      </w:r>
      <w:r>
        <w:t xml:space="preserve">After the required information is completed on the blank form, the form should be printed, signed, and submitted to the Commission by mail or fax as instructed below.  </w:t>
      </w:r>
    </w:p>
    <w:p w:rsidR="00C96CC6" w:rsidP="00C96CC6" w14:paraId="0B09D3B8" w14:textId="77777777">
      <w:pPr>
        <w:pStyle w:val="ParaNum"/>
        <w:widowControl/>
        <w:tabs>
          <w:tab w:val="left" w:pos="1440"/>
        </w:tabs>
        <w:rPr>
          <w:szCs w:val="22"/>
        </w:rPr>
      </w:pPr>
      <w:r>
        <w:t>If you have elected not to access the Refund Form through the Auction Application Manager page, the Commission is requesting that all information listed below be supplied in writing.</w:t>
      </w:r>
    </w:p>
    <w:p w:rsidR="00C96CC6" w:rsidP="00C96CC6" w14:paraId="130BF26B" w14:textId="77777777">
      <w:pPr>
        <w:pStyle w:val="ParaNum"/>
        <w:widowControl/>
        <w:numPr>
          <w:ilvl w:val="0"/>
          <w:numId w:val="0"/>
        </w:numPr>
        <w:spacing w:after="0"/>
        <w:ind w:left="2520"/>
        <w:rPr>
          <w:szCs w:val="22"/>
        </w:rPr>
      </w:pPr>
      <w:r>
        <w:rPr>
          <w:szCs w:val="22"/>
        </w:rPr>
        <w:t>Name, address, contact and phone number of Bank</w:t>
      </w:r>
    </w:p>
    <w:p w:rsidR="00C96CC6" w:rsidP="00C96CC6" w14:paraId="4C5FABAB" w14:textId="1085889A">
      <w:pPr>
        <w:pStyle w:val="ParaNum"/>
        <w:widowControl/>
        <w:numPr>
          <w:ilvl w:val="0"/>
          <w:numId w:val="0"/>
        </w:numPr>
        <w:spacing w:after="0"/>
        <w:ind w:left="2520"/>
        <w:rPr>
          <w:szCs w:val="22"/>
        </w:rPr>
      </w:pPr>
      <w:r>
        <w:rPr>
          <w:szCs w:val="22"/>
        </w:rPr>
        <w:t xml:space="preserve">ACH (Automated Clearing House) </w:t>
      </w:r>
      <w:r>
        <w:rPr>
          <w:szCs w:val="22"/>
        </w:rPr>
        <w:t>ABA Number</w:t>
      </w:r>
      <w:r>
        <w:rPr>
          <w:szCs w:val="22"/>
        </w:rPr>
        <w:t xml:space="preserve"> (Please contact your Financial Institution to make sure you are using the correct number)</w:t>
      </w:r>
    </w:p>
    <w:p w:rsidR="00C96CC6" w:rsidP="00C96CC6" w14:paraId="0D498CD3" w14:textId="77777777">
      <w:pPr>
        <w:pStyle w:val="ParaNum"/>
        <w:widowControl/>
        <w:numPr>
          <w:ilvl w:val="0"/>
          <w:numId w:val="0"/>
        </w:numPr>
        <w:spacing w:after="0"/>
        <w:ind w:left="2520"/>
        <w:rPr>
          <w:szCs w:val="22"/>
        </w:rPr>
      </w:pPr>
      <w:r>
        <w:rPr>
          <w:szCs w:val="22"/>
        </w:rPr>
        <w:t>Account Number to Credit</w:t>
      </w:r>
    </w:p>
    <w:p w:rsidR="00C96CC6" w:rsidP="00C96CC6" w14:paraId="59AC3BFD" w14:textId="77777777">
      <w:pPr>
        <w:pStyle w:val="ParaNum"/>
        <w:widowControl/>
        <w:numPr>
          <w:ilvl w:val="0"/>
          <w:numId w:val="0"/>
        </w:numPr>
        <w:spacing w:after="0"/>
        <w:ind w:left="2520"/>
        <w:rPr>
          <w:szCs w:val="22"/>
        </w:rPr>
      </w:pPr>
      <w:r>
        <w:rPr>
          <w:szCs w:val="22"/>
        </w:rPr>
        <w:t>Name of Account Holder</w:t>
      </w:r>
    </w:p>
    <w:p w:rsidR="00C96CC6" w:rsidP="00C96CC6" w14:paraId="3F8641BC" w14:textId="77777777">
      <w:pPr>
        <w:pStyle w:val="ParaNum"/>
        <w:widowControl/>
        <w:numPr>
          <w:ilvl w:val="0"/>
          <w:numId w:val="0"/>
        </w:numPr>
        <w:ind w:left="2520"/>
        <w:rPr>
          <w:szCs w:val="22"/>
        </w:rPr>
      </w:pPr>
      <w:r>
        <w:rPr>
          <w:szCs w:val="22"/>
        </w:rPr>
        <w:t>FCC Registration Number (FRN)</w:t>
      </w:r>
    </w:p>
    <w:p w:rsidR="00C96CC6" w:rsidP="00C96CC6" w14:paraId="1C94A78F" w14:textId="5AF6810B">
      <w:pPr>
        <w:pStyle w:val="ParaNum"/>
        <w:widowControl/>
        <w:numPr>
          <w:ilvl w:val="0"/>
          <w:numId w:val="0"/>
        </w:numPr>
        <w:spacing w:after="0"/>
        <w:rPr>
          <w:szCs w:val="22"/>
        </w:rPr>
      </w:pPr>
      <w:r>
        <w:rPr>
          <w:szCs w:val="22"/>
        </w:rPr>
        <w:t xml:space="preserve">The refund request must be submitted </w:t>
      </w:r>
      <w:r w:rsidRPr="001C2E9C">
        <w:rPr>
          <w:szCs w:val="22"/>
        </w:rPr>
        <w:t xml:space="preserve">by </w:t>
      </w:r>
      <w:r>
        <w:rPr>
          <w:szCs w:val="22"/>
        </w:rPr>
        <w:t>fax</w:t>
      </w:r>
      <w:r w:rsidRPr="001C2E9C">
        <w:rPr>
          <w:szCs w:val="22"/>
        </w:rPr>
        <w:t xml:space="preserve"> to the </w:t>
      </w:r>
      <w:r>
        <w:rPr>
          <w:szCs w:val="22"/>
        </w:rPr>
        <w:t>Revenue &amp; Receivables Operations Group/Auctions</w:t>
      </w:r>
      <w:r w:rsidRPr="001C2E9C">
        <w:rPr>
          <w:szCs w:val="22"/>
        </w:rPr>
        <w:t xml:space="preserve"> at (202) 418-</w:t>
      </w:r>
      <w:r>
        <w:rPr>
          <w:szCs w:val="22"/>
        </w:rPr>
        <w:t xml:space="preserve">2843, emailed to </w:t>
      </w:r>
      <w:hyperlink r:id="rId10" w:history="1">
        <w:r w:rsidRPr="00430591">
          <w:rPr>
            <w:rStyle w:val="Hyperlink"/>
            <w:szCs w:val="22"/>
          </w:rPr>
          <w:t>RROGWireFaxes@fcc.gov</w:t>
        </w:r>
      </w:hyperlink>
      <w:r w:rsidRPr="001C2E9C">
        <w:rPr>
          <w:szCs w:val="22"/>
        </w:rPr>
        <w:t xml:space="preserve"> or by mail to:</w:t>
      </w:r>
    </w:p>
    <w:p w:rsidR="00C96CC6" w:rsidRPr="001C2E9C" w:rsidP="00C96CC6" w14:paraId="0DECDFC3" w14:textId="77777777">
      <w:pPr>
        <w:pStyle w:val="ParaNum"/>
        <w:widowControl/>
        <w:numPr>
          <w:ilvl w:val="0"/>
          <w:numId w:val="0"/>
        </w:numPr>
        <w:spacing w:after="0"/>
        <w:rPr>
          <w:szCs w:val="22"/>
        </w:rPr>
      </w:pPr>
    </w:p>
    <w:p w:rsidR="00C96CC6" w:rsidRPr="00CA6286" w:rsidP="00C96CC6" w14:paraId="5350E1E7" w14:textId="77777777">
      <w:pPr>
        <w:keepNext/>
        <w:keepLines/>
        <w:widowControl/>
        <w:ind w:left="2520"/>
        <w:rPr>
          <w:szCs w:val="22"/>
        </w:rPr>
      </w:pPr>
      <w:r w:rsidRPr="00CA6286">
        <w:rPr>
          <w:szCs w:val="22"/>
        </w:rPr>
        <w:t>Federal Communications Commission</w:t>
      </w:r>
    </w:p>
    <w:p w:rsidR="00C96CC6" w:rsidRPr="00CA6286" w:rsidP="00C96CC6" w14:paraId="60F73F3F" w14:textId="77777777">
      <w:pPr>
        <w:widowControl/>
        <w:ind w:left="2520"/>
        <w:rPr>
          <w:szCs w:val="22"/>
        </w:rPr>
      </w:pPr>
      <w:r w:rsidRPr="00CA6286">
        <w:rPr>
          <w:szCs w:val="22"/>
        </w:rPr>
        <w:t xml:space="preserve">Financial Operations </w:t>
      </w:r>
    </w:p>
    <w:p w:rsidR="00C96CC6" w:rsidP="00C96CC6" w14:paraId="0842360C" w14:textId="77777777">
      <w:pPr>
        <w:widowControl/>
        <w:ind w:left="2520"/>
        <w:rPr>
          <w:szCs w:val="22"/>
        </w:rPr>
      </w:pPr>
      <w:r>
        <w:rPr>
          <w:szCs w:val="22"/>
        </w:rPr>
        <w:t>Revenue &amp; Receivables Operations Group/Auctions</w:t>
      </w:r>
      <w:r w:rsidRPr="001C2E9C">
        <w:rPr>
          <w:szCs w:val="22"/>
        </w:rPr>
        <w:t xml:space="preserve"> </w:t>
      </w:r>
    </w:p>
    <w:p w:rsidR="00C96CC6" w:rsidRPr="00CA6286" w:rsidP="00C96CC6" w14:paraId="6F201BE2" w14:textId="77777777">
      <w:pPr>
        <w:widowControl/>
        <w:ind w:left="2520"/>
        <w:rPr>
          <w:szCs w:val="22"/>
        </w:rPr>
      </w:pPr>
      <w:r w:rsidRPr="00CA6286">
        <w:rPr>
          <w:szCs w:val="22"/>
        </w:rPr>
        <w:t>Gail Glasser</w:t>
      </w:r>
    </w:p>
    <w:p w:rsidR="00C96CC6" w:rsidRPr="00CA6286" w:rsidP="00C96CC6" w14:paraId="3DDAAFC7" w14:textId="77777777">
      <w:pPr>
        <w:keepNext/>
        <w:keepLines/>
        <w:widowControl/>
        <w:ind w:left="2520"/>
        <w:rPr>
          <w:szCs w:val="22"/>
        </w:rPr>
      </w:pPr>
      <w:r w:rsidRPr="00CA6286">
        <w:rPr>
          <w:szCs w:val="22"/>
        </w:rPr>
        <w:t>445 12th Street, SW, Room 1-C864</w:t>
      </w:r>
    </w:p>
    <w:p w:rsidR="00C96CC6" w:rsidRPr="00CA6286" w:rsidP="00C96CC6" w14:paraId="099636BE" w14:textId="77777777">
      <w:pPr>
        <w:widowControl/>
        <w:ind w:left="2520"/>
        <w:rPr>
          <w:szCs w:val="22"/>
        </w:rPr>
      </w:pPr>
      <w:r w:rsidRPr="00CA6286">
        <w:rPr>
          <w:szCs w:val="22"/>
        </w:rPr>
        <w:t>Washington, DC  20554</w:t>
      </w:r>
    </w:p>
    <w:p w:rsidR="00C96CC6" w:rsidRPr="00CA6286" w:rsidP="00C96CC6" w14:paraId="62BEDB82" w14:textId="77777777">
      <w:pPr>
        <w:widowControl/>
        <w:rPr>
          <w:szCs w:val="22"/>
        </w:rPr>
      </w:pPr>
    </w:p>
    <w:p w:rsidR="00C96CC6" w:rsidP="00C96CC6" w14:paraId="4EF7E4D0" w14:textId="4BEFC8CE">
      <w:pPr>
        <w:widowControl/>
        <w:spacing w:after="120"/>
        <w:rPr>
          <w:szCs w:val="22"/>
        </w:rPr>
      </w:pPr>
      <w:r w:rsidRPr="00CA6286">
        <w:rPr>
          <w:szCs w:val="22"/>
        </w:rPr>
        <w:t>NOTE:  Refund processing generally takes up to two weeks to complete.  Bidders with questions about refunds should contact Gail Glasser at (202) 418-0578</w:t>
      </w:r>
      <w:r w:rsidR="009A5022">
        <w:rPr>
          <w:szCs w:val="22"/>
        </w:rPr>
        <w:t>, Scott Radcliffe at 202-418-7518</w:t>
      </w:r>
      <w:r w:rsidR="004E6718">
        <w:rPr>
          <w:szCs w:val="22"/>
        </w:rPr>
        <w:t xml:space="preserve"> or </w:t>
      </w:r>
      <w:r w:rsidRPr="004E4054" w:rsidR="004E6718">
        <w:rPr>
          <w:szCs w:val="22"/>
        </w:rPr>
        <w:t>Theresa Meeks at (202) 418-2945</w:t>
      </w:r>
      <w:r w:rsidRPr="00CA6286">
        <w:rPr>
          <w:szCs w:val="22"/>
        </w:rPr>
        <w:t>.</w:t>
      </w:r>
    </w:p>
    <w:p w:rsidR="00C96CC6" w:rsidP="00C96CC6" w14:paraId="1711F08F" w14:textId="77777777">
      <w:pPr>
        <w:pStyle w:val="Heading1"/>
        <w:tabs>
          <w:tab w:val="num" w:pos="720"/>
        </w:tabs>
      </w:pPr>
      <w:bookmarkStart w:id="1240" w:name="_Toc530566545"/>
      <w:bookmarkStart w:id="1241" w:name="_Toc531608887"/>
      <w:bookmarkStart w:id="1242" w:name="_Toc531700879"/>
      <w:bookmarkStart w:id="1243" w:name="_Toc532976660"/>
      <w:bookmarkStart w:id="1244" w:name="_Toc536103137"/>
      <w:bookmarkStart w:id="1245" w:name="_Toc944577"/>
      <w:bookmarkStart w:id="1246" w:name="_Toc4164781"/>
      <w:bookmarkStart w:id="1247" w:name="_Toc4419584"/>
      <w:bookmarkStart w:id="1248" w:name="_Toc5609560"/>
      <w:bookmarkStart w:id="1249" w:name="_Toc5975816"/>
      <w:bookmarkStart w:id="1250" w:name="_Toc6220340"/>
      <w:bookmarkStart w:id="1251" w:name="_Toc6232673"/>
      <w:bookmarkStart w:id="1252" w:name="_Toc507144330"/>
      <w:bookmarkStart w:id="1253" w:name="_Toc507166629"/>
      <w:bookmarkStart w:id="1254" w:name="_Toc508895740"/>
      <w:bookmarkStart w:id="1255" w:name="_Toc508953852"/>
      <w:bookmarkStart w:id="1256" w:name="_Toc509388498"/>
      <w:bookmarkStart w:id="1257" w:name="_Toc509492139"/>
      <w:bookmarkStart w:id="1258" w:name="_Toc529870367"/>
      <w:bookmarkStart w:id="1259" w:name="_Toc508121652"/>
      <w:bookmarkStart w:id="1260" w:name="_Toc508638866"/>
      <w:bookmarkStart w:id="1261" w:name="_Toc505077448"/>
      <w:r>
        <w:t xml:space="preserve">Procedural </w:t>
      </w:r>
      <w:bookmarkEnd w:id="1240"/>
      <w:r>
        <w:t>Matters</w:t>
      </w:r>
      <w:bookmarkEnd w:id="1241"/>
      <w:bookmarkEnd w:id="1242"/>
      <w:bookmarkEnd w:id="1243"/>
      <w:bookmarkEnd w:id="1244"/>
      <w:bookmarkEnd w:id="1245"/>
      <w:bookmarkEnd w:id="1246"/>
      <w:bookmarkEnd w:id="1247"/>
      <w:bookmarkEnd w:id="1248"/>
      <w:bookmarkEnd w:id="1249"/>
      <w:bookmarkEnd w:id="1250"/>
      <w:bookmarkEnd w:id="1251"/>
    </w:p>
    <w:p w:rsidR="00C96CC6" w:rsidP="00C06E1B" w14:paraId="26464E21" w14:textId="61780ADE">
      <w:pPr>
        <w:pStyle w:val="Heading2"/>
      </w:pPr>
      <w:bookmarkStart w:id="1262" w:name="_Toc530566546"/>
      <w:bookmarkStart w:id="1263" w:name="_Toc531608888"/>
      <w:bookmarkStart w:id="1264" w:name="_Toc531700880"/>
      <w:bookmarkStart w:id="1265" w:name="_Toc532976661"/>
      <w:bookmarkStart w:id="1266" w:name="_Toc536103138"/>
      <w:bookmarkStart w:id="1267" w:name="_Toc944578"/>
      <w:bookmarkStart w:id="1268" w:name="_Toc4164782"/>
      <w:bookmarkStart w:id="1269" w:name="_Toc4419585"/>
      <w:bookmarkStart w:id="1270" w:name="_Toc5609561"/>
      <w:bookmarkStart w:id="1271" w:name="_Toc5975817"/>
      <w:bookmarkStart w:id="1272" w:name="_Toc6220341"/>
      <w:bookmarkStart w:id="1273" w:name="_Toc6232674"/>
      <w:r>
        <w:t>Paperwork Reduction Act</w:t>
      </w:r>
      <w:bookmarkEnd w:id="1262"/>
      <w:bookmarkEnd w:id="1263"/>
      <w:bookmarkEnd w:id="1264"/>
      <w:bookmarkEnd w:id="1265"/>
      <w:bookmarkEnd w:id="1266"/>
      <w:bookmarkEnd w:id="1267"/>
      <w:bookmarkEnd w:id="1268"/>
      <w:bookmarkEnd w:id="1269"/>
      <w:bookmarkEnd w:id="1270"/>
      <w:bookmarkEnd w:id="1271"/>
      <w:bookmarkEnd w:id="1272"/>
      <w:bookmarkEnd w:id="1273"/>
      <w:r>
        <w:t xml:space="preserve"> </w:t>
      </w:r>
    </w:p>
    <w:p w:rsidR="00C96CC6" w:rsidP="00C96CC6" w14:paraId="723019F5" w14:textId="32A88276">
      <w:pPr>
        <w:pStyle w:val="ParaNum"/>
        <w:widowControl/>
        <w:tabs>
          <w:tab w:val="left" w:pos="1440"/>
        </w:tabs>
      </w:pPr>
      <w:r>
        <w:t xml:space="preserve"> This document does not contain new or modified information collection requirements subject to the Paperwork Reduction Act of 1995 (PRA), Public Law 104-13</w:t>
      </w:r>
      <w:r w:rsidR="00F85E5F">
        <w:t>, nor</w:t>
      </w:r>
      <w:r>
        <w:t xml:space="preserve"> does </w:t>
      </w:r>
      <w:r w:rsidR="00F85E5F">
        <w:t xml:space="preserve">it </w:t>
      </w:r>
      <w:r>
        <w:t xml:space="preserve">contain any new </w:t>
      </w:r>
      <w:r>
        <w:t>or modified information burden for small business concerns with fewer than 25 employees pursuant to the Small Business Paperwork Relief Act of 2002, Public Law 107-198.</w:t>
      </w:r>
      <w:r>
        <w:rPr>
          <w:rStyle w:val="FootnoteReference"/>
        </w:rPr>
        <w:footnoteReference w:id="129"/>
      </w:r>
      <w:r>
        <w:t xml:space="preserve">  </w:t>
      </w:r>
    </w:p>
    <w:p w:rsidR="00C96CC6" w:rsidP="00C06E1B" w14:paraId="3A60C144" w14:textId="5545C61B">
      <w:pPr>
        <w:pStyle w:val="Heading2"/>
      </w:pPr>
      <w:bookmarkStart w:id="1274" w:name="_Toc530566547"/>
      <w:bookmarkStart w:id="1275" w:name="_Toc531608889"/>
      <w:bookmarkStart w:id="1276" w:name="_Toc531700881"/>
      <w:bookmarkStart w:id="1277" w:name="_Toc532976662"/>
      <w:bookmarkStart w:id="1278" w:name="_Toc536103139"/>
      <w:bookmarkStart w:id="1279" w:name="_Toc944579"/>
      <w:bookmarkStart w:id="1280" w:name="_Toc4164783"/>
      <w:bookmarkStart w:id="1281" w:name="_Toc4419586"/>
      <w:bookmarkStart w:id="1282" w:name="_Toc5609562"/>
      <w:bookmarkStart w:id="1283" w:name="_Toc5975818"/>
      <w:bookmarkStart w:id="1284" w:name="_Toc6220342"/>
      <w:bookmarkStart w:id="1285" w:name="_Toc6232675"/>
      <w:r>
        <w:t>Congressional Review Act</w:t>
      </w:r>
      <w:bookmarkEnd w:id="1274"/>
      <w:bookmarkEnd w:id="1275"/>
      <w:bookmarkEnd w:id="1276"/>
      <w:bookmarkEnd w:id="1277"/>
      <w:bookmarkEnd w:id="1278"/>
      <w:bookmarkEnd w:id="1279"/>
      <w:bookmarkEnd w:id="1280"/>
      <w:bookmarkEnd w:id="1281"/>
      <w:bookmarkEnd w:id="1282"/>
      <w:bookmarkEnd w:id="1283"/>
      <w:bookmarkEnd w:id="1284"/>
      <w:bookmarkEnd w:id="1285"/>
    </w:p>
    <w:p w:rsidR="00C96CC6" w:rsidP="00C96CC6" w14:paraId="2CE331E2" w14:textId="77777777">
      <w:pPr>
        <w:pStyle w:val="ParaNum"/>
        <w:widowControl/>
      </w:pPr>
      <w:r>
        <w:t xml:space="preserve">The Commission will send a copy of this </w:t>
      </w:r>
      <w:r w:rsidRPr="001062EA">
        <w:rPr>
          <w:i/>
        </w:rPr>
        <w:t>Auction 100 Procedures Public Notice</w:t>
      </w:r>
      <w:r>
        <w:t xml:space="preserve"> to Congress and the Government Accountability Office pursuant to the Congressional Review Act.</w:t>
      </w:r>
      <w:r>
        <w:rPr>
          <w:rStyle w:val="FootnoteReference"/>
        </w:rPr>
        <w:footnoteReference w:id="130"/>
      </w:r>
      <w:r>
        <w:t xml:space="preserve">  </w:t>
      </w:r>
    </w:p>
    <w:p w:rsidR="00C96CC6" w:rsidP="00C06E1B" w14:paraId="22FD7F53" w14:textId="70CDE361">
      <w:pPr>
        <w:pStyle w:val="Heading2"/>
      </w:pPr>
      <w:bookmarkStart w:id="1286" w:name="_Toc530566548"/>
      <w:bookmarkStart w:id="1287" w:name="_Toc531608890"/>
      <w:bookmarkStart w:id="1288" w:name="_Toc531700882"/>
      <w:bookmarkStart w:id="1289" w:name="_Toc532976663"/>
      <w:bookmarkStart w:id="1290" w:name="_Toc536103140"/>
      <w:bookmarkStart w:id="1291" w:name="_Toc944580"/>
      <w:bookmarkStart w:id="1292" w:name="_Toc4164784"/>
      <w:bookmarkStart w:id="1293" w:name="_Toc4419587"/>
      <w:bookmarkStart w:id="1294" w:name="_Toc5609563"/>
      <w:bookmarkStart w:id="1295" w:name="_Toc5975819"/>
      <w:bookmarkStart w:id="1296" w:name="_Toc6220343"/>
      <w:bookmarkStart w:id="1297" w:name="_Toc6232676"/>
      <w:r>
        <w:t xml:space="preserve">Supplemental Final Regulatory Flexibility </w:t>
      </w:r>
      <w:bookmarkEnd w:id="1252"/>
      <w:bookmarkEnd w:id="1253"/>
      <w:r>
        <w:t>Analysis</w:t>
      </w:r>
      <w:bookmarkEnd w:id="1254"/>
      <w:bookmarkEnd w:id="1255"/>
      <w:bookmarkEnd w:id="1256"/>
      <w:bookmarkEnd w:id="1257"/>
      <w:bookmarkEnd w:id="1258"/>
      <w:bookmarkEnd w:id="1286"/>
      <w:bookmarkEnd w:id="1287"/>
      <w:bookmarkEnd w:id="1288"/>
      <w:bookmarkEnd w:id="1289"/>
      <w:bookmarkEnd w:id="1290"/>
      <w:bookmarkEnd w:id="1291"/>
      <w:bookmarkEnd w:id="1292"/>
      <w:bookmarkEnd w:id="1293"/>
      <w:bookmarkEnd w:id="1294"/>
      <w:bookmarkEnd w:id="1295"/>
      <w:bookmarkEnd w:id="1296"/>
      <w:bookmarkEnd w:id="1297"/>
      <w:r>
        <w:t xml:space="preserve"> </w:t>
      </w:r>
      <w:bookmarkEnd w:id="1259"/>
      <w:bookmarkEnd w:id="1260"/>
    </w:p>
    <w:p w:rsidR="00C96CC6" w:rsidP="00C96CC6" w14:paraId="720A4CEB" w14:textId="7AF33C47">
      <w:pPr>
        <w:pStyle w:val="ParaNum"/>
        <w:widowControl/>
        <w:tabs>
          <w:tab w:val="left" w:pos="1440"/>
        </w:tabs>
      </w:pPr>
      <w:r w:rsidRPr="00EB2B59">
        <w:t xml:space="preserve">As required by the </w:t>
      </w:r>
      <w:r w:rsidRPr="006200C3">
        <w:t>Regulatory Flexibility Act of 1980, as amended (RFA),</w:t>
      </w:r>
      <w:r>
        <w:rPr>
          <w:vertAlign w:val="superscript"/>
        </w:rPr>
        <w:footnoteReference w:id="131"/>
      </w:r>
      <w:r w:rsidRPr="006200C3">
        <w:t xml:space="preserve"> </w:t>
      </w:r>
      <w:r w:rsidRPr="00EF3215">
        <w:rPr>
          <w:szCs w:val="22"/>
        </w:rPr>
        <w:t>the Commission</w:t>
      </w:r>
      <w:r w:rsidRPr="00DB54BD">
        <w:rPr>
          <w:szCs w:val="22"/>
        </w:rPr>
        <w:t xml:space="preserve"> prepared Initial Regulatory Flexibility Analyses (IRFAs) in connection with </w:t>
      </w:r>
      <w:r>
        <w:rPr>
          <w:szCs w:val="22"/>
        </w:rPr>
        <w:t xml:space="preserve">the </w:t>
      </w:r>
      <w:r>
        <w:rPr>
          <w:i/>
          <w:szCs w:val="22"/>
        </w:rPr>
        <w:t xml:space="preserve">Broadcast Competitive Bidding Notice of Proposed Rulemaking </w:t>
      </w:r>
      <w:r w:rsidRPr="008C484E">
        <w:rPr>
          <w:szCs w:val="22"/>
        </w:rPr>
        <w:t>(NPRM)</w:t>
      </w:r>
      <w:r>
        <w:rPr>
          <w:szCs w:val="22"/>
        </w:rPr>
        <w:t>,</w:t>
      </w:r>
      <w:r>
        <w:rPr>
          <w:rStyle w:val="FootnoteReference"/>
        </w:rPr>
        <w:footnoteReference w:id="132"/>
      </w:r>
      <w:r w:rsidRPr="00DB54BD">
        <w:rPr>
          <w:szCs w:val="22"/>
        </w:rPr>
        <w:t xml:space="preserve"> and other Commission </w:t>
      </w:r>
      <w:r>
        <w:rPr>
          <w:szCs w:val="22"/>
        </w:rPr>
        <w:t xml:space="preserve">NPRMs </w:t>
      </w:r>
      <w:r w:rsidRPr="00DB54BD">
        <w:rPr>
          <w:szCs w:val="22"/>
        </w:rPr>
        <w:t>(collectively</w:t>
      </w:r>
      <w:r>
        <w:t xml:space="preserve">, </w:t>
      </w:r>
      <w:r w:rsidRPr="00C7502D">
        <w:rPr>
          <w:i/>
        </w:rPr>
        <w:t>“Competitive Bidding NPRMs”)</w:t>
      </w:r>
      <w:r>
        <w:t xml:space="preserve"> </w:t>
      </w:r>
      <w:r w:rsidRPr="00BF531E">
        <w:t xml:space="preserve">pursuant to which Auction </w:t>
      </w:r>
      <w:r>
        <w:t>100</w:t>
      </w:r>
      <w:r w:rsidRPr="00BF531E">
        <w:t xml:space="preserve"> will be conducted.</w:t>
      </w:r>
      <w:r>
        <w:rPr>
          <w:rStyle w:val="FootnoteReference"/>
        </w:rPr>
        <w:footnoteReference w:id="133"/>
      </w:r>
      <w:r w:rsidRPr="00BF531E">
        <w:t xml:space="preserve"> </w:t>
      </w:r>
      <w:r>
        <w:t xml:space="preserve"> Final Regulatory Flexibility Analyses (FRFAs) likewise were prepared in the </w:t>
      </w:r>
      <w:r w:rsidRPr="00C7502D">
        <w:rPr>
          <w:i/>
        </w:rPr>
        <w:t xml:space="preserve">Broadcast </w:t>
      </w:r>
      <w:r>
        <w:rPr>
          <w:i/>
        </w:rPr>
        <w:t>Competitive Bidding</w:t>
      </w:r>
      <w:r w:rsidRPr="00C7502D">
        <w:rPr>
          <w:i/>
        </w:rPr>
        <w:t xml:space="preserve"> Order</w:t>
      </w:r>
      <w:r w:rsidRPr="00336D27">
        <w:t xml:space="preserve"> and other Commission orders</w:t>
      </w:r>
      <w:r>
        <w:t xml:space="preserve"> (collectively, “</w:t>
      </w:r>
      <w:r w:rsidRPr="00C7502D">
        <w:rPr>
          <w:i/>
        </w:rPr>
        <w:t>Competit</w:t>
      </w:r>
      <w:r>
        <w:rPr>
          <w:i/>
        </w:rPr>
        <w:t>i</w:t>
      </w:r>
      <w:r w:rsidRPr="00C7502D">
        <w:rPr>
          <w:i/>
        </w:rPr>
        <w:t>ve Bidding Orders</w:t>
      </w:r>
      <w:r>
        <w:t>”)</w:t>
      </w:r>
      <w:r w:rsidRPr="00336D27">
        <w:t xml:space="preserve"> pursuant to which Auction </w:t>
      </w:r>
      <w:r>
        <w:t>100</w:t>
      </w:r>
      <w:r w:rsidRPr="00336D27">
        <w:t xml:space="preserve"> will be conducted</w:t>
      </w:r>
      <w:r>
        <w:t>.</w:t>
      </w:r>
      <w:r>
        <w:rPr>
          <w:rStyle w:val="FootnoteReference"/>
        </w:rPr>
        <w:footnoteReference w:id="134"/>
      </w:r>
      <w:r>
        <w:t xml:space="preserve">  </w:t>
      </w:r>
      <w:r w:rsidRPr="00336D27">
        <w:t xml:space="preserve"> </w:t>
      </w:r>
      <w:r>
        <w:t xml:space="preserve">In this proceeding, a </w:t>
      </w:r>
      <w:r w:rsidRPr="009215BC">
        <w:t>Supplemental Initial Regulatory Flexibility An</w:t>
      </w:r>
      <w:r>
        <w:t xml:space="preserve">alysis </w:t>
      </w:r>
      <w:r w:rsidRPr="009215BC">
        <w:t>(Supplemental IRFA)</w:t>
      </w:r>
      <w:r>
        <w:t xml:space="preserve"> was incorporated in the</w:t>
      </w:r>
      <w:r w:rsidRPr="007A6245">
        <w:rPr>
          <w:i/>
        </w:rPr>
        <w:t xml:space="preserve"> </w:t>
      </w:r>
      <w:r w:rsidRPr="00AA3282">
        <w:rPr>
          <w:i/>
        </w:rPr>
        <w:t xml:space="preserve">Auction </w:t>
      </w:r>
      <w:r>
        <w:rPr>
          <w:i/>
        </w:rPr>
        <w:t>100</w:t>
      </w:r>
      <w:r w:rsidRPr="00AA3282">
        <w:rPr>
          <w:i/>
        </w:rPr>
        <w:t xml:space="preserve"> Comment Public Notice</w:t>
      </w:r>
      <w:r w:rsidRPr="009215BC">
        <w:t>.</w:t>
      </w:r>
      <w:r>
        <w:rPr>
          <w:rStyle w:val="FootnoteReference"/>
        </w:rPr>
        <w:footnoteReference w:id="135"/>
      </w:r>
      <w:r w:rsidRPr="009215BC">
        <w:t xml:space="preserve">  </w:t>
      </w:r>
      <w:r w:rsidRPr="00303AF8">
        <w:t>The Commission sought written public comment on the proposals in</w:t>
      </w:r>
      <w:r>
        <w:t xml:space="preserve"> the</w:t>
      </w:r>
      <w:r w:rsidRPr="00303AF8">
        <w:t xml:space="preserve"> </w:t>
      </w:r>
      <w:r w:rsidRPr="00C7502D">
        <w:rPr>
          <w:i/>
        </w:rPr>
        <w:t xml:space="preserve">Auction </w:t>
      </w:r>
      <w:r>
        <w:rPr>
          <w:i/>
        </w:rPr>
        <w:t>100</w:t>
      </w:r>
      <w:r w:rsidRPr="00C7502D">
        <w:rPr>
          <w:i/>
        </w:rPr>
        <w:t xml:space="preserve"> Comment Public Notice</w:t>
      </w:r>
      <w:r w:rsidRPr="00303AF8">
        <w:t>, including comments on the Supplemental IRFA.</w:t>
      </w:r>
      <w:r>
        <w:t xml:space="preserve">  </w:t>
      </w:r>
      <w:r w:rsidRPr="007A6245">
        <w:t xml:space="preserve">This Supplemental Final Regulatory Flexibility Analysis (Supplemental FRFA) supplements the FRFAs in the </w:t>
      </w:r>
      <w:r w:rsidRPr="00C7502D">
        <w:rPr>
          <w:i/>
        </w:rPr>
        <w:t>Competit</w:t>
      </w:r>
      <w:r>
        <w:rPr>
          <w:i/>
        </w:rPr>
        <w:t>i</w:t>
      </w:r>
      <w:r w:rsidRPr="00C7502D">
        <w:rPr>
          <w:i/>
        </w:rPr>
        <w:t>ve Bidding Orders</w:t>
      </w:r>
      <w:r w:rsidRPr="007A6245">
        <w:t xml:space="preserve"> to reflect the actions taken in this Public Notice and conforms to the RFA.</w:t>
      </w:r>
      <w:r w:rsidRPr="00303AF8">
        <w:t xml:space="preserve">  </w:t>
      </w:r>
      <w:r w:rsidRPr="009215BC">
        <w:t xml:space="preserve"> </w:t>
      </w:r>
      <w:r w:rsidRPr="00EB2B59">
        <w:t xml:space="preserve">  </w:t>
      </w:r>
    </w:p>
    <w:p w:rsidR="00C96CC6" w:rsidP="00C96CC6" w14:paraId="1035D54D" w14:textId="46C90BA9">
      <w:pPr>
        <w:pStyle w:val="ParaNum"/>
        <w:widowControl/>
        <w:tabs>
          <w:tab w:val="num" w:pos="1080"/>
          <w:tab w:val="clear" w:pos="1440"/>
        </w:tabs>
      </w:pPr>
      <w:r w:rsidRPr="00FD2646">
        <w:rPr>
          <w:i/>
        </w:rPr>
        <w:t xml:space="preserve">Need for, and Objectives of, </w:t>
      </w:r>
      <w:r>
        <w:rPr>
          <w:i/>
        </w:rPr>
        <w:t>the Public Notice</w:t>
      </w:r>
      <w:r w:rsidRPr="00FD2646">
        <w:t xml:space="preserve">. </w:t>
      </w:r>
      <w:r>
        <w:t xml:space="preserve"> T</w:t>
      </w:r>
      <w:r w:rsidRPr="004426E9">
        <w:t>h</w:t>
      </w:r>
      <w:r>
        <w:t>e</w:t>
      </w:r>
      <w:r w:rsidRPr="004426E9">
        <w:t xml:space="preserve"> </w:t>
      </w:r>
      <w:r w:rsidR="00E471A8">
        <w:t xml:space="preserve">procedures for the conduct of Auction 100 as described in the </w:t>
      </w:r>
      <w:r w:rsidRPr="004426E9">
        <w:rPr>
          <w:i/>
        </w:rPr>
        <w:t xml:space="preserve">Auction </w:t>
      </w:r>
      <w:r>
        <w:rPr>
          <w:i/>
        </w:rPr>
        <w:t>100</w:t>
      </w:r>
      <w:r w:rsidRPr="004426E9">
        <w:rPr>
          <w:i/>
        </w:rPr>
        <w:t xml:space="preserve"> Procedures Public Notice</w:t>
      </w:r>
      <w:r w:rsidRPr="004426E9">
        <w:t xml:space="preserve"> implement</w:t>
      </w:r>
      <w:r w:rsidR="00E471A8">
        <w:t xml:space="preserve"> the </w:t>
      </w:r>
      <w:r w:rsidR="00325221">
        <w:t>Commission’s</w:t>
      </w:r>
      <w:r w:rsidRPr="004426E9" w:rsidR="00E471A8">
        <w:t xml:space="preserve"> </w:t>
      </w:r>
      <w:r w:rsidRPr="004426E9">
        <w:t>competitive bidding rules</w:t>
      </w:r>
      <w:r w:rsidR="00325221">
        <w:t>, which have been</w:t>
      </w:r>
      <w:r w:rsidR="00E471A8">
        <w:t xml:space="preserve"> </w:t>
      </w:r>
      <w:r w:rsidRPr="004426E9">
        <w:t>adopted by the Commission in multiple notice-and-</w:t>
      </w:r>
      <w:r w:rsidRPr="004426E9">
        <w:rPr>
          <w:snapToGrid/>
        </w:rPr>
        <w:t>comment</w:t>
      </w:r>
      <w:r w:rsidRPr="004426E9">
        <w:t xml:space="preserve"> rulemaking proceedings</w:t>
      </w:r>
      <w:r w:rsidR="00325221">
        <w:t>.</w:t>
      </w:r>
      <w:r>
        <w:rPr>
          <w:rStyle w:val="FootnoteReference"/>
        </w:rPr>
        <w:footnoteReference w:id="136"/>
      </w:r>
      <w:r>
        <w:t xml:space="preserve">  More specifically, the</w:t>
      </w:r>
      <w:r w:rsidRPr="00E553BD">
        <w:t xml:space="preserve"> </w:t>
      </w:r>
      <w:r w:rsidRPr="00F67A95">
        <w:rPr>
          <w:i/>
        </w:rPr>
        <w:t xml:space="preserve">Auction </w:t>
      </w:r>
      <w:r>
        <w:rPr>
          <w:i/>
        </w:rPr>
        <w:t>100</w:t>
      </w:r>
      <w:r w:rsidRPr="00F67A95">
        <w:rPr>
          <w:i/>
        </w:rPr>
        <w:t xml:space="preserve"> Procedures</w:t>
      </w:r>
      <w:r>
        <w:t xml:space="preserve"> </w:t>
      </w:r>
      <w:r w:rsidRPr="00D24E7A">
        <w:rPr>
          <w:i/>
        </w:rPr>
        <w:t>Public Notice</w:t>
      </w:r>
      <w:r w:rsidRPr="00E553BD">
        <w:t xml:space="preserve"> provides an </w:t>
      </w:r>
      <w:r w:rsidRPr="00E553BD">
        <w:t xml:space="preserve">overview of the procedures, terms and conditions governing Auction </w:t>
      </w:r>
      <w:r>
        <w:t>100</w:t>
      </w:r>
      <w:r w:rsidRPr="00E553BD">
        <w:t xml:space="preserve"> and the post-auction ap</w:t>
      </w:r>
      <w:r>
        <w:t>plication and payment processes, as</w:t>
      </w:r>
      <w:r w:rsidRPr="009169BE">
        <w:t xml:space="preserve"> </w:t>
      </w:r>
      <w:r>
        <w:t xml:space="preserve">well as setting the minimum opening bid amount for each of </w:t>
      </w:r>
      <w:r w:rsidR="00A1250F">
        <w:t xml:space="preserve">the </w:t>
      </w:r>
      <w:r w:rsidR="00173309">
        <w:t>cross-service FM translator construction permits that are subject to being assigned by competitive bidding.</w:t>
      </w:r>
      <w:r>
        <w:t xml:space="preserve">  </w:t>
      </w:r>
    </w:p>
    <w:p w:rsidR="00C96CC6" w:rsidRPr="00620BF2" w:rsidP="00C96CC6" w14:paraId="7C449D3F" w14:textId="6CC60CB2">
      <w:pPr>
        <w:pStyle w:val="ParaNum"/>
        <w:widowControl/>
      </w:pPr>
      <w:r w:rsidRPr="00FD2646">
        <w:t xml:space="preserve">To promote the efficient and fair administration of the competitive bidding process for all Auction </w:t>
      </w:r>
      <w:r>
        <w:t>100</w:t>
      </w:r>
      <w:r w:rsidRPr="00FD2646">
        <w:t xml:space="preserve"> participants, </w:t>
      </w:r>
      <w:r>
        <w:t xml:space="preserve">including small businesses, </w:t>
      </w:r>
      <w:r w:rsidR="00FF50C3">
        <w:t>MB and OEA</w:t>
      </w:r>
      <w:r w:rsidRPr="00FD2646">
        <w:t xml:space="preserve"> </w:t>
      </w:r>
      <w:r>
        <w:t>in th</w:t>
      </w:r>
      <w:r w:rsidR="00046B4F">
        <w:t>is</w:t>
      </w:r>
      <w:r>
        <w:t xml:space="preserve"> </w:t>
      </w:r>
      <w:r w:rsidRPr="00FD2646">
        <w:rPr>
          <w:i/>
        </w:rPr>
        <w:t xml:space="preserve">Auction </w:t>
      </w:r>
      <w:r>
        <w:rPr>
          <w:i/>
        </w:rPr>
        <w:t>100</w:t>
      </w:r>
      <w:r w:rsidRPr="00FD2646">
        <w:rPr>
          <w:i/>
        </w:rPr>
        <w:t xml:space="preserve"> Procedures</w:t>
      </w:r>
      <w:r>
        <w:t xml:space="preserve"> </w:t>
      </w:r>
      <w:r w:rsidRPr="00FD2646">
        <w:rPr>
          <w:i/>
        </w:rPr>
        <w:t>Public Notice</w:t>
      </w:r>
      <w:r>
        <w:t xml:space="preserve"> announce </w:t>
      </w:r>
      <w:r w:rsidRPr="00FD2646">
        <w:t>the following</w:t>
      </w:r>
      <w:r>
        <w:t xml:space="preserve"> </w:t>
      </w:r>
      <w:r w:rsidR="000579F8">
        <w:t>procedures</w:t>
      </w:r>
      <w:r w:rsidRPr="00FD2646">
        <w:t xml:space="preserve">: (1) </w:t>
      </w:r>
      <w:r>
        <w:t>u</w:t>
      </w:r>
      <w:r w:rsidRPr="00FD2646">
        <w:t xml:space="preserve">se of a simultaneous multiple-round auction format, consisting of sequential bidding rounds with a simultaneous stopping </w:t>
      </w:r>
      <w:r>
        <w:t xml:space="preserve">procedure </w:t>
      </w:r>
      <w:r w:rsidRPr="00FD2646">
        <w:t xml:space="preserve">(with discretion by </w:t>
      </w:r>
      <w:r w:rsidR="00FF50C3">
        <w:t>MB and OEA</w:t>
      </w:r>
      <w:r w:rsidRPr="00FD2646">
        <w:t xml:space="preserve"> to exercise alternative stopping rules under certain circumstances); (</w:t>
      </w:r>
      <w:r w:rsidR="000579F8">
        <w:t>2</w:t>
      </w:r>
      <w:r w:rsidRPr="00FD2646">
        <w:t xml:space="preserve">) </w:t>
      </w:r>
      <w:r>
        <w:t>a</w:t>
      </w:r>
      <w:r w:rsidRPr="00FD2646">
        <w:t xml:space="preserve"> specific minimum opening bid amount for each construction permit; (</w:t>
      </w:r>
      <w:r w:rsidR="000579F8">
        <w:t>3</w:t>
      </w:r>
      <w:r w:rsidRPr="00FD2646">
        <w:t xml:space="preserve">) </w:t>
      </w:r>
      <w:r>
        <w:t>a</w:t>
      </w:r>
      <w:r w:rsidRPr="00FD2646">
        <w:t xml:space="preserve"> specific </w:t>
      </w:r>
      <w:r>
        <w:t>number of bidding units</w:t>
      </w:r>
      <w:r w:rsidRPr="00FD2646">
        <w:t xml:space="preserve"> for each construction permit; (</w:t>
      </w:r>
      <w:r w:rsidR="000579F8">
        <w:t>4</w:t>
      </w:r>
      <w:r w:rsidRPr="00FD2646">
        <w:t xml:space="preserve">) </w:t>
      </w:r>
      <w:r>
        <w:t xml:space="preserve">establishment </w:t>
      </w:r>
      <w:r w:rsidRPr="00FD2646">
        <w:t>of a bidder’s initial bidding eligibility in bidding units based on that bidder’s upfront payment through assignment of a specific number of bidding units for each construction permit; (</w:t>
      </w:r>
      <w:r w:rsidR="000579F8">
        <w:t>5</w:t>
      </w:r>
      <w:r w:rsidRPr="00FD2646">
        <w:t xml:space="preserve">) </w:t>
      </w:r>
      <w:r>
        <w:t>u</w:t>
      </w:r>
      <w:r w:rsidRPr="00FD2646">
        <w:t>se of an activity r</w:t>
      </w:r>
      <w:r>
        <w:t xml:space="preserve">equirement so that </w:t>
      </w:r>
      <w:r w:rsidRPr="00FD2646">
        <w:t xml:space="preserve">bidders </w:t>
      </w:r>
      <w:r>
        <w:t xml:space="preserve">must </w:t>
      </w:r>
      <w:r w:rsidRPr="00FD2646">
        <w:t>bid actively during the auction rather than waiting until late in the auction before participating; (</w:t>
      </w:r>
      <w:r w:rsidR="000579F8">
        <w:t>6</w:t>
      </w:r>
      <w:r w:rsidRPr="00FD2646">
        <w:t xml:space="preserve">) </w:t>
      </w:r>
      <w:r>
        <w:t>a</w:t>
      </w:r>
      <w:r w:rsidRPr="00FD2646">
        <w:t xml:space="preserve"> single stage auction in which a bidder is required to be active on 100</w:t>
      </w:r>
      <w:r w:rsidR="0067006D">
        <w:t>%</w:t>
      </w:r>
      <w:r w:rsidRPr="00FD2646">
        <w:t xml:space="preserve"> of its bidding eligibility in each round of the auction; (</w:t>
      </w:r>
      <w:r w:rsidR="000579F8">
        <w:t>7</w:t>
      </w:r>
      <w:r w:rsidRPr="00FD2646">
        <w:t xml:space="preserve">) </w:t>
      </w:r>
      <w:r>
        <w:t>p</w:t>
      </w:r>
      <w:r w:rsidRPr="00FD2646">
        <w:t xml:space="preserve">rovision of three activity waivers for each </w:t>
      </w:r>
      <w:r>
        <w:t xml:space="preserve">qualified </w:t>
      </w:r>
      <w:r w:rsidRPr="00FD2646">
        <w:t>bidder to allow it to preserve bidding eligibility during the course of the auction; (</w:t>
      </w:r>
      <w:r w:rsidR="000579F8">
        <w:t>8</w:t>
      </w:r>
      <w:r w:rsidRPr="00FD2646">
        <w:t xml:space="preserve">) </w:t>
      </w:r>
      <w:r>
        <w:t>u</w:t>
      </w:r>
      <w:r w:rsidRPr="00FD2646">
        <w:t xml:space="preserve">se of minimum acceptable bid amounts and additional acceptable increments, along with a proposed methodology for calculating such amounts, with </w:t>
      </w:r>
      <w:r w:rsidR="00FF50C3">
        <w:t>MB and OEA</w:t>
      </w:r>
      <w:r w:rsidRPr="00FD2646">
        <w:t xml:space="preserve"> retaining discretion to change their methodology if circumstances dictate; (</w:t>
      </w:r>
      <w:r w:rsidR="000579F8">
        <w:t>9</w:t>
      </w:r>
      <w:r w:rsidRPr="00FD2646">
        <w:t xml:space="preserve">) </w:t>
      </w:r>
      <w:r>
        <w:t>a</w:t>
      </w:r>
      <w:r w:rsidRPr="00FD2646">
        <w:t xml:space="preserve"> procedure for breaking ties if identical high bid amounts are submitted on </w:t>
      </w:r>
      <w:r>
        <w:t>one</w:t>
      </w:r>
      <w:r w:rsidRPr="00FD2646">
        <w:t xml:space="preserve"> permit in a given round; (</w:t>
      </w:r>
      <w:r w:rsidR="000579F8">
        <w:t>10</w:t>
      </w:r>
      <w:r w:rsidRPr="00FD2646">
        <w:t xml:space="preserve">) </w:t>
      </w:r>
      <w:r>
        <w:t>b</w:t>
      </w:r>
      <w:r w:rsidRPr="00FD2646">
        <w:t>id removal procedures; (1</w:t>
      </w:r>
      <w:r w:rsidR="000579F8">
        <w:t>1</w:t>
      </w:r>
      <w:r w:rsidRPr="00FD2646">
        <w:t xml:space="preserve">) </w:t>
      </w:r>
      <w:r>
        <w:t xml:space="preserve">a prohibition on </w:t>
      </w:r>
      <w:r w:rsidRPr="00FD2646">
        <w:t>bid withdrawals; and (1</w:t>
      </w:r>
      <w:r w:rsidR="000579F8">
        <w:t>2</w:t>
      </w:r>
      <w:r w:rsidRPr="00FD2646">
        <w:t xml:space="preserve">) </w:t>
      </w:r>
      <w:r>
        <w:t>e</w:t>
      </w:r>
      <w:r w:rsidRPr="00FD2646">
        <w:t>stablishment of an additional default payment of 20</w:t>
      </w:r>
      <w:r w:rsidR="0067006D">
        <w:t>%</w:t>
      </w:r>
      <w:r w:rsidRPr="00FD2646">
        <w:t xml:space="preserve"> under 47 CFR </w:t>
      </w:r>
      <w:r w:rsidR="00F15057">
        <w:t xml:space="preserve">§ </w:t>
      </w:r>
      <w:r w:rsidRPr="00FD2646">
        <w:t>1.2104(g)(2) in the event that a winning bidder defaults or is disqualified after the auction.</w:t>
      </w:r>
      <w:r w:rsidRPr="00620BF2">
        <w:t xml:space="preserve"> </w:t>
      </w:r>
    </w:p>
    <w:p w:rsidR="00C96CC6" w:rsidRPr="00CE35FE" w:rsidP="00C96CC6" w14:paraId="6F517584" w14:textId="1A549A5C">
      <w:pPr>
        <w:pStyle w:val="ParaNum"/>
        <w:widowControl/>
      </w:pPr>
      <w:r>
        <w:rPr>
          <w:i/>
        </w:rPr>
        <w:t xml:space="preserve">Summary of Significant Issues Raised by Public Comments in Response to the </w:t>
      </w:r>
      <w:r w:rsidRPr="00754E66">
        <w:rPr>
          <w:i/>
        </w:rPr>
        <w:t>IRFA</w:t>
      </w:r>
      <w:r w:rsidRPr="008D61E0">
        <w:t>.</w:t>
      </w:r>
      <w:r>
        <w:t xml:space="preserve">  There were no comments filed</w:t>
      </w:r>
      <w:r w:rsidRPr="00F76360">
        <w:t xml:space="preserve"> </w:t>
      </w:r>
      <w:r>
        <w:t xml:space="preserve">that </w:t>
      </w:r>
      <w:r w:rsidR="00F15057">
        <w:t xml:space="preserve">specifically </w:t>
      </w:r>
      <w:r>
        <w:t>addressed the procedures and policies proposed in the Supplemental IR</w:t>
      </w:r>
      <w:r w:rsidR="000579F8">
        <w:t>F</w:t>
      </w:r>
      <w:r>
        <w:t>A</w:t>
      </w:r>
      <w:r w:rsidRPr="00CE35FE">
        <w:rPr>
          <w:i/>
        </w:rPr>
        <w:t>.</w:t>
      </w:r>
      <w:r w:rsidRPr="00F67A95">
        <w:rPr>
          <w:i/>
        </w:rPr>
        <w:t xml:space="preserve"> </w:t>
      </w:r>
      <w:r w:rsidR="00190126">
        <w:t xml:space="preserve"> In fact, no comments were filed in this proceeding after release of the </w:t>
      </w:r>
      <w:r w:rsidRPr="00C02154" w:rsidR="00190126">
        <w:rPr>
          <w:i/>
        </w:rPr>
        <w:t>Auction 100 Comment Public Notice</w:t>
      </w:r>
      <w:r w:rsidR="00190126">
        <w:t>.</w:t>
      </w:r>
    </w:p>
    <w:p w:rsidR="00C96CC6" w:rsidRPr="00CE35FE" w:rsidP="00C96CC6" w14:paraId="23163E11" w14:textId="0F139161">
      <w:pPr>
        <w:pStyle w:val="ParaNum"/>
        <w:widowControl/>
      </w:pPr>
      <w:r>
        <w:rPr>
          <w:i/>
        </w:rPr>
        <w:t>Response to Comments by the Chief Counsel for Advocacy of the Small Business Administration.</w:t>
      </w:r>
      <w:r>
        <w:t xml:space="preserve">  Pursuant to the Small Business Jobs Act of 2010, which amended the RFA, the Commission is required to respond to any comment filed by the Chief Counsel for Advocacy of the Small Business Administration (SBA), and to provide a detailed statement of any change made to the proposed procedures as a result of those comments.</w:t>
      </w:r>
      <w:r>
        <w:rPr>
          <w:rStyle w:val="FootnoteReference"/>
        </w:rPr>
        <w:footnoteReference w:id="137"/>
      </w:r>
      <w:r>
        <w:t xml:space="preserve">  The Chief Counsel did not file any comments in response to the procedures</w:t>
      </w:r>
      <w:r w:rsidR="00173309">
        <w:t xml:space="preserve"> that were</w:t>
      </w:r>
      <w:r>
        <w:t xml:space="preserve"> proposed in the </w:t>
      </w:r>
      <w:r w:rsidRPr="006426E1">
        <w:rPr>
          <w:i/>
        </w:rPr>
        <w:t xml:space="preserve">Auction </w:t>
      </w:r>
      <w:r>
        <w:rPr>
          <w:i/>
        </w:rPr>
        <w:t>100</w:t>
      </w:r>
      <w:r w:rsidRPr="006426E1">
        <w:rPr>
          <w:i/>
        </w:rPr>
        <w:t xml:space="preserve"> Comment Public Notice</w:t>
      </w:r>
      <w:r>
        <w:t>.</w:t>
      </w:r>
    </w:p>
    <w:p w:rsidR="00C96CC6" w:rsidP="00C96CC6" w14:paraId="2757E86C" w14:textId="38B990AB">
      <w:pPr>
        <w:pStyle w:val="ParaNum"/>
        <w:widowControl/>
      </w:pPr>
      <w:r w:rsidRPr="00BE78D0">
        <w:rPr>
          <w:i/>
        </w:rPr>
        <w:t xml:space="preserve">Description and Estimate of the Number of Small Entities to Which the </w:t>
      </w:r>
      <w:r w:rsidRPr="00E8441A">
        <w:rPr>
          <w:i/>
        </w:rPr>
        <w:t>Procedures</w:t>
      </w:r>
      <w:r w:rsidRPr="00D6300F">
        <w:rPr>
          <w:i/>
        </w:rPr>
        <w:t xml:space="preserve"> Will Apply</w:t>
      </w:r>
      <w:r w:rsidRPr="00E87A95">
        <w:t>.  The RFA directs agencies to provide a description of and, where feasible, an estimate of the number of small entities that may be affected by the rules adopted</w:t>
      </w:r>
      <w:r>
        <w:t xml:space="preserve"> herein</w:t>
      </w:r>
      <w:r w:rsidRPr="00E87A95">
        <w:t>.</w:t>
      </w:r>
      <w:r>
        <w:rPr>
          <w:rStyle w:val="FootnoteReference"/>
        </w:rPr>
        <w:footnoteReference w:id="138"/>
      </w:r>
      <w:r w:rsidRPr="00E87A95">
        <w:t xml:space="preserve"> </w:t>
      </w:r>
      <w:r>
        <w:t xml:space="preserve"> The RFA generally defines the term “small entity” as having the same meaning as the terms “small business,” “small organization,” and “small governmental jurisdiction.”</w:t>
      </w:r>
      <w:r>
        <w:rPr>
          <w:rStyle w:val="FootnoteReference"/>
        </w:rPr>
        <w:footnoteReference w:id="139"/>
      </w:r>
      <w:r>
        <w:t xml:space="preserve">  In addition, the term “small business” has the same meaning as the term “small business concern” under the Small Business Act.”</w:t>
      </w:r>
      <w:r>
        <w:rPr>
          <w:rStyle w:val="FootnoteReference"/>
        </w:rPr>
        <w:footnoteReference w:id="140"/>
      </w:r>
      <w:r>
        <w:t xml:space="preserve">  A “small business concern” is one </w:t>
      </w:r>
      <w:r>
        <w:t>which: (1) is independently owned and operated; (2) is not dominant in its field of operation; and (3) satisfies any additional criteria established by the SBA.</w:t>
      </w:r>
      <w:r>
        <w:rPr>
          <w:rStyle w:val="FootnoteReference"/>
        </w:rPr>
        <w:footnoteReference w:id="141"/>
      </w:r>
      <w:r w:rsidRPr="00E87A95">
        <w:t xml:space="preserve"> </w:t>
      </w:r>
    </w:p>
    <w:p w:rsidR="00C96CC6" w:rsidP="00C96CC6" w14:paraId="727C2D54" w14:textId="2598FDD2">
      <w:pPr>
        <w:pStyle w:val="ParaNum"/>
        <w:widowControl/>
        <w:tabs>
          <w:tab w:val="num" w:pos="1080"/>
          <w:tab w:val="clear" w:pos="1440"/>
        </w:tabs>
      </w:pPr>
      <w:r w:rsidRPr="004917F4">
        <w:t xml:space="preserve">Auction </w:t>
      </w:r>
      <w:r>
        <w:t>100</w:t>
      </w:r>
      <w:r w:rsidRPr="004917F4">
        <w:t xml:space="preserve"> is a “closed” auction</w:t>
      </w:r>
      <w:r>
        <w:t>;</w:t>
      </w:r>
      <w:r w:rsidRPr="004917F4">
        <w:t xml:space="preserve"> </w:t>
      </w:r>
      <w:r>
        <w:t xml:space="preserve">therefore </w:t>
      </w:r>
      <w:r w:rsidRPr="004917F4">
        <w:t>the specific competitive bidding procedures and minimum opening bid</w:t>
      </w:r>
      <w:r>
        <w:t xml:space="preserve"> amount</w:t>
      </w:r>
      <w:r w:rsidRPr="004917F4">
        <w:t xml:space="preserve">s </w:t>
      </w:r>
      <w:r>
        <w:t xml:space="preserve">described </w:t>
      </w:r>
      <w:r w:rsidRPr="004917F4">
        <w:t xml:space="preserve">in the </w:t>
      </w:r>
      <w:r w:rsidRPr="004917F4">
        <w:rPr>
          <w:i/>
        </w:rPr>
        <w:t xml:space="preserve">Auction </w:t>
      </w:r>
      <w:r>
        <w:rPr>
          <w:i/>
        </w:rPr>
        <w:t>100</w:t>
      </w:r>
      <w:r w:rsidRPr="004917F4">
        <w:rPr>
          <w:i/>
        </w:rPr>
        <w:t xml:space="preserve"> </w:t>
      </w:r>
      <w:r>
        <w:rPr>
          <w:i/>
        </w:rPr>
        <w:t>Procedures</w:t>
      </w:r>
      <w:r w:rsidRPr="004917F4">
        <w:rPr>
          <w:i/>
        </w:rPr>
        <w:t xml:space="preserve"> Public Notice</w:t>
      </w:r>
      <w:r w:rsidRPr="004917F4">
        <w:t xml:space="preserve"> will affect only the </w:t>
      </w:r>
      <w:r w:rsidRPr="00220473" w:rsidR="0009267E">
        <w:t>23</w:t>
      </w:r>
      <w:r w:rsidRPr="004917F4" w:rsidR="0009267E">
        <w:t xml:space="preserve"> </w:t>
      </w:r>
      <w:r w:rsidRPr="004917F4">
        <w:t xml:space="preserve">individuals or entities </w:t>
      </w:r>
      <w:r>
        <w:t xml:space="preserve">listed </w:t>
      </w:r>
      <w:r w:rsidRPr="004917F4">
        <w:t>in Attachment A to this Public Notice</w:t>
      </w:r>
      <w:r>
        <w:t xml:space="preserve"> and who are the only parties eligible to complete the remaining steps to become qualified to bid in this auction</w:t>
      </w:r>
      <w:r w:rsidRPr="004917F4">
        <w:t>.</w:t>
      </w:r>
      <w:r>
        <w:rPr>
          <w:vertAlign w:val="superscript"/>
        </w:rPr>
        <w:footnoteReference w:id="142"/>
      </w:r>
      <w:r w:rsidRPr="004917F4">
        <w:t xml:space="preserve">  </w:t>
      </w:r>
      <w:r>
        <w:t xml:space="preserve">The specific </w:t>
      </w:r>
      <w:r w:rsidRPr="00220473" w:rsidR="00E44C52">
        <w:t>23</w:t>
      </w:r>
      <w:r w:rsidR="00E44C52">
        <w:t xml:space="preserve"> </w:t>
      </w:r>
      <w:r>
        <w:t xml:space="preserve">individuals or entities designated in Attachment A of this Public Notice include firms of all sizes. </w:t>
      </w:r>
      <w:r w:rsidRPr="008722DD">
        <w:rPr>
          <w:snapToGrid/>
          <w:kern w:val="0"/>
          <w:szCs w:val="22"/>
        </w:rPr>
        <w:t xml:space="preserve"> </w:t>
      </w:r>
    </w:p>
    <w:p w:rsidR="00C96CC6" w:rsidRPr="00F76360" w:rsidP="00C96CC6" w14:paraId="20E3F544" w14:textId="5059E963">
      <w:pPr>
        <w:pStyle w:val="ParaNum"/>
        <w:widowControl/>
      </w:pPr>
      <w:r w:rsidRPr="00C7502D">
        <w:rPr>
          <w:i/>
        </w:rPr>
        <w:t>Radio Stations</w:t>
      </w:r>
      <w:r w:rsidRPr="00F76360">
        <w:t xml:space="preserve">.  </w:t>
      </w:r>
      <w:r w:rsidRPr="00EF3215">
        <w:rPr>
          <w:snapToGrid/>
        </w:rPr>
        <w:t xml:space="preserve"> This 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143"/>
      </w:r>
      <w:r w:rsidRPr="006023CB">
        <w:t xml:space="preserve"> </w:t>
      </w:r>
      <w:r w:rsidRPr="00EF3215">
        <w:rPr>
          <w:snapToGrid/>
        </w:rPr>
        <w:t xml:space="preserve"> The SBA has established a small business size standard for this category as firms having $38.5 million or less in annual receipts.</w:t>
      </w:r>
      <w:r>
        <w:rPr>
          <w:snapToGrid/>
          <w:vertAlign w:val="superscript"/>
        </w:rPr>
        <w:footnoteReference w:id="144"/>
      </w:r>
      <w:r w:rsidRPr="00EF3215">
        <w:rPr>
          <w:snapToGrid/>
        </w:rPr>
        <w:t xml:space="preserve">  Economic Census data for 2012 shows that 2,849 radio station firms operated during that year.</w:t>
      </w:r>
      <w:r>
        <w:rPr>
          <w:snapToGrid/>
          <w:vertAlign w:val="superscript"/>
        </w:rPr>
        <w:footnoteReference w:id="145"/>
      </w:r>
      <w:r w:rsidRPr="00EF3215">
        <w:rPr>
          <w:snapToGrid/>
        </w:rPr>
        <w:t xml:space="preserve">  Of that number, 2,806 firms operated with annual receipts of less than $25 million per year, </w:t>
      </w:r>
      <w:r>
        <w:t>17 with annual receipts between $25 million and $49,999,999 and 26 with annual receipts of $50 million or more</w:t>
      </w:r>
      <w:r w:rsidRPr="006023CB">
        <w:t>.</w:t>
      </w:r>
      <w:r>
        <w:rPr>
          <w:sz w:val="20"/>
          <w:vertAlign w:val="superscript"/>
        </w:rPr>
        <w:footnoteReference w:id="146"/>
      </w:r>
      <w:r w:rsidRPr="006023CB">
        <w:t xml:space="preserve"> </w:t>
      </w:r>
      <w:r w:rsidRPr="00EF3215">
        <w:rPr>
          <w:snapToGrid/>
        </w:rPr>
        <w:t xml:space="preserve">  Therefore, based on the SBA’s size standard the majority of such entities are small entities.</w:t>
      </w:r>
    </w:p>
    <w:p w:rsidR="00C96CC6" w:rsidRPr="00F76360" w:rsidP="00C96CC6" w14:paraId="6444EE05" w14:textId="04E1FFF4">
      <w:pPr>
        <w:pStyle w:val="ParaNum"/>
        <w:widowControl/>
      </w:pPr>
      <w:r w:rsidRPr="00F76360">
        <w:t xml:space="preserve">According to Commission staff review of the BIA/Kelsey, LLC’s Media Access Pro Radio Database as of </w:t>
      </w:r>
      <w:r>
        <w:t>September 6</w:t>
      </w:r>
      <w:r w:rsidRPr="00F76360">
        <w:t>, 2018, about 11,</w:t>
      </w:r>
      <w:r>
        <w:t>024</w:t>
      </w:r>
      <w:r w:rsidRPr="00F76360">
        <w:t xml:space="preserve"> (or about 99.92</w:t>
      </w:r>
      <w:r w:rsidR="0067006D">
        <w:t>%</w:t>
      </w:r>
      <w:r w:rsidRPr="00F76360">
        <w:t>) of 11,</w:t>
      </w:r>
      <w:r>
        <w:t>033</w:t>
      </w:r>
      <w:r w:rsidRPr="00F76360">
        <w:t xml:space="preserve"> commercial radio stations had revenues of $38.5 million or less and thus qualify as small entities under the SBA definition.</w:t>
      </w:r>
      <w:r>
        <w:rPr>
          <w:rStyle w:val="FootnoteReference"/>
        </w:rPr>
        <w:footnoteReference w:id="147"/>
      </w:r>
      <w:r w:rsidRPr="00F76360">
        <w:t xml:space="preserve">  </w:t>
      </w:r>
      <w:r w:rsidR="00F15057">
        <w:t xml:space="preserve">We </w:t>
      </w:r>
      <w:r>
        <w:t>note</w:t>
      </w:r>
      <w:r w:rsidR="00F15057">
        <w:t>,</w:t>
      </w:r>
      <w:r>
        <w:t xml:space="preserve"> however, that the SBA size standard data does not enable </w:t>
      </w:r>
      <w:r w:rsidR="00FF50C3">
        <w:t>MB and OEA</w:t>
      </w:r>
      <w:r>
        <w:t xml:space="preserve"> to make a meaningful estimate of the number of small entities who may participate in Auction 100.  There are a maximum of </w:t>
      </w:r>
      <w:r w:rsidRPr="00220473" w:rsidR="0009267E">
        <w:t>23</w:t>
      </w:r>
      <w:r w:rsidRPr="004D3847" w:rsidR="0009267E">
        <w:t xml:space="preserve"> </w:t>
      </w:r>
      <w:r>
        <w:t xml:space="preserve">individuals or </w:t>
      </w:r>
      <w:r w:rsidRPr="004D3847">
        <w:t xml:space="preserve">entities that may become qualified bidders in Auction </w:t>
      </w:r>
      <w:r>
        <w:t>100</w:t>
      </w:r>
      <w:r w:rsidRPr="004D3847">
        <w:t>, in which applicant eligibility is closed.</w:t>
      </w:r>
      <w:r>
        <w:t xml:space="preserve">  </w:t>
      </w:r>
      <w:r w:rsidRPr="004D3847">
        <w:t xml:space="preserve">The specific procedures and minimum opening bid amounts </w:t>
      </w:r>
      <w:r>
        <w:t>announced</w:t>
      </w:r>
      <w:r w:rsidRPr="004D3847">
        <w:t xml:space="preserve"> in </w:t>
      </w:r>
      <w:r w:rsidRPr="004917F4">
        <w:t xml:space="preserve">the </w:t>
      </w:r>
      <w:r w:rsidRPr="004917F4">
        <w:rPr>
          <w:i/>
        </w:rPr>
        <w:t xml:space="preserve">Auction </w:t>
      </w:r>
      <w:r>
        <w:rPr>
          <w:i/>
        </w:rPr>
        <w:t>100</w:t>
      </w:r>
      <w:r w:rsidRPr="004917F4">
        <w:rPr>
          <w:i/>
        </w:rPr>
        <w:t xml:space="preserve"> </w:t>
      </w:r>
      <w:r>
        <w:rPr>
          <w:i/>
        </w:rPr>
        <w:t>Procedures</w:t>
      </w:r>
      <w:r w:rsidRPr="004917F4">
        <w:rPr>
          <w:i/>
        </w:rPr>
        <w:t xml:space="preserve"> Public Notice</w:t>
      </w:r>
      <w:r w:rsidRPr="004D3847">
        <w:t xml:space="preserve"> will affect directly all applicants participating in Auct</w:t>
      </w:r>
      <w:r>
        <w:t xml:space="preserve">ion 100. </w:t>
      </w:r>
    </w:p>
    <w:p w:rsidR="00C96CC6" w:rsidP="00C96CC6" w14:paraId="436C181F" w14:textId="6D24EDB5">
      <w:pPr>
        <w:pStyle w:val="ParaNum"/>
        <w:widowControl/>
      </w:pPr>
      <w:r>
        <w:t xml:space="preserve">We </w:t>
      </w:r>
      <w:r>
        <w:t xml:space="preserve">also </w:t>
      </w:r>
      <w:r w:rsidRPr="00F76360">
        <w:t xml:space="preserve">note that </w:t>
      </w:r>
      <w:r>
        <w:t xml:space="preserve">we </w:t>
      </w:r>
      <w:r w:rsidRPr="00F76360">
        <w:t xml:space="preserve">are unable to accurately develop an estimate of how many of these </w:t>
      </w:r>
      <w:r w:rsidRPr="00220473" w:rsidR="0009267E">
        <w:t>23</w:t>
      </w:r>
      <w:r w:rsidRPr="00F76360" w:rsidR="0009267E">
        <w:t xml:space="preserve"> </w:t>
      </w:r>
      <w:r>
        <w:t xml:space="preserve">individuals or </w:t>
      </w:r>
      <w:r w:rsidRPr="00F76360">
        <w:t xml:space="preserve">entities are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r>
        <w:t xml:space="preserve">Due to eligibility criteria </w:t>
      </w:r>
      <w:r w:rsidR="00173309">
        <w:t xml:space="preserve">established by the </w:t>
      </w:r>
      <w:r>
        <w:t>Commission,</w:t>
      </w:r>
      <w:r>
        <w:rPr>
          <w:rStyle w:val="FootnoteReference"/>
        </w:rPr>
        <w:footnoteReference w:id="148"/>
      </w:r>
      <w:r>
        <w:t xml:space="preserve"> p</w:t>
      </w:r>
      <w:r w:rsidRPr="00F76360">
        <w:t xml:space="preserve">otential eligible bidders in Auction </w:t>
      </w:r>
      <w:r>
        <w:t>100</w:t>
      </w:r>
      <w:r w:rsidRPr="00F76360">
        <w:t xml:space="preserve"> include </w:t>
      </w:r>
      <w:r w:rsidR="00173309">
        <w:t xml:space="preserve">only </w:t>
      </w:r>
      <w:r w:rsidRPr="00F76360">
        <w:t>existing holders of broadcast station construction permits or licenses.  In 2013, the Commission estimated that 97</w:t>
      </w:r>
      <w:r w:rsidR="002B479E">
        <w:t>%</w:t>
      </w:r>
      <w:r w:rsidRPr="00F76360">
        <w:t xml:space="preserve"> of radio broadcasters met the SBA’s prior definition of small business concern, based on annual revenues of $7 million.</w:t>
      </w:r>
      <w:r>
        <w:rPr>
          <w:rStyle w:val="FootnoteReference"/>
        </w:rPr>
        <w:footnoteReference w:id="149"/>
      </w:r>
      <w:r w:rsidRPr="00F76360">
        <w:t xml:space="preserve">  The SBA has since increased that revenue threshold to $38.5 million, which suggests that an even greater percentage of radio </w:t>
      </w:r>
      <w:r w:rsidRPr="00F76360">
        <w:t>broadcasters would fall within the SBA’s definition</w:t>
      </w:r>
      <w:r w:rsidRPr="00C76B00">
        <w:t>.</w:t>
      </w:r>
      <w:r>
        <w:rPr>
          <w:rStyle w:val="FootnoteReference"/>
        </w:rPr>
        <w:footnoteReference w:id="150"/>
      </w:r>
      <w:r w:rsidRPr="00C76B00">
        <w:t xml:space="preserve">  </w:t>
      </w:r>
      <w:r w:rsidRPr="00095139">
        <w:t xml:space="preserve">Based on Commission staff review </w:t>
      </w:r>
      <w:r w:rsidRPr="00C76B00">
        <w:t>of the BIA/Kelsey, LLC’s Media Access Pro Radio Database</w:t>
      </w:r>
      <w:r w:rsidRPr="00095139">
        <w:t xml:space="preserve">, </w:t>
      </w:r>
      <w:r w:rsidRPr="00F76360">
        <w:t>4,6</w:t>
      </w:r>
      <w:r>
        <w:t>26</w:t>
      </w:r>
      <w:r w:rsidRPr="00F76360">
        <w:t xml:space="preserve"> (99.94%) of 4,6</w:t>
      </w:r>
      <w:r>
        <w:t>29</w:t>
      </w:r>
      <w:r w:rsidRPr="00F76360">
        <w:t xml:space="preserve"> AM radio stations have revenue of $38.5 million or less.</w:t>
      </w:r>
      <w:r>
        <w:rPr>
          <w:rStyle w:val="FootnoteReference"/>
        </w:rPr>
        <w:footnoteReference w:id="151"/>
      </w:r>
      <w:r w:rsidRPr="00F76360">
        <w:t xml:space="preserve">  Accordingly, based on this data, </w:t>
      </w:r>
      <w:r>
        <w:t>we</w:t>
      </w:r>
      <w:r w:rsidRPr="00F76360">
        <w:t xml:space="preserve"> conclude that the majority of Auction </w:t>
      </w:r>
      <w:r>
        <w:t>100</w:t>
      </w:r>
      <w:r w:rsidRPr="00F76360">
        <w:t xml:space="preserve"> eligible bidders will likely meet the SBA’s definition of a small business concern.</w:t>
      </w:r>
      <w:r>
        <w:rPr>
          <w:rStyle w:val="FootnoteReference"/>
        </w:rPr>
        <w:footnoteReference w:id="152"/>
      </w:r>
      <w:r>
        <w:t xml:space="preserve">  </w:t>
      </w:r>
    </w:p>
    <w:p w:rsidR="00C96CC6" w:rsidP="00C96CC6" w14:paraId="24E64317" w14:textId="44675FC7">
      <w:pPr>
        <w:pStyle w:val="ParaNum"/>
        <w:widowControl/>
      </w:pPr>
      <w:r w:rsidRPr="00F76360">
        <w:rPr>
          <w:i/>
        </w:rPr>
        <w:t>Description of Projected Reporting, Recordkeeping, and Other Compliance Requirements for Small Entities.</w:t>
      </w:r>
      <w:r w:rsidRPr="00F76360">
        <w:t xml:space="preserve"> </w:t>
      </w:r>
      <w:r w:rsidR="00F15057">
        <w:t xml:space="preserve"> </w:t>
      </w:r>
      <w:r w:rsidRPr="00F76360">
        <w:t>The Commission designed the auction application process itself to minimize reporting and compliance requirements for applicants, including small business applicants.</w:t>
      </w:r>
      <w:r w:rsidRPr="00194E4B" w:rsidR="00194E4B">
        <w:rPr>
          <w:rStyle w:val="FootnoteReference"/>
        </w:rPr>
        <w:t xml:space="preserve"> </w:t>
      </w:r>
      <w:r>
        <w:rPr>
          <w:rStyle w:val="FootnoteReference"/>
        </w:rPr>
        <w:footnoteReference w:id="153"/>
      </w:r>
      <w:r w:rsidRPr="00F76360">
        <w:t xml:space="preserve">  </w:t>
      </w:r>
      <w:r w:rsidR="00194E4B">
        <w:t>For all spectrum auctions, i</w:t>
      </w:r>
      <w:r w:rsidRPr="00F76360">
        <w:t xml:space="preserve">n the first part of the Commission’s two-phased auction application process,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w:t>
      </w:r>
    </w:p>
    <w:p w:rsidR="00194E4B" w:rsidP="00C96CC6" w14:paraId="55F92CCC" w14:textId="5A22F1CE">
      <w:pPr>
        <w:pStyle w:val="ParaNum"/>
        <w:widowControl/>
      </w:pPr>
      <w:r>
        <w:t>Auction 100 applicants, including small entities, will become qualified to bid in Auction 100 only if they comply with the following: (1) submission of a short-form application that is timely and is found to be substantially complete, and (2) timely submission of a sufficient upfront payment for at least one of the construction permits for which it is designated as an applicant on Attachment A of this Public Notice.</w:t>
      </w:r>
      <w:r>
        <w:rPr>
          <w:rStyle w:val="FootnoteReference"/>
        </w:rPr>
        <w:footnoteReference w:id="154"/>
      </w:r>
      <w:r>
        <w:t xml:space="preserve">  In accordance with the terms of 47 CFR </w:t>
      </w:r>
      <w:bookmarkStart w:id="1299" w:name="_Hlk531624775"/>
      <w:r>
        <w:t xml:space="preserve">§ 1.2105(b)(2), </w:t>
      </w:r>
      <w:bookmarkEnd w:id="1299"/>
      <w:r>
        <w:t>an applicant whose application is found to contain deficiencies will have a limited opportunity to bring its application into compliance with the Commission’s competitive bidding rules during a resubmission window.</w:t>
      </w:r>
      <w:r>
        <w:rPr>
          <w:rStyle w:val="FootnoteReference"/>
        </w:rPr>
        <w:footnoteReference w:id="155"/>
      </w:r>
      <w:r>
        <w:t xml:space="preserve">  In addition, each Auction 100 applicant must maintain the accuracy of its previously filed short-form application electronically using the FCC auction application system.</w:t>
      </w:r>
    </w:p>
    <w:p w:rsidR="00C96CC6" w:rsidP="00C96CC6" w14:paraId="30A89D6D" w14:textId="3CC03031">
      <w:pPr>
        <w:pStyle w:val="ParaNum"/>
        <w:widowControl/>
        <w:tabs>
          <w:tab w:val="num" w:pos="1080"/>
          <w:tab w:val="clear" w:pos="1440"/>
        </w:tabs>
      </w:pPr>
      <w:r w:rsidRPr="00F76360">
        <w:t xml:space="preserve">In the second phase of the process, </w:t>
      </w:r>
      <w:r>
        <w:t xml:space="preserve">there are additional compliance requirements </w:t>
      </w:r>
      <w:r w:rsidR="00194E4B">
        <w:t xml:space="preserve">only applicable to </w:t>
      </w:r>
      <w:r w:rsidRPr="00F76360">
        <w:t>winning bidders</w:t>
      </w:r>
      <w:r>
        <w:t xml:space="preserve">.  </w:t>
      </w:r>
      <w:r w:rsidR="00173309">
        <w:t>As with other winning bidders, any small entity that is a winning bidder will be required to comply with the terms of: (1) 47 CFR § 1.2107(b)</w:t>
      </w:r>
      <w:r w:rsidR="005626AD">
        <w:t>,</w:t>
      </w:r>
      <w:r w:rsidRPr="00D7677C" w:rsidR="00173309">
        <w:t xml:space="preserve"> </w:t>
      </w:r>
      <w:r w:rsidR="00173309">
        <w:t>by submitting as a down payment within 10 business days after release of the auction closing public notice sufficient funds (in addition to its upfront payment) to bring its total amount of money on deposit with the Commission for Auction 100 to 20</w:t>
      </w:r>
      <w:r w:rsidR="002B479E">
        <w:t>%</w:t>
      </w:r>
      <w:r w:rsidR="00173309">
        <w:t xml:space="preserve"> of the amount of its winning bid or bids</w:t>
      </w:r>
      <w:r w:rsidR="009F06C4">
        <w:t>;</w:t>
      </w:r>
      <w:r>
        <w:rPr>
          <w:rStyle w:val="FootnoteReference"/>
        </w:rPr>
        <w:footnoteReference w:id="156"/>
      </w:r>
      <w:r w:rsidR="00173309">
        <w:t xml:space="preserve"> (2) 47 CFR § 1.2109(a)</w:t>
      </w:r>
      <w:r w:rsidR="005626AD">
        <w:t>,</w:t>
      </w:r>
      <w:r w:rsidRPr="00D7677C" w:rsidR="00173309">
        <w:t xml:space="preserve"> </w:t>
      </w:r>
      <w:r w:rsidR="00173309">
        <w:t xml:space="preserve">by submitting within 10 </w:t>
      </w:r>
      <w:r w:rsidR="00173309">
        <w:t>business days after the down payment deadline the balance of the amount for each of its winning bids</w:t>
      </w:r>
      <w:r w:rsidR="009F06C4">
        <w:t>;</w:t>
      </w:r>
      <w:r>
        <w:rPr>
          <w:rStyle w:val="FootnoteReference"/>
        </w:rPr>
        <w:footnoteReference w:id="157"/>
      </w:r>
      <w:r w:rsidR="00173309">
        <w:t xml:space="preserve"> and (3) 47 CFR § 73.5005(a)</w:t>
      </w:r>
      <w:r w:rsidR="005626AD">
        <w:t>,</w:t>
      </w:r>
      <w:r w:rsidR="00173309">
        <w:t xml:space="preserve"> by electronically filing a properly completed long-form application (FCC Form 349, Application for Authority to Construct or Make Changes in an FM Translator or FM Booster Station) and required exhibits for each construction permit won through Auction 100</w:t>
      </w:r>
      <w:r w:rsidR="005626AD">
        <w:t>,</w:t>
      </w:r>
      <w:r w:rsidR="00173309">
        <w:t xml:space="preserve"> within 30 days following release of a closing public notice for Auction 100, unless a longer period is specified by public notice.</w:t>
      </w:r>
      <w:r>
        <w:rPr>
          <w:rStyle w:val="FootnoteReference"/>
        </w:rPr>
        <w:footnoteReference w:id="158"/>
      </w:r>
    </w:p>
    <w:p w:rsidR="00194E4B" w:rsidP="000579F8" w14:paraId="060AB104" w14:textId="07DBBA03">
      <w:pPr>
        <w:pStyle w:val="ParaNum"/>
        <w:widowControl/>
        <w:tabs>
          <w:tab w:val="num" w:pos="1080"/>
          <w:tab w:val="clear" w:pos="1440"/>
        </w:tabs>
      </w:pPr>
      <w:r>
        <w:t>Further, as required by 47</w:t>
      </w:r>
      <w:r w:rsidRPr="003F2F8A">
        <w:t xml:space="preserve"> </w:t>
      </w:r>
      <w:r>
        <w:t xml:space="preserve">CFR § 1.2105(c), reports concerning prohibited communications must be filed with the Chief of the Auctions Division, as detailed in this Public Notice. </w:t>
      </w:r>
    </w:p>
    <w:p w:rsidR="00C96CC6" w:rsidRPr="00F76360" w:rsidP="00C96CC6" w14:paraId="4FAC30CB" w14:textId="77777777">
      <w:pPr>
        <w:pStyle w:val="ParaNum"/>
        <w:widowControl/>
      </w:pPr>
      <w:r w:rsidRPr="0098082D">
        <w:rPr>
          <w:i/>
        </w:rPr>
        <w:t>Steps Taken to Minimize the Significant Economic Impact on Small Entities, and Significant Alternatives Considered</w:t>
      </w:r>
      <w:r w:rsidRPr="00F76360">
        <w:t>.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59"/>
      </w:r>
      <w:r w:rsidRPr="00F76360">
        <w:t xml:space="preserve">  </w:t>
      </w:r>
    </w:p>
    <w:p w:rsidR="00C96CC6" w:rsidRPr="009378FD" w:rsidP="00C96CC6" w14:paraId="1BD8BF8E" w14:textId="03E5A58F">
      <w:pPr>
        <w:pStyle w:val="ParaNum"/>
        <w:keepNext/>
        <w:widowControl/>
      </w:pPr>
      <w:r>
        <w:rPr>
          <w:szCs w:val="22"/>
        </w:rPr>
        <w:t>MB and OEA</w:t>
      </w:r>
      <w:r w:rsidRPr="00C7502D">
        <w:rPr>
          <w:szCs w:val="22"/>
        </w:rPr>
        <w:t xml:space="preserve"> </w:t>
      </w:r>
      <w:r w:rsidR="00194E4B">
        <w:rPr>
          <w:szCs w:val="22"/>
        </w:rPr>
        <w:t>anticipate</w:t>
      </w:r>
      <w:r w:rsidRPr="00C7502D">
        <w:rPr>
          <w:szCs w:val="22"/>
        </w:rPr>
        <w:t xml:space="preserve"> that the steps </w:t>
      </w:r>
      <w:r w:rsidR="00194E4B">
        <w:rPr>
          <w:szCs w:val="22"/>
        </w:rPr>
        <w:t xml:space="preserve">taken to make numerous resources available to small entities and other auction participants at no cost should minimize any economic impact of the auction processes and procedures on small </w:t>
      </w:r>
      <w:r w:rsidR="00712787">
        <w:rPr>
          <w:szCs w:val="22"/>
        </w:rPr>
        <w:t>entities and</w:t>
      </w:r>
      <w:r w:rsidR="00194E4B">
        <w:rPr>
          <w:szCs w:val="22"/>
        </w:rPr>
        <w:t xml:space="preserve"> should</w:t>
      </w:r>
      <w:r w:rsidRPr="00C7502D">
        <w:rPr>
          <w:szCs w:val="22"/>
        </w:rPr>
        <w:t xml:space="preserve"> result in both operational and administrative cost savings for small entities and other auction participants.  For example, prior to the </w:t>
      </w:r>
      <w:r>
        <w:rPr>
          <w:szCs w:val="22"/>
        </w:rPr>
        <w:t xml:space="preserve">beginning of bidding in this </w:t>
      </w:r>
      <w:r w:rsidRPr="00C7502D">
        <w:rPr>
          <w:szCs w:val="22"/>
        </w:rPr>
        <w:t xml:space="preserve">auction, the Commission will hold a mock auction to allow eligible bidders the opportunity to familiarize themselves with both the processes and systems that will be utilized in Auction </w:t>
      </w:r>
      <w:r>
        <w:rPr>
          <w:szCs w:val="22"/>
        </w:rPr>
        <w:t>100</w:t>
      </w:r>
      <w:r w:rsidRPr="00C7502D">
        <w:rPr>
          <w:szCs w:val="22"/>
        </w:rPr>
        <w:t xml:space="preserve">.  During the auction, participants will be able to access and participate in </w:t>
      </w:r>
      <w:r>
        <w:rPr>
          <w:szCs w:val="22"/>
        </w:rPr>
        <w:t xml:space="preserve">bidding </w:t>
      </w:r>
      <w:r w:rsidRPr="00C7502D">
        <w:rPr>
          <w:szCs w:val="22"/>
        </w:rPr>
        <w:t xml:space="preserve">via the Internet using a web-based system, or telephonically, providing two cost effective methods of participation </w:t>
      </w:r>
      <w:r>
        <w:rPr>
          <w:szCs w:val="22"/>
        </w:rPr>
        <w:t xml:space="preserve">and </w:t>
      </w:r>
      <w:r w:rsidRPr="00C7502D">
        <w:rPr>
          <w:szCs w:val="22"/>
        </w:rPr>
        <w:t xml:space="preserve">avoiding the cost of travel for in-person participation. </w:t>
      </w:r>
      <w:r w:rsidRPr="0098082D">
        <w:rPr>
          <w:szCs w:val="22"/>
        </w:rPr>
        <w:t xml:space="preserve"> </w:t>
      </w:r>
      <w:r w:rsidRPr="00C7502D">
        <w:rPr>
          <w:szCs w:val="22"/>
        </w:rPr>
        <w:t>Further, small entities as well as other auction participants will be able to avail themselves of</w:t>
      </w:r>
      <w:r w:rsidR="000579F8">
        <w:rPr>
          <w:szCs w:val="22"/>
        </w:rPr>
        <w:t xml:space="preserve"> a telephonic</w:t>
      </w:r>
      <w:r w:rsidRPr="00C7502D">
        <w:rPr>
          <w:szCs w:val="22"/>
        </w:rPr>
        <w:t xml:space="preserve"> hotline for assistance with auction processes and procedures as well as </w:t>
      </w:r>
      <w:r w:rsidR="000579F8">
        <w:rPr>
          <w:szCs w:val="22"/>
        </w:rPr>
        <w:t xml:space="preserve">a </w:t>
      </w:r>
      <w:r w:rsidRPr="00C7502D">
        <w:rPr>
          <w:szCs w:val="22"/>
        </w:rPr>
        <w:t xml:space="preserve">technical support hotline to assist with issues such as access to or navigation within the electronic FCC Form 175 and use of the FCC’s auction system. </w:t>
      </w:r>
      <w:r w:rsidRPr="0098082D">
        <w:rPr>
          <w:szCs w:val="22"/>
        </w:rPr>
        <w:t xml:space="preserve"> </w:t>
      </w:r>
      <w:r w:rsidRPr="00C7502D">
        <w:rPr>
          <w:szCs w:val="22"/>
        </w:rPr>
        <w:t>In addition, all auction participants</w:t>
      </w:r>
      <w:r>
        <w:rPr>
          <w:szCs w:val="22"/>
        </w:rPr>
        <w:t>, including small business entities,</w:t>
      </w:r>
      <w:r w:rsidRPr="00C7502D">
        <w:rPr>
          <w:szCs w:val="22"/>
        </w:rPr>
        <w:t xml:space="preserve"> will have access to various other sources of information and databases through the Commission that will aid in both their understanding and participation in the process.  These </w:t>
      </w:r>
      <w:r w:rsidR="00194E4B">
        <w:rPr>
          <w:szCs w:val="22"/>
        </w:rPr>
        <w:t>resources</w:t>
      </w:r>
      <w:r w:rsidR="00E44C52">
        <w:rPr>
          <w:szCs w:val="22"/>
        </w:rPr>
        <w:t>,</w:t>
      </w:r>
      <w:r w:rsidRPr="00C7502D" w:rsidR="00194E4B">
        <w:rPr>
          <w:szCs w:val="22"/>
        </w:rPr>
        <w:t xml:space="preserve"> </w:t>
      </w:r>
      <w:r w:rsidRPr="00C7502D">
        <w:rPr>
          <w:szCs w:val="22"/>
        </w:rPr>
        <w:t xml:space="preserve">coupled with the </w:t>
      </w:r>
      <w:r>
        <w:rPr>
          <w:szCs w:val="22"/>
        </w:rPr>
        <w:t>description</w:t>
      </w:r>
      <w:r w:rsidR="00194E4B">
        <w:rPr>
          <w:szCs w:val="22"/>
        </w:rPr>
        <w:t xml:space="preserve"> and communication</w:t>
      </w:r>
      <w:r w:rsidRPr="00C7502D">
        <w:rPr>
          <w:szCs w:val="22"/>
        </w:rPr>
        <w:t xml:space="preserve"> of the bidding procedures </w:t>
      </w:r>
      <w:r w:rsidR="00194E4B">
        <w:rPr>
          <w:szCs w:val="22"/>
        </w:rPr>
        <w:t xml:space="preserve">before bidding begins </w:t>
      </w:r>
      <w:r w:rsidRPr="00C7502D">
        <w:rPr>
          <w:szCs w:val="22"/>
        </w:rPr>
        <w:t xml:space="preserve">in Auction </w:t>
      </w:r>
      <w:r>
        <w:rPr>
          <w:szCs w:val="22"/>
        </w:rPr>
        <w:t>100,</w:t>
      </w:r>
      <w:r w:rsidRPr="00C7502D">
        <w:rPr>
          <w:szCs w:val="22"/>
        </w:rPr>
        <w:t xml:space="preserve"> should ensure that the auction will be administered </w:t>
      </w:r>
      <w:r w:rsidR="00194E4B">
        <w:rPr>
          <w:szCs w:val="22"/>
        </w:rPr>
        <w:t>predictabl</w:t>
      </w:r>
      <w:r w:rsidR="00A94852">
        <w:rPr>
          <w:szCs w:val="22"/>
        </w:rPr>
        <w:t>y</w:t>
      </w:r>
      <w:r w:rsidR="00194E4B">
        <w:rPr>
          <w:szCs w:val="22"/>
        </w:rPr>
        <w:t xml:space="preserve">, </w:t>
      </w:r>
      <w:r w:rsidRPr="00C7502D">
        <w:rPr>
          <w:szCs w:val="22"/>
        </w:rPr>
        <w:t>efficiently</w:t>
      </w:r>
      <w:r>
        <w:rPr>
          <w:szCs w:val="22"/>
        </w:rPr>
        <w:t xml:space="preserve"> and fairly</w:t>
      </w:r>
      <w:r w:rsidRPr="00C7502D">
        <w:rPr>
          <w:szCs w:val="22"/>
        </w:rPr>
        <w:t xml:space="preserve">, </w:t>
      </w:r>
      <w:r>
        <w:rPr>
          <w:szCs w:val="22"/>
        </w:rPr>
        <w:t>thus providing</w:t>
      </w:r>
      <w:r w:rsidRPr="00C7502D">
        <w:rPr>
          <w:szCs w:val="22"/>
        </w:rPr>
        <w:t xml:space="preserve"> certainty for small entities as well as other auction participants.  </w:t>
      </w:r>
    </w:p>
    <w:p w:rsidR="00C96CC6" w:rsidRPr="006639FD" w:rsidP="00C96CC6" w14:paraId="6489E11B" w14:textId="20B785EF">
      <w:pPr>
        <w:pStyle w:val="ParaNum"/>
        <w:widowControl/>
        <w:tabs>
          <w:tab w:val="num" w:pos="1080"/>
          <w:tab w:val="clear" w:pos="1440"/>
        </w:tabs>
      </w:pPr>
      <w:r>
        <w:rPr>
          <w:i/>
        </w:rPr>
        <w:t>Notice to SBA</w:t>
      </w:r>
      <w:r>
        <w:t xml:space="preserve">.  </w:t>
      </w:r>
      <w:r>
        <w:t>T</w:t>
      </w:r>
      <w:r>
        <w:t xml:space="preserve">he Commission will send a copy of the </w:t>
      </w:r>
      <w:r w:rsidRPr="002D64F3">
        <w:rPr>
          <w:i/>
        </w:rPr>
        <w:t xml:space="preserve">Auctions </w:t>
      </w:r>
      <w:r>
        <w:rPr>
          <w:i/>
        </w:rPr>
        <w:t>100</w:t>
      </w:r>
      <w:r w:rsidRPr="00424AC0">
        <w:rPr>
          <w:i/>
        </w:rPr>
        <w:t xml:space="preserve"> Procedures Public Notice, </w:t>
      </w:r>
      <w:r w:rsidRPr="00C7502D">
        <w:t>including</w:t>
      </w:r>
      <w:r>
        <w:t xml:space="preserve"> this Supplemental FRFA, to the Chief Counsel for Advocacy of the SBA.  A summary of the </w:t>
      </w:r>
      <w:r w:rsidRPr="002D64F3">
        <w:rPr>
          <w:i/>
        </w:rPr>
        <w:t xml:space="preserve">Auctions </w:t>
      </w:r>
      <w:r>
        <w:rPr>
          <w:i/>
        </w:rPr>
        <w:t>100</w:t>
      </w:r>
      <w:r w:rsidRPr="00424AC0">
        <w:rPr>
          <w:i/>
        </w:rPr>
        <w:t xml:space="preserve"> Procedures Public Notice</w:t>
      </w:r>
      <w:r w:rsidR="00194E4B">
        <w:t>, including this Supplemental FRFA,</w:t>
      </w:r>
      <w:r>
        <w:t xml:space="preserve"> will also be published in the Federal Register.</w:t>
      </w:r>
      <w:r>
        <w:rPr>
          <w:rStyle w:val="FootnoteReference"/>
        </w:rPr>
        <w:footnoteReference w:id="160"/>
      </w:r>
      <w:bookmarkStart w:id="1300" w:name="_Hlk509214592"/>
    </w:p>
    <w:p w:rsidR="00C96CC6" w:rsidP="00C96CC6" w14:paraId="188DA280" w14:textId="77777777">
      <w:pPr>
        <w:pStyle w:val="Heading1"/>
        <w:tabs>
          <w:tab w:val="num" w:pos="720"/>
        </w:tabs>
      </w:pPr>
      <w:bookmarkStart w:id="1301" w:name="_Toc507144331"/>
      <w:bookmarkStart w:id="1302" w:name="_Toc507166630"/>
      <w:bookmarkStart w:id="1303" w:name="_Toc508121653"/>
      <w:bookmarkStart w:id="1304" w:name="_Toc508638867"/>
      <w:bookmarkStart w:id="1305" w:name="_Toc508895741"/>
      <w:bookmarkStart w:id="1306" w:name="_Toc508953853"/>
      <w:bookmarkStart w:id="1307" w:name="_Toc509388499"/>
      <w:bookmarkStart w:id="1308" w:name="_Toc509492140"/>
      <w:bookmarkStart w:id="1309" w:name="_Toc529870368"/>
      <w:bookmarkStart w:id="1310" w:name="_Toc530566549"/>
      <w:bookmarkStart w:id="1311" w:name="_Toc531608891"/>
      <w:bookmarkStart w:id="1312" w:name="_Toc531700883"/>
      <w:bookmarkStart w:id="1313" w:name="_Toc532976664"/>
      <w:bookmarkStart w:id="1314" w:name="_Toc536103141"/>
      <w:bookmarkStart w:id="1315" w:name="_Toc944581"/>
      <w:bookmarkStart w:id="1316" w:name="_Toc4164785"/>
      <w:bookmarkStart w:id="1317" w:name="_Toc4419588"/>
      <w:bookmarkStart w:id="1318" w:name="_Toc5609564"/>
      <w:bookmarkStart w:id="1319" w:name="_Toc5975820"/>
      <w:bookmarkStart w:id="1320" w:name="_Toc6220344"/>
      <w:bookmarkStart w:id="1321" w:name="_Toc6232677"/>
      <w:bookmarkEnd w:id="1300"/>
      <w:r>
        <w:t>Contact Information</w:t>
      </w:r>
      <w:bookmarkEnd w:id="1261"/>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C96CC6" w:rsidRPr="001C2E9C" w:rsidP="007326EC" w14:paraId="0C9FCC3D" w14:textId="45C78ABF">
      <w:pPr>
        <w:pStyle w:val="ParaNum"/>
        <w:keepNext/>
        <w:widowControl/>
        <w:tabs>
          <w:tab w:val="num" w:pos="1080"/>
          <w:tab w:val="left" w:pos="1440"/>
        </w:tabs>
        <w:rPr>
          <w:szCs w:val="22"/>
        </w:rPr>
      </w:pPr>
      <w:r>
        <w:rPr>
          <w:szCs w:val="22"/>
        </w:rPr>
        <w:t>For further information concerning Auction 100, contact</w:t>
      </w:r>
      <w:r>
        <w:rPr>
          <w:szCs w:val="22"/>
        </w:rPr>
        <w:t>:</w:t>
      </w:r>
    </w:p>
    <w:tbl>
      <w:tblPr>
        <w:tblW w:w="9828" w:type="dxa"/>
        <w:tblLayout w:type="fixed"/>
        <w:tblLook w:val="0000"/>
      </w:tblPr>
      <w:tblGrid>
        <w:gridCol w:w="4968"/>
        <w:gridCol w:w="4860"/>
      </w:tblGrid>
      <w:tr w14:paraId="46ADA8F0" w14:textId="77777777" w:rsidTr="006C4B5A">
        <w:tblPrEx>
          <w:tblW w:w="9828" w:type="dxa"/>
          <w:tblLayout w:type="fixed"/>
          <w:tblLook w:val="0000"/>
        </w:tblPrEx>
        <w:trPr>
          <w:cantSplit/>
          <w:trHeight w:val="1323"/>
        </w:trPr>
        <w:tc>
          <w:tcPr>
            <w:tcW w:w="4968" w:type="dxa"/>
          </w:tcPr>
          <w:p w:rsidR="00C96CC6" w:rsidRPr="00915E0F" w:rsidP="00E717D8" w14:paraId="696AFB6D" w14:textId="77777777">
            <w:pPr>
              <w:widowControl/>
              <w:rPr>
                <w:b/>
                <w:szCs w:val="22"/>
              </w:rPr>
            </w:pPr>
            <w:r w:rsidRPr="00915E0F">
              <w:rPr>
                <w:b/>
                <w:szCs w:val="22"/>
              </w:rPr>
              <w:t xml:space="preserve">General Auction </w:t>
            </w:r>
            <w:r>
              <w:rPr>
                <w:b/>
                <w:szCs w:val="22"/>
              </w:rPr>
              <w:t xml:space="preserve">100 </w:t>
            </w:r>
            <w:r w:rsidRPr="00915E0F">
              <w:rPr>
                <w:b/>
                <w:szCs w:val="22"/>
              </w:rPr>
              <w:t>Information</w:t>
            </w:r>
          </w:p>
          <w:p w:rsidR="00C96CC6" w:rsidRPr="00CA6286" w:rsidP="00E717D8" w14:paraId="483C7870" w14:textId="77777777">
            <w:pPr>
              <w:widowControl/>
              <w:rPr>
                <w:szCs w:val="22"/>
              </w:rPr>
            </w:pPr>
            <w:r w:rsidRPr="00CA6286">
              <w:rPr>
                <w:szCs w:val="22"/>
              </w:rPr>
              <w:t>General Auction Questions</w:t>
            </w:r>
          </w:p>
          <w:p w:rsidR="00C96CC6" w:rsidRPr="00CA6286" w:rsidP="00E717D8" w14:paraId="52E5337C" w14:textId="77777777">
            <w:pPr>
              <w:widowControl/>
              <w:ind w:left="360" w:hanging="360"/>
              <w:rPr>
                <w:szCs w:val="22"/>
              </w:rPr>
            </w:pPr>
            <w:r w:rsidRPr="00CA6286">
              <w:rPr>
                <w:szCs w:val="22"/>
              </w:rPr>
              <w:t>Auction Process and Procedures</w:t>
            </w:r>
          </w:p>
          <w:p w:rsidR="00C96CC6" w:rsidRPr="00915E0F" w:rsidP="00E717D8" w14:paraId="3DF4EADF" w14:textId="77777777">
            <w:pPr>
              <w:widowControl/>
              <w:ind w:left="360"/>
              <w:rPr>
                <w:b/>
                <w:szCs w:val="22"/>
              </w:rPr>
            </w:pPr>
          </w:p>
        </w:tc>
        <w:tc>
          <w:tcPr>
            <w:tcW w:w="4860" w:type="dxa"/>
          </w:tcPr>
          <w:p w:rsidR="00C96CC6" w:rsidRPr="00915E0F" w:rsidP="00E717D8" w14:paraId="77E34A25" w14:textId="77777777">
            <w:pPr>
              <w:widowControl/>
              <w:rPr>
                <w:b/>
                <w:szCs w:val="22"/>
              </w:rPr>
            </w:pPr>
            <w:r w:rsidRPr="00915E0F">
              <w:rPr>
                <w:b/>
                <w:szCs w:val="22"/>
              </w:rPr>
              <w:t xml:space="preserve">FCC Auctions Hotline </w:t>
            </w:r>
          </w:p>
          <w:p w:rsidR="00C96CC6" w:rsidRPr="00CA6286" w:rsidP="00E717D8" w14:paraId="65A0652D" w14:textId="77777777">
            <w:pPr>
              <w:widowControl/>
              <w:rPr>
                <w:szCs w:val="22"/>
              </w:rPr>
            </w:pPr>
            <w:r w:rsidRPr="00CA6286">
              <w:rPr>
                <w:szCs w:val="22"/>
              </w:rPr>
              <w:t>(888) 225-5322, option two;</w:t>
            </w:r>
            <w:r>
              <w:rPr>
                <w:szCs w:val="22"/>
              </w:rPr>
              <w:t xml:space="preserve"> or</w:t>
            </w:r>
          </w:p>
          <w:p w:rsidR="00C96CC6" w:rsidP="00E717D8" w14:paraId="55565360" w14:textId="77777777">
            <w:pPr>
              <w:widowControl/>
              <w:rPr>
                <w:szCs w:val="22"/>
              </w:rPr>
            </w:pPr>
            <w:r w:rsidRPr="00CA6286">
              <w:rPr>
                <w:szCs w:val="22"/>
              </w:rPr>
              <w:t>(717) 338-2868</w:t>
            </w:r>
          </w:p>
          <w:p w:rsidR="00C96CC6" w:rsidP="00E717D8" w14:paraId="6BC97685" w14:textId="77777777">
            <w:pPr>
              <w:widowControl/>
              <w:rPr>
                <w:szCs w:val="22"/>
              </w:rPr>
            </w:pPr>
            <w:r>
              <w:rPr>
                <w:szCs w:val="22"/>
              </w:rPr>
              <w:t>Hours of service: 8:00 a.m. – 5:30 p.m. ET,</w:t>
            </w:r>
          </w:p>
          <w:p w:rsidR="00C96CC6" w:rsidRPr="006C4B5A" w:rsidP="00E717D8" w14:paraId="3D24C530" w14:textId="24725391">
            <w:pPr>
              <w:widowControl/>
              <w:rPr>
                <w:szCs w:val="22"/>
              </w:rPr>
            </w:pPr>
            <w:r>
              <w:rPr>
                <w:szCs w:val="22"/>
              </w:rPr>
              <w:t>Monday through Friday</w:t>
            </w:r>
          </w:p>
        </w:tc>
      </w:tr>
      <w:tr w14:paraId="2D14C7B1" w14:textId="77777777" w:rsidTr="006C4B5A">
        <w:tblPrEx>
          <w:tblW w:w="9828" w:type="dxa"/>
          <w:tblLayout w:type="fixed"/>
          <w:tblLook w:val="0000"/>
        </w:tblPrEx>
        <w:trPr>
          <w:cantSplit/>
          <w:trHeight w:val="1080"/>
        </w:trPr>
        <w:tc>
          <w:tcPr>
            <w:tcW w:w="4968" w:type="dxa"/>
          </w:tcPr>
          <w:p w:rsidR="00C96CC6" w:rsidP="00E717D8" w14:paraId="0F36EB9D" w14:textId="77777777">
            <w:pPr>
              <w:widowControl/>
              <w:rPr>
                <w:b/>
                <w:szCs w:val="22"/>
              </w:rPr>
            </w:pPr>
            <w:r w:rsidRPr="00915E0F">
              <w:rPr>
                <w:b/>
                <w:szCs w:val="22"/>
              </w:rPr>
              <w:t xml:space="preserve">Auction </w:t>
            </w:r>
            <w:r>
              <w:rPr>
                <w:b/>
                <w:szCs w:val="22"/>
              </w:rPr>
              <w:t xml:space="preserve">100 Legal </w:t>
            </w:r>
            <w:r w:rsidRPr="00915E0F">
              <w:rPr>
                <w:b/>
                <w:szCs w:val="22"/>
              </w:rPr>
              <w:t>Information</w:t>
            </w:r>
          </w:p>
          <w:p w:rsidR="00C96CC6" w:rsidP="00E717D8" w14:paraId="48F99324" w14:textId="77777777">
            <w:pPr>
              <w:widowControl/>
              <w:rPr>
                <w:szCs w:val="22"/>
              </w:rPr>
            </w:pPr>
            <w:r w:rsidRPr="00CA6286">
              <w:rPr>
                <w:szCs w:val="22"/>
              </w:rPr>
              <w:t>Auction Rules, Policies, Regulations</w:t>
            </w:r>
            <w:r>
              <w:rPr>
                <w:szCs w:val="22"/>
              </w:rPr>
              <w:t xml:space="preserve">, including </w:t>
            </w:r>
          </w:p>
          <w:p w:rsidR="00C96CC6" w:rsidRPr="00A07715" w:rsidP="00E717D8" w14:paraId="298EB342" w14:textId="77777777">
            <w:pPr>
              <w:widowControl/>
              <w:rPr>
                <w:b/>
                <w:szCs w:val="22"/>
              </w:rPr>
            </w:pPr>
            <w:r>
              <w:rPr>
                <w:szCs w:val="22"/>
              </w:rPr>
              <w:t>Reports of Section 1.2105(c) Violations and Application Major Modifications</w:t>
            </w:r>
          </w:p>
        </w:tc>
        <w:tc>
          <w:tcPr>
            <w:tcW w:w="4860" w:type="dxa"/>
          </w:tcPr>
          <w:p w:rsidR="00C96CC6" w:rsidP="00E717D8" w14:paraId="627FA305" w14:textId="305762A8">
            <w:pPr>
              <w:widowControl/>
              <w:rPr>
                <w:b/>
                <w:szCs w:val="22"/>
              </w:rPr>
            </w:pPr>
            <w:r w:rsidRPr="00915E0F">
              <w:rPr>
                <w:b/>
                <w:szCs w:val="22"/>
              </w:rPr>
              <w:t>Auctions Division</w:t>
            </w:r>
            <w:r w:rsidR="0046220A">
              <w:rPr>
                <w:b/>
                <w:szCs w:val="22"/>
              </w:rPr>
              <w:t>, OEA</w:t>
            </w:r>
            <w:r>
              <w:rPr>
                <w:b/>
                <w:szCs w:val="22"/>
              </w:rPr>
              <w:t xml:space="preserve"> </w:t>
            </w:r>
          </w:p>
          <w:p w:rsidR="00C96CC6" w:rsidRPr="00B43022" w:rsidP="00E717D8" w14:paraId="559DF1EC" w14:textId="77777777">
            <w:pPr>
              <w:widowControl/>
              <w:rPr>
                <w:szCs w:val="22"/>
              </w:rPr>
            </w:pPr>
            <w:r w:rsidRPr="00B43022">
              <w:rPr>
                <w:szCs w:val="22"/>
              </w:rPr>
              <w:t>(202) 418-0660</w:t>
            </w:r>
          </w:p>
          <w:p w:rsidR="00C96CC6" w:rsidRPr="00CA6286" w:rsidP="00E717D8" w14:paraId="6018A8E8" w14:textId="5BB5F826">
            <w:pPr>
              <w:widowControl/>
              <w:rPr>
                <w:szCs w:val="22"/>
              </w:rPr>
            </w:pPr>
            <w:r>
              <w:rPr>
                <w:szCs w:val="22"/>
              </w:rPr>
              <w:t>Lynne Milne (Attorney)</w:t>
            </w:r>
          </w:p>
        </w:tc>
      </w:tr>
      <w:tr w14:paraId="2EF91FCD" w14:textId="77777777" w:rsidTr="006C4B5A">
        <w:tblPrEx>
          <w:tblW w:w="9828" w:type="dxa"/>
          <w:tblLayout w:type="fixed"/>
          <w:tblLook w:val="0000"/>
        </w:tblPrEx>
        <w:trPr>
          <w:cantSplit/>
          <w:trHeight w:val="1350"/>
        </w:trPr>
        <w:tc>
          <w:tcPr>
            <w:tcW w:w="4968" w:type="dxa"/>
          </w:tcPr>
          <w:p w:rsidR="00C96CC6" w:rsidRPr="00915E0F" w:rsidP="00E717D8" w14:paraId="113D8B00" w14:textId="77777777">
            <w:pPr>
              <w:widowControl/>
              <w:rPr>
                <w:b/>
                <w:i/>
                <w:szCs w:val="22"/>
              </w:rPr>
            </w:pPr>
            <w:r w:rsidRPr="00915E0F">
              <w:rPr>
                <w:b/>
                <w:szCs w:val="22"/>
              </w:rPr>
              <w:t xml:space="preserve">Licensing Information </w:t>
            </w:r>
          </w:p>
          <w:p w:rsidR="00C96CC6" w:rsidRPr="00915E0F" w:rsidP="00E717D8" w14:paraId="010A2D3C" w14:textId="77777777">
            <w:pPr>
              <w:widowControl/>
              <w:ind w:left="360" w:hanging="360"/>
              <w:rPr>
                <w:szCs w:val="22"/>
              </w:rPr>
            </w:pPr>
            <w:r w:rsidRPr="00915E0F">
              <w:rPr>
                <w:szCs w:val="22"/>
              </w:rPr>
              <w:t xml:space="preserve">Service Rules, Policies, Regulations </w:t>
            </w:r>
          </w:p>
          <w:p w:rsidR="00C96CC6" w:rsidRPr="00915E0F" w:rsidP="00E717D8" w14:paraId="7E760D0B" w14:textId="77777777">
            <w:pPr>
              <w:widowControl/>
              <w:ind w:left="360" w:hanging="360"/>
              <w:rPr>
                <w:szCs w:val="22"/>
              </w:rPr>
            </w:pPr>
            <w:r w:rsidRPr="00915E0F">
              <w:rPr>
                <w:szCs w:val="22"/>
              </w:rPr>
              <w:t xml:space="preserve">Licensing Issues, Engineering Issues </w:t>
            </w:r>
          </w:p>
          <w:p w:rsidR="00C96CC6" w:rsidRPr="00915E0F" w:rsidP="00E717D8" w14:paraId="11DF4C52" w14:textId="77777777">
            <w:pPr>
              <w:widowControl/>
              <w:ind w:left="360" w:hanging="360"/>
              <w:rPr>
                <w:szCs w:val="22"/>
              </w:rPr>
            </w:pPr>
            <w:r w:rsidRPr="00915E0F">
              <w:rPr>
                <w:szCs w:val="22"/>
              </w:rPr>
              <w:t>Due Diligence, Incumbency Issues</w:t>
            </w:r>
          </w:p>
          <w:p w:rsidR="00C96CC6" w:rsidRPr="00915E0F" w:rsidP="00E717D8" w14:paraId="3E7FA567" w14:textId="77777777">
            <w:pPr>
              <w:widowControl/>
              <w:ind w:left="360"/>
              <w:rPr>
                <w:b/>
                <w:szCs w:val="22"/>
              </w:rPr>
            </w:pPr>
          </w:p>
        </w:tc>
        <w:tc>
          <w:tcPr>
            <w:tcW w:w="4860" w:type="dxa"/>
          </w:tcPr>
          <w:p w:rsidR="008E6340" w:rsidP="00E717D8" w14:paraId="5D9B5249" w14:textId="2EB5A272">
            <w:pPr>
              <w:widowControl/>
              <w:rPr>
                <w:b/>
                <w:szCs w:val="22"/>
                <w:lang w:val="it-IT"/>
              </w:rPr>
            </w:pPr>
            <w:r w:rsidRPr="00F46145">
              <w:rPr>
                <w:b/>
                <w:szCs w:val="22"/>
                <w:lang w:val="it-IT"/>
              </w:rPr>
              <w:t>Audio Division</w:t>
            </w:r>
            <w:r w:rsidR="0046220A">
              <w:rPr>
                <w:b/>
                <w:szCs w:val="22"/>
                <w:lang w:val="it-IT"/>
              </w:rPr>
              <w:t>, MB</w:t>
            </w:r>
            <w:r w:rsidRPr="00F46145">
              <w:rPr>
                <w:b/>
                <w:szCs w:val="22"/>
                <w:lang w:val="it-IT"/>
              </w:rPr>
              <w:t xml:space="preserve"> </w:t>
            </w:r>
          </w:p>
          <w:p w:rsidR="00C96CC6" w:rsidRPr="00462FC8" w:rsidP="00E717D8" w14:paraId="41F9426D" w14:textId="6FE5CAA0">
            <w:pPr>
              <w:widowControl/>
              <w:rPr>
                <w:szCs w:val="22"/>
                <w:lang w:val="it-IT"/>
              </w:rPr>
            </w:pPr>
            <w:r w:rsidRPr="00462FC8">
              <w:rPr>
                <w:szCs w:val="22"/>
                <w:lang w:val="it-IT"/>
              </w:rPr>
              <w:t xml:space="preserve">(202) 418-2700 </w:t>
            </w:r>
          </w:p>
          <w:p w:rsidR="00C96CC6" w:rsidRPr="00F46145" w:rsidP="00E717D8" w14:paraId="1276198E" w14:textId="77777777">
            <w:pPr>
              <w:widowControl/>
              <w:rPr>
                <w:szCs w:val="22"/>
                <w:lang w:val="it-IT"/>
              </w:rPr>
            </w:pPr>
            <w:r w:rsidRPr="00F46145">
              <w:rPr>
                <w:szCs w:val="22"/>
                <w:lang w:val="it-IT"/>
              </w:rPr>
              <w:t>Lisa Scanlan (Attorney)</w:t>
            </w:r>
          </w:p>
          <w:p w:rsidR="00C96CC6" w:rsidRPr="00915E0F" w:rsidP="00E717D8" w14:paraId="57BF1AC6" w14:textId="77777777">
            <w:pPr>
              <w:widowControl/>
              <w:rPr>
                <w:szCs w:val="22"/>
              </w:rPr>
            </w:pPr>
            <w:r>
              <w:rPr>
                <w:szCs w:val="22"/>
              </w:rPr>
              <w:t>Tom Nessinger (Attorney)</w:t>
            </w:r>
          </w:p>
          <w:p w:rsidR="00C96CC6" w:rsidRPr="00415F2C" w:rsidP="00E717D8" w14:paraId="597314FD" w14:textId="77777777">
            <w:pPr>
              <w:widowControl/>
              <w:rPr>
                <w:szCs w:val="22"/>
              </w:rPr>
            </w:pPr>
            <w:r w:rsidRPr="00415F2C">
              <w:rPr>
                <w:szCs w:val="22"/>
              </w:rPr>
              <w:t>James Bradshaw (Engineer)</w:t>
            </w:r>
          </w:p>
        </w:tc>
      </w:tr>
      <w:tr w14:paraId="72CBBD72" w14:textId="77777777" w:rsidTr="006C4B5A">
        <w:tblPrEx>
          <w:tblW w:w="9828" w:type="dxa"/>
          <w:tblLayout w:type="fixed"/>
          <w:tblLook w:val="0000"/>
        </w:tblPrEx>
        <w:trPr>
          <w:cantSplit/>
          <w:trHeight w:val="1350"/>
        </w:trPr>
        <w:tc>
          <w:tcPr>
            <w:tcW w:w="4968" w:type="dxa"/>
          </w:tcPr>
          <w:p w:rsidR="00C96CC6" w:rsidRPr="00915E0F" w:rsidP="00E717D8" w14:paraId="2645D8E9" w14:textId="77777777">
            <w:pPr>
              <w:widowControl/>
              <w:rPr>
                <w:b/>
                <w:szCs w:val="22"/>
              </w:rPr>
            </w:pPr>
            <w:r w:rsidRPr="00915E0F">
              <w:rPr>
                <w:b/>
                <w:szCs w:val="22"/>
              </w:rPr>
              <w:t>Technical Support</w:t>
            </w:r>
          </w:p>
          <w:p w:rsidR="00C96CC6" w:rsidRPr="00CA6286" w:rsidP="00E717D8" w14:paraId="609F2986" w14:textId="77777777">
            <w:pPr>
              <w:widowControl/>
              <w:ind w:left="360" w:hanging="360"/>
              <w:rPr>
                <w:szCs w:val="22"/>
              </w:rPr>
            </w:pPr>
            <w:r w:rsidRPr="00CA6286">
              <w:rPr>
                <w:szCs w:val="22"/>
              </w:rPr>
              <w:t xml:space="preserve">Electronic Filing </w:t>
            </w:r>
          </w:p>
          <w:p w:rsidR="00C96CC6" w:rsidRPr="00915E0F" w:rsidP="00E717D8" w14:paraId="5508F370" w14:textId="77777777">
            <w:pPr>
              <w:widowControl/>
              <w:rPr>
                <w:b/>
                <w:i/>
                <w:szCs w:val="22"/>
              </w:rPr>
            </w:pPr>
            <w:r w:rsidRPr="00CA6286">
              <w:rPr>
                <w:szCs w:val="22"/>
              </w:rPr>
              <w:t>FCC Auction System (Hardware/Software Issues)</w:t>
            </w:r>
          </w:p>
        </w:tc>
        <w:tc>
          <w:tcPr>
            <w:tcW w:w="4860" w:type="dxa"/>
          </w:tcPr>
          <w:p w:rsidR="00C96CC6" w:rsidRPr="00915E0F" w:rsidP="00E717D8" w14:paraId="536FEFE5" w14:textId="77777777">
            <w:pPr>
              <w:widowControl/>
              <w:rPr>
                <w:b/>
                <w:szCs w:val="22"/>
              </w:rPr>
            </w:pPr>
            <w:r w:rsidRPr="00915E0F">
              <w:rPr>
                <w:b/>
                <w:szCs w:val="22"/>
              </w:rPr>
              <w:t xml:space="preserve">FCC Auctions Technical Support Hotline </w:t>
            </w:r>
          </w:p>
          <w:p w:rsidR="00C96CC6" w:rsidRPr="00CA6286" w:rsidP="00E717D8" w14:paraId="085306BA" w14:textId="77777777">
            <w:pPr>
              <w:widowControl/>
              <w:rPr>
                <w:szCs w:val="22"/>
              </w:rPr>
            </w:pPr>
            <w:r w:rsidRPr="00CA6286">
              <w:rPr>
                <w:szCs w:val="22"/>
              </w:rPr>
              <w:t xml:space="preserve">(877) 480-3201, option nine; or (202) 414-1250 </w:t>
            </w:r>
          </w:p>
          <w:p w:rsidR="00C96CC6" w:rsidRPr="00CA6286" w:rsidP="00E717D8" w14:paraId="7435BB93" w14:textId="77777777">
            <w:pPr>
              <w:widowControl/>
              <w:rPr>
                <w:szCs w:val="22"/>
              </w:rPr>
            </w:pPr>
            <w:r w:rsidRPr="00CA6286">
              <w:rPr>
                <w:szCs w:val="22"/>
              </w:rPr>
              <w:t xml:space="preserve">(202) 414-1255 (TTY) </w:t>
            </w:r>
          </w:p>
          <w:p w:rsidR="00C96CC6" w:rsidRPr="00CA6286" w:rsidP="00E717D8" w14:paraId="4C69E479" w14:textId="77777777">
            <w:pPr>
              <w:widowControl/>
              <w:rPr>
                <w:szCs w:val="22"/>
              </w:rPr>
            </w:pPr>
            <w:r w:rsidRPr="00CA6286">
              <w:rPr>
                <w:szCs w:val="22"/>
              </w:rPr>
              <w:t>Hours of service: 8:00 a.m. – 6:00 p.m. ET,</w:t>
            </w:r>
          </w:p>
          <w:p w:rsidR="00C96CC6" w:rsidRPr="006C4B5A" w:rsidP="00E717D8" w14:paraId="562F61E7" w14:textId="3F4009CC">
            <w:pPr>
              <w:widowControl/>
              <w:rPr>
                <w:szCs w:val="22"/>
              </w:rPr>
            </w:pPr>
            <w:r w:rsidRPr="00CA6286">
              <w:rPr>
                <w:szCs w:val="22"/>
              </w:rPr>
              <w:t>Monday through Friday</w:t>
            </w:r>
          </w:p>
        </w:tc>
      </w:tr>
      <w:tr w14:paraId="73972312" w14:textId="77777777" w:rsidTr="006C4B5A">
        <w:tblPrEx>
          <w:tblW w:w="9828" w:type="dxa"/>
          <w:tblLayout w:type="fixed"/>
          <w:tblLook w:val="0000"/>
        </w:tblPrEx>
        <w:trPr>
          <w:cantSplit/>
          <w:trHeight w:val="1620"/>
        </w:trPr>
        <w:tc>
          <w:tcPr>
            <w:tcW w:w="4968" w:type="dxa"/>
          </w:tcPr>
          <w:p w:rsidR="0046220A" w:rsidRPr="00517FE6" w:rsidP="0046220A" w14:paraId="11E0892B" w14:textId="77777777">
            <w:pPr>
              <w:rPr>
                <w:b/>
                <w:szCs w:val="22"/>
              </w:rPr>
            </w:pPr>
            <w:r w:rsidRPr="00517FE6">
              <w:rPr>
                <w:b/>
                <w:szCs w:val="22"/>
              </w:rPr>
              <w:t>Payment Information</w:t>
            </w:r>
          </w:p>
          <w:p w:rsidR="0046220A" w:rsidRPr="00517FE6" w:rsidP="004E4054" w14:paraId="6DFAFF60" w14:textId="77777777">
            <w:pPr>
              <w:rPr>
                <w:szCs w:val="22"/>
              </w:rPr>
            </w:pPr>
            <w:r>
              <w:rPr>
                <w:szCs w:val="22"/>
              </w:rPr>
              <w:t>Refunds</w:t>
            </w:r>
          </w:p>
          <w:p w:rsidR="0046220A" w:rsidRPr="00CA6286" w:rsidP="0046220A" w14:paraId="53E4FAD0" w14:textId="77777777">
            <w:pPr>
              <w:widowControl/>
              <w:ind w:left="360" w:hanging="360"/>
              <w:rPr>
                <w:b/>
                <w:szCs w:val="22"/>
              </w:rPr>
            </w:pPr>
          </w:p>
        </w:tc>
        <w:tc>
          <w:tcPr>
            <w:tcW w:w="4860" w:type="dxa"/>
          </w:tcPr>
          <w:p w:rsidR="0046220A" w:rsidRPr="00517FE6" w:rsidP="0046220A" w14:paraId="5123EE06" w14:textId="77777777">
            <w:pPr>
              <w:rPr>
                <w:b/>
                <w:szCs w:val="22"/>
              </w:rPr>
            </w:pPr>
            <w:bookmarkStart w:id="1322" w:name="_Hlk533157942"/>
            <w:r w:rsidRPr="00517FE6">
              <w:rPr>
                <w:b/>
                <w:color w:val="000000"/>
                <w:szCs w:val="22"/>
              </w:rPr>
              <w:t>FCC Revenue and Receivables Operations Group/Auctions</w:t>
            </w:r>
          </w:p>
          <w:p w:rsidR="0046220A" w:rsidRPr="00CA6286" w:rsidP="006C4B5A" w14:paraId="1276D35C" w14:textId="0062FBC2">
            <w:pPr>
              <w:rPr>
                <w:szCs w:val="22"/>
              </w:rPr>
            </w:pPr>
            <w:r w:rsidRPr="00517FE6">
              <w:rPr>
                <w:szCs w:val="22"/>
              </w:rPr>
              <w:t xml:space="preserve">Gail Glasser at (202) 418-0578, </w:t>
            </w:r>
            <w:r w:rsidR="009A5022">
              <w:rPr>
                <w:szCs w:val="22"/>
              </w:rPr>
              <w:t>Scott Radcliffe at (202) 418-7518 or</w:t>
            </w:r>
            <w:r>
              <w:rPr>
                <w:szCs w:val="22"/>
              </w:rPr>
              <w:t xml:space="preserve"> Theresa Meeks at (202) 418-2945, or </w:t>
            </w:r>
            <w:r w:rsidRPr="00517FE6">
              <w:rPr>
                <w:szCs w:val="22"/>
              </w:rPr>
              <w:t>(202) 418-2843 (fax)</w:t>
            </w:r>
            <w:r>
              <w:rPr>
                <w:szCs w:val="22"/>
              </w:rPr>
              <w:t xml:space="preserve"> </w:t>
            </w:r>
            <w:r w:rsidRPr="00517FE6">
              <w:rPr>
                <w:szCs w:val="22"/>
              </w:rPr>
              <w:t xml:space="preserve">or email to </w:t>
            </w:r>
            <w:hyperlink r:id="rId10" w:history="1">
              <w:r w:rsidRPr="00517FE6">
                <w:rPr>
                  <w:color w:val="0000FF"/>
                  <w:szCs w:val="22"/>
                  <w:u w:val="single"/>
                </w:rPr>
                <w:t>RROGWireFaxes@fcc.gov</w:t>
              </w:r>
            </w:hyperlink>
            <w:r>
              <w:rPr>
                <w:color w:val="0000FF"/>
                <w:szCs w:val="22"/>
                <w:u w:val="single"/>
              </w:rPr>
              <w:t xml:space="preserve"> </w:t>
            </w:r>
            <w:r w:rsidRPr="00517FE6">
              <w:rPr>
                <w:szCs w:val="22"/>
              </w:rPr>
              <w:t xml:space="preserve"> </w:t>
            </w:r>
            <w:bookmarkEnd w:id="1322"/>
          </w:p>
        </w:tc>
      </w:tr>
      <w:tr w14:paraId="672B04FD" w14:textId="77777777" w:rsidTr="006C4B5A">
        <w:tblPrEx>
          <w:tblW w:w="9828" w:type="dxa"/>
          <w:tblLayout w:type="fixed"/>
          <w:tblLook w:val="0000"/>
        </w:tblPrEx>
        <w:trPr>
          <w:cantSplit/>
          <w:trHeight w:val="540"/>
        </w:trPr>
        <w:tc>
          <w:tcPr>
            <w:tcW w:w="4968" w:type="dxa"/>
          </w:tcPr>
          <w:p w:rsidR="0046220A" w:rsidRPr="00915E0F" w:rsidP="0046220A" w14:paraId="1D434E36" w14:textId="77777777">
            <w:pPr>
              <w:widowControl/>
              <w:ind w:left="360" w:hanging="360"/>
              <w:rPr>
                <w:b/>
                <w:szCs w:val="22"/>
              </w:rPr>
            </w:pPr>
            <w:r w:rsidRPr="00CA6286">
              <w:rPr>
                <w:b/>
                <w:szCs w:val="22"/>
              </w:rPr>
              <w:t>Auction Bidder Line</w:t>
            </w:r>
          </w:p>
        </w:tc>
        <w:tc>
          <w:tcPr>
            <w:tcW w:w="4860" w:type="dxa"/>
          </w:tcPr>
          <w:p w:rsidR="0046220A" w:rsidRPr="00915E0F" w:rsidP="0046220A" w14:paraId="3A1C3506" w14:textId="77777777">
            <w:pPr>
              <w:widowControl/>
              <w:rPr>
                <w:b/>
                <w:szCs w:val="22"/>
              </w:rPr>
            </w:pPr>
            <w:r w:rsidRPr="00CA6286">
              <w:rPr>
                <w:szCs w:val="22"/>
              </w:rPr>
              <w:t>Will be furnished only to qualified bidders</w:t>
            </w:r>
          </w:p>
        </w:tc>
      </w:tr>
      <w:tr w14:paraId="34BBC398" w14:textId="77777777" w:rsidTr="006C4B5A">
        <w:tblPrEx>
          <w:tblW w:w="9828" w:type="dxa"/>
          <w:tblLayout w:type="fixed"/>
          <w:tblLook w:val="0000"/>
        </w:tblPrEx>
        <w:trPr>
          <w:cantSplit/>
          <w:trHeight w:val="450"/>
        </w:trPr>
        <w:tc>
          <w:tcPr>
            <w:tcW w:w="4968" w:type="dxa"/>
          </w:tcPr>
          <w:p w:rsidR="0046220A" w:rsidRPr="00915E0F" w:rsidP="0046220A" w14:paraId="786B47A1" w14:textId="77777777">
            <w:pPr>
              <w:widowControl/>
              <w:ind w:left="360" w:hanging="360"/>
              <w:rPr>
                <w:b/>
                <w:szCs w:val="22"/>
              </w:rPr>
            </w:pPr>
            <w:r w:rsidRPr="00CA6286">
              <w:rPr>
                <w:b/>
                <w:szCs w:val="22"/>
              </w:rPr>
              <w:t>Press Information</w:t>
            </w:r>
          </w:p>
        </w:tc>
        <w:tc>
          <w:tcPr>
            <w:tcW w:w="4860" w:type="dxa"/>
          </w:tcPr>
          <w:p w:rsidR="0046220A" w:rsidRPr="00915E0F" w:rsidP="0046220A" w14:paraId="46A7F701" w14:textId="0ACB3E76">
            <w:pPr>
              <w:widowControl/>
              <w:rPr>
                <w:b/>
                <w:szCs w:val="22"/>
              </w:rPr>
            </w:pPr>
            <w:r>
              <w:rPr>
                <w:szCs w:val="22"/>
              </w:rPr>
              <w:t>Mark Wigfield</w:t>
            </w:r>
            <w:r w:rsidRPr="00CF5529">
              <w:rPr>
                <w:szCs w:val="22"/>
              </w:rPr>
              <w:t xml:space="preserve"> (202) </w:t>
            </w:r>
            <w:r w:rsidRPr="00597291">
              <w:rPr>
                <w:szCs w:val="22"/>
              </w:rPr>
              <w:t>418-</w:t>
            </w:r>
            <w:r>
              <w:rPr>
                <w:szCs w:val="22"/>
              </w:rPr>
              <w:t>0253</w:t>
            </w:r>
          </w:p>
        </w:tc>
      </w:tr>
      <w:tr w14:paraId="655AA1C5" w14:textId="77777777" w:rsidTr="00E717D8">
        <w:tblPrEx>
          <w:tblW w:w="9828" w:type="dxa"/>
          <w:tblLayout w:type="fixed"/>
          <w:tblLook w:val="0000"/>
        </w:tblPrEx>
        <w:trPr>
          <w:cantSplit/>
          <w:trHeight w:val="350"/>
        </w:trPr>
        <w:tc>
          <w:tcPr>
            <w:tcW w:w="4968" w:type="dxa"/>
          </w:tcPr>
          <w:p w:rsidR="0046220A" w:rsidRPr="00CA6286" w:rsidP="0046220A" w14:paraId="224B7D15" w14:textId="77777777">
            <w:pPr>
              <w:widowControl/>
              <w:rPr>
                <w:b/>
                <w:szCs w:val="22"/>
              </w:rPr>
            </w:pPr>
            <w:r w:rsidRPr="00CA6286">
              <w:rPr>
                <w:b/>
                <w:szCs w:val="22"/>
              </w:rPr>
              <w:t>FCC Forms</w:t>
            </w:r>
          </w:p>
        </w:tc>
        <w:tc>
          <w:tcPr>
            <w:tcW w:w="4860" w:type="dxa"/>
          </w:tcPr>
          <w:p w:rsidR="0046220A" w:rsidRPr="00CA6286" w:rsidP="0046220A" w14:paraId="450A4075" w14:textId="77777777">
            <w:pPr>
              <w:widowControl/>
              <w:rPr>
                <w:szCs w:val="22"/>
              </w:rPr>
            </w:pPr>
            <w:r w:rsidRPr="00CA6286">
              <w:rPr>
                <w:szCs w:val="22"/>
              </w:rPr>
              <w:t xml:space="preserve">(800) 418-3676 (outside Washington, DC) </w:t>
            </w:r>
          </w:p>
          <w:p w:rsidR="0046220A" w:rsidRPr="00CA6286" w:rsidP="0046220A" w14:paraId="35579A54" w14:textId="77777777">
            <w:pPr>
              <w:widowControl/>
              <w:rPr>
                <w:szCs w:val="22"/>
              </w:rPr>
            </w:pPr>
            <w:r w:rsidRPr="00CA6286">
              <w:rPr>
                <w:szCs w:val="22"/>
              </w:rPr>
              <w:t>(202) 418-3676 (in the Washington area)</w:t>
            </w:r>
          </w:p>
          <w:p w:rsidR="0046220A" w:rsidP="0046220A" w14:paraId="7CC8497A" w14:textId="77777777">
            <w:pPr>
              <w:widowControl/>
              <w:rPr>
                <w:rStyle w:val="Hyperlink"/>
                <w:szCs w:val="22"/>
              </w:rPr>
            </w:pPr>
            <w:r>
              <w:rPr>
                <w:rStyle w:val="Hyperlink"/>
                <w:szCs w:val="22"/>
              </w:rPr>
              <w:t xml:space="preserve"> </w:t>
            </w:r>
            <w:hyperlink r:id="rId11" w:history="1">
              <w:r w:rsidRPr="0010537F">
                <w:rPr>
                  <w:rStyle w:val="Hyperlink"/>
                  <w:szCs w:val="22"/>
                </w:rPr>
                <w:t>www.fcc.gov/formpage.html</w:t>
              </w:r>
            </w:hyperlink>
            <w:r>
              <w:rPr>
                <w:rStyle w:val="Hyperlink"/>
                <w:szCs w:val="22"/>
              </w:rPr>
              <w:t xml:space="preserve">  </w:t>
            </w:r>
          </w:p>
          <w:p w:rsidR="0046220A" w:rsidRPr="00CA6286" w:rsidP="0046220A" w14:paraId="2AB7B9AB" w14:textId="77777777">
            <w:pPr>
              <w:widowControl/>
              <w:rPr>
                <w:szCs w:val="22"/>
              </w:rPr>
            </w:pPr>
          </w:p>
        </w:tc>
      </w:tr>
      <w:tr w14:paraId="0D5A60B9" w14:textId="77777777" w:rsidTr="006C4B5A">
        <w:tblPrEx>
          <w:tblW w:w="9828" w:type="dxa"/>
          <w:tblLayout w:type="fixed"/>
          <w:tblLook w:val="0000"/>
        </w:tblPrEx>
        <w:trPr>
          <w:cantSplit/>
          <w:trHeight w:val="873"/>
        </w:trPr>
        <w:tc>
          <w:tcPr>
            <w:tcW w:w="4968" w:type="dxa"/>
          </w:tcPr>
          <w:p w:rsidR="0046220A" w:rsidRPr="00915E0F" w:rsidP="0046220A" w14:paraId="60FCFBCC" w14:textId="77777777">
            <w:pPr>
              <w:widowControl/>
              <w:rPr>
                <w:b/>
                <w:szCs w:val="22"/>
              </w:rPr>
            </w:pPr>
            <w:r w:rsidRPr="00915E0F">
              <w:rPr>
                <w:b/>
                <w:szCs w:val="22"/>
              </w:rPr>
              <w:t>Accessible Formats</w:t>
            </w:r>
          </w:p>
          <w:p w:rsidR="0046220A" w:rsidRPr="00CA6286" w:rsidP="0046220A" w14:paraId="6454BD43" w14:textId="77777777">
            <w:pPr>
              <w:widowControl/>
              <w:ind w:left="360" w:hanging="360"/>
              <w:rPr>
                <w:szCs w:val="22"/>
              </w:rPr>
            </w:pPr>
            <w:r w:rsidRPr="00CA6286">
              <w:rPr>
                <w:szCs w:val="22"/>
              </w:rPr>
              <w:t xml:space="preserve">Braille, large print, electronic files, or </w:t>
            </w:r>
          </w:p>
          <w:p w:rsidR="0046220A" w:rsidRPr="00CA6286" w:rsidP="0046220A" w14:paraId="21EDB2B8" w14:textId="77777777">
            <w:pPr>
              <w:widowControl/>
              <w:rPr>
                <w:b/>
                <w:szCs w:val="22"/>
              </w:rPr>
            </w:pPr>
            <w:r w:rsidRPr="00CA6286">
              <w:rPr>
                <w:szCs w:val="22"/>
              </w:rPr>
              <w:t>audio format for people with disabilities</w:t>
            </w:r>
          </w:p>
        </w:tc>
        <w:tc>
          <w:tcPr>
            <w:tcW w:w="4860" w:type="dxa"/>
          </w:tcPr>
          <w:p w:rsidR="0046220A" w:rsidRPr="00915E0F" w:rsidP="0046220A" w14:paraId="36EE0E97" w14:textId="77777777">
            <w:pPr>
              <w:widowControl/>
              <w:rPr>
                <w:b/>
                <w:szCs w:val="22"/>
              </w:rPr>
            </w:pPr>
            <w:r w:rsidRPr="00915E0F">
              <w:rPr>
                <w:b/>
                <w:szCs w:val="22"/>
              </w:rPr>
              <w:t>Consumer and Governmental Affairs Bureau</w:t>
            </w:r>
            <w:r>
              <w:rPr>
                <w:b/>
                <w:szCs w:val="22"/>
              </w:rPr>
              <w:t xml:space="preserve"> </w:t>
            </w:r>
          </w:p>
          <w:p w:rsidR="0046220A" w:rsidRPr="00CA6286" w:rsidP="0046220A" w14:paraId="65B29736" w14:textId="77777777">
            <w:pPr>
              <w:widowControl/>
              <w:rPr>
                <w:szCs w:val="22"/>
              </w:rPr>
            </w:pPr>
            <w:r w:rsidRPr="00CA6286">
              <w:rPr>
                <w:szCs w:val="22"/>
              </w:rPr>
              <w:t>(202) 418-0530 or (202) 418-0432 (TTY)</w:t>
            </w:r>
          </w:p>
          <w:p w:rsidR="0046220A" w:rsidRPr="00CA6286" w:rsidP="0046220A" w14:paraId="6C978F1E" w14:textId="1239A667">
            <w:pPr>
              <w:widowControl/>
              <w:rPr>
                <w:szCs w:val="22"/>
              </w:rPr>
            </w:pPr>
            <w:hyperlink r:id="rId12" w:history="1">
              <w:r w:rsidRPr="00692219">
                <w:rPr>
                  <w:rStyle w:val="Hyperlink"/>
                  <w:szCs w:val="22"/>
                </w:rPr>
                <w:t>fcc504@fcc.gov</w:t>
              </w:r>
            </w:hyperlink>
          </w:p>
        </w:tc>
      </w:tr>
      <w:tr w14:paraId="07719989" w14:textId="77777777" w:rsidTr="00E717D8">
        <w:tblPrEx>
          <w:tblW w:w="9828" w:type="dxa"/>
          <w:tblLayout w:type="fixed"/>
          <w:tblLook w:val="0000"/>
        </w:tblPrEx>
        <w:trPr>
          <w:cantSplit/>
          <w:trHeight w:val="1105"/>
        </w:trPr>
        <w:tc>
          <w:tcPr>
            <w:tcW w:w="4968" w:type="dxa"/>
          </w:tcPr>
          <w:p w:rsidR="0046220A" w:rsidP="0046220A" w14:paraId="5F3D3F32" w14:textId="77777777">
            <w:pPr>
              <w:widowControl/>
              <w:rPr>
                <w:b/>
                <w:szCs w:val="22"/>
              </w:rPr>
            </w:pPr>
            <w:r>
              <w:rPr>
                <w:b/>
                <w:szCs w:val="22"/>
              </w:rPr>
              <w:t>Small Businesses</w:t>
            </w:r>
          </w:p>
          <w:p w:rsidR="0046220A" w:rsidRPr="00915E0F" w:rsidP="0046220A" w14:paraId="4BAE3E86" w14:textId="77777777">
            <w:pPr>
              <w:widowControl/>
              <w:rPr>
                <w:b/>
                <w:szCs w:val="22"/>
              </w:rPr>
            </w:pPr>
            <w:r>
              <w:rPr>
                <w:szCs w:val="22"/>
              </w:rPr>
              <w:t>Additional information for small and disadvantaged businesses</w:t>
            </w:r>
          </w:p>
        </w:tc>
        <w:tc>
          <w:tcPr>
            <w:tcW w:w="4860" w:type="dxa"/>
          </w:tcPr>
          <w:p w:rsidR="0046220A" w:rsidP="0046220A" w14:paraId="76A180F4" w14:textId="77777777">
            <w:pPr>
              <w:widowControl/>
              <w:rPr>
                <w:b/>
                <w:szCs w:val="22"/>
              </w:rPr>
            </w:pPr>
            <w:r>
              <w:rPr>
                <w:b/>
                <w:szCs w:val="22"/>
              </w:rPr>
              <w:t>Office of Communications Business Opportunities</w:t>
            </w:r>
          </w:p>
          <w:p w:rsidR="0046220A" w:rsidP="0046220A" w14:paraId="2CDD0E86" w14:textId="77777777">
            <w:pPr>
              <w:widowControl/>
              <w:rPr>
                <w:szCs w:val="22"/>
              </w:rPr>
            </w:pPr>
            <w:r>
              <w:rPr>
                <w:szCs w:val="22"/>
              </w:rPr>
              <w:t>(202) 418-0990</w:t>
            </w:r>
          </w:p>
          <w:p w:rsidR="0046220A" w:rsidRPr="006C4B5A" w:rsidP="0046220A" w14:paraId="33776BDC" w14:textId="48B17983">
            <w:pPr>
              <w:widowControl/>
              <w:rPr>
                <w:szCs w:val="22"/>
              </w:rPr>
            </w:pPr>
            <w:hyperlink r:id="rId13" w:history="1">
              <w:r w:rsidRPr="00DB25FF">
                <w:rPr>
                  <w:rStyle w:val="Hyperlink"/>
                  <w:szCs w:val="22"/>
                </w:rPr>
                <w:t>www.fcc.gov/ocbo</w:t>
              </w:r>
            </w:hyperlink>
            <w:r>
              <w:rPr>
                <w:szCs w:val="22"/>
              </w:rPr>
              <w:t xml:space="preserve"> </w:t>
            </w:r>
          </w:p>
        </w:tc>
      </w:tr>
      <w:tr w14:paraId="4354743D" w14:textId="77777777" w:rsidTr="006C4B5A">
        <w:tblPrEx>
          <w:tblW w:w="9828" w:type="dxa"/>
          <w:tblLayout w:type="fixed"/>
          <w:tblLook w:val="0000"/>
        </w:tblPrEx>
        <w:trPr>
          <w:cantSplit/>
          <w:trHeight w:val="945"/>
        </w:trPr>
        <w:tc>
          <w:tcPr>
            <w:tcW w:w="4968" w:type="dxa"/>
          </w:tcPr>
          <w:p w:rsidR="0046220A" w:rsidRPr="00CA6286" w:rsidP="0046220A" w14:paraId="2C1BE29B" w14:textId="77777777">
            <w:pPr>
              <w:widowControl/>
              <w:rPr>
                <w:b/>
                <w:szCs w:val="22"/>
              </w:rPr>
            </w:pPr>
            <w:r w:rsidRPr="00CA6286">
              <w:rPr>
                <w:b/>
                <w:szCs w:val="22"/>
              </w:rPr>
              <w:t>FCC Internet Sites</w:t>
            </w:r>
          </w:p>
          <w:p w:rsidR="0046220A" w:rsidRPr="00CF5529" w:rsidP="0046220A" w14:paraId="44D112E0" w14:textId="77777777">
            <w:pPr>
              <w:widowControl/>
              <w:ind w:left="360"/>
              <w:rPr>
                <w:szCs w:val="22"/>
              </w:rPr>
            </w:pPr>
          </w:p>
        </w:tc>
        <w:tc>
          <w:tcPr>
            <w:tcW w:w="4860" w:type="dxa"/>
          </w:tcPr>
          <w:p w:rsidR="0046220A" w:rsidP="0046220A" w14:paraId="23CDE88E" w14:textId="77777777">
            <w:pPr>
              <w:widowControl/>
            </w:pPr>
            <w:hyperlink r:id="rId14" w:history="1">
              <w:r w:rsidRPr="00235528">
                <w:rPr>
                  <w:rStyle w:val="Hyperlink"/>
                </w:rPr>
                <w:t>www.fcc.gov</w:t>
              </w:r>
            </w:hyperlink>
            <w:r>
              <w:t xml:space="preserve"> </w:t>
            </w:r>
          </w:p>
          <w:p w:rsidR="0046220A" w:rsidRPr="00CA6286" w:rsidP="0046220A" w14:paraId="2D5F4683" w14:textId="77777777">
            <w:pPr>
              <w:widowControl/>
              <w:rPr>
                <w:szCs w:val="22"/>
              </w:rPr>
            </w:pPr>
            <w:hyperlink r:id="rId15" w:history="1">
              <w:r>
                <w:rPr>
                  <w:rStyle w:val="Hyperlink"/>
                </w:rPr>
                <w:t>www.fcc.gov/auction/100</w:t>
              </w:r>
            </w:hyperlink>
            <w:r>
              <w:t xml:space="preserve"> </w:t>
            </w:r>
            <w:hyperlink w:history="1"/>
          </w:p>
          <w:p w:rsidR="0046220A" w:rsidRPr="006C4B5A" w:rsidP="0046220A" w14:paraId="73BA0B67" w14:textId="5B8F63FD">
            <w:pPr>
              <w:widowControl/>
              <w:rPr>
                <w:color w:val="0000FF"/>
                <w:u w:val="single"/>
              </w:rPr>
            </w:pPr>
            <w:hyperlink r:id="rId16" w:history="1">
              <w:r w:rsidRPr="00235528">
                <w:rPr>
                  <w:rStyle w:val="Hyperlink"/>
                </w:rPr>
                <w:t>www.fcc.gov/mb</w:t>
              </w:r>
            </w:hyperlink>
          </w:p>
        </w:tc>
      </w:tr>
    </w:tbl>
    <w:p w:rsidR="00BA079A" w:rsidP="00C96CC6" w14:paraId="19FC31E3" w14:textId="77777777">
      <w:pPr>
        <w:jc w:val="center"/>
        <w:rPr>
          <w:b/>
        </w:rPr>
        <w:sectPr w:rsidSect="000E5884">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630" w:footer="720" w:gutter="0"/>
          <w:pgNumType w:start="1"/>
          <w:cols w:space="720"/>
          <w:noEndnote/>
          <w:titlePg/>
        </w:sectPr>
      </w:pPr>
      <w:r w:rsidRPr="00C96CC6">
        <w:rPr>
          <w:b/>
        </w:rPr>
        <w:t>– FCC –</w:t>
      </w:r>
    </w:p>
    <w:p w:rsidR="00BA079A" w:rsidRPr="002F7CE0" w:rsidP="00BA079A" w14:paraId="7B129040" w14:textId="7BBCB4E7">
      <w:pPr>
        <w:keepNext/>
        <w:widowControl/>
        <w:suppressAutoHyphens/>
        <w:spacing w:after="120"/>
        <w:jc w:val="center"/>
        <w:outlineLvl w:val="0"/>
        <w:rPr>
          <w:b/>
          <w:caps/>
          <w:szCs w:val="22"/>
        </w:rPr>
      </w:pPr>
      <w:bookmarkStart w:id="1337" w:name="_Toc148338103"/>
      <w:bookmarkStart w:id="1338" w:name="_Toc148339813"/>
      <w:bookmarkStart w:id="1339" w:name="_Toc148339910"/>
      <w:bookmarkStart w:id="1340" w:name="_Toc149645620"/>
      <w:bookmarkStart w:id="1341" w:name="_Toc149997923"/>
      <w:bookmarkStart w:id="1342" w:name="_Toc158180798"/>
      <w:bookmarkStart w:id="1343" w:name="_Toc158785646"/>
      <w:bookmarkStart w:id="1344" w:name="_Toc178768553"/>
      <w:bookmarkStart w:id="1345" w:name="_Toc179195994"/>
      <w:bookmarkStart w:id="1346" w:name="_Toc179361956"/>
      <w:bookmarkStart w:id="1347" w:name="_Toc179363740"/>
      <w:bookmarkStart w:id="1348" w:name="_Toc197504975"/>
      <w:bookmarkStart w:id="1349" w:name="_Toc198007756"/>
      <w:bookmarkStart w:id="1350" w:name="_Toc198007907"/>
      <w:bookmarkStart w:id="1351" w:name="_Toc198008259"/>
      <w:bookmarkStart w:id="1352" w:name="_Toc198008396"/>
      <w:bookmarkStart w:id="1353" w:name="_Toc198008943"/>
      <w:bookmarkStart w:id="1354" w:name="_Toc198369839"/>
      <w:bookmarkStart w:id="1355" w:name="_Toc216090761"/>
      <w:bookmarkStart w:id="1356" w:name="_Toc226958267"/>
      <w:bookmarkStart w:id="1357" w:name="_Toc227038327"/>
      <w:bookmarkStart w:id="1358" w:name="_Toc254792632"/>
      <w:bookmarkStart w:id="1359" w:name="_Toc256669756"/>
      <w:bookmarkStart w:id="1360" w:name="_Toc257213289"/>
      <w:bookmarkStart w:id="1361" w:name="_Toc257277791"/>
      <w:bookmarkStart w:id="1362" w:name="_Toc257278752"/>
      <w:bookmarkStart w:id="1363" w:name="_Toc257278962"/>
      <w:bookmarkStart w:id="1364" w:name="_Toc257279330"/>
      <w:bookmarkStart w:id="1365" w:name="_Toc257382974"/>
      <w:bookmarkStart w:id="1366" w:name="_Toc274056233"/>
      <w:bookmarkStart w:id="1367" w:name="_Toc276657639"/>
      <w:bookmarkStart w:id="1368" w:name="_Toc278366485"/>
      <w:bookmarkStart w:id="1369" w:name="_Toc307584079"/>
      <w:bookmarkStart w:id="1370" w:name="_Toc307937353"/>
      <w:bookmarkStart w:id="1371" w:name="_Toc374022441"/>
      <w:bookmarkStart w:id="1372" w:name="_Toc377659485"/>
      <w:bookmarkStart w:id="1373" w:name="_Toc377728351"/>
      <w:bookmarkStart w:id="1374" w:name="_Toc505077449"/>
      <w:bookmarkStart w:id="1375" w:name="_Toc507144332"/>
      <w:bookmarkStart w:id="1376" w:name="_Toc507166631"/>
      <w:bookmarkStart w:id="1377" w:name="_Toc505077471"/>
      <w:bookmarkStart w:id="1378" w:name="_Toc507144354"/>
      <w:bookmarkStart w:id="1379" w:name="_Toc507166653"/>
      <w:r w:rsidRPr="002F7CE0">
        <w:rPr>
          <w:b/>
          <w:caps/>
          <w:szCs w:val="22"/>
        </w:rPr>
        <w:t>Attachment A</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sidR="00BD3AC6">
        <w:rPr>
          <w:b/>
          <w:caps/>
          <w:szCs w:val="22"/>
        </w:rPr>
        <w:t>:</w:t>
      </w:r>
    </w:p>
    <w:p w:rsidR="00BA079A" w:rsidRPr="002F7CE0" w:rsidP="00BA079A" w14:paraId="1234EFB3" w14:textId="77777777">
      <w:pPr>
        <w:widowControl/>
        <w:suppressAutoHyphens/>
        <w:jc w:val="center"/>
        <w:rPr>
          <w:b/>
          <w:szCs w:val="22"/>
        </w:rPr>
      </w:pPr>
      <w:r w:rsidRPr="002F7CE0">
        <w:rPr>
          <w:b/>
          <w:szCs w:val="22"/>
        </w:rPr>
        <w:t xml:space="preserve">Auction </w:t>
      </w:r>
      <w:r>
        <w:rPr>
          <w:b/>
          <w:szCs w:val="22"/>
        </w:rPr>
        <w:t>100</w:t>
      </w:r>
      <w:r w:rsidRPr="002F7CE0">
        <w:rPr>
          <w:b/>
          <w:szCs w:val="22"/>
        </w:rPr>
        <w:t xml:space="preserve"> –</w:t>
      </w:r>
      <w:r>
        <w:rPr>
          <w:b/>
          <w:szCs w:val="22"/>
        </w:rPr>
        <w:t xml:space="preserve"> </w:t>
      </w:r>
      <w:r w:rsidRPr="002F7CE0">
        <w:rPr>
          <w:b/>
          <w:szCs w:val="22"/>
        </w:rPr>
        <w:t xml:space="preserve">Construction Permits </w:t>
      </w:r>
      <w:r w:rsidRPr="002F7CE0">
        <w:rPr>
          <w:b/>
          <w:szCs w:val="22"/>
        </w:rPr>
        <w:t>To</w:t>
      </w:r>
      <w:r w:rsidRPr="002F7CE0">
        <w:rPr>
          <w:b/>
          <w:szCs w:val="22"/>
        </w:rPr>
        <w:t xml:space="preserve"> Be Auctioned</w:t>
      </w:r>
    </w:p>
    <w:p w:rsidR="00BA079A" w:rsidRPr="002F7CE0" w:rsidP="00BA079A" w14:paraId="13DC50AA" w14:textId="77777777">
      <w:pPr>
        <w:widowControl/>
        <w:rPr>
          <w:szCs w:val="22"/>
        </w:rPr>
      </w:pPr>
    </w:p>
    <w:p w:rsidR="00BA079A" w:rsidRPr="002F7CE0" w:rsidP="00BA079A" w14:paraId="060F4ACD" w14:textId="77777777">
      <w:pPr>
        <w:widowControl/>
        <w:rPr>
          <w:szCs w:val="22"/>
        </w:rPr>
      </w:pPr>
    </w:p>
    <w:p w:rsidR="00E17012" w:rsidP="00666032" w14:paraId="5DF74D5A" w14:textId="77777777">
      <w:r w:rsidRPr="002F7CE0">
        <w:t>This page was intentionally inserted as a placeholder for Attachment A, which is available as a separate file.</w:t>
      </w:r>
      <w:bookmarkEnd w:id="1377"/>
      <w:bookmarkEnd w:id="1378"/>
      <w:bookmarkEnd w:id="1379"/>
    </w:p>
    <w:p w:rsidR="00AF6C16" w:rsidRPr="002F7CE0" w:rsidP="00AF6C16" w14:paraId="6145EDAF" w14:textId="17596B3F">
      <w:pPr>
        <w:keepNext/>
        <w:widowControl/>
        <w:suppressAutoHyphens/>
        <w:spacing w:after="120"/>
        <w:jc w:val="center"/>
        <w:outlineLvl w:val="0"/>
        <w:rPr>
          <w:rFonts w:ascii="Times New Roman Bold" w:hAnsi="Times New Roman Bold"/>
          <w:caps/>
          <w:szCs w:val="22"/>
        </w:rPr>
      </w:pPr>
      <w:r>
        <w:br w:type="page"/>
      </w:r>
      <w:r w:rsidRPr="002F7CE0" w:rsidR="00E17012">
        <w:rPr>
          <w:b/>
          <w:caps/>
          <w:szCs w:val="22"/>
        </w:rPr>
        <w:t xml:space="preserve">Attachment </w:t>
      </w:r>
      <w:r w:rsidR="00E17012">
        <w:rPr>
          <w:b/>
          <w:caps/>
          <w:szCs w:val="22"/>
        </w:rPr>
        <w:t>B:</w:t>
      </w:r>
    </w:p>
    <w:p w:rsidR="00AF6C16" w:rsidRPr="002F7CE0" w:rsidP="00AF6C16" w14:paraId="1C17011C" w14:textId="77777777">
      <w:pPr>
        <w:widowControl/>
        <w:jc w:val="center"/>
        <w:rPr>
          <w:b/>
          <w:szCs w:val="22"/>
        </w:rPr>
      </w:pPr>
      <w:r w:rsidRPr="002F7CE0">
        <w:rPr>
          <w:b/>
          <w:szCs w:val="22"/>
        </w:rPr>
        <w:t>Auction-Specific Instructions for</w:t>
      </w:r>
      <w:r>
        <w:rPr>
          <w:b/>
          <w:szCs w:val="22"/>
        </w:rPr>
        <w:t xml:space="preserve"> Upfront Payments:  Wire Transfers and Completing</w:t>
      </w:r>
    </w:p>
    <w:p w:rsidR="00AF6C16" w:rsidRPr="002F7CE0" w:rsidP="00AF6C16" w14:paraId="39923E4D" w14:textId="77777777">
      <w:pPr>
        <w:widowControl/>
        <w:jc w:val="center"/>
        <w:rPr>
          <w:b/>
          <w:szCs w:val="22"/>
        </w:rPr>
      </w:pPr>
      <w:r w:rsidRPr="002F7CE0">
        <w:rPr>
          <w:b/>
          <w:szCs w:val="22"/>
        </w:rPr>
        <w:t>FCC Remittance Advice (FCC Form 159)</w:t>
      </w:r>
    </w:p>
    <w:p w:rsidR="00AF6C16" w:rsidP="00AF6C16" w14:paraId="3A6CF37A" w14:textId="77777777">
      <w:pPr>
        <w:widowControl/>
        <w:rPr>
          <w:b/>
          <w:szCs w:val="22"/>
          <w:u w:val="single"/>
        </w:rPr>
      </w:pPr>
    </w:p>
    <w:p w:rsidR="00AF6C16" w:rsidP="00AF6C16" w14:paraId="00C5718E" w14:textId="396B1E07">
      <w:pPr>
        <w:pStyle w:val="ParaNum"/>
        <w:widowControl/>
        <w:numPr>
          <w:ilvl w:val="0"/>
          <w:numId w:val="0"/>
        </w:numPr>
        <w:rPr>
          <w:szCs w:val="22"/>
        </w:rPr>
      </w:pPr>
      <w:r w:rsidRPr="0022369C">
        <w:rPr>
          <w:szCs w:val="22"/>
        </w:rPr>
        <w:t xml:space="preserve">In order to be eligible to bid in this auction, a sufficient upfront payment and a complete and accurate FCC </w:t>
      </w:r>
      <w:r w:rsidRPr="002A0DC5">
        <w:t>Remittance</w:t>
      </w:r>
      <w:r w:rsidRPr="0022369C">
        <w:rPr>
          <w:szCs w:val="22"/>
        </w:rPr>
        <w:t xml:space="preserve"> Advice Form (FCC Form 159</w:t>
      </w:r>
      <w:r>
        <w:rPr>
          <w:szCs w:val="22"/>
        </w:rPr>
        <w:t xml:space="preserve"> - </w:t>
      </w:r>
      <w:r w:rsidRPr="003D46B7">
        <w:rPr>
          <w:szCs w:val="22"/>
        </w:rPr>
        <w:t>February 2003 Edition</w:t>
      </w:r>
      <w:r w:rsidRPr="0022369C">
        <w:rPr>
          <w:szCs w:val="22"/>
        </w:rPr>
        <w:t xml:space="preserve">) must be submitted </w:t>
      </w:r>
      <w:r>
        <w:rPr>
          <w:szCs w:val="22"/>
        </w:rPr>
        <w:t xml:space="preserve">to the U.S. Treasury by wire transfer </w:t>
      </w:r>
      <w:r w:rsidRPr="0022369C">
        <w:rPr>
          <w:szCs w:val="22"/>
        </w:rPr>
        <w:t xml:space="preserve">before 6:00 p.m. ET on the applicable deadline, </w:t>
      </w:r>
      <w:r w:rsidRPr="0022369C">
        <w:rPr>
          <w:b/>
          <w:szCs w:val="22"/>
        </w:rPr>
        <w:t xml:space="preserve">following the procedures </w:t>
      </w:r>
      <w:r>
        <w:rPr>
          <w:b/>
          <w:szCs w:val="22"/>
        </w:rPr>
        <w:t xml:space="preserve">described in this Public Notice and this </w:t>
      </w:r>
      <w:r w:rsidRPr="0022369C">
        <w:rPr>
          <w:b/>
          <w:szCs w:val="22"/>
        </w:rPr>
        <w:t>Attachment</w:t>
      </w:r>
      <w:r w:rsidRPr="0022369C">
        <w:rPr>
          <w:szCs w:val="22"/>
        </w:rPr>
        <w:t xml:space="preserve">.  After completing its short-form application, an applicant will have access to an electronic version of the FCC Form 159.  This Form 159 can be printed, and </w:t>
      </w:r>
      <w:r w:rsidRPr="0022369C">
        <w:rPr>
          <w:b/>
          <w:szCs w:val="22"/>
        </w:rPr>
        <w:t xml:space="preserve">the completed form must be sent by fax to the FCC at (202) 418-2843 or by email to </w:t>
      </w:r>
      <w:hyperlink r:id="rId10" w:history="1">
        <w:r w:rsidRPr="0022369C">
          <w:rPr>
            <w:rStyle w:val="Hyperlink"/>
            <w:b/>
            <w:szCs w:val="22"/>
          </w:rPr>
          <w:t>RROGWireFaxes@fcc.gov</w:t>
        </w:r>
      </w:hyperlink>
      <w:r w:rsidRPr="0022369C">
        <w:rPr>
          <w:szCs w:val="22"/>
        </w:rPr>
        <w:t>.</w:t>
      </w:r>
    </w:p>
    <w:p w:rsidR="00AF6C16" w:rsidP="00AF6C16" w14:paraId="31A20D15" w14:textId="77777777">
      <w:pPr>
        <w:pStyle w:val="Heading3"/>
      </w:pPr>
      <w:bookmarkStart w:id="1380" w:name="_Toc4164786"/>
      <w:bookmarkStart w:id="1381" w:name="_Toc4419589"/>
      <w:bookmarkStart w:id="1382" w:name="_Toc5609565"/>
      <w:bookmarkStart w:id="1383" w:name="_Toc5975821"/>
      <w:bookmarkStart w:id="1384" w:name="_Toc6220345"/>
      <w:bookmarkStart w:id="1385" w:name="_Toc6232678"/>
      <w:r>
        <w:t>Making Upfront Payments by Wire Transfer</w:t>
      </w:r>
      <w:bookmarkEnd w:id="1380"/>
      <w:bookmarkEnd w:id="1381"/>
      <w:bookmarkEnd w:id="1382"/>
      <w:bookmarkEnd w:id="1383"/>
      <w:bookmarkEnd w:id="1384"/>
      <w:bookmarkEnd w:id="1385"/>
    </w:p>
    <w:p w:rsidR="00AF6C16" w:rsidRPr="001C2E9C" w:rsidP="00AF6C16" w14:paraId="30DCB6D2" w14:textId="5A9B5621">
      <w:pPr>
        <w:pStyle w:val="ParaNum"/>
        <w:widowControl/>
        <w:numPr>
          <w:ilvl w:val="0"/>
          <w:numId w:val="0"/>
        </w:numPr>
        <w:rPr>
          <w:szCs w:val="22"/>
        </w:rPr>
      </w:pPr>
      <w:r w:rsidRPr="008C484E">
        <w:rPr>
          <w:b/>
          <w:szCs w:val="22"/>
        </w:rPr>
        <w:t xml:space="preserve">Wire transfer payments must be received before 6:00 p.m. ET on </w:t>
      </w:r>
      <w:r w:rsidR="00FC47CC">
        <w:rPr>
          <w:b/>
          <w:szCs w:val="22"/>
        </w:rPr>
        <w:t>May 23, 2019</w:t>
      </w:r>
      <w:r w:rsidRPr="00D25662">
        <w:rPr>
          <w:szCs w:val="22"/>
        </w:rPr>
        <w:t>.</w:t>
      </w:r>
      <w:r>
        <w:rPr>
          <w:rStyle w:val="FootnoteReference"/>
          <w:szCs w:val="22"/>
        </w:rPr>
        <w:footnoteReference w:id="161"/>
      </w:r>
      <w:r w:rsidRPr="001C2E9C">
        <w:rPr>
          <w:szCs w:val="22"/>
        </w:rPr>
        <w:t xml:space="preserve">  </w:t>
      </w:r>
      <w:r w:rsidRPr="000C360D">
        <w:rPr>
          <w:szCs w:val="22"/>
        </w:rPr>
        <w:t xml:space="preserve">No other </w:t>
      </w:r>
      <w:r w:rsidRPr="002A0DC5">
        <w:t>payment</w:t>
      </w:r>
      <w:r w:rsidRPr="000C360D">
        <w:rPr>
          <w:szCs w:val="22"/>
        </w:rPr>
        <w:t xml:space="preserve"> method is acceptable.</w:t>
      </w:r>
      <w:r>
        <w:rPr>
          <w:rStyle w:val="FootnoteReference"/>
          <w:szCs w:val="22"/>
        </w:rPr>
        <w:footnoteReference w:id="162"/>
      </w:r>
      <w:r w:rsidRPr="001C2E9C">
        <w:rPr>
          <w:szCs w:val="22"/>
        </w:rPr>
        <w:t xml:space="preserve">  To avoid untimely payments, applicants should discuss arrangements (including bank closing schedules</w:t>
      </w:r>
      <w:r>
        <w:rPr>
          <w:szCs w:val="22"/>
        </w:rPr>
        <w:t xml:space="preserve"> and other specific bank wire transfer requirements, such as an in-person written request before a specified time of day</w:t>
      </w:r>
      <w:r w:rsidRPr="001C2E9C">
        <w:rPr>
          <w:szCs w:val="22"/>
        </w:rPr>
        <w:t>) with their banker</w:t>
      </w:r>
      <w:r>
        <w:rPr>
          <w:szCs w:val="22"/>
        </w:rPr>
        <w:t>s</w:t>
      </w:r>
      <w:r w:rsidRPr="001C2E9C">
        <w:rPr>
          <w:szCs w:val="22"/>
        </w:rPr>
        <w:t xml:space="preserve"> several days before they plan to make the wire transfer, and </w:t>
      </w:r>
      <w:r>
        <w:rPr>
          <w:szCs w:val="22"/>
        </w:rPr>
        <w:t xml:space="preserve">must </w:t>
      </w:r>
      <w:r w:rsidRPr="001C2E9C">
        <w:rPr>
          <w:szCs w:val="22"/>
        </w:rPr>
        <w:t xml:space="preserve">allow sufficient time for the transfer to be initiated and completed before the deadline.  </w:t>
      </w:r>
      <w:r>
        <w:rPr>
          <w:szCs w:val="22"/>
        </w:rPr>
        <w:t xml:space="preserve">The </w:t>
      </w:r>
      <w:r w:rsidRPr="001C2E9C">
        <w:rPr>
          <w:szCs w:val="22"/>
        </w:rPr>
        <w:t>following information</w:t>
      </w:r>
      <w:r>
        <w:rPr>
          <w:szCs w:val="22"/>
        </w:rPr>
        <w:t xml:space="preserve"> will be needed</w:t>
      </w:r>
      <w:r w:rsidRPr="001C2E9C">
        <w:rPr>
          <w:szCs w:val="22"/>
        </w:rPr>
        <w:t>:</w:t>
      </w:r>
    </w:p>
    <w:p w:rsidR="00AF6C16" w:rsidRPr="00CA6286" w:rsidP="00220473" w14:paraId="1E5E739D" w14:textId="77777777">
      <w:pPr>
        <w:widowControl/>
        <w:spacing w:after="40"/>
        <w:ind w:left="720"/>
        <w:jc w:val="both"/>
        <w:rPr>
          <w:szCs w:val="22"/>
        </w:rPr>
      </w:pPr>
      <w:r w:rsidRPr="00341C96">
        <w:rPr>
          <w:szCs w:val="22"/>
        </w:rPr>
        <w:t>ABA Routing Number</w:t>
      </w:r>
      <w:r w:rsidRPr="00CA6286">
        <w:rPr>
          <w:szCs w:val="22"/>
        </w:rPr>
        <w:t>:</w:t>
      </w:r>
      <w:r w:rsidRPr="00CA6286">
        <w:rPr>
          <w:szCs w:val="22"/>
        </w:rPr>
        <w:tab/>
      </w:r>
      <w:r>
        <w:rPr>
          <w:szCs w:val="22"/>
        </w:rPr>
        <w:t>021030004</w:t>
      </w:r>
    </w:p>
    <w:p w:rsidR="00AF6C16" w:rsidP="00220473" w14:paraId="28861DA6" w14:textId="77777777">
      <w:pPr>
        <w:widowControl/>
        <w:spacing w:after="40"/>
        <w:ind w:left="720"/>
        <w:jc w:val="both"/>
        <w:rPr>
          <w:szCs w:val="22"/>
        </w:rPr>
      </w:pPr>
      <w:r>
        <w:rPr>
          <w:szCs w:val="22"/>
        </w:rPr>
        <w:t>Receiving Bank: TREAS NYC</w:t>
      </w:r>
    </w:p>
    <w:p w:rsidR="00AF6C16" w:rsidP="00220473" w14:paraId="3C2C2FB3" w14:textId="77777777">
      <w:pPr>
        <w:widowControl/>
        <w:spacing w:after="40"/>
        <w:ind w:left="720"/>
        <w:jc w:val="both"/>
        <w:rPr>
          <w:szCs w:val="22"/>
        </w:rPr>
      </w:pPr>
      <w:r w:rsidRPr="00CA6286">
        <w:rPr>
          <w:szCs w:val="22"/>
        </w:rPr>
        <w:tab/>
      </w:r>
      <w:r>
        <w:rPr>
          <w:szCs w:val="22"/>
        </w:rPr>
        <w:tab/>
        <w:t xml:space="preserve"> </w:t>
      </w:r>
      <w:r>
        <w:t>33 Liberty Street</w:t>
      </w:r>
    </w:p>
    <w:p w:rsidR="00AF6C16" w:rsidP="00220473" w14:paraId="062EC5AD" w14:textId="77777777">
      <w:pPr>
        <w:widowControl/>
        <w:spacing w:after="40"/>
        <w:ind w:left="720"/>
        <w:jc w:val="both"/>
      </w:pPr>
      <w:r>
        <w:rPr>
          <w:szCs w:val="22"/>
        </w:rPr>
        <w:tab/>
        <w:t xml:space="preserve">              </w:t>
      </w:r>
      <w:r>
        <w:t>New York, NY 10045</w:t>
      </w:r>
    </w:p>
    <w:p w:rsidR="00AF6C16" w:rsidRPr="00AF3BF5" w:rsidP="00220473" w14:paraId="4B623F56" w14:textId="77777777">
      <w:pPr>
        <w:widowControl/>
        <w:spacing w:after="40"/>
        <w:ind w:left="720"/>
        <w:jc w:val="both"/>
        <w:rPr>
          <w:szCs w:val="22"/>
        </w:rPr>
      </w:pPr>
      <w:r w:rsidRPr="00CA6286">
        <w:rPr>
          <w:szCs w:val="22"/>
        </w:rPr>
        <w:t>BENEFICIARY:  FCC</w:t>
      </w:r>
    </w:p>
    <w:p w:rsidR="00AF6C16" w:rsidP="00220473" w14:paraId="132496A5" w14:textId="77777777">
      <w:pPr>
        <w:widowControl/>
        <w:spacing w:after="40"/>
        <w:ind w:left="2340" w:hanging="1620"/>
        <w:jc w:val="both"/>
        <w:rPr>
          <w:szCs w:val="22"/>
        </w:rPr>
      </w:pPr>
      <w:r>
        <w:rPr>
          <w:szCs w:val="22"/>
        </w:rPr>
        <w:tab/>
        <w:t>445 12</w:t>
      </w:r>
      <w:r w:rsidRPr="008656BE">
        <w:rPr>
          <w:szCs w:val="22"/>
          <w:vertAlign w:val="superscript"/>
        </w:rPr>
        <w:t>th</w:t>
      </w:r>
      <w:r>
        <w:rPr>
          <w:szCs w:val="22"/>
        </w:rPr>
        <w:t xml:space="preserve"> Street, SW</w:t>
      </w:r>
    </w:p>
    <w:p w:rsidR="00AF6C16" w:rsidP="00220473" w14:paraId="7DB3E798" w14:textId="77777777">
      <w:pPr>
        <w:widowControl/>
        <w:spacing w:after="40"/>
        <w:ind w:left="2340" w:hanging="1620"/>
        <w:jc w:val="both"/>
        <w:rPr>
          <w:szCs w:val="22"/>
        </w:rPr>
      </w:pPr>
      <w:r>
        <w:rPr>
          <w:szCs w:val="22"/>
        </w:rPr>
        <w:tab/>
        <w:t>Washington, DC 20554</w:t>
      </w:r>
    </w:p>
    <w:p w:rsidR="00AF6C16" w:rsidP="00220473" w14:paraId="79C8A023" w14:textId="77777777">
      <w:pPr>
        <w:widowControl/>
        <w:spacing w:after="40"/>
        <w:ind w:left="720"/>
        <w:jc w:val="both"/>
        <w:rPr>
          <w:szCs w:val="22"/>
        </w:rPr>
      </w:pPr>
      <w:r>
        <w:rPr>
          <w:szCs w:val="22"/>
        </w:rPr>
        <w:t>ACCOUNT NUMBER:  827000001001</w:t>
      </w:r>
    </w:p>
    <w:p w:rsidR="00AF6C16" w:rsidRPr="00CA6286" w:rsidP="00220473" w14:paraId="20B44A8A" w14:textId="77777777">
      <w:pPr>
        <w:widowControl/>
        <w:spacing w:after="40"/>
        <w:ind w:left="720"/>
        <w:jc w:val="both"/>
        <w:rPr>
          <w:szCs w:val="22"/>
        </w:rPr>
      </w:pPr>
      <w:r w:rsidRPr="00CA6286">
        <w:rPr>
          <w:szCs w:val="22"/>
        </w:rPr>
        <w:t>Originating Bank Information (OBI Field): (Skip one space between each information item)</w:t>
      </w:r>
    </w:p>
    <w:p w:rsidR="00AF6C16" w:rsidRPr="00CA6286" w:rsidP="00220473" w14:paraId="3F9C524B" w14:textId="77777777">
      <w:pPr>
        <w:widowControl/>
        <w:spacing w:after="40"/>
        <w:ind w:left="720"/>
        <w:jc w:val="both"/>
        <w:rPr>
          <w:szCs w:val="22"/>
        </w:rPr>
      </w:pPr>
      <w:r w:rsidRPr="00CA6286">
        <w:rPr>
          <w:szCs w:val="22"/>
        </w:rPr>
        <w:t>“AUCTIONPAY”</w:t>
      </w:r>
    </w:p>
    <w:p w:rsidR="00AF6C16" w:rsidRPr="00CA6286" w:rsidP="00220473" w14:paraId="6B0DEFFE" w14:textId="77777777">
      <w:pPr>
        <w:widowControl/>
        <w:spacing w:after="40"/>
        <w:ind w:left="720"/>
        <w:rPr>
          <w:szCs w:val="22"/>
        </w:rPr>
      </w:pPr>
      <w:r w:rsidRPr="00CA6286">
        <w:rPr>
          <w:szCs w:val="22"/>
        </w:rPr>
        <w:t>APPLICANT FCC REGISTRATION NUMBER (FRN): (</w:t>
      </w:r>
      <w:r>
        <w:rPr>
          <w:szCs w:val="22"/>
        </w:rPr>
        <w:t xml:space="preserve">use the </w:t>
      </w:r>
      <w:r w:rsidRPr="00CA6286">
        <w:rPr>
          <w:szCs w:val="22"/>
        </w:rPr>
        <w:t xml:space="preserve">same </w:t>
      </w:r>
      <w:r>
        <w:rPr>
          <w:szCs w:val="22"/>
        </w:rPr>
        <w:t xml:space="preserve">FRN </w:t>
      </w:r>
      <w:r w:rsidRPr="00CA6286">
        <w:rPr>
          <w:szCs w:val="22"/>
        </w:rPr>
        <w:t xml:space="preserve">as </w:t>
      </w:r>
      <w:r>
        <w:rPr>
          <w:szCs w:val="22"/>
        </w:rPr>
        <w:t xml:space="preserve">used on the applicant’s </w:t>
      </w:r>
      <w:r w:rsidRPr="00CA6286">
        <w:rPr>
          <w:szCs w:val="22"/>
        </w:rPr>
        <w:t>FCC Form 159, block 21)</w:t>
      </w:r>
    </w:p>
    <w:p w:rsidR="00AF6C16" w:rsidRPr="00CA6286" w:rsidP="00DB674C" w14:paraId="10BCE0EE" w14:textId="77777777">
      <w:pPr>
        <w:widowControl/>
        <w:spacing w:after="120"/>
        <w:ind w:left="720"/>
        <w:jc w:val="both"/>
        <w:rPr>
          <w:szCs w:val="22"/>
        </w:rPr>
      </w:pPr>
      <w:r w:rsidRPr="00CA6286">
        <w:rPr>
          <w:szCs w:val="22"/>
        </w:rPr>
        <w:t>PAYMENT TYPE CODE: (same as FCC Form 159, block 24A: “</w:t>
      </w:r>
      <w:r>
        <w:rPr>
          <w:szCs w:val="22"/>
        </w:rPr>
        <w:t>U100</w:t>
      </w:r>
      <w:r w:rsidRPr="00CA6286">
        <w:rPr>
          <w:szCs w:val="22"/>
        </w:rPr>
        <w:t>”)</w:t>
      </w:r>
    </w:p>
    <w:p w:rsidR="00AF6C16" w:rsidRPr="00CA6286" w:rsidP="00AF6C16" w14:paraId="134019A7" w14:textId="77777777">
      <w:pPr>
        <w:widowControl/>
        <w:spacing w:after="120"/>
        <w:rPr>
          <w:szCs w:val="22"/>
        </w:rPr>
      </w:pPr>
      <w:r w:rsidRPr="00183276">
        <w:rPr>
          <w:bCs/>
          <w:szCs w:val="22"/>
        </w:rPr>
        <w:t>NOTE:</w:t>
      </w:r>
      <w:r w:rsidRPr="00183276">
        <w:rPr>
          <w:szCs w:val="22"/>
        </w:rPr>
        <w:t xml:space="preserve">  The </w:t>
      </w:r>
      <w:r>
        <w:rPr>
          <w:szCs w:val="22"/>
        </w:rPr>
        <w:t>beneficiary account number is</w:t>
      </w:r>
      <w:r w:rsidRPr="00183276">
        <w:rPr>
          <w:szCs w:val="22"/>
        </w:rPr>
        <w:t xml:space="preserve"> specific to the upfront payments for </w:t>
      </w:r>
      <w:r>
        <w:rPr>
          <w:szCs w:val="22"/>
        </w:rPr>
        <w:t>A</w:t>
      </w:r>
      <w:r w:rsidRPr="00183276">
        <w:rPr>
          <w:szCs w:val="22"/>
        </w:rPr>
        <w:t>uction</w:t>
      </w:r>
      <w:r>
        <w:rPr>
          <w:szCs w:val="22"/>
        </w:rPr>
        <w:t xml:space="preserve"> 100</w:t>
      </w:r>
      <w:r w:rsidRPr="00183276">
        <w:rPr>
          <w:szCs w:val="22"/>
        </w:rPr>
        <w:t xml:space="preserve">.  Do not use </w:t>
      </w:r>
      <w:r>
        <w:rPr>
          <w:szCs w:val="22"/>
        </w:rPr>
        <w:t xml:space="preserve">a beneficiary account number </w:t>
      </w:r>
      <w:r w:rsidRPr="00183276">
        <w:rPr>
          <w:szCs w:val="22"/>
        </w:rPr>
        <w:t xml:space="preserve">from </w:t>
      </w:r>
      <w:r>
        <w:rPr>
          <w:szCs w:val="22"/>
        </w:rPr>
        <w:t xml:space="preserve">a </w:t>
      </w:r>
      <w:r w:rsidRPr="00183276">
        <w:rPr>
          <w:szCs w:val="22"/>
        </w:rPr>
        <w:t>previous auction.</w:t>
      </w:r>
      <w:r w:rsidRPr="00CA6286">
        <w:rPr>
          <w:szCs w:val="22"/>
        </w:rPr>
        <w:t xml:space="preserve">  </w:t>
      </w:r>
    </w:p>
    <w:p w:rsidR="00AF6C16" w:rsidP="00AF6C16" w14:paraId="1D24DC8F" w14:textId="77777777">
      <w:pPr>
        <w:pStyle w:val="ParaNum"/>
        <w:widowControl/>
        <w:numPr>
          <w:ilvl w:val="0"/>
          <w:numId w:val="0"/>
        </w:numPr>
        <w:rPr>
          <w:szCs w:val="22"/>
        </w:rPr>
      </w:pPr>
      <w:r>
        <w:rPr>
          <w:szCs w:val="22"/>
        </w:rPr>
        <w:t xml:space="preserve">At least one hour before placing the order for the wire transfer (but on the same business </w:t>
      </w:r>
      <w:r w:rsidRPr="00F650FA">
        <w:rPr>
          <w:szCs w:val="22"/>
        </w:rPr>
        <w:t xml:space="preserve">day), applicants </w:t>
      </w:r>
      <w:r w:rsidRPr="002A0DC5">
        <w:t>must</w:t>
      </w:r>
      <w:r w:rsidRPr="00F650FA">
        <w:rPr>
          <w:szCs w:val="22"/>
        </w:rPr>
        <w:t xml:space="preserve"> </w:t>
      </w:r>
      <w:r>
        <w:rPr>
          <w:szCs w:val="22"/>
        </w:rPr>
        <w:t xml:space="preserve">print and </w:t>
      </w:r>
      <w:r w:rsidRPr="00F650FA">
        <w:rPr>
          <w:szCs w:val="22"/>
        </w:rPr>
        <w:t>fax a completed FCC Form 159 (Revised 2/03) to</w:t>
      </w:r>
      <w:r>
        <w:rPr>
          <w:szCs w:val="22"/>
        </w:rPr>
        <w:t xml:space="preserve"> the FCC at (202) 418-2843</w:t>
      </w:r>
      <w:r w:rsidRPr="00F650FA">
        <w:rPr>
          <w:szCs w:val="22"/>
        </w:rPr>
        <w:t>.</w:t>
      </w:r>
      <w:r>
        <w:rPr>
          <w:szCs w:val="22"/>
        </w:rPr>
        <w:t xml:space="preserve">  Alternatively, the completed form can be scanned and sent as an attachment to an email to </w:t>
      </w:r>
      <w:hyperlink r:id="rId10" w:history="1">
        <w:r w:rsidRPr="00A25DC6">
          <w:rPr>
            <w:rStyle w:val="Hyperlink"/>
            <w:szCs w:val="22"/>
          </w:rPr>
          <w:t>RROGWireFaxes@fcc.gov</w:t>
        </w:r>
      </w:hyperlink>
      <w:r>
        <w:rPr>
          <w:szCs w:val="22"/>
        </w:rPr>
        <w:t xml:space="preserve">.  </w:t>
      </w:r>
      <w:r w:rsidRPr="001C2E9C">
        <w:rPr>
          <w:szCs w:val="22"/>
        </w:rPr>
        <w:t xml:space="preserve">On the </w:t>
      </w:r>
      <w:r>
        <w:rPr>
          <w:szCs w:val="22"/>
        </w:rPr>
        <w:t xml:space="preserve">fax </w:t>
      </w:r>
      <w:r w:rsidRPr="001C2E9C">
        <w:rPr>
          <w:szCs w:val="22"/>
        </w:rPr>
        <w:t>cover sheet</w:t>
      </w:r>
      <w:r>
        <w:rPr>
          <w:szCs w:val="22"/>
        </w:rPr>
        <w:t xml:space="preserve"> or in the email subject line</w:t>
      </w:r>
      <w:r w:rsidRPr="001C2E9C">
        <w:rPr>
          <w:szCs w:val="22"/>
        </w:rPr>
        <w:t xml:space="preserve">, write “Wire Transfer </w:t>
      </w:r>
      <w:r>
        <w:rPr>
          <w:szCs w:val="22"/>
        </w:rPr>
        <w:t xml:space="preserve">– </w:t>
      </w:r>
      <w:r w:rsidRPr="001C2E9C">
        <w:rPr>
          <w:szCs w:val="22"/>
        </w:rPr>
        <w:t xml:space="preserve">Auction Payment for Auction </w:t>
      </w:r>
      <w:r>
        <w:rPr>
          <w:szCs w:val="22"/>
        </w:rPr>
        <w:t>100</w:t>
      </w:r>
      <w:r w:rsidRPr="001C2E9C">
        <w:rPr>
          <w:szCs w:val="22"/>
        </w:rPr>
        <w:t xml:space="preserve">.”  In order to meet the upfront payment deadline, an applicant’s payment must be credited to the Commission's account </w:t>
      </w:r>
      <w:r>
        <w:rPr>
          <w:szCs w:val="22"/>
        </w:rPr>
        <w:t xml:space="preserve">for Auction 100 </w:t>
      </w:r>
      <w:r w:rsidRPr="001C2E9C">
        <w:rPr>
          <w:szCs w:val="22"/>
        </w:rPr>
        <w:t>before the deadline.</w:t>
      </w:r>
      <w:r>
        <w:rPr>
          <w:rStyle w:val="FootnoteReference"/>
          <w:szCs w:val="22"/>
        </w:rPr>
        <w:footnoteReference w:id="163"/>
      </w:r>
      <w:r w:rsidRPr="001C2E9C">
        <w:rPr>
          <w:szCs w:val="22"/>
        </w:rPr>
        <w:t xml:space="preserve">  </w:t>
      </w:r>
    </w:p>
    <w:p w:rsidR="00AF6C16" w:rsidP="00AF6C16" w14:paraId="2A2E18F7" w14:textId="3FEDCCC7">
      <w:pPr>
        <w:pStyle w:val="ParaNum"/>
        <w:widowControl/>
        <w:numPr>
          <w:ilvl w:val="0"/>
          <w:numId w:val="0"/>
        </w:numPr>
        <w:rPr>
          <w:szCs w:val="22"/>
        </w:rPr>
      </w:pPr>
      <w:r>
        <w:t xml:space="preserve">Each applicant is </w:t>
      </w:r>
      <w:r w:rsidRPr="00FB2B9B">
        <w:rPr>
          <w:szCs w:val="22"/>
        </w:rPr>
        <w:t>responsible</w:t>
      </w:r>
      <w:r>
        <w:t xml:space="preserve"> for ensuring timely submission of its upfront payment and for timely filing of an accurate and complete FCC Remittance Advice Form (FCC Form 159 Revised 2/03).</w:t>
      </w:r>
      <w:r>
        <w:rPr>
          <w:rStyle w:val="FootnoteReference"/>
          <w:szCs w:val="22"/>
        </w:rPr>
        <w:footnoteReference w:id="164"/>
      </w:r>
      <w:r>
        <w:t xml:space="preserve">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65"/>
      </w:r>
      <w:r>
        <w:t xml:space="preserve">  </w:t>
      </w:r>
      <w:r w:rsidRPr="000F7B18">
        <w:rPr>
          <w:b/>
        </w:rPr>
        <w:t xml:space="preserve">Each applicant also is </w:t>
      </w:r>
      <w:r w:rsidRPr="00DF7948">
        <w:rPr>
          <w:b/>
        </w:rPr>
        <w:t xml:space="preserve">responsible for obtaining confirmation from its financial institution that its wire transfer to </w:t>
      </w:r>
      <w:r>
        <w:rPr>
          <w:b/>
        </w:rPr>
        <w:t xml:space="preserve">the </w:t>
      </w:r>
      <w:r w:rsidRPr="00555B64">
        <w:rPr>
          <w:b/>
        </w:rPr>
        <w:t xml:space="preserve">U.S. </w:t>
      </w:r>
      <w:r>
        <w:rPr>
          <w:b/>
        </w:rPr>
        <w:t xml:space="preserve">Treasury </w:t>
      </w:r>
      <w:r w:rsidRPr="00DF7948">
        <w:rPr>
          <w:b/>
        </w:rPr>
        <w:t>was successful and from Commission staff that its upfront payment was timely received and that it was deposited into the proper account</w:t>
      </w:r>
      <w:r w:rsidRPr="00DF7948">
        <w:t>.  To receive confirmation from Commission staff, contact Gail Glasser of the Office</w:t>
      </w:r>
      <w:r>
        <w:t xml:space="preserve"> of Managing Director’s Revenue &amp; Receivables Operations Group/Auctions at (202) 418-0578, </w:t>
      </w:r>
      <w:r w:rsidR="00186003">
        <w:t xml:space="preserve">Scott Radcliffe at (202) 418-7518 </w:t>
      </w:r>
      <w:r>
        <w:t>or Theresa Meeks at (202) 418-2945.</w:t>
      </w:r>
    </w:p>
    <w:p w:rsidR="00AF6C16" w:rsidRPr="001C2E9C" w:rsidP="00220473" w14:paraId="45808C5A" w14:textId="77777777">
      <w:pPr>
        <w:pStyle w:val="ParaNum"/>
        <w:widowControl/>
        <w:numPr>
          <w:ilvl w:val="0"/>
          <w:numId w:val="0"/>
        </w:numPr>
        <w:spacing w:after="240"/>
        <w:rPr>
          <w:szCs w:val="22"/>
        </w:rPr>
      </w:pPr>
      <w:r w:rsidRPr="00A62779">
        <w:t>Please</w:t>
      </w:r>
      <w:r w:rsidRPr="001C2E9C">
        <w:rPr>
          <w:szCs w:val="22"/>
        </w:rPr>
        <w:t xml:space="preserve"> note </w:t>
      </w:r>
      <w:r>
        <w:rPr>
          <w:szCs w:val="22"/>
        </w:rPr>
        <w:t>the following information regarding upfront payments</w:t>
      </w:r>
      <w:r w:rsidRPr="001C2E9C">
        <w:rPr>
          <w:szCs w:val="22"/>
        </w:rPr>
        <w:t>:</w:t>
      </w:r>
    </w:p>
    <w:p w:rsidR="00AF6C16" w:rsidRPr="00CA6286" w:rsidP="00981C53" w14:paraId="6F95439E" w14:textId="77777777">
      <w:pPr>
        <w:pStyle w:val="BulletCharChar"/>
        <w:keepNext/>
        <w:keepLines/>
        <w:widowControl/>
        <w:numPr>
          <w:ilvl w:val="0"/>
          <w:numId w:val="1"/>
        </w:numPr>
        <w:tabs>
          <w:tab w:val="clear" w:pos="360"/>
          <w:tab w:val="num" w:pos="1080"/>
        </w:tabs>
        <w:spacing w:after="120"/>
        <w:ind w:left="1080"/>
        <w:rPr>
          <w:szCs w:val="22"/>
        </w:rPr>
      </w:pPr>
      <w:r w:rsidRPr="00CA6286">
        <w:rPr>
          <w:szCs w:val="22"/>
        </w:rPr>
        <w:t>All payments must be made in U.S. dollars.</w:t>
      </w:r>
    </w:p>
    <w:p w:rsidR="00AF6C16" w:rsidRPr="00CA6286" w:rsidP="00AF6C16" w14:paraId="4C4FE5F4" w14:textId="77777777">
      <w:pPr>
        <w:pStyle w:val="BulletCharChar"/>
        <w:keepNext/>
        <w:keepLines/>
        <w:widowControl/>
        <w:numPr>
          <w:ilvl w:val="0"/>
          <w:numId w:val="1"/>
        </w:numPr>
        <w:tabs>
          <w:tab w:val="clear" w:pos="360"/>
          <w:tab w:val="num" w:pos="1080"/>
        </w:tabs>
        <w:spacing w:after="120"/>
        <w:ind w:left="1080"/>
        <w:rPr>
          <w:szCs w:val="22"/>
        </w:rPr>
      </w:pPr>
      <w:r w:rsidRPr="00CA6286">
        <w:rPr>
          <w:szCs w:val="22"/>
        </w:rPr>
        <w:t>All payments must be made by wire transfer</w:t>
      </w:r>
      <w:r>
        <w:rPr>
          <w:szCs w:val="22"/>
        </w:rPr>
        <w:t xml:space="preserve"> as instructed above</w:t>
      </w:r>
      <w:r w:rsidRPr="00CA6286">
        <w:rPr>
          <w:szCs w:val="22"/>
        </w:rPr>
        <w:t>.</w:t>
      </w:r>
    </w:p>
    <w:p w:rsidR="00AF6C16" w:rsidRPr="00CA6286" w:rsidP="00220473" w14:paraId="3035AEAA" w14:textId="77777777">
      <w:pPr>
        <w:pStyle w:val="BulletCharChar"/>
        <w:widowControl/>
        <w:numPr>
          <w:ilvl w:val="0"/>
          <w:numId w:val="1"/>
        </w:numPr>
        <w:tabs>
          <w:tab w:val="clear" w:pos="360"/>
          <w:tab w:val="num" w:pos="1080"/>
        </w:tabs>
        <w:spacing w:after="240"/>
        <w:ind w:left="1080"/>
        <w:rPr>
          <w:szCs w:val="22"/>
        </w:rPr>
      </w:pPr>
      <w:r w:rsidRPr="00CA6286">
        <w:rPr>
          <w:szCs w:val="22"/>
        </w:rPr>
        <w:t xml:space="preserve">Upfront payments for Auction </w:t>
      </w:r>
      <w:r>
        <w:rPr>
          <w:szCs w:val="22"/>
        </w:rPr>
        <w:t>100</w:t>
      </w:r>
      <w:r w:rsidRPr="00CA6286">
        <w:rPr>
          <w:szCs w:val="22"/>
        </w:rPr>
        <w:t xml:space="preserve"> go to a</w:t>
      </w:r>
      <w:r>
        <w:rPr>
          <w:szCs w:val="22"/>
        </w:rPr>
        <w:t>n</w:t>
      </w:r>
      <w:r w:rsidRPr="00CA6286">
        <w:rPr>
          <w:szCs w:val="22"/>
        </w:rPr>
        <w:t xml:space="preserve"> </w:t>
      </w:r>
      <w:r>
        <w:rPr>
          <w:szCs w:val="22"/>
        </w:rPr>
        <w:t>account</w:t>
      </w:r>
      <w:r w:rsidRPr="00CA6286">
        <w:rPr>
          <w:szCs w:val="22"/>
        </w:rPr>
        <w:t xml:space="preserve"> </w:t>
      </w:r>
      <w:r>
        <w:rPr>
          <w:szCs w:val="22"/>
        </w:rPr>
        <w:t>n</w:t>
      </w:r>
      <w:r w:rsidRPr="00CA6286">
        <w:rPr>
          <w:szCs w:val="22"/>
        </w:rPr>
        <w:t xml:space="preserve">umber different </w:t>
      </w:r>
      <w:r>
        <w:rPr>
          <w:szCs w:val="22"/>
        </w:rPr>
        <w:t>than</w:t>
      </w:r>
      <w:r w:rsidRPr="00CA6286">
        <w:rPr>
          <w:szCs w:val="22"/>
        </w:rPr>
        <w:t xml:space="preserve"> the </w:t>
      </w:r>
      <w:r>
        <w:rPr>
          <w:szCs w:val="22"/>
        </w:rPr>
        <w:t>account numbers</w:t>
      </w:r>
      <w:r w:rsidRPr="00CA6286">
        <w:rPr>
          <w:szCs w:val="22"/>
        </w:rPr>
        <w:t xml:space="preserve"> used </w:t>
      </w:r>
      <w:r>
        <w:rPr>
          <w:szCs w:val="22"/>
        </w:rPr>
        <w:t>for</w:t>
      </w:r>
      <w:r w:rsidRPr="00CA6286">
        <w:rPr>
          <w:szCs w:val="22"/>
        </w:rPr>
        <w:t xml:space="preserve"> previous FCC auctions.</w:t>
      </w:r>
    </w:p>
    <w:p w:rsidR="00AF6C16" w:rsidRPr="00FD5A75" w:rsidP="00AF6C16" w14:paraId="167A6E40" w14:textId="15B7A7F6">
      <w:pPr>
        <w:pStyle w:val="ParaNum"/>
        <w:widowControl/>
        <w:numPr>
          <w:ilvl w:val="0"/>
          <w:numId w:val="0"/>
        </w:numPr>
      </w:pPr>
      <w:r w:rsidRPr="002A0DC5">
        <w:t>Failure</w:t>
      </w:r>
      <w:r w:rsidRPr="00CA6286">
        <w:rPr>
          <w:szCs w:val="22"/>
        </w:rPr>
        <w:t xml:space="preserve"> to deliver </w:t>
      </w:r>
      <w:r>
        <w:rPr>
          <w:szCs w:val="22"/>
        </w:rPr>
        <w:t>a sufficient</w:t>
      </w:r>
      <w:r w:rsidRPr="00CA6286">
        <w:rPr>
          <w:szCs w:val="22"/>
        </w:rPr>
        <w:t xml:space="preserve"> upfront payment as instructed </w:t>
      </w:r>
      <w:r>
        <w:rPr>
          <w:szCs w:val="22"/>
        </w:rPr>
        <w:t xml:space="preserve">herein </w:t>
      </w:r>
      <w:r w:rsidRPr="00CA6286">
        <w:rPr>
          <w:szCs w:val="22"/>
        </w:rPr>
        <w:t xml:space="preserve">by </w:t>
      </w:r>
      <w:r w:rsidRPr="00D25662">
        <w:rPr>
          <w:szCs w:val="22"/>
        </w:rPr>
        <w:t xml:space="preserve">the </w:t>
      </w:r>
      <w:r w:rsidR="00FC47CC">
        <w:rPr>
          <w:szCs w:val="22"/>
        </w:rPr>
        <w:t xml:space="preserve">May 23, 2019, </w:t>
      </w:r>
      <w:r w:rsidRPr="00D25662">
        <w:rPr>
          <w:szCs w:val="22"/>
        </w:rPr>
        <w:t>deadline</w:t>
      </w:r>
      <w:r>
        <w:rPr>
          <w:szCs w:val="22"/>
        </w:rPr>
        <w:t xml:space="preserve"> </w:t>
      </w:r>
      <w:r w:rsidRPr="00CA6286">
        <w:rPr>
          <w:szCs w:val="22"/>
        </w:rPr>
        <w:t xml:space="preserve">will result in dismissal of the </w:t>
      </w:r>
      <w:r>
        <w:rPr>
          <w:szCs w:val="22"/>
        </w:rPr>
        <w:t xml:space="preserve">short-form </w:t>
      </w:r>
      <w:r w:rsidRPr="00CA6286">
        <w:rPr>
          <w:szCs w:val="22"/>
        </w:rPr>
        <w:t>application and disqualification from participation in the auction.</w:t>
      </w:r>
    </w:p>
    <w:p w:rsidR="00AF6C16" w:rsidRPr="00AB5A9C" w:rsidP="00AF6C16" w14:paraId="71E45375" w14:textId="77777777">
      <w:pPr>
        <w:pStyle w:val="Heading3"/>
        <w:numPr>
          <w:ilvl w:val="2"/>
          <w:numId w:val="13"/>
        </w:numPr>
      </w:pPr>
      <w:bookmarkStart w:id="1386" w:name="_Toc4164787"/>
      <w:bookmarkStart w:id="1387" w:name="_Toc4419590"/>
      <w:bookmarkStart w:id="1388" w:name="_Toc5609566"/>
      <w:bookmarkStart w:id="1389" w:name="_Toc5975822"/>
      <w:bookmarkStart w:id="1390" w:name="_Toc6220346"/>
      <w:bookmarkStart w:id="1391" w:name="_Toc6232679"/>
      <w:r>
        <w:t>Completing and Submitting FCC Form 159</w:t>
      </w:r>
      <w:bookmarkEnd w:id="1386"/>
      <w:bookmarkEnd w:id="1387"/>
      <w:bookmarkEnd w:id="1388"/>
      <w:bookmarkEnd w:id="1389"/>
      <w:bookmarkEnd w:id="1390"/>
      <w:bookmarkEnd w:id="1391"/>
    </w:p>
    <w:p w:rsidR="00AF6C16" w:rsidRPr="002F7CE0" w:rsidP="00220473" w14:paraId="5F6290E9" w14:textId="77777777">
      <w:pPr>
        <w:widowControl/>
        <w:spacing w:after="240"/>
        <w:rPr>
          <w:szCs w:val="22"/>
        </w:rPr>
      </w:pPr>
      <w:r w:rsidRPr="002F7CE0">
        <w:rPr>
          <w:szCs w:val="22"/>
        </w:rPr>
        <w:t xml:space="preserve">The following information supplements the standard instructions for FCC Form 159 (Revised 2/03) and is provided to help ensure correct completion of FCC Form 159 for upfront payments for Auction </w:t>
      </w:r>
      <w:r>
        <w:rPr>
          <w:szCs w:val="22"/>
        </w:rPr>
        <w:t>100</w:t>
      </w:r>
      <w:r w:rsidRPr="002F7CE0">
        <w:rPr>
          <w:szCs w:val="22"/>
        </w:rPr>
        <w:t>.  Applicants need to complete FCC Form 159 carefully, because:</w:t>
      </w:r>
    </w:p>
    <w:p w:rsidR="00AF6C16" w:rsidRPr="002F7CE0" w:rsidP="00220473" w14:paraId="2C0821ED" w14:textId="77777777">
      <w:pPr>
        <w:widowControl/>
        <w:numPr>
          <w:ilvl w:val="0"/>
          <w:numId w:val="28"/>
        </w:numPr>
        <w:tabs>
          <w:tab w:val="clear" w:pos="360"/>
          <w:tab w:val="num" w:pos="1080"/>
        </w:tabs>
        <w:spacing w:after="120"/>
        <w:ind w:firstLine="360"/>
        <w:rPr>
          <w:b/>
          <w:szCs w:val="22"/>
        </w:rPr>
      </w:pPr>
      <w:r w:rsidRPr="002F7CE0">
        <w:rPr>
          <w:b/>
          <w:szCs w:val="22"/>
        </w:rPr>
        <w:t>Mistakes may affect bidding eligibility; and</w:t>
      </w:r>
    </w:p>
    <w:p w:rsidR="00AF6C16" w:rsidRPr="002F7CE0" w:rsidP="00220473" w14:paraId="597DCFCF" w14:textId="77777777">
      <w:pPr>
        <w:widowControl/>
        <w:numPr>
          <w:ilvl w:val="0"/>
          <w:numId w:val="1"/>
        </w:numPr>
        <w:tabs>
          <w:tab w:val="clear" w:pos="360"/>
          <w:tab w:val="num" w:pos="1080"/>
        </w:tabs>
        <w:spacing w:after="240"/>
        <w:ind w:left="1080"/>
        <w:rPr>
          <w:b/>
          <w:szCs w:val="22"/>
        </w:rPr>
      </w:pPr>
      <w:r w:rsidRPr="002F7CE0">
        <w:rPr>
          <w:b/>
          <w:szCs w:val="22"/>
        </w:rPr>
        <w:t>Lack of consistency between information provided in FCC Form 159 (Revised 2/03), FCC Form 175, long-form application, and correspondence about an application may cause processing delays.</w:t>
      </w:r>
    </w:p>
    <w:p w:rsidR="00AF6C16" w:rsidP="00DD609F" w14:paraId="7696D2DB" w14:textId="46219618">
      <w:pPr>
        <w:keepNext/>
        <w:widowControl/>
        <w:spacing w:after="240"/>
      </w:pPr>
      <w:r w:rsidRPr="002F7CE0">
        <w:t>Therefore, appropriate cross-references between the FCC Form 159 Remittance Advice and the short-form application (FCC Form 175) are described below:</w:t>
      </w:r>
      <w:bookmarkStart w:id="1392" w:name="_Toc470404563"/>
      <w:bookmarkStart w:id="1393" w:name="_Toc470407468"/>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7"/>
        <w:gridCol w:w="8344"/>
      </w:tblGrid>
      <w:tr w14:paraId="6FEE458C" w14:textId="77777777" w:rsidTr="005940CD">
        <w:tblPrEx>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22"/>
        </w:trPr>
        <w:tc>
          <w:tcPr>
            <w:tcW w:w="0" w:type="auto"/>
            <w:tcBorders>
              <w:top w:val="nil"/>
              <w:left w:val="nil"/>
              <w:bottom w:val="nil"/>
              <w:right w:val="nil"/>
            </w:tcBorders>
          </w:tcPr>
          <w:p w:rsidR="00AF6C16" w:rsidRPr="002F7CE0" w:rsidP="00220473" w14:paraId="13240E5A" w14:textId="77777777">
            <w:pPr>
              <w:keepNext/>
              <w:widowControl/>
              <w:jc w:val="center"/>
              <w:rPr>
                <w:b/>
                <w:szCs w:val="22"/>
              </w:rPr>
            </w:pPr>
            <w:r w:rsidRPr="002F7CE0">
              <w:rPr>
                <w:b/>
                <w:szCs w:val="22"/>
              </w:rPr>
              <w:t>Block Number</w:t>
            </w:r>
          </w:p>
        </w:tc>
        <w:tc>
          <w:tcPr>
            <w:tcW w:w="0" w:type="auto"/>
            <w:tcBorders>
              <w:top w:val="nil"/>
              <w:left w:val="nil"/>
              <w:bottom w:val="nil"/>
              <w:right w:val="nil"/>
            </w:tcBorders>
            <w:vAlign w:val="bottom"/>
          </w:tcPr>
          <w:p w:rsidR="00AF6C16" w:rsidRPr="002F7CE0" w:rsidP="00220473" w14:paraId="694750A9" w14:textId="77777777">
            <w:pPr>
              <w:keepNext/>
              <w:widowControl/>
              <w:rPr>
                <w:b/>
                <w:szCs w:val="22"/>
              </w:rPr>
            </w:pPr>
            <w:r w:rsidRPr="002F7CE0">
              <w:rPr>
                <w:b/>
                <w:szCs w:val="22"/>
              </w:rPr>
              <w:t xml:space="preserve">Required Information </w:t>
            </w:r>
          </w:p>
        </w:tc>
      </w:tr>
      <w:tr w14:paraId="5C38F426" w14:textId="77777777" w:rsidTr="005940CD">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AF6C16" w:rsidRPr="002F7CE0" w:rsidP="00220473" w14:paraId="22EF0A1E" w14:textId="77777777">
            <w:pPr>
              <w:keepNext/>
              <w:widowControl/>
              <w:suppressAutoHyphens/>
              <w:spacing w:before="120"/>
              <w:jc w:val="center"/>
              <w:rPr>
                <w:szCs w:val="22"/>
              </w:rPr>
            </w:pPr>
            <w:r w:rsidRPr="002F7CE0">
              <w:rPr>
                <w:szCs w:val="22"/>
              </w:rPr>
              <w:t>1</w:t>
            </w:r>
          </w:p>
        </w:tc>
        <w:tc>
          <w:tcPr>
            <w:tcW w:w="0" w:type="auto"/>
            <w:tcBorders>
              <w:top w:val="nil"/>
              <w:left w:val="nil"/>
              <w:bottom w:val="nil"/>
              <w:right w:val="nil"/>
            </w:tcBorders>
          </w:tcPr>
          <w:p w:rsidR="00AF6C16" w:rsidRPr="002F7CE0" w:rsidP="00220473" w14:paraId="4763D6EC" w14:textId="77777777">
            <w:pPr>
              <w:keepNext/>
              <w:widowControl/>
              <w:suppressAutoHyphens/>
              <w:spacing w:before="120"/>
              <w:rPr>
                <w:szCs w:val="22"/>
              </w:rPr>
            </w:pPr>
            <w:r w:rsidRPr="002F7CE0">
              <w:rPr>
                <w:szCs w:val="22"/>
              </w:rPr>
              <w:t>LOCKBOX # - Enter “</w:t>
            </w:r>
            <w:r>
              <w:rPr>
                <w:szCs w:val="22"/>
              </w:rPr>
              <w:t>Leave Blank</w:t>
            </w:r>
            <w:r w:rsidRPr="002F7CE0">
              <w:rPr>
                <w:szCs w:val="22"/>
              </w:rPr>
              <w:t>”</w:t>
            </w:r>
          </w:p>
        </w:tc>
      </w:tr>
      <w:tr w14:paraId="30A3EB9F" w14:textId="77777777" w:rsidTr="005940CD">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AF6C16" w:rsidRPr="002F7CE0" w:rsidP="00220473" w14:paraId="0FFB3C89" w14:textId="77777777">
            <w:pPr>
              <w:keepNext/>
              <w:widowControl/>
              <w:suppressAutoHyphens/>
              <w:spacing w:before="120"/>
              <w:jc w:val="center"/>
              <w:rPr>
                <w:szCs w:val="22"/>
              </w:rPr>
            </w:pPr>
            <w:r w:rsidRPr="002F7CE0">
              <w:rPr>
                <w:szCs w:val="22"/>
              </w:rPr>
              <w:t>2</w:t>
            </w:r>
          </w:p>
        </w:tc>
        <w:tc>
          <w:tcPr>
            <w:tcW w:w="0" w:type="auto"/>
            <w:tcBorders>
              <w:top w:val="nil"/>
              <w:left w:val="nil"/>
              <w:bottom w:val="nil"/>
              <w:right w:val="nil"/>
            </w:tcBorders>
          </w:tcPr>
          <w:p w:rsidR="00AF6C16" w:rsidRPr="002F7CE0" w:rsidP="00220473" w14:paraId="344E085F" w14:textId="77777777">
            <w:pPr>
              <w:keepNext/>
              <w:widowControl/>
              <w:suppressAutoHyphens/>
              <w:spacing w:before="120"/>
              <w:rPr>
                <w:szCs w:val="22"/>
              </w:rPr>
            </w:pPr>
            <w:r w:rsidRPr="002F7CE0">
              <w:rPr>
                <w:szCs w:val="22"/>
              </w:rPr>
              <w:t xml:space="preserve">Payer Name - Enter the name of the person or company making the payment.  If the applicant itself is the payer, this entry would be the same </w:t>
            </w:r>
            <w:r>
              <w:rPr>
                <w:szCs w:val="22"/>
              </w:rPr>
              <w:t xml:space="preserve">name </w:t>
            </w:r>
            <w:r w:rsidRPr="002F7CE0">
              <w:rPr>
                <w:szCs w:val="22"/>
              </w:rPr>
              <w:t>as</w:t>
            </w:r>
            <w:r>
              <w:rPr>
                <w:szCs w:val="22"/>
              </w:rPr>
              <w:t xml:space="preserve"> in</w:t>
            </w:r>
            <w:r w:rsidRPr="002F7CE0">
              <w:rPr>
                <w:szCs w:val="22"/>
              </w:rPr>
              <w:t xml:space="preserve"> FCC Form 175.</w:t>
            </w:r>
          </w:p>
        </w:tc>
      </w:tr>
      <w:tr w14:paraId="0BBF30AB" w14:textId="77777777" w:rsidTr="005940CD">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AF6C16" w:rsidRPr="002F7CE0" w:rsidP="00220473" w14:paraId="1B92F4B3" w14:textId="77777777">
            <w:pPr>
              <w:keepNext/>
              <w:widowControl/>
              <w:suppressAutoHyphens/>
              <w:spacing w:before="120"/>
              <w:jc w:val="center"/>
              <w:rPr>
                <w:szCs w:val="22"/>
              </w:rPr>
            </w:pPr>
            <w:r w:rsidRPr="002F7CE0">
              <w:rPr>
                <w:szCs w:val="22"/>
              </w:rPr>
              <w:t>3</w:t>
            </w:r>
          </w:p>
        </w:tc>
        <w:tc>
          <w:tcPr>
            <w:tcW w:w="0" w:type="auto"/>
            <w:tcBorders>
              <w:top w:val="nil"/>
              <w:left w:val="nil"/>
              <w:bottom w:val="nil"/>
              <w:right w:val="nil"/>
            </w:tcBorders>
          </w:tcPr>
          <w:p w:rsidR="00AF6C16" w:rsidRPr="002F7CE0" w:rsidP="00220473" w14:paraId="6FC24ADF" w14:textId="77777777">
            <w:pPr>
              <w:keepNext/>
              <w:widowControl/>
              <w:suppressAutoHyphens/>
              <w:spacing w:before="120"/>
              <w:rPr>
                <w:szCs w:val="22"/>
              </w:rPr>
            </w:pPr>
            <w:r w:rsidRPr="002F7CE0">
              <w:rPr>
                <w:szCs w:val="22"/>
              </w:rPr>
              <w:t>Total Amount Paid - Enter the amount of the upfront payment associated with the FCC Form 159 (Revised 2/03).</w:t>
            </w:r>
          </w:p>
        </w:tc>
      </w:tr>
      <w:tr w14:paraId="318B2C34" w14:textId="77777777" w:rsidTr="005940CD">
        <w:tblPrEx>
          <w:tblW w:w="9541" w:type="dxa"/>
          <w:tblInd w:w="108" w:type="dxa"/>
          <w:tblCellMar>
            <w:left w:w="115" w:type="dxa"/>
            <w:right w:w="115" w:type="dxa"/>
          </w:tblCellMar>
          <w:tblLook w:val="01E0"/>
        </w:tblPrEx>
        <w:trPr>
          <w:trHeight w:val="905"/>
        </w:trPr>
        <w:tc>
          <w:tcPr>
            <w:tcW w:w="0" w:type="auto"/>
            <w:tcBorders>
              <w:top w:val="nil"/>
              <w:left w:val="nil"/>
              <w:bottom w:val="nil"/>
              <w:right w:val="nil"/>
            </w:tcBorders>
          </w:tcPr>
          <w:p w:rsidR="00AF6C16" w:rsidRPr="002F7CE0" w:rsidP="00220473" w14:paraId="40BADA13" w14:textId="77777777">
            <w:pPr>
              <w:keepNext/>
              <w:widowControl/>
              <w:suppressAutoHyphens/>
              <w:spacing w:before="120"/>
              <w:jc w:val="center"/>
              <w:rPr>
                <w:szCs w:val="22"/>
              </w:rPr>
            </w:pPr>
            <w:r w:rsidRPr="002F7CE0">
              <w:rPr>
                <w:szCs w:val="22"/>
              </w:rPr>
              <w:t>4-8</w:t>
            </w:r>
          </w:p>
        </w:tc>
        <w:tc>
          <w:tcPr>
            <w:tcW w:w="0" w:type="auto"/>
            <w:tcBorders>
              <w:top w:val="nil"/>
              <w:left w:val="nil"/>
              <w:bottom w:val="nil"/>
              <w:right w:val="nil"/>
            </w:tcBorders>
          </w:tcPr>
          <w:p w:rsidR="00AF6C16" w:rsidRPr="002F7CE0" w:rsidP="00220473" w14:paraId="5B4CEF74" w14:textId="77777777">
            <w:pPr>
              <w:keepNext/>
              <w:widowControl/>
              <w:suppressAutoHyphens/>
              <w:spacing w:before="120"/>
              <w:rPr>
                <w:szCs w:val="22"/>
              </w:rPr>
            </w:pPr>
            <w:r w:rsidRPr="002F7CE0">
              <w:rPr>
                <w:szCs w:val="22"/>
              </w:rPr>
              <w:t>Street Address, City, State, ZIP Code - Enter the street mailing address (</w:t>
            </w:r>
            <w:r w:rsidRPr="002F7CE0">
              <w:rPr>
                <w:b/>
                <w:szCs w:val="22"/>
              </w:rPr>
              <w:t>not Post Office box number</w:t>
            </w:r>
            <w:r w:rsidRPr="002F7CE0">
              <w:rPr>
                <w:szCs w:val="22"/>
              </w:rPr>
              <w:t>) where mail should be sent to the payer.  If the applicant is the payer, these entries would be the same as FCC Form 175 from the Applicant Information section.</w:t>
            </w:r>
          </w:p>
        </w:tc>
      </w:tr>
      <w:tr w14:paraId="14BBCD96" w14:textId="77777777" w:rsidTr="005940CD">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AF6C16" w:rsidRPr="002F7CE0" w:rsidP="00220473" w14:paraId="432B926B" w14:textId="77777777">
            <w:pPr>
              <w:keepNext/>
              <w:widowControl/>
              <w:suppressAutoHyphens/>
              <w:spacing w:before="120"/>
              <w:jc w:val="center"/>
              <w:rPr>
                <w:szCs w:val="22"/>
              </w:rPr>
            </w:pPr>
            <w:r w:rsidRPr="002F7CE0">
              <w:rPr>
                <w:szCs w:val="22"/>
              </w:rPr>
              <w:t>9</w:t>
            </w:r>
          </w:p>
        </w:tc>
        <w:tc>
          <w:tcPr>
            <w:tcW w:w="0" w:type="auto"/>
            <w:tcBorders>
              <w:top w:val="nil"/>
              <w:left w:val="nil"/>
              <w:bottom w:val="nil"/>
              <w:right w:val="nil"/>
            </w:tcBorders>
          </w:tcPr>
          <w:p w:rsidR="00AF6C16" w:rsidRPr="002F7CE0" w:rsidP="00220473" w14:paraId="799CF04E" w14:textId="77777777">
            <w:pPr>
              <w:keepNext/>
              <w:widowControl/>
              <w:suppressAutoHyphens/>
              <w:spacing w:before="120"/>
              <w:rPr>
                <w:szCs w:val="22"/>
              </w:rPr>
            </w:pPr>
            <w:r w:rsidRPr="002F7CE0">
              <w:rPr>
                <w:szCs w:val="22"/>
              </w:rPr>
              <w:t>Daytime Telephone Number - Enter the telephone number of a person knowledgeable about this upfront payment.</w:t>
            </w:r>
          </w:p>
        </w:tc>
      </w:tr>
      <w:tr w14:paraId="2923FEC7" w14:textId="77777777" w:rsidTr="00DD609F">
        <w:tblPrEx>
          <w:tblW w:w="9541" w:type="dxa"/>
          <w:tblInd w:w="108" w:type="dxa"/>
          <w:tblCellMar>
            <w:left w:w="115" w:type="dxa"/>
            <w:right w:w="115" w:type="dxa"/>
          </w:tblCellMar>
          <w:tblLook w:val="01E0"/>
        </w:tblPrEx>
        <w:trPr>
          <w:trHeight w:val="675"/>
        </w:trPr>
        <w:tc>
          <w:tcPr>
            <w:tcW w:w="0" w:type="auto"/>
            <w:tcBorders>
              <w:top w:val="nil"/>
              <w:left w:val="nil"/>
              <w:bottom w:val="nil"/>
              <w:right w:val="nil"/>
            </w:tcBorders>
          </w:tcPr>
          <w:p w:rsidR="00AF6C16" w:rsidRPr="002F7CE0" w:rsidP="00220473" w14:paraId="03CAA0AE" w14:textId="77777777">
            <w:pPr>
              <w:keepNext/>
              <w:widowControl/>
              <w:suppressAutoHyphens/>
              <w:spacing w:before="120"/>
              <w:jc w:val="center"/>
              <w:rPr>
                <w:szCs w:val="22"/>
              </w:rPr>
            </w:pPr>
            <w:r w:rsidRPr="002F7CE0">
              <w:rPr>
                <w:szCs w:val="22"/>
              </w:rPr>
              <w:t>10</w:t>
            </w:r>
          </w:p>
        </w:tc>
        <w:tc>
          <w:tcPr>
            <w:tcW w:w="0" w:type="auto"/>
            <w:tcBorders>
              <w:top w:val="nil"/>
              <w:left w:val="nil"/>
              <w:bottom w:val="nil"/>
              <w:right w:val="nil"/>
            </w:tcBorders>
          </w:tcPr>
          <w:p w:rsidR="00AF6C16" w:rsidRPr="002F7CE0" w:rsidP="00220473" w14:paraId="0F82D4A2" w14:textId="77777777">
            <w:pPr>
              <w:keepNext/>
              <w:widowControl/>
              <w:suppressAutoHyphens/>
              <w:spacing w:before="120"/>
              <w:rPr>
                <w:szCs w:val="22"/>
              </w:rPr>
            </w:pPr>
            <w:r w:rsidRPr="002F7CE0">
              <w:rPr>
                <w:szCs w:val="22"/>
              </w:rPr>
              <w:t>Country Code - For addresses outside the United States, enter the appropriate postal country code (available from the Mailing Requirements Department of the U.S. Postal Service).</w:t>
            </w:r>
          </w:p>
        </w:tc>
      </w:tr>
      <w:tr w14:paraId="6598B475" w14:textId="77777777" w:rsidTr="005940CD">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AF6C16" w:rsidRPr="002F7CE0" w:rsidP="00220473" w14:paraId="64F1ED69" w14:textId="77777777">
            <w:pPr>
              <w:keepNext/>
              <w:widowControl/>
              <w:suppressAutoHyphens/>
              <w:spacing w:before="120"/>
              <w:jc w:val="center"/>
              <w:rPr>
                <w:szCs w:val="22"/>
              </w:rPr>
            </w:pPr>
            <w:r w:rsidRPr="002F7CE0">
              <w:rPr>
                <w:szCs w:val="22"/>
              </w:rPr>
              <w:t>11</w:t>
            </w:r>
          </w:p>
        </w:tc>
        <w:tc>
          <w:tcPr>
            <w:tcW w:w="0" w:type="auto"/>
            <w:tcBorders>
              <w:top w:val="nil"/>
              <w:left w:val="nil"/>
              <w:bottom w:val="nil"/>
              <w:right w:val="nil"/>
            </w:tcBorders>
          </w:tcPr>
          <w:p w:rsidR="00AF6C16" w:rsidRPr="002F7CE0" w:rsidP="00220473" w14:paraId="302DBC2C" w14:textId="77777777">
            <w:pPr>
              <w:keepNext/>
              <w:widowControl/>
              <w:suppressAutoHyphens/>
              <w:spacing w:before="120"/>
              <w:rPr>
                <w:szCs w:val="22"/>
              </w:rPr>
            </w:pPr>
            <w:r w:rsidRPr="002F7CE0">
              <w:rPr>
                <w:szCs w:val="22"/>
              </w:rPr>
              <w:t xml:space="preserve">Payer FRN - Enter the payer’s ten-digit FCC Registration Number (FRN) registered in the Commission Registration System (CORES).  </w:t>
            </w:r>
          </w:p>
        </w:tc>
      </w:tr>
      <w:tr w14:paraId="631B9F60" w14:textId="77777777" w:rsidTr="005940CD">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AF6C16" w:rsidRPr="002F7CE0" w:rsidP="00220473" w14:paraId="2E4FC97E" w14:textId="77777777">
            <w:pPr>
              <w:keepNext/>
              <w:widowControl/>
              <w:suppressAutoHyphens/>
              <w:spacing w:before="120"/>
              <w:jc w:val="center"/>
              <w:rPr>
                <w:szCs w:val="22"/>
              </w:rPr>
            </w:pPr>
            <w:r w:rsidRPr="002F7CE0">
              <w:rPr>
                <w:szCs w:val="22"/>
              </w:rPr>
              <w:t>21</w:t>
            </w:r>
          </w:p>
        </w:tc>
        <w:tc>
          <w:tcPr>
            <w:tcW w:w="0" w:type="auto"/>
            <w:tcBorders>
              <w:top w:val="nil"/>
              <w:left w:val="nil"/>
              <w:bottom w:val="nil"/>
              <w:right w:val="nil"/>
            </w:tcBorders>
          </w:tcPr>
          <w:p w:rsidR="00AF6C16" w:rsidRPr="002F7CE0" w:rsidP="00220473" w14:paraId="45F1AA35" w14:textId="77777777">
            <w:pPr>
              <w:keepNext/>
              <w:widowControl/>
              <w:suppressAutoHyphens/>
              <w:spacing w:before="120"/>
              <w:rPr>
                <w:szCs w:val="22"/>
              </w:rPr>
            </w:pPr>
            <w:r w:rsidRPr="002F7CE0">
              <w:rPr>
                <w:szCs w:val="22"/>
              </w:rPr>
              <w:t>Applicant FRN (Complete only if applicant is different than payer.) – Enter the applicant’s ten-digit FRN registered in CORES.</w:t>
            </w:r>
          </w:p>
        </w:tc>
      </w:tr>
      <w:tr w14:paraId="5B762E8B" w14:textId="77777777" w:rsidTr="005940CD">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AF6C16" w:rsidRPr="002F7CE0" w:rsidP="00220473" w14:paraId="35BE03D6" w14:textId="77777777">
            <w:pPr>
              <w:keepNext/>
              <w:widowControl/>
              <w:suppressAutoHyphens/>
              <w:spacing w:before="120"/>
              <w:jc w:val="center"/>
              <w:rPr>
                <w:szCs w:val="22"/>
              </w:rPr>
            </w:pPr>
            <w:r w:rsidRPr="002F7CE0">
              <w:rPr>
                <w:szCs w:val="22"/>
              </w:rPr>
              <w:t>24A</w:t>
            </w:r>
          </w:p>
        </w:tc>
        <w:tc>
          <w:tcPr>
            <w:tcW w:w="0" w:type="auto"/>
            <w:tcBorders>
              <w:top w:val="nil"/>
              <w:left w:val="nil"/>
              <w:bottom w:val="nil"/>
              <w:right w:val="nil"/>
            </w:tcBorders>
          </w:tcPr>
          <w:p w:rsidR="00AF6C16" w:rsidRPr="002F7CE0" w:rsidP="00220473" w14:paraId="55A5FA0A" w14:textId="77777777">
            <w:pPr>
              <w:keepNext/>
              <w:widowControl/>
              <w:suppressAutoHyphens/>
              <w:spacing w:before="120"/>
              <w:rPr>
                <w:szCs w:val="22"/>
                <w:lang w:val="fr-FR"/>
              </w:rPr>
            </w:pPr>
            <w:r w:rsidRPr="002F7CE0">
              <w:rPr>
                <w:szCs w:val="22"/>
                <w:lang w:val="fr-FR"/>
              </w:rPr>
              <w:t>Payment</w:t>
            </w:r>
            <w:r w:rsidRPr="002F7CE0">
              <w:rPr>
                <w:szCs w:val="22"/>
                <w:lang w:val="fr-FR"/>
              </w:rPr>
              <w:t xml:space="preserve"> Type Code - Enter “U</w:t>
            </w:r>
            <w:r>
              <w:rPr>
                <w:szCs w:val="22"/>
                <w:lang w:val="fr-FR"/>
              </w:rPr>
              <w:t>100</w:t>
            </w:r>
            <w:r w:rsidRPr="002F7CE0">
              <w:rPr>
                <w:szCs w:val="22"/>
                <w:lang w:val="fr-FR"/>
              </w:rPr>
              <w:t>”</w:t>
            </w:r>
          </w:p>
        </w:tc>
      </w:tr>
      <w:tr w14:paraId="79667546" w14:textId="77777777" w:rsidTr="005940CD">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AF6C16" w:rsidRPr="002F7CE0" w:rsidP="00220473" w14:paraId="5FE46D53" w14:textId="77777777">
            <w:pPr>
              <w:keepNext/>
              <w:widowControl/>
              <w:suppressAutoHyphens/>
              <w:spacing w:before="120"/>
              <w:jc w:val="center"/>
              <w:rPr>
                <w:szCs w:val="22"/>
              </w:rPr>
            </w:pPr>
            <w:r w:rsidRPr="002F7CE0">
              <w:rPr>
                <w:szCs w:val="22"/>
              </w:rPr>
              <w:t>25A</w:t>
            </w:r>
          </w:p>
        </w:tc>
        <w:tc>
          <w:tcPr>
            <w:tcW w:w="0" w:type="auto"/>
            <w:tcBorders>
              <w:top w:val="nil"/>
              <w:left w:val="nil"/>
              <w:bottom w:val="nil"/>
              <w:right w:val="nil"/>
            </w:tcBorders>
          </w:tcPr>
          <w:p w:rsidR="00AF6C16" w:rsidRPr="002F7CE0" w:rsidP="00220473" w14:paraId="5942F965" w14:textId="77777777">
            <w:pPr>
              <w:keepNext/>
              <w:widowControl/>
              <w:suppressAutoHyphens/>
              <w:spacing w:before="120"/>
              <w:rPr>
                <w:szCs w:val="22"/>
              </w:rPr>
            </w:pPr>
            <w:r w:rsidRPr="002F7CE0">
              <w:rPr>
                <w:szCs w:val="22"/>
              </w:rPr>
              <w:t>Quantity - Enter the number “1”</w:t>
            </w:r>
          </w:p>
        </w:tc>
      </w:tr>
      <w:tr w14:paraId="55DF5D65" w14:textId="77777777" w:rsidTr="005940CD">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AF6C16" w:rsidRPr="002F7CE0" w:rsidP="00220473" w14:paraId="6AADF99C" w14:textId="77777777">
            <w:pPr>
              <w:keepNext/>
              <w:widowControl/>
              <w:suppressAutoHyphens/>
              <w:spacing w:before="120"/>
              <w:jc w:val="center"/>
              <w:rPr>
                <w:szCs w:val="22"/>
              </w:rPr>
            </w:pPr>
            <w:r w:rsidRPr="002F7CE0">
              <w:rPr>
                <w:szCs w:val="22"/>
              </w:rPr>
              <w:t>26A</w:t>
            </w:r>
          </w:p>
        </w:tc>
        <w:tc>
          <w:tcPr>
            <w:tcW w:w="0" w:type="auto"/>
            <w:tcBorders>
              <w:top w:val="nil"/>
              <w:left w:val="nil"/>
              <w:bottom w:val="nil"/>
              <w:right w:val="nil"/>
            </w:tcBorders>
          </w:tcPr>
          <w:p w:rsidR="00AF6C16" w:rsidRPr="002F7CE0" w:rsidP="00220473" w14:paraId="2F4DC731" w14:textId="77777777">
            <w:pPr>
              <w:keepNext/>
              <w:widowControl/>
              <w:suppressAutoHyphens/>
              <w:spacing w:before="120"/>
              <w:rPr>
                <w:szCs w:val="22"/>
              </w:rPr>
            </w:pPr>
            <w:r w:rsidRPr="002F7CE0">
              <w:rPr>
                <w:szCs w:val="22"/>
              </w:rPr>
              <w:t>Fee Due - Amount of Upfront Payment</w:t>
            </w:r>
          </w:p>
        </w:tc>
      </w:tr>
      <w:tr w14:paraId="28C82640" w14:textId="77777777" w:rsidTr="005940CD">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AF6C16" w:rsidRPr="002F7CE0" w:rsidP="00220473" w14:paraId="750EC72D" w14:textId="77777777">
            <w:pPr>
              <w:keepNext/>
              <w:widowControl/>
              <w:suppressAutoHyphens/>
              <w:spacing w:before="120"/>
              <w:jc w:val="center"/>
              <w:rPr>
                <w:szCs w:val="22"/>
              </w:rPr>
            </w:pPr>
            <w:r w:rsidRPr="002F7CE0">
              <w:rPr>
                <w:szCs w:val="22"/>
              </w:rPr>
              <w:t>27A</w:t>
            </w:r>
          </w:p>
        </w:tc>
        <w:tc>
          <w:tcPr>
            <w:tcW w:w="0" w:type="auto"/>
            <w:tcBorders>
              <w:top w:val="nil"/>
              <w:left w:val="nil"/>
              <w:bottom w:val="nil"/>
              <w:right w:val="nil"/>
            </w:tcBorders>
          </w:tcPr>
          <w:p w:rsidR="00AF6C16" w:rsidRPr="002F7CE0" w:rsidP="00220473" w14:paraId="52FC013B" w14:textId="77777777">
            <w:pPr>
              <w:keepNext/>
              <w:widowControl/>
              <w:suppressAutoHyphens/>
              <w:spacing w:before="120"/>
              <w:rPr>
                <w:szCs w:val="22"/>
              </w:rPr>
            </w:pPr>
            <w:r w:rsidRPr="002F7CE0">
              <w:rPr>
                <w:szCs w:val="22"/>
              </w:rPr>
              <w:t>Total Fee - Will be the same amount as 26A.</w:t>
            </w:r>
          </w:p>
        </w:tc>
      </w:tr>
      <w:tr w14:paraId="185273DB" w14:textId="77777777" w:rsidTr="005940CD">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AF6C16" w:rsidRPr="002F7CE0" w:rsidP="00220473" w14:paraId="21703BB8" w14:textId="77777777">
            <w:pPr>
              <w:keepNext/>
              <w:widowControl/>
              <w:suppressAutoHyphens/>
              <w:spacing w:before="120"/>
              <w:jc w:val="center"/>
              <w:rPr>
                <w:szCs w:val="22"/>
              </w:rPr>
            </w:pPr>
            <w:r w:rsidRPr="002F7CE0">
              <w:rPr>
                <w:szCs w:val="22"/>
              </w:rPr>
              <w:t>28A</w:t>
            </w:r>
          </w:p>
        </w:tc>
        <w:tc>
          <w:tcPr>
            <w:tcW w:w="0" w:type="auto"/>
            <w:tcBorders>
              <w:top w:val="nil"/>
              <w:left w:val="nil"/>
              <w:bottom w:val="nil"/>
              <w:right w:val="nil"/>
            </w:tcBorders>
          </w:tcPr>
          <w:p w:rsidR="00AF6C16" w:rsidRPr="002F7CE0" w:rsidP="00220473" w14:paraId="69AFCCD8" w14:textId="77777777">
            <w:pPr>
              <w:keepNext/>
              <w:widowControl/>
              <w:suppressAutoHyphens/>
              <w:spacing w:before="120"/>
              <w:rPr>
                <w:szCs w:val="22"/>
              </w:rPr>
            </w:pPr>
            <w:r w:rsidRPr="002F7CE0">
              <w:rPr>
                <w:szCs w:val="22"/>
              </w:rPr>
              <w:t>FCC Code 1 - Enter the number “</w:t>
            </w:r>
            <w:r>
              <w:rPr>
                <w:szCs w:val="22"/>
              </w:rPr>
              <w:t>100</w:t>
            </w:r>
            <w:r w:rsidRPr="002F7CE0">
              <w:rPr>
                <w:szCs w:val="22"/>
              </w:rPr>
              <w:t xml:space="preserve">” (indicating Auction </w:t>
            </w:r>
            <w:r>
              <w:rPr>
                <w:szCs w:val="22"/>
              </w:rPr>
              <w:t>100</w:t>
            </w:r>
            <w:r w:rsidRPr="002F7CE0">
              <w:rPr>
                <w:szCs w:val="22"/>
              </w:rPr>
              <w:t>).</w:t>
            </w:r>
          </w:p>
        </w:tc>
      </w:tr>
      <w:bookmarkEnd w:id="1392"/>
      <w:bookmarkEnd w:id="1393"/>
    </w:tbl>
    <w:p w:rsidR="00AF6C16" w:rsidRPr="002F7CE0" w:rsidP="00220473" w14:paraId="027435E0" w14:textId="77777777">
      <w:pPr>
        <w:keepNext/>
        <w:jc w:val="center"/>
        <w:rPr>
          <w:szCs w:val="22"/>
        </w:rPr>
      </w:pPr>
    </w:p>
    <w:p w:rsidR="00AF6C16" w:rsidRPr="002F7CE0" w:rsidP="00220473" w14:paraId="3F437E82" w14:textId="77777777">
      <w:pPr>
        <w:keepNext/>
        <w:keepLines/>
        <w:widowControl/>
        <w:spacing w:after="120"/>
        <w:rPr>
          <w:szCs w:val="22"/>
        </w:rPr>
      </w:pPr>
      <w:r w:rsidRPr="002F7CE0">
        <w:rPr>
          <w:szCs w:val="22"/>
        </w:rPr>
        <w:t>NOTES:</w:t>
      </w:r>
    </w:p>
    <w:p w:rsidR="00AF6C16" w:rsidRPr="002F7CE0" w:rsidP="00220473" w14:paraId="445C24C2" w14:textId="77777777">
      <w:pPr>
        <w:widowControl/>
        <w:numPr>
          <w:ilvl w:val="0"/>
          <w:numId w:val="27"/>
        </w:numPr>
        <w:tabs>
          <w:tab w:val="left" w:pos="-4950"/>
          <w:tab w:val="left" w:pos="-4770"/>
          <w:tab w:val="left" w:pos="-4680"/>
          <w:tab w:val="clear" w:pos="360"/>
          <w:tab w:val="num" w:pos="1080"/>
        </w:tabs>
        <w:suppressAutoHyphens/>
        <w:spacing w:after="120"/>
        <w:ind w:left="720" w:firstLine="0"/>
        <w:rPr>
          <w:szCs w:val="22"/>
        </w:rPr>
      </w:pPr>
      <w:r w:rsidRPr="002F7CE0">
        <w:rPr>
          <w:szCs w:val="22"/>
        </w:rPr>
        <w:t>Do not use Remittance Advice (Continuation Sheet), FCC Form 159-C, for upfront payments.</w:t>
      </w:r>
    </w:p>
    <w:p w:rsidR="00AF6C16" w:rsidRPr="002F7CE0" w:rsidP="00220473" w14:paraId="3E6DD5F2" w14:textId="77777777">
      <w:pPr>
        <w:widowControl/>
        <w:numPr>
          <w:ilvl w:val="0"/>
          <w:numId w:val="27"/>
        </w:numPr>
        <w:tabs>
          <w:tab w:val="left" w:pos="-4950"/>
          <w:tab w:val="left" w:pos="-4770"/>
          <w:tab w:val="left" w:pos="-4680"/>
          <w:tab w:val="clear" w:pos="360"/>
          <w:tab w:val="num" w:pos="1080"/>
        </w:tabs>
        <w:suppressAutoHyphens/>
        <w:spacing w:after="120"/>
        <w:ind w:left="1080"/>
        <w:rPr>
          <w:szCs w:val="22"/>
        </w:rPr>
      </w:pPr>
      <w:r w:rsidRPr="002F7CE0">
        <w:rPr>
          <w:szCs w:val="22"/>
        </w:rPr>
        <w:t>If applicant is different from the payer, complete blocks 13 through 21 for the applicant, using the same information shown on FCC Form 175.  Otherwise leave them blank.</w:t>
      </w:r>
    </w:p>
    <w:p w:rsidR="00AF6C16" w:rsidRPr="002F7CE0" w:rsidP="00220473" w14:paraId="4D5EF1AE" w14:textId="77777777">
      <w:pPr>
        <w:widowControl/>
        <w:numPr>
          <w:ilvl w:val="0"/>
          <w:numId w:val="27"/>
        </w:numPr>
        <w:tabs>
          <w:tab w:val="left" w:pos="-4950"/>
          <w:tab w:val="left" w:pos="-4770"/>
          <w:tab w:val="clear" w:pos="360"/>
          <w:tab w:val="num" w:pos="1080"/>
        </w:tabs>
        <w:suppressAutoHyphens/>
        <w:spacing w:after="120"/>
        <w:ind w:left="1080"/>
        <w:rPr>
          <w:szCs w:val="22"/>
        </w:rPr>
      </w:pPr>
      <w:r w:rsidRPr="002F7CE0">
        <w:rPr>
          <w:szCs w:val="22"/>
        </w:rPr>
        <w:t>Since credit card payments will not be accepted for upfront payments for an auction, leave Section E blank.</w:t>
      </w:r>
    </w:p>
    <w:p w:rsidR="00AF6C16" w:rsidRPr="002F7CE0" w:rsidP="00220473" w14:paraId="658E59C1" w14:textId="77777777">
      <w:pPr>
        <w:widowControl/>
        <w:spacing w:after="120"/>
        <w:rPr>
          <w:b/>
          <w:szCs w:val="22"/>
          <w:u w:val="single"/>
        </w:rPr>
      </w:pPr>
      <w:bookmarkStart w:id="1394" w:name="_Toc470404565"/>
      <w:bookmarkStart w:id="1395" w:name="_Toc470407470"/>
      <w:bookmarkStart w:id="1396" w:name="_Toc470506293"/>
      <w:bookmarkStart w:id="1397" w:name="_Toc495309030"/>
      <w:bookmarkStart w:id="1398" w:name="_Toc495379861"/>
      <w:bookmarkStart w:id="1399" w:name="_Toc511011647"/>
      <w:bookmarkStart w:id="1400" w:name="_Toc519077417"/>
      <w:bookmarkStart w:id="1401" w:name="_Toc519653222"/>
      <w:bookmarkStart w:id="1402" w:name="_Toc520598514"/>
      <w:bookmarkStart w:id="1403" w:name="_Toc526842245"/>
      <w:bookmarkStart w:id="1404" w:name="_Toc3203936"/>
      <w:bookmarkStart w:id="1405" w:name="_Toc4388516"/>
      <w:bookmarkStart w:id="1406" w:name="_Toc29978426"/>
      <w:bookmarkStart w:id="1407" w:name="_Toc29980454"/>
      <w:bookmarkStart w:id="1408" w:name="_Toc45691359"/>
      <w:bookmarkStart w:id="1409" w:name="_Toc49594166"/>
      <w:bookmarkStart w:id="1410" w:name="_Toc49769249"/>
      <w:bookmarkStart w:id="1411" w:name="_Toc54082760"/>
      <w:bookmarkStart w:id="1412" w:name="_Toc70392844"/>
      <w:bookmarkStart w:id="1413" w:name="_Toc72907058"/>
      <w:bookmarkStart w:id="1414" w:name="_Toc98559467"/>
      <w:bookmarkStart w:id="1415" w:name="_Toc98821056"/>
      <w:bookmarkStart w:id="1416" w:name="_Toc98846357"/>
      <w:bookmarkStart w:id="1417" w:name="_Toc98898571"/>
      <w:bookmarkStart w:id="1418" w:name="_Toc98921832"/>
      <w:bookmarkStart w:id="1419" w:name="_Toc98933005"/>
      <w:bookmarkStart w:id="1420" w:name="_Toc100720677"/>
      <w:bookmarkStart w:id="1421" w:name="_Toc101858550"/>
      <w:bookmarkStart w:id="1422" w:name="_Toc109812306"/>
      <w:bookmarkStart w:id="1423" w:name="_Toc129773538"/>
      <w:bookmarkStart w:id="1424" w:name="_Toc130210076"/>
      <w:bookmarkStart w:id="1425" w:name="_Toc130731003"/>
      <w:bookmarkStart w:id="1426" w:name="_Toc130814231"/>
      <w:bookmarkStart w:id="1427" w:name="_Toc130814553"/>
      <w:bookmarkStart w:id="1428" w:name="_Toc130814685"/>
      <w:bookmarkStart w:id="1429" w:name="_Toc130883568"/>
      <w:bookmarkStart w:id="1430" w:name="_Toc130885679"/>
      <w:bookmarkStart w:id="1431" w:name="_Toc131844658"/>
      <w:r w:rsidRPr="002F7CE0">
        <w:rPr>
          <w:b/>
          <w:szCs w:val="22"/>
          <w:u w:val="single"/>
        </w:rPr>
        <w:t>Winning Bidder Requirements, Down Payments and Final Payments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rsidR="00BA079A" w:rsidRPr="00412FC5" w:rsidP="00220473" w14:paraId="0545AB2A" w14:textId="633ED847">
      <w:pPr>
        <w:widowControl/>
        <w:tabs>
          <w:tab w:val="left" w:leader="underscore" w:pos="4320"/>
          <w:tab w:val="left" w:pos="4680"/>
          <w:tab w:val="left" w:leader="underscore" w:pos="9360"/>
        </w:tabs>
        <w:suppressAutoHyphens/>
        <w:spacing w:after="220"/>
      </w:pPr>
      <w:r w:rsidRPr="002F7CE0">
        <w:rPr>
          <w:szCs w:val="22"/>
        </w:rPr>
        <w:t>Specific information regarding down payments and final payments will be included in a post-auction public notice announcing the winning bidders.</w:t>
      </w:r>
    </w:p>
    <w:sectPr w:rsidSect="000E5884">
      <w:footerReference w:type="even" r:id="rId22"/>
      <w:footerReference w:type="default" r:id="rId23"/>
      <w:headerReference w:type="first" r:id="rId24"/>
      <w:footerReference w:type="first" r:id="rId2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P="0055614C" w14:paraId="7D7DD6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AE7482" w14:paraId="5FA9CC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P="0055614C" w14:paraId="33CD587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E7482" w14:paraId="67C7CA49"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14:paraId="62A738E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P="0055614C" w14:paraId="647B7C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AE7482" w14:paraId="705696A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P="0055614C" w14:paraId="3B4E0DEC"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E7482" w14:paraId="3C78E70F" w14:textId="77777777">
    <w:pPr>
      <w:spacing w:before="140" w:line="100" w:lineRule="exact"/>
      <w:rPr>
        <w:sz w:val="10"/>
      </w:rPr>
    </w:pPr>
  </w:p>
  <w:p w:rsidR="00AE7482" w14:paraId="0544F981" w14:textId="77777777">
    <w:pPr>
      <w:suppressAutoHyphens/>
      <w:spacing w:line="227" w:lineRule="auto"/>
    </w:pPr>
  </w:p>
  <w:p w:rsidR="00AE7482" w14:paraId="42246F2E"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14:paraId="5E8D90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7482" w14:paraId="1784F468" w14:textId="77777777">
      <w:r>
        <w:separator/>
      </w:r>
    </w:p>
  </w:footnote>
  <w:footnote w:type="continuationSeparator" w:id="1">
    <w:p w:rsidR="00AE7482" w14:paraId="550AF402" w14:textId="77777777">
      <w:pPr>
        <w:rPr>
          <w:sz w:val="20"/>
        </w:rPr>
      </w:pPr>
      <w:r>
        <w:rPr>
          <w:sz w:val="20"/>
        </w:rPr>
        <w:t xml:space="preserve">(Continued from previous page)  </w:t>
      </w:r>
      <w:r>
        <w:rPr>
          <w:sz w:val="20"/>
        </w:rPr>
        <w:separator/>
      </w:r>
    </w:p>
  </w:footnote>
  <w:footnote w:type="continuationNotice" w:id="2">
    <w:p w:rsidR="00AE7482" w14:paraId="497BF7A9" w14:textId="77777777">
      <w:pPr>
        <w:rPr>
          <w:sz w:val="20"/>
        </w:rPr>
      </w:pPr>
      <w:r>
        <w:rPr>
          <w:sz w:val="20"/>
        </w:rPr>
        <w:t>(continued….)</w:t>
      </w:r>
    </w:p>
  </w:footnote>
  <w:footnote w:id="3">
    <w:p w:rsidR="00AE7482" w:rsidRPr="00331B68" w:rsidP="00D850E4" w14:paraId="03641A6B" w14:textId="7F75E380">
      <w:pPr>
        <w:pStyle w:val="FootnoteText"/>
      </w:pPr>
      <w:r w:rsidRPr="00331B68">
        <w:rPr>
          <w:rStyle w:val="FootnoteReference"/>
          <w:sz w:val="20"/>
        </w:rPr>
        <w:footnoteRef/>
      </w:r>
      <w:r w:rsidRPr="00331B68">
        <w:t xml:space="preserve"> </w:t>
      </w:r>
      <w:r w:rsidRPr="00331B68">
        <w:rPr>
          <w:i/>
        </w:rPr>
        <w:t>See</w:t>
      </w:r>
      <w:r w:rsidRPr="00331B68">
        <w:t xml:space="preserve"> 47 CFR §§ 0.21(n), 0.61, 0.283; </w:t>
      </w:r>
      <w:r w:rsidRPr="00331B68">
        <w:rPr>
          <w:i/>
        </w:rPr>
        <w:t>see also id</w:t>
      </w:r>
      <w:r w:rsidRPr="00331B68">
        <w:t>. § 0.21(m).</w:t>
      </w:r>
      <w:r w:rsidRPr="00DB674C">
        <w:t xml:space="preserve">  </w:t>
      </w:r>
      <w:r w:rsidRPr="00331B68">
        <w:t xml:space="preserve">The Commission established OEA and recently shifted the functions of the Auctions and Spectrum Access Division from the Wireless Telecommunications Bureau (WTB) to the Auctions Division within OEA.  OEA works in conjunction with MB with respect to the design, implementation and administration of auctions, helping develop policies, programs, and rules concerning auctions of spectrum for broadcasting.  </w:t>
      </w:r>
      <w:r w:rsidRPr="00331B68">
        <w:rPr>
          <w:i/>
        </w:rPr>
        <w:t>See id.</w:t>
      </w:r>
      <w:r w:rsidRPr="00331B68">
        <w:t xml:space="preserve"> § 0.21(m), (o) (OEA’s functions).  </w:t>
      </w:r>
      <w:r w:rsidRPr="00331B68">
        <w:rPr>
          <w:i/>
        </w:rPr>
        <w:t>See also</w:t>
      </w:r>
      <w:r w:rsidRPr="00331B68">
        <w:t xml:space="preserve"> </w:t>
      </w:r>
      <w:r w:rsidRPr="00331B68">
        <w:rPr>
          <w:i/>
        </w:rPr>
        <w:t>Establishment of the Office of Economics and Analytics</w:t>
      </w:r>
      <w:r w:rsidRPr="00331B68">
        <w:t xml:space="preserve">, Order, 33 FCC Rcd 1539 (2018); </w:t>
      </w:r>
      <w:r w:rsidRPr="00331B68">
        <w:rPr>
          <w:i/>
        </w:rPr>
        <w:t>see also</w:t>
      </w:r>
      <w:r w:rsidRPr="00331B68">
        <w:t xml:space="preserve"> 83 Fed. Reg. 63073 (Dec. 7, 2018) (effective date of OEA establishment). </w:t>
      </w:r>
    </w:p>
  </w:footnote>
  <w:footnote w:id="4">
    <w:p w:rsidR="00AE7482" w:rsidRPr="00331B68" w:rsidP="00C96CC6" w14:paraId="29AFDFA0" w14:textId="77777777">
      <w:pPr>
        <w:pStyle w:val="FootnoteText"/>
      </w:pPr>
      <w:r w:rsidRPr="00331B68">
        <w:rPr>
          <w:rStyle w:val="FootnoteReference"/>
          <w:sz w:val="20"/>
        </w:rPr>
        <w:footnoteRef/>
      </w:r>
      <w:r w:rsidRPr="00331B68">
        <w:t xml:space="preserve"> On December 4, 2017, the Bureaus announced an auction filing window for AM broadcasters seeking new cross-service FM translator station construction permits. </w:t>
      </w:r>
      <w:r w:rsidRPr="00331B68">
        <w:rPr>
          <w:i/>
        </w:rPr>
        <w:t>See Filing Instructions for Second Cross-Service FM Translator Auction Filing Window for AM Broadcasters (Auction 100) to be Open January 25-January 31, 2018; Freeze on FM Translator and Low-Power FM Station Minor Change Applications and FM Booster Applications January 18- January 31, 2018</w:t>
      </w:r>
      <w:r w:rsidRPr="00331B68">
        <w:t>, Public Notice, 32 FCC Rcd 10173 (MB/WTB 2017) (</w:t>
      </w:r>
      <w:r w:rsidRPr="00331B68">
        <w:rPr>
          <w:i/>
        </w:rPr>
        <w:t>Auction 100 Filing Instructions Public Notice</w:t>
      </w:r>
      <w:r w:rsidRPr="00331B68">
        <w:t>).</w:t>
      </w:r>
    </w:p>
  </w:footnote>
  <w:footnote w:id="5">
    <w:p w:rsidR="00AE7482" w:rsidRPr="00331B68" w:rsidP="00C96CC6" w14:paraId="5B22B34C" w14:textId="12557D84">
      <w:pPr>
        <w:pStyle w:val="FootnoteText"/>
      </w:pPr>
      <w:r w:rsidRPr="00331B68">
        <w:rPr>
          <w:rStyle w:val="FootnoteReference"/>
          <w:sz w:val="20"/>
        </w:rPr>
        <w:footnoteRef/>
      </w:r>
      <w:r w:rsidRPr="00331B68">
        <w:t xml:space="preserve"> To participate in Auction 100 each potential applicant was required to file both FCC Form 175, Application to Participate in an FCC Auction, and certain sections of FCC Form 349, Application for Authority to Construct or Make Changes in an FM Translator or FM Booster Station, which permitted staff to determine mutual exclusivities between applicant engineering proposals. By public notices released on April 3, 2018, and September 6, 2018, the Bureaus provided lists of all applications received during the filing window with engineering proposals that were mutually exclusive (MX) with engineering proposals in other applications submitted in the filing window.  Pursuant to the </w:t>
      </w:r>
      <w:r w:rsidRPr="00331B68">
        <w:rPr>
          <w:i/>
        </w:rPr>
        <w:t>Auction 100</w:t>
      </w:r>
      <w:r w:rsidRPr="00331B68">
        <w:t xml:space="preserve"> </w:t>
      </w:r>
      <w:r w:rsidRPr="00331B68">
        <w:rPr>
          <w:i/>
        </w:rPr>
        <w:t>Settlement Public Notices</w:t>
      </w:r>
      <w:r w:rsidRPr="00331B68">
        <w:t xml:space="preserve">, applicants in listed groups of mutually exclusive engineering proposals (MX groups) were given opportunities to eliminate their mutual exclusivity with other applicants’ engineering proposals by settlement or technical modification to their proposals. </w:t>
      </w:r>
      <w:bookmarkStart w:id="68" w:name="_Hlk530156981"/>
      <w:r w:rsidRPr="00331B68">
        <w:rPr>
          <w:i/>
        </w:rPr>
        <w:t>See Settlement Period Announced for Cross-Service FM Translator Mutually Exclusive Applications for Auction 100</w:t>
      </w:r>
      <w:r w:rsidRPr="00331B68">
        <w:t>, Public Notice, 33 FCC Rcd 3486 (MB/WTB 2018) (</w:t>
      </w:r>
      <w:bookmarkStart w:id="69" w:name="_Hlk530155457"/>
      <w:r w:rsidRPr="00331B68">
        <w:rPr>
          <w:i/>
        </w:rPr>
        <w:t>First Auction 100 Settlement Public Notice</w:t>
      </w:r>
      <w:bookmarkEnd w:id="69"/>
      <w:r w:rsidRPr="00331B68">
        <w:t xml:space="preserve">); </w:t>
      </w:r>
      <w:r w:rsidRPr="00331B68">
        <w:rPr>
          <w:i/>
        </w:rPr>
        <w:t>Settlement Period Announced for Certain FM Translator Mutually Exclusive Applications</w:t>
      </w:r>
      <w:r w:rsidRPr="00331B68">
        <w:t>, Public Notice, 33 FCC Rcd 8562 (MB 2018) (</w:t>
      </w:r>
      <w:r w:rsidRPr="00331B68">
        <w:rPr>
          <w:i/>
        </w:rPr>
        <w:t>Second Auction 100 Settlement Public Notice</w:t>
      </w:r>
      <w:bookmarkEnd w:id="68"/>
      <w:r w:rsidRPr="00331B68">
        <w:t>).</w:t>
      </w:r>
    </w:p>
  </w:footnote>
  <w:footnote w:id="6">
    <w:p w:rsidR="00AE7482" w:rsidRPr="00331B68" w:rsidP="00C96CC6" w14:paraId="5D4550F6" w14:textId="0BEAB4C7">
      <w:pPr>
        <w:pStyle w:val="FootnoteText"/>
      </w:pPr>
      <w:r w:rsidRPr="00331B68">
        <w:rPr>
          <w:rStyle w:val="FootnoteReference"/>
          <w:sz w:val="20"/>
        </w:rPr>
        <w:footnoteRef/>
      </w:r>
      <w:r w:rsidRPr="00331B68">
        <w:t xml:space="preserve"> </w:t>
      </w:r>
      <w:r w:rsidRPr="00331B68">
        <w:rPr>
          <w:i/>
        </w:rPr>
        <w:t>Auction of Cross-Service FM Translator Construction Permits</w:t>
      </w:r>
      <w:r w:rsidRPr="00331B68">
        <w:rPr>
          <w:rStyle w:val="FootnoteTextCharCharCharChar3CharCharChar1"/>
          <w:i/>
        </w:rPr>
        <w:t>; Comment Sought on Competitive Bidding Procedures for Auction 100</w:t>
      </w:r>
      <w:r w:rsidRPr="00331B68">
        <w:rPr>
          <w:rStyle w:val="FootnoteTextCharCharCharChar3CharCharChar1"/>
        </w:rPr>
        <w:t>, Public Notice, 33 FCC Rcd 9984 (WTB/MB 2018) (</w:t>
      </w:r>
      <w:r w:rsidRPr="00331B68">
        <w:rPr>
          <w:rStyle w:val="FootnoteTextCharCharCharChar3CharCharChar1"/>
          <w:i/>
        </w:rPr>
        <w:t>Auction 100 Comment Public Notice</w:t>
      </w:r>
      <w:r w:rsidRPr="00331B68">
        <w:rPr>
          <w:rStyle w:val="FootnoteTextCharCharCharChar3CharCharChar1"/>
        </w:rPr>
        <w:t xml:space="preserve">).  A summary of this public notice was published at 83 Fed. Reg. 56031 (Nov. 9, 2018).   </w:t>
      </w:r>
    </w:p>
  </w:footnote>
  <w:footnote w:id="7">
    <w:p w:rsidR="00AE7482" w:rsidRPr="00331B68" w:rsidP="00C96CC6" w14:paraId="473FCBDA" w14:textId="77777777">
      <w:pPr>
        <w:pStyle w:val="FootnoteText"/>
      </w:pPr>
      <w:r w:rsidRPr="00331B68">
        <w:rPr>
          <w:rStyle w:val="FootnoteReference"/>
          <w:sz w:val="20"/>
        </w:rPr>
        <w:footnoteRef/>
      </w:r>
      <w:r w:rsidRPr="00331B68">
        <w:t xml:space="preserve">  47 U.S.C. § 309(j)(3)(E)(i) (requirement to seek comment on proposed auction procedures); </w:t>
      </w:r>
      <w:r w:rsidRPr="00331B68">
        <w:rPr>
          <w:i/>
        </w:rPr>
        <w:t xml:space="preserve">see also </w:t>
      </w:r>
      <w:r w:rsidRPr="00331B68">
        <w:t>47 U.S.C. § 309(j)(4)(F) (authorization to prescribe reserve price or minimum bid);</w:t>
      </w:r>
      <w:r w:rsidRPr="00331B68">
        <w:rPr>
          <w:i/>
        </w:rPr>
        <w:t xml:space="preserve"> see also </w:t>
      </w:r>
      <w:r w:rsidRPr="00331B68">
        <w:t>47 CFR §§ 1.2104(c) and (d).</w:t>
      </w:r>
    </w:p>
  </w:footnote>
  <w:footnote w:id="8">
    <w:p w:rsidR="00AE7482" w:rsidRPr="00331B68" w:rsidP="00647C71" w14:paraId="6826263F" w14:textId="5D6BC02B">
      <w:pPr>
        <w:pStyle w:val="FootnoteText"/>
      </w:pPr>
      <w:r w:rsidRPr="00331B68">
        <w:rPr>
          <w:rStyle w:val="FootnoteReference"/>
          <w:sz w:val="20"/>
        </w:rPr>
        <w:footnoteRef/>
      </w:r>
      <w:r w:rsidRPr="00331B68">
        <w:t xml:space="preserve"> </w:t>
      </w:r>
      <w:bookmarkStart w:id="93" w:name="_Hlk536097639"/>
      <w:r>
        <w:t xml:space="preserve">Mutually exclusive (MX) group FMT075 has been removed from the list that was released with the </w:t>
      </w:r>
      <w:r>
        <w:rPr>
          <w:rStyle w:val="footnotetextcharcharcharchar3charcharchar10"/>
          <w:i/>
          <w:iCs/>
        </w:rPr>
        <w:t>Auction 100 Comment Public Notice</w:t>
      </w:r>
      <w:r>
        <w:rPr>
          <w:rStyle w:val="footnotetextcharcharcharchar3charcharchar10"/>
        </w:rPr>
        <w:t xml:space="preserve">, after MB determined that </w:t>
      </w:r>
      <w:r>
        <w:t xml:space="preserve">Chesapeake-Portsmouth Broadcasting Corporation (Chesapeake) </w:t>
      </w:r>
      <w:r>
        <w:rPr>
          <w:rStyle w:val="footnotetextcharcharcharchar3charcharchar10"/>
        </w:rPr>
        <w:t xml:space="preserve">was not eligible to file in the Auction 100 filing window.  </w:t>
      </w:r>
      <w:r>
        <w:t xml:space="preserve">MB recently denied Chesapeake’s request for waiver of an eligibility restriction prohibiting any application designating an AM primary station that was designated as the primary station on a previously filed new translator or translator modification application, and accordingly dismissed its engineering proposal. </w:t>
      </w:r>
      <w:r>
        <w:rPr>
          <w:i/>
          <w:iCs/>
        </w:rPr>
        <w:t>See</w:t>
      </w:r>
      <w:r>
        <w:t xml:space="preserve"> </w:t>
      </w:r>
      <w:r>
        <w:rPr>
          <w:i/>
          <w:iCs/>
        </w:rPr>
        <w:t>Chesapeake-Portsmouth Broadcasting Corp.</w:t>
      </w:r>
      <w:r>
        <w:t xml:space="preserve">, Letter Order, DA 19-160 (MB Mar. 8, 2019).  Because Chesapeake’s proposal has been dismissed, it is no longer mutually exclusive with any other proposals, thus we have removed MX group FMT075 from the list of Auction 100 MX groups.  </w:t>
      </w:r>
      <w:r>
        <w:rPr>
          <w:i/>
          <w:iCs/>
        </w:rPr>
        <w:t xml:space="preserve">See Auction </w:t>
      </w:r>
      <w:r>
        <w:rPr>
          <w:rStyle w:val="footnotetextcharcharcharchar3charcharchar10"/>
          <w:i/>
          <w:iCs/>
        </w:rPr>
        <w:t>100 Comment Public Notice</w:t>
      </w:r>
      <w:r>
        <w:rPr>
          <w:rStyle w:val="footnotetextcharcharcharchar3charcharchar10"/>
        </w:rPr>
        <w:t>, 33 FCC Rcd at 10007.</w:t>
      </w:r>
      <w:bookmarkEnd w:id="93"/>
    </w:p>
  </w:footnote>
  <w:footnote w:id="9">
    <w:p w:rsidR="00AE7482" w:rsidRPr="00331B68" w:rsidP="00C96CC6" w14:paraId="757C45E8" w14:textId="77777777">
      <w:pPr>
        <w:pStyle w:val="FootnoteText"/>
      </w:pPr>
      <w:r w:rsidRPr="00331B68">
        <w:rPr>
          <w:rStyle w:val="FootnoteReference"/>
          <w:sz w:val="20"/>
        </w:rPr>
        <w:footnoteRef/>
      </w:r>
      <w:r w:rsidRPr="00331B68">
        <w:t xml:space="preserve"> All applicants listed in Attachment A previously filed short-form applications (FCC Form 175) in the filing window announced in the </w:t>
      </w:r>
      <w:r w:rsidRPr="00331B68">
        <w:rPr>
          <w:i/>
        </w:rPr>
        <w:t>Auction 100 Filing Instructions Public Notice</w:t>
      </w:r>
      <w:r w:rsidRPr="00331B68">
        <w:t xml:space="preserve">, 32 FCC Rcd at 10173.   </w:t>
      </w:r>
    </w:p>
  </w:footnote>
  <w:footnote w:id="10">
    <w:p w:rsidR="00AE7482" w:rsidRPr="00331B68" w:rsidP="00C96CC6" w14:paraId="3B92BBB5" w14:textId="0AC35FAD">
      <w:pPr>
        <w:pStyle w:val="FootnoteText"/>
      </w:pPr>
      <w:r w:rsidRPr="00331B68">
        <w:rPr>
          <w:rStyle w:val="FootnoteReference"/>
          <w:sz w:val="20"/>
        </w:rPr>
        <w:footnoteRef/>
      </w:r>
      <w:r w:rsidRPr="00331B68">
        <w:t xml:space="preserve"> </w:t>
      </w:r>
      <w:r w:rsidRPr="00331B68">
        <w:rPr>
          <w:i/>
        </w:rPr>
        <w:t xml:space="preserve">See Auction 100 Comment Public Notice, </w:t>
      </w:r>
      <w:r w:rsidRPr="00331B68">
        <w:t>33 FCC Rcd at 9986, para. 5, citing</w:t>
      </w:r>
      <w:r w:rsidRPr="00331B68">
        <w:rPr>
          <w:i/>
        </w:rPr>
        <w:t xml:space="preserve"> </w:t>
      </w:r>
      <w:r w:rsidRPr="00331B68">
        <w:t>47 U.S.C. § 309(j)(1).</w:t>
      </w:r>
    </w:p>
  </w:footnote>
  <w:footnote w:id="11">
    <w:p w:rsidR="00AE7482" w:rsidRPr="00331B68" w:rsidP="00C96CC6" w14:paraId="0737F449" w14:textId="043A2919">
      <w:pPr>
        <w:spacing w:after="120"/>
        <w:rPr>
          <w:sz w:val="20"/>
        </w:rPr>
      </w:pPr>
      <w:r w:rsidRPr="00331B68">
        <w:rPr>
          <w:rStyle w:val="FootnoteReference"/>
          <w:sz w:val="20"/>
        </w:rPr>
        <w:footnoteRef/>
      </w:r>
      <w:r w:rsidRPr="00331B68">
        <w:rPr>
          <w:sz w:val="20"/>
        </w:rPr>
        <w:t xml:space="preserve"> </w:t>
      </w:r>
      <w:r w:rsidRPr="00331B68">
        <w:rPr>
          <w:i/>
          <w:sz w:val="20"/>
        </w:rPr>
        <w:t>See, e.g., id.,</w:t>
      </w:r>
      <w:r w:rsidRPr="00331B68">
        <w:rPr>
          <w:sz w:val="20"/>
        </w:rPr>
        <w:t xml:space="preserve"> 33 FCC Rcd at 9986, para. 5 &amp; n.5 and authorities cited therein.</w:t>
      </w:r>
    </w:p>
  </w:footnote>
  <w:footnote w:id="12">
    <w:p w:rsidR="00AE7482" w:rsidRPr="00331B68" w:rsidP="00C96CC6" w14:paraId="08A34CB8" w14:textId="77777777">
      <w:pPr>
        <w:pStyle w:val="FootnoteText"/>
        <w:rPr>
          <w:i/>
        </w:rPr>
      </w:pPr>
      <w:r w:rsidRPr="00331B68">
        <w:rPr>
          <w:rStyle w:val="FootnoteReference"/>
          <w:sz w:val="20"/>
        </w:rPr>
        <w:footnoteRef/>
      </w:r>
      <w:r w:rsidRPr="00331B68">
        <w:t xml:space="preserve"> 47 CFR Part 1, Subpart Q.  </w:t>
      </w:r>
    </w:p>
  </w:footnote>
  <w:footnote w:id="13">
    <w:p w:rsidR="00AE7482" w:rsidRPr="00331B68" w:rsidP="00C96CC6" w14:paraId="7BC2EB28" w14:textId="67FDC3FF">
      <w:pPr>
        <w:pStyle w:val="FootnoteText"/>
      </w:pPr>
      <w:r w:rsidRPr="00331B68">
        <w:rPr>
          <w:rStyle w:val="FootnoteReference"/>
          <w:sz w:val="20"/>
        </w:rPr>
        <w:footnoteRef/>
      </w:r>
      <w:r w:rsidRPr="00331B68">
        <w:t xml:space="preserve"> </w:t>
      </w:r>
      <w:r w:rsidRPr="00331B68">
        <w:rPr>
          <w:i/>
        </w:rPr>
        <w:t>See</w:t>
      </w:r>
      <w:r w:rsidRPr="00331B68">
        <w:t xml:space="preserve">, </w:t>
      </w:r>
      <w:r w:rsidRPr="00331B68">
        <w:rPr>
          <w:i/>
        </w:rPr>
        <w:t>e.g</w:t>
      </w:r>
      <w:r w:rsidRPr="00331B68">
        <w:t xml:space="preserve">., </w:t>
      </w:r>
      <w:r w:rsidRPr="00331B68">
        <w:rPr>
          <w:i/>
          <w:spacing w:val="-2"/>
        </w:rPr>
        <w:t>Updating Part 1 Competitive Bidding Rules</w:t>
      </w:r>
      <w:r w:rsidRPr="00331B68">
        <w:rPr>
          <w:spacing w:val="-2"/>
        </w:rPr>
        <w:t xml:space="preserve">, Report and Order, Order on Reconsideration </w:t>
      </w:r>
      <w:r w:rsidRPr="00331B68">
        <w:t>of the First Report and Order, Third Order on Reconsideration of the Second Report and Order, Third Report and Order,</w:t>
      </w:r>
      <w:r w:rsidRPr="00331B68">
        <w:rPr>
          <w:i/>
        </w:rPr>
        <w:t xml:space="preserve"> </w:t>
      </w:r>
      <w:r w:rsidRPr="00331B68">
        <w:t>30 FCC Rcd 7493 (2015) (</w:t>
      </w:r>
      <w:r w:rsidRPr="00331B68">
        <w:rPr>
          <w:i/>
        </w:rPr>
        <w:t>Updating Part 1 Order</w:t>
      </w:r>
      <w:r w:rsidRPr="00331B68">
        <w:t xml:space="preserve">) (modified by </w:t>
      </w:r>
      <w:r w:rsidRPr="00331B68">
        <w:rPr>
          <w:i/>
        </w:rPr>
        <w:t>Erratum</w:t>
      </w:r>
      <w:r w:rsidRPr="00331B68">
        <w:t xml:space="preserve">, 30 FCC Rcd 8518 (2015)); </w:t>
      </w:r>
      <w:r w:rsidRPr="00331B68">
        <w:rPr>
          <w:i/>
        </w:rPr>
        <w:t>Amendment of Part 1 of the Commission's Rules – Competitive Bidding Procedures</w:t>
      </w:r>
      <w:r w:rsidRPr="00331B68">
        <w:t>, Order, Memorandum Opinion and Order and Notice of Proposed Rule Making, 12 FCC Rcd 5686 (1997) (</w:t>
      </w:r>
      <w:r w:rsidRPr="00331B68">
        <w:rPr>
          <w:i/>
        </w:rPr>
        <w:t>Auction Procedures Consolidation Order</w:t>
      </w:r>
      <w:r w:rsidRPr="00331B68">
        <w:t>); Order on Reconsideration of the Third Report and Order, Fifth Report and Order, and Fourth Further Notice of Proposed Rule Making, 15 FCC Rcd 15293 (2000) (</w:t>
      </w:r>
      <w:r w:rsidRPr="00331B68">
        <w:rPr>
          <w:i/>
        </w:rPr>
        <w:t>Part 1 Fifth Report and Order</w:t>
      </w:r>
      <w:r w:rsidRPr="00331B68">
        <w:t xml:space="preserve">) (modified by </w:t>
      </w:r>
      <w:r w:rsidRPr="00331B68">
        <w:rPr>
          <w:i/>
        </w:rPr>
        <w:t>Erratum</w:t>
      </w:r>
      <w:r w:rsidRPr="00331B68">
        <w:t>, 15 FCC Rcd 21520 (2000)); Seventh Report and Order, 16 FCC Rcd 17546 (2001) (</w:t>
      </w:r>
      <w:r w:rsidRPr="00331B68">
        <w:rPr>
          <w:i/>
        </w:rPr>
        <w:t>Part 1 Seventh Report and Order</w:t>
      </w:r>
      <w:r w:rsidRPr="00331B68">
        <w:t>); Eighth Report and Order, 17 FCC Rcd 2962 (2002) (</w:t>
      </w:r>
      <w:r w:rsidRPr="00331B68">
        <w:rPr>
          <w:i/>
        </w:rPr>
        <w:t>Part 1 Eighth Report and Order</w:t>
      </w:r>
      <w:r w:rsidRPr="00331B68">
        <w:t>); Second Order on</w:t>
      </w:r>
      <w:r w:rsidRPr="00331B68">
        <w:rPr>
          <w:i/>
        </w:rPr>
        <w:t xml:space="preserve"> </w:t>
      </w:r>
      <w:r w:rsidRPr="00331B68">
        <w:t>Reconsideration of the Third Report and Order and Order on Reconsideration of the Fifth Report and Order, 18 FCC Rcd 10180 (2003) (</w:t>
      </w:r>
      <w:r w:rsidRPr="00331B68">
        <w:rPr>
          <w:i/>
        </w:rPr>
        <w:t>First Reconsideration of Fifth Report and Order</w:t>
      </w:r>
      <w:r w:rsidRPr="00331B68">
        <w:t>); Second Order on Reconsideration of the Fifth Report and Order, 20 FCC Rcd 1942 (2005) (</w:t>
      </w:r>
      <w:r w:rsidRPr="00331B68">
        <w:rPr>
          <w:i/>
        </w:rPr>
        <w:t>Second Reconsideration of Fifth Report and Order</w:t>
      </w:r>
      <w:r w:rsidRPr="00331B68">
        <w:t xml:space="preserve">).  </w:t>
      </w:r>
    </w:p>
  </w:footnote>
  <w:footnote w:id="14">
    <w:p w:rsidR="00AE7482" w:rsidRPr="00331B68" w:rsidP="00C96CC6" w14:paraId="7FC46632" w14:textId="434FBACE">
      <w:pPr>
        <w:pStyle w:val="FootnoteText"/>
      </w:pPr>
      <w:r w:rsidRPr="00331B68">
        <w:rPr>
          <w:rStyle w:val="FootnoteReference"/>
          <w:sz w:val="20"/>
        </w:rPr>
        <w:footnoteRef/>
      </w:r>
      <w:r w:rsidRPr="00331B68">
        <w:t xml:space="preserve"> 47 CFR §§ 73.1001–73.5009, 74.1201–74.1290.  </w:t>
      </w:r>
    </w:p>
  </w:footnote>
  <w:footnote w:id="15">
    <w:p w:rsidR="00AE7482" w:rsidRPr="00331B68" w:rsidP="00C96CC6" w14:paraId="2C91985B" w14:textId="501D25C4">
      <w:pPr>
        <w:pStyle w:val="FootnoteText"/>
      </w:pPr>
      <w:r w:rsidRPr="00331B68">
        <w:rPr>
          <w:rStyle w:val="FootnoteReference"/>
          <w:sz w:val="20"/>
        </w:rPr>
        <w:footnoteRef/>
      </w:r>
      <w:r w:rsidRPr="00331B68">
        <w:t xml:space="preserve"> </w:t>
      </w:r>
      <w:r w:rsidRPr="00331B68">
        <w:rPr>
          <w:i/>
        </w:rPr>
        <w:t>See, e.g., Implementation of Section 309(j) of the Communications Act – Competitive Bidding for Commercial Broadcast and Instructional Television Fixed Service Licenses</w:t>
      </w:r>
      <w:r w:rsidRPr="00331B68">
        <w:t>, First Report and Order, 13 FCC Rcd 15920 (1998) (</w:t>
      </w:r>
      <w:r w:rsidRPr="00331B68">
        <w:rPr>
          <w:i/>
        </w:rPr>
        <w:t>Broadcast Competitive Bidding Order</w:t>
      </w:r>
      <w:r w:rsidRPr="00331B68">
        <w:t xml:space="preserve">), </w:t>
      </w:r>
      <w:r w:rsidRPr="00331B68">
        <w:rPr>
          <w:i/>
        </w:rPr>
        <w:t>on recon.</w:t>
      </w:r>
      <w:r w:rsidRPr="00331B68">
        <w:t xml:space="preserve">, Memorandum Opinion and Order, 14 FCC Rcd 8724, </w:t>
      </w:r>
      <w:r w:rsidRPr="00331B68">
        <w:rPr>
          <w:i/>
        </w:rPr>
        <w:t>on further recon.</w:t>
      </w:r>
      <w:r w:rsidRPr="00331B68">
        <w:t>, Memorandum Opinion and Order, 14 FCC Rcd 12541 (1999);</w:t>
      </w:r>
      <w:r w:rsidRPr="00331B68">
        <w:rPr>
          <w:i/>
        </w:rPr>
        <w:t xml:space="preserve"> Reexamination of the Comparative Standard for Noncommercial Educational Applicants</w:t>
      </w:r>
      <w:r w:rsidRPr="00331B68">
        <w:t>, Second Report and Order, 18 FCC Rcd 6691 (2003) (</w:t>
      </w:r>
      <w:r w:rsidRPr="00331B68">
        <w:rPr>
          <w:i/>
        </w:rPr>
        <w:t>Noncommercial Educational Second Report and Order</w:t>
      </w:r>
      <w:r w:rsidRPr="00331B68">
        <w:t>); Memorandum Opinion and Third Order on Reconsideration, 23 FCC Rcd 17423 (2008) (</w:t>
      </w:r>
      <w:r w:rsidRPr="00331B68">
        <w:rPr>
          <w:i/>
        </w:rPr>
        <w:t>Noncommercial Educational Third Reconsideration Order</w:t>
      </w:r>
      <w:r w:rsidRPr="00331B68">
        <w:t xml:space="preserve">).   </w:t>
      </w:r>
    </w:p>
  </w:footnote>
  <w:footnote w:id="16">
    <w:p w:rsidR="00AE7482" w:rsidRPr="00331B68" w:rsidP="00C96CC6" w14:paraId="688EAF33" w14:textId="355D40CD">
      <w:pPr>
        <w:pStyle w:val="FootnoteText"/>
      </w:pPr>
      <w:r w:rsidRPr="00331B68">
        <w:rPr>
          <w:rStyle w:val="FootnoteReference"/>
          <w:sz w:val="20"/>
        </w:rPr>
        <w:footnoteRef/>
      </w:r>
      <w:r w:rsidRPr="00331B68">
        <w:t xml:space="preserve"> Documents are also available at the Commission’s headquarters, located at 445 12th Street, SW, Washington, DC 20554, between 8:00 a.m. and 4:30 p.m. Eastern Time (ET) Monday through Thursday or 8:00 a.m. to 11:30 a.m. ET Fridays. </w:t>
      </w:r>
    </w:p>
  </w:footnote>
  <w:footnote w:id="17">
    <w:p w:rsidR="00AE7482" w:rsidRPr="00331B68" w:rsidP="00C96CC6" w14:paraId="44E4370E" w14:textId="77777777">
      <w:pPr>
        <w:pStyle w:val="FootnoteText"/>
      </w:pPr>
      <w:r w:rsidRPr="00331B68">
        <w:rPr>
          <w:rStyle w:val="FootnoteReference"/>
          <w:sz w:val="20"/>
        </w:rPr>
        <w:footnoteRef/>
      </w:r>
      <w:r w:rsidRPr="00331B68">
        <w:t xml:space="preserve"> 47 CFR §§ 1.2105(c), 73.5002(d), (e).</w:t>
      </w:r>
    </w:p>
  </w:footnote>
  <w:footnote w:id="18">
    <w:p w:rsidR="00AE7482" w:rsidRPr="00331B68" w:rsidP="00C96CC6" w14:paraId="0220F3C6" w14:textId="77777777">
      <w:pPr>
        <w:pStyle w:val="FootnoteText"/>
      </w:pPr>
      <w:r w:rsidRPr="00331B68">
        <w:rPr>
          <w:rStyle w:val="FootnoteReference"/>
          <w:sz w:val="20"/>
        </w:rPr>
        <w:footnoteRef/>
      </w:r>
      <w:r w:rsidRPr="00331B68">
        <w:t xml:space="preserve"> 47 CFR § 1.2105(c)(1).  Specifically, this prohibition became effective for Auction 100 at the initial short-form application filing deadline on January 31, 2018.    </w:t>
      </w:r>
    </w:p>
  </w:footnote>
  <w:footnote w:id="19">
    <w:p w:rsidR="00AE7482" w:rsidRPr="00331B68" w:rsidP="00C96CC6" w14:paraId="4534A4AF" w14:textId="77777777">
      <w:pPr>
        <w:pStyle w:val="FootnoteText"/>
      </w:pPr>
      <w:r w:rsidRPr="00331B68">
        <w:rPr>
          <w:rStyle w:val="FootnoteReference"/>
          <w:sz w:val="20"/>
        </w:rPr>
        <w:footnoteRef/>
      </w:r>
      <w:r w:rsidRPr="00331B68">
        <w:t xml:space="preserve"> 47 CFR § 1.2105(c)(5)(i). </w:t>
      </w:r>
    </w:p>
  </w:footnote>
  <w:footnote w:id="20">
    <w:p w:rsidR="00AE7482" w:rsidRPr="00331B68" w:rsidP="00C96CC6" w14:paraId="0F9E986F" w14:textId="414F58AD">
      <w:pPr>
        <w:pStyle w:val="FootnoteText"/>
      </w:pPr>
      <w:r w:rsidRPr="00331B68">
        <w:rPr>
          <w:rStyle w:val="FootnoteReference"/>
          <w:sz w:val="20"/>
        </w:rPr>
        <w:footnoteRef/>
      </w:r>
      <w:r w:rsidRPr="00331B68">
        <w:t xml:space="preserve"> </w:t>
      </w:r>
      <w:r w:rsidRPr="00331B68">
        <w:rPr>
          <w:i/>
        </w:rPr>
        <w:t>See Star Wireless, LLC v. FCC</w:t>
      </w:r>
      <w:r w:rsidRPr="00331B68">
        <w:t>, 522 F.3d 469 (D.C. Cir. 2008).  Thus, an auction applicant that does not correct deficiencies in its application, fails to submit a timely and sufficient upfront payment, or does not otherwise become qualified to bid, remains an “applicant” for purposes of the rule and remains subject to the prohibition on certain communications until the applicable down payment deadline.</w:t>
      </w:r>
    </w:p>
  </w:footnote>
  <w:footnote w:id="21">
    <w:p w:rsidR="00AE7482" w:rsidRPr="00331B68" w:rsidP="00C96CC6" w14:paraId="524A900C" w14:textId="3CBF6EFD">
      <w:pPr>
        <w:pStyle w:val="FootnoteText"/>
        <w:rPr>
          <w:i/>
        </w:rPr>
      </w:pPr>
      <w:r w:rsidRPr="00331B68">
        <w:rPr>
          <w:rStyle w:val="FootnoteReference"/>
          <w:sz w:val="20"/>
        </w:rPr>
        <w:footnoteRef/>
      </w:r>
      <w:r w:rsidRPr="00331B68">
        <w:t xml:space="preserve"> </w:t>
      </w:r>
      <w:r w:rsidRPr="00331B68">
        <w:rPr>
          <w:i/>
        </w:rPr>
        <w:t>See, e.g., Procedural Amendments to Commission Part 1 Competitive Bidding Rules</w:t>
      </w:r>
      <w:r w:rsidRPr="00331B68">
        <w:t>, Order, 25 FCC Rcd 521 (2010) (</w:t>
      </w:r>
      <w:r w:rsidRPr="00331B68">
        <w:rPr>
          <w:i/>
        </w:rPr>
        <w:t>Part 1 Procedural Amendments Order</w:t>
      </w:r>
      <w:r w:rsidRPr="00331B68">
        <w:t xml:space="preserve">); </w:t>
      </w:r>
      <w:r w:rsidRPr="00331B68">
        <w:rPr>
          <w:i/>
          <w:color w:val="000000"/>
          <w:spacing w:val="-2"/>
        </w:rPr>
        <w:t>Updating Part 1 Order</w:t>
      </w:r>
      <w:r w:rsidRPr="00331B68">
        <w:t>,</w:t>
      </w:r>
      <w:r w:rsidRPr="00331B68">
        <w:rPr>
          <w:i/>
        </w:rPr>
        <w:t xml:space="preserve"> </w:t>
      </w:r>
      <w:r w:rsidRPr="00331B68">
        <w:t xml:space="preserve">30 FCC Rcd at 7493.  </w:t>
      </w:r>
    </w:p>
  </w:footnote>
  <w:footnote w:id="22">
    <w:p w:rsidR="00AE7482" w:rsidRPr="00331B68" w:rsidP="00C96CC6" w14:paraId="1184FF45" w14:textId="77777777">
      <w:pPr>
        <w:pStyle w:val="FootnoteText"/>
      </w:pPr>
      <w:r w:rsidRPr="00331B68">
        <w:rPr>
          <w:rStyle w:val="FootnoteReference"/>
          <w:sz w:val="20"/>
        </w:rPr>
        <w:footnoteRef/>
      </w:r>
      <w:r w:rsidRPr="00331B68">
        <w:t xml:space="preserve"> </w:t>
      </w:r>
      <w:r w:rsidRPr="00331B68">
        <w:rPr>
          <w:i/>
        </w:rPr>
        <w:t>See</w:t>
      </w:r>
      <w:r w:rsidRPr="00331B68">
        <w:t xml:space="preserve"> </w:t>
      </w:r>
      <w:r w:rsidRPr="00331B68">
        <w:rPr>
          <w:i/>
        </w:rPr>
        <w:t>Updating Part 1 Order</w:t>
      </w:r>
      <w:r w:rsidRPr="00331B68">
        <w:t>,</w:t>
      </w:r>
      <w:r w:rsidRPr="00331B68">
        <w:rPr>
          <w:i/>
        </w:rPr>
        <w:t xml:space="preserve"> </w:t>
      </w:r>
      <w:r w:rsidRPr="00331B68">
        <w:t xml:space="preserve">30 FCC Rcd at 7577, para. 199; </w:t>
      </w:r>
      <w:r w:rsidRPr="00331B68">
        <w:rPr>
          <w:i/>
        </w:rPr>
        <w:t xml:space="preserve">see also </w:t>
      </w:r>
      <w:r w:rsidRPr="00331B68">
        <w:t>47 CFR § 1.2105(a)(2)(ix), (c)(1).</w:t>
      </w:r>
    </w:p>
  </w:footnote>
  <w:footnote w:id="23">
    <w:p w:rsidR="00AE7482" w:rsidRPr="00331B68" w:rsidP="00C96CC6" w14:paraId="3641A48D" w14:textId="6F24AF38">
      <w:pPr>
        <w:pStyle w:val="FootnoteText"/>
      </w:pPr>
      <w:r w:rsidRPr="00331B68">
        <w:rPr>
          <w:rStyle w:val="FootnoteReference"/>
          <w:sz w:val="20"/>
        </w:rPr>
        <w:footnoteRef/>
      </w:r>
      <w:r w:rsidRPr="00331B68">
        <w:t xml:space="preserve"> 47 CFR § 1.2105(a)(2)(ix).  </w:t>
      </w:r>
      <w:r w:rsidRPr="00331B68">
        <w:rPr>
          <w:i/>
        </w:rPr>
        <w:t>See Updating Part 1 Order</w:t>
      </w:r>
      <w:r w:rsidRPr="00331B68">
        <w:t xml:space="preserve">, 30 FCC Rcd at 7575-76, para. 195.  </w:t>
      </w:r>
    </w:p>
  </w:footnote>
  <w:footnote w:id="24">
    <w:p w:rsidR="00AE7482" w:rsidRPr="00331B68" w:rsidP="00C96CC6" w14:paraId="0F528EB1" w14:textId="77777777">
      <w:pPr>
        <w:pStyle w:val="FootnoteText"/>
      </w:pPr>
      <w:r w:rsidRPr="00331B68">
        <w:rPr>
          <w:rStyle w:val="FootnoteReference"/>
          <w:sz w:val="20"/>
        </w:rPr>
        <w:footnoteRef/>
      </w:r>
      <w:r w:rsidRPr="00331B68">
        <w:t xml:space="preserve"> </w:t>
      </w:r>
      <w:r w:rsidRPr="00331B68">
        <w:rPr>
          <w:i/>
        </w:rPr>
        <w:t>Updating Part 1 Order</w:t>
      </w:r>
      <w:r w:rsidRPr="00331B68">
        <w:t xml:space="preserve">, 30 FCC Rcd at 7576-77, para. 197-99.    </w:t>
      </w:r>
    </w:p>
  </w:footnote>
  <w:footnote w:id="25">
    <w:p w:rsidR="00AE7482" w:rsidRPr="00331B68" w:rsidP="00C96CC6" w14:paraId="6D38CB21" w14:textId="4235E413">
      <w:pPr>
        <w:pStyle w:val="FootnoteText"/>
      </w:pPr>
      <w:r w:rsidRPr="00331B68">
        <w:rPr>
          <w:rStyle w:val="FootnoteReference"/>
          <w:sz w:val="20"/>
        </w:rPr>
        <w:footnoteRef/>
      </w:r>
      <w:r w:rsidRPr="00331B68">
        <w:t xml:space="preserve"> </w:t>
      </w:r>
      <w:r w:rsidRPr="00331B68">
        <w:rPr>
          <w:i/>
        </w:rPr>
        <w:t>Id</w:t>
      </w:r>
      <w:r w:rsidRPr="00331B68">
        <w:t xml:space="preserve">.  </w:t>
      </w:r>
      <w:r w:rsidRPr="00331B68">
        <w:rPr>
          <w:i/>
        </w:rPr>
        <w:t>See also Guidance Regarding the Prohibition of Certain Communications During the Incentive Auction</w:t>
      </w:r>
      <w:r w:rsidRPr="00331B68">
        <w:t>,</w:t>
      </w:r>
      <w:r w:rsidRPr="00331B68">
        <w:rPr>
          <w:i/>
        </w:rPr>
        <w:t xml:space="preserve"> Auction 1000</w:t>
      </w:r>
      <w:r w:rsidRPr="00331B68">
        <w:t>, Public Notice, 30 FCC Rcd 10794 (WTB 2015) (</w:t>
      </w:r>
      <w:r w:rsidRPr="00331B68">
        <w:rPr>
          <w:i/>
        </w:rPr>
        <w:t>Prohibited Communications Public Notice</w:t>
      </w:r>
      <w:r w:rsidRPr="00331B68">
        <w:t>).</w:t>
      </w:r>
    </w:p>
  </w:footnote>
  <w:footnote w:id="26">
    <w:p w:rsidR="00AE7482" w:rsidRPr="00331B68" w:rsidP="00C96CC6" w14:paraId="36D59EFC" w14:textId="5C28E19F">
      <w:pPr>
        <w:pStyle w:val="FootnoteText"/>
      </w:pPr>
      <w:r w:rsidRPr="00331B68">
        <w:rPr>
          <w:rStyle w:val="FootnoteReference"/>
          <w:sz w:val="20"/>
        </w:rPr>
        <w:footnoteRef/>
      </w:r>
      <w:r w:rsidRPr="00331B68">
        <w:t xml:space="preserve"> </w:t>
      </w:r>
      <w:r w:rsidRPr="00331B68">
        <w:rPr>
          <w:i/>
        </w:rPr>
        <w:t>See</w:t>
      </w:r>
      <w:r w:rsidRPr="009952DC">
        <w:rPr>
          <w:i/>
        </w:rPr>
        <w:t xml:space="preserve"> </w:t>
      </w:r>
      <w:r w:rsidRPr="00331B68">
        <w:rPr>
          <w:i/>
        </w:rPr>
        <w:t>Revitalization of the AM Radio Service</w:t>
      </w:r>
      <w:r w:rsidRPr="00331B68">
        <w:t xml:space="preserve">, </w:t>
      </w:r>
      <w:r>
        <w:t xml:space="preserve">First Report and Order, Further Notice of Proposed Rule Making, and Notice of Inquiry, </w:t>
      </w:r>
      <w:r w:rsidRPr="00331B68">
        <w:t xml:space="preserve">30 FCC Rcd </w:t>
      </w:r>
      <w:r>
        <w:t xml:space="preserve">12145, </w:t>
      </w:r>
      <w:r w:rsidRPr="00331B68">
        <w:t>12153, para. 17</w:t>
      </w:r>
      <w:r>
        <w:t xml:space="preserve"> (2015) (</w:t>
      </w:r>
      <w:r w:rsidRPr="00331B68">
        <w:rPr>
          <w:i/>
        </w:rPr>
        <w:t>AM Radio Revitalization Order</w:t>
      </w:r>
      <w:r>
        <w:t>)</w:t>
      </w:r>
      <w:r w:rsidRPr="00331B68">
        <w:t>.</w:t>
      </w:r>
    </w:p>
  </w:footnote>
  <w:footnote w:id="27">
    <w:p w:rsidR="00AE7482" w:rsidRPr="00331B68" w:rsidP="00C96CC6" w14:paraId="3C40F5E6" w14:textId="77777777">
      <w:pPr>
        <w:pStyle w:val="FootnoteText"/>
      </w:pPr>
      <w:r w:rsidRPr="00331B68">
        <w:rPr>
          <w:rStyle w:val="FootnoteReference"/>
          <w:sz w:val="20"/>
        </w:rPr>
        <w:footnoteRef/>
      </w:r>
      <w:r w:rsidRPr="00331B68">
        <w:t xml:space="preserve"> </w:t>
      </w:r>
      <w:r w:rsidRPr="00331B68">
        <w:rPr>
          <w:i/>
        </w:rPr>
        <w:t>Auction 100 Filing Instructions Public Notice</w:t>
      </w:r>
      <w:r w:rsidRPr="00331B68">
        <w:t>, 32 FCC Rcd at 10177-78, para. 17.</w:t>
      </w:r>
    </w:p>
  </w:footnote>
  <w:footnote w:id="28">
    <w:p w:rsidR="00AE7482" w:rsidRPr="00331B68" w:rsidP="00C96CC6" w14:paraId="232655EB" w14:textId="38A969A0">
      <w:pPr>
        <w:pStyle w:val="FootnoteText"/>
      </w:pPr>
      <w:r w:rsidRPr="00331B68">
        <w:rPr>
          <w:rStyle w:val="FootnoteReference"/>
          <w:sz w:val="20"/>
        </w:rPr>
        <w:footnoteRef/>
      </w:r>
      <w:r w:rsidRPr="00331B68">
        <w:t xml:space="preserve"> </w:t>
      </w:r>
      <w:r w:rsidRPr="00331B68">
        <w:rPr>
          <w:i/>
        </w:rPr>
        <w:t xml:space="preserve">See Auction 100 Comment Public Notice, </w:t>
      </w:r>
      <w:r w:rsidRPr="00331B68">
        <w:t>33 FCC Rcd at 9989, para. 13.</w:t>
      </w:r>
    </w:p>
  </w:footnote>
  <w:footnote w:id="29">
    <w:p w:rsidR="00AE7482" w:rsidRPr="00331B68" w:rsidP="00C96CC6" w14:paraId="10BAD84A" w14:textId="558BC20E">
      <w:pPr>
        <w:pStyle w:val="FootnoteText"/>
      </w:pPr>
      <w:r w:rsidRPr="00331B68">
        <w:rPr>
          <w:rStyle w:val="FootnoteReference"/>
          <w:sz w:val="20"/>
        </w:rPr>
        <w:footnoteRef/>
      </w:r>
      <w:r w:rsidRPr="00331B68">
        <w:t xml:space="preserve"> </w:t>
      </w:r>
      <w:bookmarkStart w:id="207" w:name="_Hlk529978804"/>
      <w:r w:rsidRPr="00331B68">
        <w:t xml:space="preserve">47 CFR § 1.2105(c).  For purposes of the Commission’s prohibition on certain communications, section 1.2105(c)(5)(i) defines “applicant” as </w:t>
      </w:r>
      <w:bookmarkEnd w:id="207"/>
      <w:r w:rsidRPr="00331B68">
        <w:t>including all officers and directors of the entity submitting a short-form application to participate in an auction, all controlling interests of that entity, as well as all holders of partnership and other ownership interests and any stock interest amounting to 10% or more of the entity, or outstanding stock, or outstanding voting stock of the entity submitting a short-form application.</w:t>
      </w:r>
    </w:p>
  </w:footnote>
  <w:footnote w:id="30">
    <w:p w:rsidR="00AE7482" w:rsidRPr="00331B68" w:rsidP="00C96CC6" w14:paraId="6B084009" w14:textId="77777777">
      <w:pPr>
        <w:pStyle w:val="FootnoteText"/>
      </w:pPr>
      <w:r w:rsidRPr="00331B68">
        <w:rPr>
          <w:rStyle w:val="FootnoteReference"/>
          <w:sz w:val="20"/>
        </w:rPr>
        <w:footnoteRef/>
      </w:r>
      <w:r w:rsidRPr="00331B68">
        <w:rPr>
          <w:i/>
          <w:spacing w:val="-2"/>
        </w:rPr>
        <w:t xml:space="preserve"> </w:t>
      </w:r>
      <w:r w:rsidRPr="00331B68">
        <w:rPr>
          <w:spacing w:val="-2"/>
        </w:rPr>
        <w:t xml:space="preserve">Under the relevant rules applicable before the 2015 revision of the competitive bidding rules, if specific requirements were met, certain communications between commonly controlled entities or other auction applicants were permitted.  </w:t>
      </w:r>
      <w:r w:rsidRPr="00331B68">
        <w:rPr>
          <w:i/>
          <w:spacing w:val="-2"/>
        </w:rPr>
        <w:t>Updating Part 1 Order</w:t>
      </w:r>
      <w:r w:rsidRPr="00331B68">
        <w:t>,</w:t>
      </w:r>
      <w:r w:rsidRPr="00331B68">
        <w:rPr>
          <w:i/>
        </w:rPr>
        <w:t xml:space="preserve"> </w:t>
      </w:r>
      <w:r w:rsidRPr="00331B68">
        <w:t xml:space="preserve">30 FCC Rcd at 7493 (modified by </w:t>
      </w:r>
      <w:r w:rsidRPr="00331B68">
        <w:rPr>
          <w:i/>
        </w:rPr>
        <w:t>Erratum</w:t>
      </w:r>
      <w:r w:rsidRPr="00331B68">
        <w:t xml:space="preserve">, 30 FCC Rcd 8518 (2015)). </w:t>
      </w:r>
    </w:p>
  </w:footnote>
  <w:footnote w:id="31">
    <w:p w:rsidR="00AE7482" w:rsidRPr="00331B68" w:rsidP="00C96CC6" w14:paraId="368D791B" w14:textId="0385B96D">
      <w:pPr>
        <w:pStyle w:val="FootnoteText"/>
      </w:pPr>
      <w:r w:rsidRPr="00331B68">
        <w:rPr>
          <w:rStyle w:val="FootnoteReference"/>
          <w:sz w:val="20"/>
        </w:rPr>
        <w:footnoteRef/>
      </w:r>
      <w:r w:rsidRPr="00331B68">
        <w:t xml:space="preserve"> 47 CFR § 1.2105(a)(2)(x).</w:t>
      </w:r>
    </w:p>
  </w:footnote>
  <w:footnote w:id="32">
    <w:p w:rsidR="00AE7482" w:rsidRPr="00331B68" w:rsidP="00471FAD" w14:paraId="04D30239" w14:textId="77777777">
      <w:pPr>
        <w:pStyle w:val="FootnoteText"/>
      </w:pPr>
      <w:r w:rsidRPr="00331B68">
        <w:rPr>
          <w:rStyle w:val="FootnoteReference"/>
          <w:sz w:val="20"/>
        </w:rPr>
        <w:footnoteRef/>
      </w:r>
      <w:r w:rsidRPr="00331B68">
        <w:t xml:space="preserve"> Letter from Marissa G. Repp, Attorney for iHeartMedia, Inc. (submitted Dec. 7, 2018).  This letter is available in AU Docket No. 17-329 in the FCC’s Electronic Comment Filing System (ECFS).</w:t>
      </w:r>
    </w:p>
  </w:footnote>
  <w:footnote w:id="33">
    <w:p w:rsidR="00AE7482" w:rsidRPr="00651443" w:rsidP="00F7675F" w14:paraId="14D3B52E" w14:textId="77777777">
      <w:pPr>
        <w:pStyle w:val="FootnoteText"/>
      </w:pPr>
      <w:r w:rsidRPr="00927C04">
        <w:rPr>
          <w:rStyle w:val="FootnoteReference"/>
          <w:sz w:val="20"/>
        </w:rPr>
        <w:footnoteRef/>
      </w:r>
      <w:r w:rsidRPr="00F7675F">
        <w:t xml:space="preserve"> </w:t>
      </w:r>
      <w:r w:rsidRPr="00F7675F">
        <w:rPr>
          <w:i/>
        </w:rPr>
        <w:t>See Request of Auction 99 Applicants J.J. &amp; B. Broadcasting, Inc. and Macon Media, Inc. for Waiver of Section 1.2105</w:t>
      </w:r>
      <w:r w:rsidRPr="00651443">
        <w:t>, Letter Order, 33 FCC Rcd 4509 (MB/WTB 2018).</w:t>
      </w:r>
    </w:p>
  </w:footnote>
  <w:footnote w:id="34">
    <w:p w:rsidR="00AE7482" w:rsidP="00F7675F" w14:paraId="18DA6554" w14:textId="0A7DD11D">
      <w:pPr>
        <w:pStyle w:val="FootnoteText"/>
      </w:pPr>
      <w:r w:rsidRPr="00927C04">
        <w:rPr>
          <w:rStyle w:val="FootnoteReference"/>
          <w:sz w:val="20"/>
        </w:rPr>
        <w:footnoteRef/>
      </w:r>
      <w:r w:rsidRPr="00F7675F">
        <w:t xml:space="preserve"> See </w:t>
      </w:r>
      <w:r w:rsidRPr="00F7675F">
        <w:rPr>
          <w:i/>
        </w:rPr>
        <w:t>Capstar TX, LLC, CC Licenses, LLC and Citicasters Licenses, Inc</w:t>
      </w:r>
      <w:r w:rsidRPr="00F7675F">
        <w:t xml:space="preserve">., Letter Order, DA </w:t>
      </w:r>
      <w:r w:rsidRPr="003E6139">
        <w:t>19-272</w:t>
      </w:r>
      <w:r w:rsidRPr="00651443">
        <w:t xml:space="preserve"> (OEA</w:t>
      </w:r>
      <w:r w:rsidRPr="00927C04">
        <w:t xml:space="preserve">/MB </w:t>
      </w:r>
      <w:r>
        <w:t>Apr.</w:t>
      </w:r>
      <w:r w:rsidRPr="00927C04">
        <w:rPr>
          <w:highlight w:val="yellow"/>
        </w:rPr>
        <w:t xml:space="preserve"> </w:t>
      </w:r>
      <w:r w:rsidR="001A1300">
        <w:t>17</w:t>
      </w:r>
      <w:bookmarkStart w:id="208" w:name="_GoBack"/>
      <w:bookmarkEnd w:id="208"/>
      <w:r w:rsidRPr="000601D0">
        <w:t>,</w:t>
      </w:r>
      <w:r w:rsidRPr="00927C04">
        <w:t xml:space="preserve"> 2019).</w:t>
      </w:r>
    </w:p>
  </w:footnote>
  <w:footnote w:id="35">
    <w:p w:rsidR="00AE7482" w:rsidRPr="00331B68" w:rsidP="00C96CC6" w14:paraId="7CC790FB" w14:textId="5645E3D5">
      <w:pPr>
        <w:pStyle w:val="FootnoteText"/>
        <w:rPr>
          <w:i/>
        </w:rPr>
      </w:pPr>
      <w:r w:rsidRPr="00331B68">
        <w:rPr>
          <w:rStyle w:val="FootnoteReference"/>
          <w:sz w:val="20"/>
        </w:rPr>
        <w:footnoteRef/>
      </w:r>
      <w:r w:rsidRPr="00331B68">
        <w:t xml:space="preserve"> 47 CFR § 1.2105(a)(2)(ix).  For Auction 100, the Bureaus suspended application of the section 1.2105(c) and 73.5002(d) prohibitions during specified periods for the limited purpose of allowing settlement discussions.  </w:t>
      </w:r>
      <w:r w:rsidRPr="00331B68">
        <w:rPr>
          <w:i/>
        </w:rPr>
        <w:t>See, e.g., First Auction 100 Settlement Public Notice</w:t>
      </w:r>
      <w:r w:rsidRPr="00331B68">
        <w:t xml:space="preserve">, 33 FCC Rcd at 3486; </w:t>
      </w:r>
      <w:r w:rsidRPr="00331B68">
        <w:rPr>
          <w:i/>
        </w:rPr>
        <w:t>Second Auction 100 Settlement Public Notice</w:t>
      </w:r>
      <w:r w:rsidRPr="00331B68">
        <w:t>, 33 FCC Rcd at 8562.</w:t>
      </w:r>
    </w:p>
  </w:footnote>
  <w:footnote w:id="36">
    <w:p w:rsidR="00AE7482" w:rsidRPr="00331B68" w:rsidP="00C96CC6" w14:paraId="0F11D56A" w14:textId="178EDADC">
      <w:pPr>
        <w:pStyle w:val="FootnoteText"/>
      </w:pPr>
      <w:r w:rsidRPr="00331B68">
        <w:rPr>
          <w:rStyle w:val="FootnoteReference"/>
          <w:sz w:val="20"/>
        </w:rPr>
        <w:footnoteRef/>
      </w:r>
      <w:r w:rsidRPr="00331B68">
        <w:t xml:space="preserve"> </w:t>
      </w:r>
      <w:r w:rsidRPr="00331B68">
        <w:rPr>
          <w:i/>
        </w:rPr>
        <w:t>See Application of Nevada Wireless</w:t>
      </w:r>
      <w:r w:rsidRPr="00331B68">
        <w:t xml:space="preserve">, Memorandum Opinion and Order, 13 FCC Rcd 11973, 11978, para. 13 (WTB 1998).  </w:t>
      </w:r>
      <w:r w:rsidRPr="00331B68">
        <w:rPr>
          <w:i/>
        </w:rPr>
        <w:t>See also</w:t>
      </w:r>
      <w:r w:rsidRPr="00331B68">
        <w:t xml:space="preserve"> </w:t>
      </w:r>
      <w:r w:rsidRPr="00331B68">
        <w:rPr>
          <w:i/>
        </w:rPr>
        <w:t>Implementation of Section 309(j) of the Communications Act – Competitive Bidding</w:t>
      </w:r>
      <w:r w:rsidRPr="00331B68">
        <w:t>, Memorandum Opinion and Order, 9 FCC Rcd 7684, 7689, para. 12 (1994) (</w:t>
      </w:r>
      <w:r w:rsidRPr="00331B68">
        <w:rPr>
          <w:i/>
        </w:rPr>
        <w:t>Competitive Bidding Memorandum Opinion and Order</w:t>
      </w:r>
      <w:r w:rsidRPr="00331B68">
        <w:t>).</w:t>
      </w:r>
    </w:p>
  </w:footnote>
  <w:footnote w:id="37">
    <w:p w:rsidR="00AE7482" w:rsidRPr="00331B68" w:rsidP="00C96CC6" w14:paraId="3A34EA19" w14:textId="77777777">
      <w:pPr>
        <w:pStyle w:val="FootnoteText"/>
      </w:pPr>
      <w:r w:rsidRPr="00331B68">
        <w:rPr>
          <w:rStyle w:val="FootnoteReference"/>
          <w:sz w:val="20"/>
        </w:rPr>
        <w:footnoteRef/>
      </w:r>
      <w:r w:rsidRPr="00331B68">
        <w:t xml:space="preserve"> </w:t>
      </w:r>
      <w:r w:rsidRPr="00331B68">
        <w:rPr>
          <w:i/>
        </w:rPr>
        <w:t>See</w:t>
      </w:r>
      <w:r w:rsidRPr="00331B68">
        <w:t xml:space="preserve"> 47 CFR §§ 1.2105(c), 1.2107(d), 1.2109(d).  </w:t>
      </w:r>
    </w:p>
  </w:footnote>
  <w:footnote w:id="38">
    <w:p w:rsidR="00AE7482" w:rsidRPr="00331B68" w:rsidP="00C96CC6" w14:paraId="1B058977" w14:textId="5E6ED8E6">
      <w:pPr>
        <w:pStyle w:val="FootnoteText"/>
      </w:pPr>
      <w:r w:rsidRPr="00331B68">
        <w:rPr>
          <w:rStyle w:val="FootnoteReference"/>
          <w:sz w:val="20"/>
        </w:rPr>
        <w:footnoteRef/>
      </w:r>
      <w:r w:rsidRPr="00331B68">
        <w:t xml:space="preserve"> 47 CFR § 1.2105(c)(4); </w:t>
      </w:r>
      <w:r w:rsidRPr="00331B68">
        <w:rPr>
          <w:i/>
        </w:rPr>
        <w:t>see also</w:t>
      </w:r>
      <w:r w:rsidRPr="00331B68">
        <w:t xml:space="preserve"> </w:t>
      </w:r>
      <w:r w:rsidRPr="00331B68">
        <w:rPr>
          <w:i/>
        </w:rPr>
        <w:t>Part 1 Seventh Report and Order</w:t>
      </w:r>
      <w:r w:rsidRPr="00331B68">
        <w:t>, 16 FCC Rcd at 17553-55, paras. 13-17.</w:t>
      </w:r>
    </w:p>
  </w:footnote>
  <w:footnote w:id="39">
    <w:p w:rsidR="00AE7482" w:rsidRPr="00331B68" w:rsidP="00C96CC6" w14:paraId="3E775F8A" w14:textId="28EDDE86">
      <w:pPr>
        <w:pStyle w:val="FootnoteText"/>
      </w:pPr>
      <w:r w:rsidRPr="00331B68">
        <w:rPr>
          <w:rStyle w:val="FootnoteReference"/>
          <w:sz w:val="20"/>
        </w:rPr>
        <w:footnoteRef/>
      </w:r>
      <w:r w:rsidRPr="00331B68">
        <w:t xml:space="preserve"> </w:t>
      </w:r>
      <w:r w:rsidRPr="00331B68">
        <w:rPr>
          <w:i/>
        </w:rPr>
        <w:t>Service Rules for the 698-746, 747-762 and 777-792 MHz Bands</w:t>
      </w:r>
      <w:r w:rsidRPr="00331B68">
        <w:t xml:space="preserve">, Second Report and Order, 22 FCC Rcd 15289, 15395, paras. 285-86 (2007); </w:t>
      </w:r>
      <w:r w:rsidRPr="00331B68">
        <w:rPr>
          <w:i/>
        </w:rPr>
        <w:t>see</w:t>
      </w:r>
      <w:r w:rsidRPr="00331B68">
        <w:t xml:space="preserve"> </w:t>
      </w:r>
      <w:r w:rsidRPr="00331B68">
        <w:rPr>
          <w:i/>
        </w:rPr>
        <w:t xml:space="preserve">Part 1 Procedural Amendments Order, </w:t>
      </w:r>
      <w:r w:rsidRPr="00331B68">
        <w:t xml:space="preserve">25 FCC Rcd at 523, para. 8; </w:t>
      </w:r>
      <w:r w:rsidRPr="00331B68">
        <w:rPr>
          <w:i/>
        </w:rPr>
        <w:t xml:space="preserve">see also </w:t>
      </w:r>
      <w:r w:rsidRPr="00331B68">
        <w:t xml:space="preserve">47 CFR § 1.65; </w:t>
      </w:r>
      <w:r w:rsidRPr="00331B68">
        <w:rPr>
          <w:i/>
        </w:rPr>
        <w:t>Part 1 Seventh Report and Order</w:t>
      </w:r>
      <w:r w:rsidRPr="00331B68">
        <w:t>, 16 FCC Rcd at 17550-51, para. 9.</w:t>
      </w:r>
    </w:p>
  </w:footnote>
  <w:footnote w:id="40">
    <w:p w:rsidR="00AE7482" w:rsidRPr="00331B68" w:rsidP="00C96CC6" w14:paraId="04990BA6" w14:textId="487E726D">
      <w:pPr>
        <w:pStyle w:val="FootnoteText"/>
      </w:pPr>
      <w:r w:rsidRPr="00331B68">
        <w:rPr>
          <w:rStyle w:val="FootnoteReference"/>
          <w:sz w:val="20"/>
        </w:rPr>
        <w:footnoteRef/>
      </w:r>
      <w:r w:rsidRPr="00331B68">
        <w:t xml:space="preserve"> </w:t>
      </w:r>
      <w:r w:rsidRPr="00331B68">
        <w:rPr>
          <w:i/>
        </w:rPr>
        <w:t>Part 1 Procedural Amendments Order</w:t>
      </w:r>
      <w:r w:rsidRPr="00331B68">
        <w:t>, 25 FCC Rcd at 522, para. 4.  This process differs from filing procedures used in connection with other Commission rules and processes which may call for submission of filings to the Commission’s Office of the Secretary or the Electronic Comment Filing System (ECFS).  Filing through the Office of Secretary or ECFS could allow the report to become publicly available and might result in the communication of prohibited information to other auction applicants.</w:t>
      </w:r>
    </w:p>
  </w:footnote>
  <w:footnote w:id="41">
    <w:p w:rsidR="00AE7482" w:rsidRPr="00331B68" w:rsidP="00C96CC6" w14:paraId="7E60A2F6" w14:textId="77777777">
      <w:pPr>
        <w:pStyle w:val="FootnoteText"/>
      </w:pPr>
      <w:r w:rsidRPr="00331B68">
        <w:rPr>
          <w:rStyle w:val="FootnoteReference"/>
          <w:sz w:val="20"/>
        </w:rPr>
        <w:footnoteRef/>
      </w:r>
      <w:r w:rsidRPr="00331B68">
        <w:t xml:space="preserve"> </w:t>
      </w:r>
      <w:r w:rsidRPr="00331B68">
        <w:rPr>
          <w:i/>
        </w:rPr>
        <w:t>Id</w:t>
      </w:r>
      <w:r w:rsidRPr="00331B68">
        <w:t>.</w:t>
      </w:r>
    </w:p>
  </w:footnote>
  <w:footnote w:id="42">
    <w:p w:rsidR="00AE7482" w:rsidRPr="00331B68" w:rsidP="00C96CC6" w14:paraId="5C58B864" w14:textId="7B98411C">
      <w:pPr>
        <w:pStyle w:val="FootnoteText"/>
      </w:pPr>
      <w:r w:rsidRPr="00331B68">
        <w:rPr>
          <w:rStyle w:val="FootnoteReference"/>
          <w:sz w:val="20"/>
        </w:rPr>
        <w:footnoteRef/>
      </w:r>
      <w:r w:rsidRPr="00331B68">
        <w:t xml:space="preserve"> </w:t>
      </w:r>
      <w:r w:rsidRPr="00331B68">
        <w:rPr>
          <w:i/>
        </w:rPr>
        <w:t xml:space="preserve">See </w:t>
      </w:r>
      <w:r w:rsidRPr="00331B68">
        <w:t xml:space="preserve">47 CFR § 0.459 (requests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any such filing should include a cover page stamped with “Request for Confidential Treatment Attached” or “Not for Public Inspection.”  Any such request must cover all of the material to which the request applies.  </w:t>
      </w:r>
      <w:r w:rsidRPr="00331B68">
        <w:rPr>
          <w:i/>
        </w:rPr>
        <w:t xml:space="preserve">See </w:t>
      </w:r>
      <w:r w:rsidRPr="00331B68">
        <w:t xml:space="preserve">47 CFR § 0.459(a).  </w:t>
      </w:r>
    </w:p>
  </w:footnote>
  <w:footnote w:id="43">
    <w:p w:rsidR="00AE7482" w:rsidRPr="00331B68" w:rsidP="00C96CC6" w14:paraId="52A6CC70" w14:textId="15FB1083">
      <w:pPr>
        <w:pStyle w:val="FootnoteText"/>
      </w:pPr>
      <w:r w:rsidRPr="00331B68">
        <w:rPr>
          <w:rStyle w:val="FootnoteReference"/>
          <w:sz w:val="20"/>
        </w:rPr>
        <w:footnoteRef/>
      </w:r>
      <w:r w:rsidRPr="00331B68">
        <w:t xml:space="preserve"> </w:t>
      </w:r>
      <w:r w:rsidRPr="00331B68">
        <w:rPr>
          <w:i/>
        </w:rPr>
        <w:t>See</w:t>
      </w:r>
      <w:r w:rsidRPr="00331B68">
        <w:t xml:space="preserve"> Section VII. “Contact Information,” below.</w:t>
      </w:r>
    </w:p>
  </w:footnote>
  <w:footnote w:id="44">
    <w:p w:rsidR="00AE7482" w:rsidRPr="00331B68" w:rsidP="00C96CC6" w14:paraId="63FDC50B" w14:textId="50F7D956">
      <w:pPr>
        <w:pStyle w:val="FootnoteText"/>
      </w:pPr>
      <w:r w:rsidRPr="00331B68">
        <w:rPr>
          <w:rStyle w:val="FootnoteReference"/>
          <w:sz w:val="20"/>
        </w:rPr>
        <w:footnoteRef/>
      </w:r>
      <w:r w:rsidRPr="00331B68">
        <w:t xml:space="preserve"> </w:t>
      </w:r>
      <w:r w:rsidRPr="00331B68">
        <w:rPr>
          <w:i/>
        </w:rPr>
        <w:t xml:space="preserve">See </w:t>
      </w:r>
      <w:r w:rsidRPr="00331B68">
        <w:t>Section II. A. “Maintaining Current Information in Short-Form Applications,” below.</w:t>
      </w:r>
    </w:p>
  </w:footnote>
  <w:footnote w:id="45">
    <w:p w:rsidR="00AE7482" w:rsidRPr="00331B68" w:rsidP="00C96CC6" w14:paraId="197D2777" w14:textId="77777777">
      <w:pPr>
        <w:pStyle w:val="FootnoteText"/>
      </w:pPr>
      <w:r w:rsidRPr="00331B68">
        <w:rPr>
          <w:rStyle w:val="FootnoteReference"/>
          <w:sz w:val="20"/>
        </w:rPr>
        <w:footnoteRef/>
      </w:r>
      <w:r w:rsidRPr="00331B68">
        <w:t xml:space="preserve"> </w:t>
      </w:r>
      <w:r w:rsidRPr="00331B68">
        <w:rPr>
          <w:i/>
        </w:rPr>
        <w:t>See Prohibited Communications Public Notice</w:t>
      </w:r>
      <w:r w:rsidRPr="00331B68">
        <w:t>, 30 FCC Rcd at 10794.</w:t>
      </w:r>
    </w:p>
  </w:footnote>
  <w:footnote w:id="46">
    <w:p w:rsidR="00AE7482" w:rsidRPr="00331B68" w:rsidP="00C96CC6" w14:paraId="715FCC5B" w14:textId="77777777">
      <w:pPr>
        <w:pStyle w:val="FootnoteText"/>
      </w:pPr>
      <w:r w:rsidRPr="00331B68">
        <w:rPr>
          <w:rStyle w:val="FootnoteReference"/>
          <w:sz w:val="20"/>
        </w:rPr>
        <w:footnoteRef/>
      </w:r>
      <w:r w:rsidRPr="00331B68">
        <w:t xml:space="preserve"> 47 CFR § 1.2107(d).</w:t>
      </w:r>
    </w:p>
  </w:footnote>
  <w:footnote w:id="47">
    <w:p w:rsidR="00AE7482" w:rsidRPr="00331B68" w:rsidP="00C96CC6" w14:paraId="032FADE2" w14:textId="671EC949">
      <w:pPr>
        <w:pStyle w:val="FootnoteText"/>
      </w:pPr>
      <w:r w:rsidRPr="00331B68">
        <w:rPr>
          <w:rStyle w:val="FootnoteReference"/>
          <w:sz w:val="20"/>
        </w:rPr>
        <w:footnoteRef/>
      </w:r>
      <w:r w:rsidRPr="00331B68">
        <w:t xml:space="preserve"> </w:t>
      </w:r>
      <w:r w:rsidRPr="00331B68">
        <w:rPr>
          <w:i/>
        </w:rPr>
        <w:t>See Amendment of Part 1 of the Commission's Rules – Competitive Bidding Procedures</w:t>
      </w:r>
      <w:r w:rsidRPr="00331B68">
        <w:t xml:space="preserve">, Third Further Notice of Proposed Rulemaking, 14 FCC Rcd 21558, 21560-61, para. 4 &amp; n.17 (1999) quoting </w:t>
      </w:r>
      <w:r w:rsidRPr="00331B68">
        <w:rPr>
          <w:i/>
        </w:rPr>
        <w:t>Competitive Bidding Memorandum Opinion and Order</w:t>
      </w:r>
      <w:r w:rsidRPr="00331B68">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331B68">
        <w:rPr>
          <w:i/>
        </w:rPr>
        <w:t>Implementation of Section 309(j) of the Communications Act–Competitive Bidding</w:t>
      </w:r>
      <w:r w:rsidRPr="00331B68">
        <w:t>, Fourth Memorandum Opinion and Order, 9 FCC Rcd 6858, 6869 n.134 (1994) (</w:t>
      </w:r>
      <w:r w:rsidRPr="00331B68">
        <w:rPr>
          <w:i/>
        </w:rPr>
        <w:t>Fourth Memorandum Opinion and Order</w:t>
      </w:r>
      <w:r w:rsidRPr="00331B68">
        <w:t>) (“[A]pplicants will also be subject to existing antitrust laws.”).</w:t>
      </w:r>
      <w:r w:rsidRPr="00331B68">
        <w:rPr>
          <w:i/>
        </w:rPr>
        <w:t xml:space="preserve">  </w:t>
      </w:r>
    </w:p>
  </w:footnote>
  <w:footnote w:id="48">
    <w:p w:rsidR="00AE7482" w:rsidRPr="00331B68" w:rsidP="00C96CC6" w14:paraId="572E5D17" w14:textId="231CEDDB">
      <w:pPr>
        <w:pStyle w:val="FootnoteText"/>
      </w:pPr>
      <w:r w:rsidRPr="00331B68">
        <w:rPr>
          <w:rStyle w:val="FootnoteReference"/>
          <w:sz w:val="20"/>
        </w:rPr>
        <w:footnoteRef/>
      </w:r>
      <w:r w:rsidRPr="00331B68">
        <w:t xml:space="preserve"> </w:t>
      </w:r>
      <w:r w:rsidRPr="00331B68">
        <w:rPr>
          <w:i/>
        </w:rPr>
        <w:t>See Competitive Bidding Memorandum Opinion and Order</w:t>
      </w:r>
      <w:r w:rsidRPr="00331B68">
        <w:t xml:space="preserve">, 9 FCC Rcd at 7689, para. 12.  </w:t>
      </w:r>
      <w:r w:rsidRPr="00331B68">
        <w:rPr>
          <w:i/>
        </w:rPr>
        <w:t>See also</w:t>
      </w:r>
      <w:r w:rsidRPr="00331B68">
        <w:t xml:space="preserve"> “Justice Department Sues Three Firms Over FCC Auction Practices,” </w:t>
      </w:r>
      <w:r w:rsidRPr="00331B68">
        <w:rPr>
          <w:i/>
        </w:rPr>
        <w:t>Press Release</w:t>
      </w:r>
      <w:r w:rsidRPr="00331B68">
        <w:t xml:space="preserve"> 98-536 (DOJ Nov. 10, 1998). </w:t>
      </w:r>
    </w:p>
  </w:footnote>
  <w:footnote w:id="49">
    <w:p w:rsidR="00AE7482" w:rsidRPr="00331B68" w:rsidP="00C96CC6" w14:paraId="28B618B8" w14:textId="77777777">
      <w:pPr>
        <w:pStyle w:val="FootnoteText"/>
      </w:pPr>
      <w:r w:rsidRPr="00331B68">
        <w:rPr>
          <w:rStyle w:val="FootnoteReference"/>
          <w:sz w:val="20"/>
        </w:rPr>
        <w:footnoteRef/>
      </w:r>
      <w:r w:rsidRPr="00331B68">
        <w:t xml:space="preserve"> </w:t>
      </w:r>
      <w:r w:rsidRPr="00331B68">
        <w:rPr>
          <w:i/>
        </w:rPr>
        <w:t>See, e.g</w:t>
      </w:r>
      <w:r w:rsidRPr="00331B68">
        <w:t xml:space="preserve">., </w:t>
      </w:r>
      <w:r w:rsidRPr="00331B68">
        <w:rPr>
          <w:i/>
        </w:rPr>
        <w:t>Fourth Memorandum Opinion and Order</w:t>
      </w:r>
      <w:r w:rsidRPr="00331B68">
        <w:t xml:space="preserve">, 9 FCC Rcd at 6869 n.134.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331B68">
        <w:rPr>
          <w:i/>
        </w:rPr>
        <w:t>Id.</w:t>
      </w:r>
      <w:r w:rsidRPr="00331B68">
        <w:t xml:space="preserve">  </w:t>
      </w:r>
    </w:p>
  </w:footnote>
  <w:footnote w:id="50">
    <w:p w:rsidR="00AE7482" w:rsidRPr="00331B68" w:rsidP="00C96CC6" w14:paraId="6CDF21C2" w14:textId="6CA80624">
      <w:pPr>
        <w:pStyle w:val="FootnoteText"/>
      </w:pPr>
      <w:r w:rsidRPr="00331B68">
        <w:rPr>
          <w:rStyle w:val="FootnoteReference"/>
          <w:sz w:val="20"/>
        </w:rPr>
        <w:footnoteRef/>
      </w:r>
      <w:r w:rsidRPr="00331B68">
        <w:t xml:space="preserve"> </w:t>
      </w:r>
      <w:r w:rsidRPr="00331B68">
        <w:rPr>
          <w:i/>
        </w:rPr>
        <w:t>Wireless Telecommunications Bureau Clarifies Spectrum Auction Anti-Collusion Rules</w:t>
      </w:r>
      <w:r w:rsidRPr="00331B68">
        <w:t>, Public Notice, 11 FCC Rcd 9645, 9646 (WTB 1995)</w:t>
      </w:r>
      <w:r w:rsidRPr="00331B68">
        <w:rPr>
          <w:i/>
        </w:rPr>
        <w:t>.</w:t>
      </w:r>
    </w:p>
  </w:footnote>
  <w:footnote w:id="51">
    <w:p w:rsidR="00AE7482" w:rsidRPr="00331B68" w:rsidP="00C96CC6" w14:paraId="471F044A" w14:textId="27DDB976">
      <w:pPr>
        <w:widowControl/>
        <w:spacing w:after="120"/>
        <w:rPr>
          <w:color w:val="000000"/>
          <w:sz w:val="20"/>
        </w:rPr>
      </w:pPr>
      <w:r w:rsidRPr="00331B68">
        <w:rPr>
          <w:rStyle w:val="FootnoteReference"/>
          <w:sz w:val="20"/>
        </w:rPr>
        <w:footnoteRef/>
      </w:r>
      <w:r w:rsidRPr="00331B68">
        <w:rPr>
          <w:sz w:val="20"/>
        </w:rPr>
        <w:t xml:space="preserve"> </w:t>
      </w:r>
      <w:r w:rsidRPr="00331B68">
        <w:rPr>
          <w:i/>
          <w:sz w:val="20"/>
        </w:rPr>
        <w:t>See</w:t>
      </w:r>
      <w:r w:rsidRPr="00331B68">
        <w:rPr>
          <w:sz w:val="20"/>
        </w:rPr>
        <w:t xml:space="preserve"> </w:t>
      </w:r>
      <w:r w:rsidRPr="00331B68">
        <w:rPr>
          <w:i/>
          <w:color w:val="000000"/>
          <w:sz w:val="20"/>
        </w:rPr>
        <w:t xml:space="preserve">Implementation of Section 309(j) of the Communications Act </w:t>
      </w:r>
      <w:r w:rsidRPr="00331B68">
        <w:rPr>
          <w:rFonts w:eastAsia="MS Mincho"/>
          <w:i/>
          <w:color w:val="000000"/>
          <w:sz w:val="20"/>
        </w:rPr>
        <w:t>–</w:t>
      </w:r>
      <w:r w:rsidRPr="00331B68">
        <w:rPr>
          <w:i/>
          <w:color w:val="000000"/>
          <w:sz w:val="20"/>
        </w:rPr>
        <w:t xml:space="preserve"> Competitive Bidding</w:t>
      </w:r>
      <w:r w:rsidRPr="00331B68">
        <w:rPr>
          <w:color w:val="000000"/>
          <w:sz w:val="20"/>
        </w:rPr>
        <w:t>, Second Report and Order, 9 FCC Rcd 2348, 2388, para. 226 (1994) (</w:t>
      </w:r>
      <w:r w:rsidRPr="00331B68">
        <w:rPr>
          <w:i/>
          <w:sz w:val="20"/>
        </w:rPr>
        <w:t>Competitive Bidding Second Report and Order</w:t>
      </w:r>
      <w:r w:rsidRPr="00331B68">
        <w:rPr>
          <w:sz w:val="20"/>
        </w:rPr>
        <w:t>).</w:t>
      </w:r>
    </w:p>
  </w:footnote>
  <w:footnote w:id="52">
    <w:p w:rsidR="00AE7482" w:rsidRPr="00331B68" w:rsidP="00C96CC6" w14:paraId="0BF46B9E" w14:textId="0020A19D">
      <w:pPr>
        <w:pStyle w:val="FootnoteText"/>
      </w:pPr>
      <w:r w:rsidRPr="00331B68">
        <w:rPr>
          <w:rStyle w:val="FootnoteReference"/>
          <w:sz w:val="20"/>
        </w:rPr>
        <w:footnoteRef/>
      </w:r>
      <w:r w:rsidRPr="00331B68">
        <w:t xml:space="preserve"> </w:t>
      </w:r>
      <w:r w:rsidRPr="00331B68">
        <w:rPr>
          <w:i/>
        </w:rPr>
        <w:t xml:space="preserve">See </w:t>
      </w:r>
      <w:r w:rsidRPr="00331B68">
        <w:t xml:space="preserve">47 CFR § 1.2109(d); </w:t>
      </w:r>
      <w:r w:rsidRPr="00331B68">
        <w:rPr>
          <w:i/>
        </w:rPr>
        <w:t>see also</w:t>
      </w:r>
      <w:r w:rsidRPr="00331B68">
        <w:t xml:space="preserve"> </w:t>
      </w:r>
      <w:r w:rsidRPr="00331B68">
        <w:rPr>
          <w:i/>
        </w:rPr>
        <w:t>Competitive Bidding Second Report and Order</w:t>
      </w:r>
      <w:r w:rsidRPr="00331B68">
        <w:t>, 9 FCC Rcd at 2388,</w:t>
      </w:r>
      <w:r w:rsidRPr="00331B68">
        <w:rPr>
          <w:i/>
        </w:rPr>
        <w:t xml:space="preserve"> </w:t>
      </w:r>
      <w:r w:rsidRPr="00331B68">
        <w:t>para. 226.</w:t>
      </w:r>
    </w:p>
  </w:footnote>
  <w:footnote w:id="53">
    <w:p w:rsidR="00AE7482" w:rsidRPr="00331B68" w:rsidP="00C96CC6" w14:paraId="3AD152FB" w14:textId="77777777">
      <w:pPr>
        <w:pStyle w:val="FootnoteText"/>
      </w:pPr>
      <w:r w:rsidRPr="00331B68">
        <w:rPr>
          <w:rStyle w:val="FootnoteReference"/>
          <w:sz w:val="20"/>
        </w:rPr>
        <w:footnoteRef/>
      </w:r>
      <w:r w:rsidRPr="00331B68">
        <w:t xml:space="preserve"> 47 CFR Part 1, Subpart I.</w:t>
      </w:r>
    </w:p>
  </w:footnote>
  <w:footnote w:id="54">
    <w:p w:rsidR="00AE7482" w:rsidRPr="00331B68" w:rsidP="00C96CC6" w14:paraId="0B694513" w14:textId="3E2564F6">
      <w:pPr>
        <w:pStyle w:val="FootnoteText"/>
      </w:pPr>
      <w:r w:rsidRPr="00331B68">
        <w:rPr>
          <w:rStyle w:val="FootnoteReference"/>
          <w:sz w:val="20"/>
        </w:rPr>
        <w:footnoteRef/>
      </w:r>
      <w:r w:rsidRPr="00331B68">
        <w:t xml:space="preserve"> </w:t>
      </w:r>
      <w:r w:rsidRPr="00331B68">
        <w:rPr>
          <w:i/>
        </w:rPr>
        <w:t xml:space="preserve">See </w:t>
      </w:r>
      <w:r w:rsidRPr="00331B68">
        <w:t>Section IV.A.1. “Simultaneous Multiple-Round Auction,” below.</w:t>
      </w:r>
    </w:p>
  </w:footnote>
  <w:footnote w:id="55">
    <w:p w:rsidR="00AE7482" w:rsidRPr="00331B68" w:rsidP="00C96CC6" w14:paraId="608B8DDE" w14:textId="6E826307">
      <w:pPr>
        <w:pStyle w:val="FootnoteText"/>
      </w:pPr>
      <w:r w:rsidRPr="00331B68">
        <w:rPr>
          <w:rStyle w:val="FootnoteReference"/>
          <w:sz w:val="20"/>
        </w:rPr>
        <w:footnoteRef/>
      </w:r>
      <w:r w:rsidRPr="00331B68">
        <w:t xml:space="preserve"> </w:t>
      </w:r>
      <w:r w:rsidRPr="00331B68">
        <w:rPr>
          <w:i/>
        </w:rPr>
        <w:t>See, e.g., Vermont Telephone Co</w:t>
      </w:r>
      <w:r w:rsidRPr="00331B68">
        <w:t>., Notice of Apparent Liability for Forfeiture, 26 FCC Rcd 14130 (EB 2011).</w:t>
      </w:r>
    </w:p>
  </w:footnote>
  <w:footnote w:id="56">
    <w:p w:rsidR="00AE7482" w:rsidRPr="00331B68" w:rsidP="00C96CC6" w14:paraId="64CE5EAE" w14:textId="7EE4AAEB">
      <w:pPr>
        <w:pStyle w:val="FootnoteText"/>
      </w:pPr>
      <w:r w:rsidRPr="00331B68">
        <w:rPr>
          <w:rStyle w:val="FootnoteReference"/>
          <w:sz w:val="20"/>
        </w:rPr>
        <w:footnoteRef/>
      </w:r>
      <w:r w:rsidRPr="00331B68">
        <w:t xml:space="preserve"> 47 CFR §§ 1.65, 1.2105(b).  </w:t>
      </w:r>
      <w:r w:rsidRPr="00331B68">
        <w:rPr>
          <w:i/>
        </w:rPr>
        <w:t>See also Part 1 Procedural Amendments Order</w:t>
      </w:r>
      <w:r w:rsidRPr="00331B68">
        <w:t>, 25 FCC Rcd at 523, para. 8.</w:t>
      </w:r>
    </w:p>
  </w:footnote>
  <w:footnote w:id="57">
    <w:p w:rsidR="00AE7482" w:rsidRPr="00331B68" w:rsidP="00C96CC6" w14:paraId="5C131BAA" w14:textId="77777777">
      <w:pPr>
        <w:pStyle w:val="FootnoteText"/>
      </w:pPr>
      <w:r w:rsidRPr="00331B68">
        <w:rPr>
          <w:rStyle w:val="FootnoteReference"/>
          <w:sz w:val="20"/>
        </w:rPr>
        <w:footnoteRef/>
      </w:r>
      <w:r w:rsidRPr="00331B68">
        <w:t xml:space="preserve"> 47 CFR § 1.2105(b)(2).  Minor amendments include any changes that are not major, such as correcting typographical errors or supplying and correcting information as requested to support the certifications made in the application.  </w:t>
      </w:r>
      <w:r w:rsidRPr="00331B68">
        <w:rPr>
          <w:i/>
        </w:rPr>
        <w:t>Id.</w:t>
      </w:r>
    </w:p>
  </w:footnote>
  <w:footnote w:id="58">
    <w:p w:rsidR="00AE7482" w:rsidRPr="00331B68" w:rsidP="00C96CC6" w14:paraId="64193C85" w14:textId="3B9F3808">
      <w:pPr>
        <w:pStyle w:val="FootnoteText"/>
      </w:pPr>
      <w:r w:rsidRPr="00331B68">
        <w:rPr>
          <w:rStyle w:val="FootnoteReference"/>
          <w:sz w:val="20"/>
        </w:rPr>
        <w:footnoteRef/>
      </w:r>
      <w:r w:rsidRPr="00331B68">
        <w:t xml:space="preserve"> </w:t>
      </w:r>
      <w:r w:rsidRPr="00331B68">
        <w:rPr>
          <w:i/>
        </w:rPr>
        <w:t xml:space="preserve">Id.  </w:t>
      </w:r>
      <w:r w:rsidRPr="00331B68">
        <w:t>Even if an applicant’s FCC Form 175 is dismissed, the applicant would remain subject to the prohibitions on certain communications of 47 CFR § 1.2105(c) until the down payment deadline for Auction 100.</w:t>
      </w:r>
    </w:p>
  </w:footnote>
  <w:footnote w:id="59">
    <w:p w:rsidR="00AE7482" w:rsidRPr="00331B68" w:rsidP="00C96CC6" w14:paraId="546DCA2C" w14:textId="77777777">
      <w:pPr>
        <w:pStyle w:val="FootnoteText"/>
      </w:pPr>
      <w:r w:rsidRPr="00331B68">
        <w:rPr>
          <w:rStyle w:val="FootnoteReference"/>
          <w:sz w:val="20"/>
        </w:rPr>
        <w:footnoteRef/>
      </w:r>
      <w:r w:rsidRPr="00331B68">
        <w:t xml:space="preserve"> </w:t>
      </w:r>
      <w:r w:rsidRPr="00331B68">
        <w:rPr>
          <w:i/>
        </w:rPr>
        <w:t>See</w:t>
      </w:r>
      <w:r w:rsidRPr="00331B68">
        <w:t xml:space="preserve"> 47 CFR § 1.2105(b)(2).  Any change in control of the applicant will be considered a major modification, and consequently the application will be dismissed.  </w:t>
      </w:r>
    </w:p>
  </w:footnote>
  <w:footnote w:id="60">
    <w:p w:rsidR="00AE7482" w:rsidRPr="00331B68" w:rsidP="00C96CC6" w14:paraId="12F1D6C0" w14:textId="77777777">
      <w:pPr>
        <w:pStyle w:val="FootnoteText"/>
      </w:pPr>
      <w:r w:rsidRPr="00331B68">
        <w:rPr>
          <w:rStyle w:val="FootnoteReference"/>
          <w:sz w:val="20"/>
        </w:rPr>
        <w:footnoteRef/>
      </w:r>
      <w:r w:rsidRPr="00331B68">
        <w:t xml:space="preserve"> None of the FM translator construction permits listed in Attachment A are proposed as noncommercial educational facilities.  </w:t>
      </w:r>
      <w:r w:rsidRPr="00331B68">
        <w:rPr>
          <w:i/>
        </w:rPr>
        <w:t>See</w:t>
      </w:r>
      <w:r w:rsidRPr="00331B68">
        <w:t xml:space="preserve"> 47 U.S.C. §§ 309(j)(2)(C), 397(6)(B).  </w:t>
      </w:r>
    </w:p>
  </w:footnote>
  <w:footnote w:id="61">
    <w:p w:rsidR="00AE7482" w:rsidRPr="00331B68" w:rsidP="00C96CC6" w14:paraId="62C83247" w14:textId="35BDA8B1">
      <w:pPr>
        <w:pStyle w:val="FootnoteText"/>
      </w:pPr>
      <w:r w:rsidRPr="00331B68">
        <w:rPr>
          <w:rStyle w:val="FootnoteReference"/>
          <w:sz w:val="20"/>
        </w:rPr>
        <w:footnoteRef/>
      </w:r>
      <w:r w:rsidRPr="00331B68">
        <w:t xml:space="preserve"> After the revised application has been submitted, a confirmation page will be displayed with the submission time, submission date, and a unique file number.  In addition, a confirmation email will be sent to the applicant’s contact representative. </w:t>
      </w:r>
    </w:p>
  </w:footnote>
  <w:footnote w:id="62">
    <w:p w:rsidR="00AE7482" w:rsidRPr="00331B68" w:rsidP="00C96CC6" w14:paraId="353DC647" w14:textId="42084BEE">
      <w:pPr>
        <w:pStyle w:val="FootnoteText"/>
      </w:pPr>
      <w:r w:rsidRPr="00331B68">
        <w:rPr>
          <w:rStyle w:val="FootnoteReference"/>
          <w:sz w:val="20"/>
        </w:rPr>
        <w:footnoteRef/>
      </w:r>
      <w:r w:rsidRPr="00331B68">
        <w:t xml:space="preserve"> 47 CFR §§ 1.2105(a)(2)(xi), (xii), 1.2105(b)(1), and 1.2106(a); </w:t>
      </w:r>
      <w:r w:rsidRPr="00331B68">
        <w:rPr>
          <w:i/>
        </w:rPr>
        <w:t>see Part 1 Fifth Report and Order</w:t>
      </w:r>
      <w:r w:rsidRPr="00331B68">
        <w:t>, 15 FCC Rcd at 15317, para. 42 &amp; 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 [the rules]…and will not be eligible to participate in Commission auctions.”)</w:t>
      </w:r>
    </w:p>
  </w:footnote>
  <w:footnote w:id="63">
    <w:p w:rsidR="00AE7482" w:rsidRPr="00331B68" w:rsidP="00C96CC6" w14:paraId="1DEC6EA2" w14:textId="5355D0F0">
      <w:pPr>
        <w:pStyle w:val="FootnoteText"/>
      </w:pPr>
      <w:r w:rsidRPr="00331B68">
        <w:rPr>
          <w:rStyle w:val="FootnoteReference"/>
          <w:sz w:val="20"/>
        </w:rPr>
        <w:footnoteRef/>
      </w:r>
      <w:r w:rsidRPr="00331B68">
        <w:t xml:space="preserve"> 47 CFR § 1.2105(a)(2)(xi);</w:t>
      </w:r>
      <w:r w:rsidRPr="00331B68">
        <w:rPr>
          <w:i/>
        </w:rPr>
        <w:t xml:space="preserve"> see Part 1 Fifth Report and Order</w:t>
      </w:r>
      <w:r w:rsidRPr="00331B68">
        <w:t xml:space="preserve">, 15 FCC Rcd at 15317, para. 42 &amp; n.142; </w:t>
      </w:r>
      <w:r w:rsidRPr="00331B68">
        <w:rPr>
          <w:i/>
        </w:rPr>
        <w:t>Wireless Telecommunications Bureau Reminds Prospective Broadband PCS Spectrum Auction Applicants of Default and Delinquency Disclosure Requirements</w:t>
      </w:r>
      <w:r w:rsidRPr="00331B68">
        <w:t>, Public Notice 19 FCC Rcd 21920 (WTB 2004) (</w:t>
      </w:r>
      <w:r w:rsidRPr="00331B68">
        <w:rPr>
          <w:i/>
        </w:rPr>
        <w:t>Auction Default Disclosure Public Notice</w:t>
      </w:r>
      <w:r w:rsidRPr="00331B68">
        <w:t xml:space="preserve">).  </w:t>
      </w:r>
    </w:p>
  </w:footnote>
  <w:footnote w:id="64">
    <w:p w:rsidR="00AE7482" w:rsidRPr="00331B68" w:rsidP="00C96CC6" w14:paraId="125CF25A" w14:textId="77777777">
      <w:pPr>
        <w:pStyle w:val="FootnoteText"/>
      </w:pPr>
      <w:r w:rsidRPr="00331B68">
        <w:rPr>
          <w:rStyle w:val="FootnoteReference"/>
          <w:sz w:val="20"/>
        </w:rPr>
        <w:footnoteRef/>
      </w:r>
      <w:r w:rsidRPr="00331B68">
        <w:t xml:space="preserve"> For purposes of making this certification, the term “affiliate” is defined in 47 CFR § 1.2110. </w:t>
      </w:r>
    </w:p>
  </w:footnote>
  <w:footnote w:id="65">
    <w:p w:rsidR="00AE7482" w:rsidRPr="00331B68" w:rsidP="00C96CC6" w14:paraId="12CA34B3" w14:textId="77777777">
      <w:pPr>
        <w:pStyle w:val="FootnoteText"/>
      </w:pPr>
      <w:r w:rsidRPr="00331B68">
        <w:rPr>
          <w:rStyle w:val="FootnoteReference"/>
          <w:sz w:val="20"/>
        </w:rPr>
        <w:footnoteRef/>
      </w:r>
      <w:r w:rsidRPr="00331B68">
        <w:t xml:space="preserve"> For purposes of making this certification, the term “controlling interest” is defined in 47 CFR § 1.2105(a)(4)(i).</w:t>
      </w:r>
    </w:p>
  </w:footnote>
  <w:footnote w:id="66">
    <w:p w:rsidR="00AE7482" w:rsidRPr="00DB674C" w:rsidP="00C96CC6" w14:paraId="72546DDF" w14:textId="1E3D5B1C">
      <w:pPr>
        <w:pStyle w:val="FootnoteText"/>
        <w:rPr>
          <w:rStyle w:val="FootnoteTextChar3"/>
        </w:rPr>
      </w:pPr>
      <w:r w:rsidRPr="00331B68">
        <w:rPr>
          <w:rStyle w:val="FootnoteReference"/>
          <w:sz w:val="20"/>
        </w:rPr>
        <w:footnoteRef/>
      </w:r>
      <w:r w:rsidRPr="00331B68">
        <w:rPr>
          <w:rStyle w:val="FootnoteReference"/>
          <w:sz w:val="20"/>
        </w:rPr>
        <w:t xml:space="preserve"> </w:t>
      </w:r>
      <w:r w:rsidRPr="00331B68">
        <w:rPr>
          <w:snapToGrid w:val="0"/>
        </w:rPr>
        <w:t xml:space="preserve">47 CFR § 1.2105(a)(2)(xii); </w:t>
      </w:r>
      <w:r w:rsidRPr="00331B68">
        <w:rPr>
          <w:i/>
          <w:snapToGrid w:val="0"/>
        </w:rPr>
        <w:t xml:space="preserve">see also </w:t>
      </w:r>
      <w:r w:rsidRPr="00331B68">
        <w:rPr>
          <w:i/>
        </w:rPr>
        <w:t>Part</w:t>
      </w:r>
      <w:r w:rsidRPr="00331B68">
        <w:rPr>
          <w:i/>
          <w:snapToGrid w:val="0"/>
        </w:rPr>
        <w:t xml:space="preserve"> 1 Fifth Report and Order</w:t>
      </w:r>
      <w:r w:rsidRPr="00331B68">
        <w:rPr>
          <w:snapToGrid w:val="0"/>
        </w:rPr>
        <w:t xml:space="preserve">, 15 FCC Rcd at 15317, para. 42 </w:t>
      </w:r>
      <w:r w:rsidRPr="00331B68">
        <w:t>&amp;</w:t>
      </w:r>
      <w:r w:rsidRPr="00331B68">
        <w:rPr>
          <w:snapToGrid w:val="0"/>
        </w:rPr>
        <w:t xml:space="preserve"> n.142.  Auction 100</w:t>
      </w:r>
      <w:r w:rsidRPr="00331B68">
        <w:t xml:space="preserve"> applicants are reminded that submission of a false certification to the Commission is a serious matter that may result in severe penalties, including monetary forfeitures, license revocations, exclusion from participation in future auctions, and/or criminal prosecution.</w:t>
      </w:r>
    </w:p>
  </w:footnote>
  <w:footnote w:id="67">
    <w:p w:rsidR="00AE7482" w:rsidRPr="00331B68" w:rsidP="00C96CC6" w14:paraId="2C0802B8" w14:textId="77777777">
      <w:pPr>
        <w:pStyle w:val="FootnoteText"/>
      </w:pPr>
      <w:r w:rsidRPr="00331B68">
        <w:rPr>
          <w:rStyle w:val="FootnoteReference"/>
          <w:sz w:val="20"/>
        </w:rPr>
        <w:footnoteRef/>
      </w:r>
      <w:r w:rsidRPr="00331B68">
        <w:t xml:space="preserve"> For Auction 100, this deadline was 6:00 p.m. ET on January 31, 2018.</w:t>
      </w:r>
    </w:p>
  </w:footnote>
  <w:footnote w:id="68">
    <w:p w:rsidR="00AE7482" w:rsidRPr="00331B68" w:rsidP="00C96CC6" w14:paraId="4A5D0650" w14:textId="77777777">
      <w:pPr>
        <w:pStyle w:val="FootnoteText"/>
      </w:pPr>
      <w:r w:rsidRPr="00331B68">
        <w:rPr>
          <w:rStyle w:val="FootnoteReference"/>
          <w:sz w:val="20"/>
        </w:rPr>
        <w:footnoteRef/>
      </w:r>
      <w:r w:rsidRPr="00331B68">
        <w:t xml:space="preserve"> 47 CFR § 1.2105(a)(2)(xii).  For purposes of making this certification, the term “controlling interest” is defined in 47 CFR § 1.2105(a)(4)(i).</w:t>
      </w:r>
    </w:p>
  </w:footnote>
  <w:footnote w:id="69">
    <w:p w:rsidR="00AE7482" w:rsidRPr="00331B68" w:rsidP="00C96CC6" w14:paraId="6DC8111D" w14:textId="77777777">
      <w:pPr>
        <w:pStyle w:val="FootnoteText"/>
      </w:pPr>
      <w:r w:rsidRPr="00331B68">
        <w:rPr>
          <w:rStyle w:val="FootnoteReference"/>
          <w:sz w:val="20"/>
        </w:rPr>
        <w:footnoteRef/>
      </w:r>
      <w:r w:rsidRPr="00331B68">
        <w:t xml:space="preserve"> 47 CFR §§ 1.2105(a)(2)(xii), 1.2105(b)(1), 1.2106(a).    </w:t>
      </w:r>
    </w:p>
  </w:footnote>
  <w:footnote w:id="70">
    <w:p w:rsidR="00AE7482" w:rsidRPr="00331B68" w:rsidP="00C96CC6" w14:paraId="2F456E83" w14:textId="77777777">
      <w:pPr>
        <w:pStyle w:val="FootnoteText"/>
      </w:pPr>
      <w:r w:rsidRPr="00331B68">
        <w:rPr>
          <w:rStyle w:val="FootnoteReference"/>
          <w:sz w:val="20"/>
        </w:rPr>
        <w:footnoteRef/>
      </w:r>
      <w:r w:rsidRPr="00331B68">
        <w:t xml:space="preserve"> </w:t>
      </w:r>
      <w:r w:rsidRPr="00331B68">
        <w:rPr>
          <w:i/>
        </w:rPr>
        <w:t>See</w:t>
      </w:r>
      <w:r w:rsidRPr="00331B68">
        <w:t xml:space="preserve"> </w:t>
      </w:r>
      <w:r w:rsidRPr="00331B68">
        <w:rPr>
          <w:i/>
        </w:rPr>
        <w:t>Updating Part 1 Order</w:t>
      </w:r>
      <w:r w:rsidRPr="00331B68">
        <w:t>,</w:t>
      </w:r>
      <w:r w:rsidRPr="00331B68">
        <w:rPr>
          <w:i/>
        </w:rPr>
        <w:t xml:space="preserve"> </w:t>
      </w:r>
      <w:r w:rsidRPr="00331B68">
        <w:t xml:space="preserve">30 FCC Rcd at 7568, para. 175; </w:t>
      </w:r>
      <w:r w:rsidRPr="00331B68">
        <w:rPr>
          <w:i/>
        </w:rPr>
        <w:t xml:space="preserve">see also </w:t>
      </w:r>
      <w:r w:rsidRPr="00331B68">
        <w:t>47 CFR § 1.2105(a)(2)(xii), (c)(1).</w:t>
      </w:r>
    </w:p>
  </w:footnote>
  <w:footnote w:id="71">
    <w:p w:rsidR="00AE7482" w:rsidRPr="00331B68" w:rsidP="00C96CC6" w14:paraId="15AD5D80" w14:textId="32DD056F">
      <w:pPr>
        <w:pStyle w:val="FootnoteText"/>
      </w:pPr>
      <w:r w:rsidRPr="00331B68">
        <w:rPr>
          <w:rStyle w:val="FootnoteReference"/>
          <w:sz w:val="20"/>
        </w:rPr>
        <w:footnoteRef/>
      </w:r>
      <w:r w:rsidRPr="00331B68">
        <w:t xml:space="preserve"> </w:t>
      </w:r>
      <w:r w:rsidRPr="00331B68">
        <w:rPr>
          <w:i/>
        </w:rPr>
        <w:t>See</w:t>
      </w:r>
      <w:r w:rsidRPr="00331B68">
        <w:t xml:space="preserve"> 47 CFR § 1.2105(a)(2)(xii), (a)(4); </w:t>
      </w:r>
      <w:r w:rsidRPr="00331B68">
        <w:rPr>
          <w:i/>
        </w:rPr>
        <w:t>see also</w:t>
      </w:r>
      <w:r w:rsidRPr="00331B68">
        <w:t xml:space="preserve"> </w:t>
      </w:r>
      <w:r w:rsidRPr="00331B68">
        <w:rPr>
          <w:i/>
        </w:rPr>
        <w:t>Updating Part 1 Order</w:t>
      </w:r>
      <w:r w:rsidRPr="00331B68">
        <w:t xml:space="preserve">, 30 FCC Rcd at 7566-68, paras. 173-75.  </w:t>
      </w:r>
    </w:p>
  </w:footnote>
  <w:footnote w:id="72">
    <w:p w:rsidR="00AE7482" w:rsidRPr="00331B68" w:rsidP="00C96CC6" w14:paraId="36E8BD09" w14:textId="77777777">
      <w:pPr>
        <w:pStyle w:val="FootnoteText"/>
      </w:pPr>
      <w:r w:rsidRPr="00331B68">
        <w:rPr>
          <w:rStyle w:val="FootnoteReference"/>
          <w:sz w:val="20"/>
        </w:rPr>
        <w:footnoteRef/>
      </w:r>
      <w:r w:rsidRPr="00331B68">
        <w:t xml:space="preserve"> </w:t>
      </w:r>
      <w:r w:rsidRPr="00331B68">
        <w:rPr>
          <w:i/>
        </w:rPr>
        <w:t>Auction Default Disclosure Public</w:t>
      </w:r>
      <w:r w:rsidRPr="00331B68">
        <w:t xml:space="preserve"> </w:t>
      </w:r>
      <w:r w:rsidRPr="00331B68">
        <w:rPr>
          <w:i/>
        </w:rPr>
        <w:t>Notice</w:t>
      </w:r>
      <w:r w:rsidRPr="00331B68">
        <w:t xml:space="preserve">, 19 FCC Rcd at 21920. </w:t>
      </w:r>
    </w:p>
  </w:footnote>
  <w:footnote w:id="73">
    <w:p w:rsidR="00AE7482" w:rsidRPr="00331B68" w:rsidP="00C96CC6" w14:paraId="19A8CB54" w14:textId="77777777">
      <w:pPr>
        <w:pStyle w:val="FootnoteText"/>
      </w:pPr>
      <w:r w:rsidRPr="00331B68">
        <w:rPr>
          <w:rStyle w:val="FootnoteReference"/>
          <w:sz w:val="20"/>
        </w:rPr>
        <w:footnoteRef/>
      </w:r>
      <w:r w:rsidRPr="00331B68">
        <w:t xml:space="preserve"> Letter to Cheryl A. Tritt, Esq., from Margaret Wiener, Chief, Auctions and Spectrum Access Div., 19 FCC Rcd 22907 (WTB 2004) (clarifying the term “debt” or “non-tax debt” as referenced in 47 CFR §§ 1.2105(a) and 1.2106(a)).  </w:t>
      </w:r>
    </w:p>
  </w:footnote>
  <w:footnote w:id="74">
    <w:p w:rsidR="00AE7482" w:rsidRPr="00331B68" w:rsidP="00C96CC6" w14:paraId="7B8D0CCF" w14:textId="77777777">
      <w:pPr>
        <w:pStyle w:val="FootnoteText"/>
      </w:pPr>
      <w:r w:rsidRPr="00331B68">
        <w:rPr>
          <w:rStyle w:val="FootnoteReference"/>
          <w:sz w:val="20"/>
        </w:rPr>
        <w:footnoteRef/>
      </w:r>
      <w:r w:rsidRPr="00331B68">
        <w:t xml:space="preserve"> Even where Commission rules expressly permit late payment, subject to payment of an additional late fee, and do not impose a final payment deadline, the Commission may in some cases issue a demand for payment by a date certain.  </w:t>
      </w:r>
      <w:r w:rsidRPr="00331B68">
        <w:rPr>
          <w:i/>
        </w:rPr>
        <w:t xml:space="preserve">See </w:t>
      </w:r>
      <w:r w:rsidRPr="00331B68">
        <w:t>47 CFR § 1.1164(a).  Failure to comply with the terms of a demand letter in the time period specified may render the subject debt delinquent, notwithstanding rules generally permitting late payment.</w:t>
      </w:r>
    </w:p>
  </w:footnote>
  <w:footnote w:id="75">
    <w:p w:rsidR="00AE7482" w:rsidRPr="00331B68" w:rsidP="00C96CC6" w14:paraId="6D316359" w14:textId="77777777">
      <w:pPr>
        <w:pStyle w:val="FootnoteText"/>
      </w:pPr>
      <w:r w:rsidRPr="00331B68">
        <w:rPr>
          <w:rStyle w:val="FootnoteReference"/>
          <w:sz w:val="20"/>
        </w:rPr>
        <w:footnoteRef/>
      </w:r>
      <w:r w:rsidRPr="00331B68">
        <w:t xml:space="preserve"> </w:t>
      </w:r>
      <w:r w:rsidRPr="00331B68">
        <w:rPr>
          <w:i/>
        </w:rPr>
        <w:t>Amendment of Parts 0 and 1 of the Commission's Rules</w:t>
      </w:r>
      <w:r w:rsidRPr="00331B68">
        <w:t>,</w:t>
      </w:r>
      <w:r w:rsidRPr="00331B68">
        <w:rPr>
          <w:i/>
        </w:rPr>
        <w:t xml:space="preserve"> Implementation of the Debt Collection Improvement Act of 1996 and Adoption of Rules Governing Applications or Requests for Benefits by Delinquent Debtors</w:t>
      </w:r>
      <w:r w:rsidRPr="00331B68">
        <w:t>, Report and Order, 19 FCC Rcd 6540 (2004) (implementing Pub. L. No. 104-134, 110 Stat. 1321, 1358 (1996)) (</w:t>
      </w:r>
      <w:r w:rsidRPr="00331B68">
        <w:rPr>
          <w:i/>
        </w:rPr>
        <w:t>Debt Collection Report and Order</w:t>
      </w:r>
      <w:r w:rsidRPr="00331B68">
        <w:t>).</w:t>
      </w:r>
    </w:p>
  </w:footnote>
  <w:footnote w:id="76">
    <w:p w:rsidR="00AE7482" w:rsidRPr="00331B68" w:rsidP="00C96CC6" w14:paraId="1ABD3ACE" w14:textId="77777777">
      <w:pPr>
        <w:pStyle w:val="FootnoteText"/>
      </w:pPr>
      <w:r w:rsidRPr="00331B68">
        <w:rPr>
          <w:rStyle w:val="FootnoteReference"/>
          <w:sz w:val="20"/>
        </w:rPr>
        <w:footnoteRef/>
      </w:r>
      <w:r w:rsidRPr="00331B68">
        <w:t xml:space="preserve"> </w:t>
      </w:r>
      <w:r w:rsidRPr="00331B68">
        <w:rPr>
          <w:i/>
        </w:rPr>
        <w:t>Id</w:t>
      </w:r>
      <w:r w:rsidRPr="00331B68">
        <w:t>., 19 FCC Rcd at 6541 n.11 (specifically noting the current defaulter and former defaulter certifications of 47 CFR §§ 1.2105(a)(2)(x), (xi) and stating that “[t]hese rules are not affected by the red light rule.”).</w:t>
      </w:r>
    </w:p>
  </w:footnote>
  <w:footnote w:id="77">
    <w:p w:rsidR="00AE7482" w:rsidRPr="00331B68" w:rsidP="00C96CC6" w14:paraId="6885B2D8" w14:textId="77777777">
      <w:pPr>
        <w:pStyle w:val="FootnoteText"/>
      </w:pPr>
      <w:r w:rsidRPr="00331B68">
        <w:rPr>
          <w:rStyle w:val="FootnoteReference"/>
          <w:sz w:val="20"/>
        </w:rPr>
        <w:footnoteRef/>
      </w:r>
      <w:r w:rsidRPr="00331B68">
        <w:t xml:space="preserve"> </w:t>
      </w:r>
      <w:r w:rsidRPr="00331B68">
        <w:rPr>
          <w:i/>
        </w:rPr>
        <w:t>Auction Default Disclosure Public Notice</w:t>
      </w:r>
      <w:r w:rsidRPr="00331B68">
        <w:t>, 19 FCC Rcd at 21920 (addressing relationship between Commission’s Red Light Display System and short-form application default and delinquency disclosure requirements for auction applicants).</w:t>
      </w:r>
    </w:p>
  </w:footnote>
  <w:footnote w:id="78">
    <w:p w:rsidR="00AE7482" w:rsidRPr="00331B68" w:rsidP="00C96CC6" w14:paraId="6C2B09A5" w14:textId="77777777">
      <w:pPr>
        <w:pStyle w:val="FootnoteText"/>
      </w:pPr>
      <w:r w:rsidRPr="00331B68">
        <w:rPr>
          <w:rStyle w:val="FootnoteReference"/>
          <w:sz w:val="20"/>
        </w:rPr>
        <w:footnoteRef/>
      </w:r>
      <w:r w:rsidRPr="00331B68">
        <w:t xml:space="preserve"> </w:t>
      </w:r>
      <w:r w:rsidRPr="00331B68">
        <w:rPr>
          <w:i/>
        </w:rPr>
        <w:t>Id</w:t>
      </w:r>
      <w:r w:rsidRPr="00331B68">
        <w:t>., 19 FCC Rcd at 21921-22.</w:t>
      </w:r>
    </w:p>
  </w:footnote>
  <w:footnote w:id="79">
    <w:p w:rsidR="00AE7482" w:rsidRPr="00331B68" w:rsidP="00C96CC6" w14:paraId="4A1DDE7A" w14:textId="00F328EF">
      <w:pPr>
        <w:pStyle w:val="FootnoteText"/>
      </w:pPr>
      <w:r w:rsidRPr="00331B68">
        <w:rPr>
          <w:rStyle w:val="FootnoteReference"/>
          <w:sz w:val="20"/>
        </w:rPr>
        <w:footnoteRef/>
      </w:r>
      <w:r w:rsidRPr="00331B68">
        <w:t xml:space="preserve"> </w:t>
      </w:r>
      <w:r w:rsidRPr="00331B68">
        <w:rPr>
          <w:i/>
        </w:rPr>
        <w:t>Debt Collection Report and Order</w:t>
      </w:r>
      <w:r w:rsidRPr="00331B68">
        <w:t xml:space="preserve">, 19 FCC Rcd at 6540, para. 1, 6541-42, paras. 3-5.  </w:t>
      </w:r>
      <w:r w:rsidRPr="00331B68">
        <w:rPr>
          <w:i/>
        </w:rPr>
        <w:t>See</w:t>
      </w:r>
      <w:r w:rsidRPr="00331B68">
        <w:t xml:space="preserve"> 47 CFR § 1.1910.</w:t>
      </w:r>
    </w:p>
  </w:footnote>
  <w:footnote w:id="80">
    <w:p w:rsidR="00AE7482" w:rsidRPr="00331B68" w:rsidP="00C96CC6" w14:paraId="76ECB892" w14:textId="3EE8B72B">
      <w:pPr>
        <w:pStyle w:val="FootnoteText"/>
      </w:pPr>
      <w:r w:rsidRPr="00331B68">
        <w:rPr>
          <w:rStyle w:val="FootnoteReference"/>
          <w:sz w:val="20"/>
        </w:rPr>
        <w:footnoteRef/>
      </w:r>
      <w:r w:rsidRPr="00331B68">
        <w:t xml:space="preserve"> An applicant that has its long-form application dismissed will be deemed to have defaulted and will be subject to default payments under 47 CFR §§ 1.2104(g) and 1.2109(c).</w:t>
      </w:r>
    </w:p>
  </w:footnote>
  <w:footnote w:id="81">
    <w:p w:rsidR="00AE7482" w:rsidRPr="00331B68" w:rsidP="001767AE" w14:paraId="0AE85C0A" w14:textId="378F4443">
      <w:pPr>
        <w:pStyle w:val="FootnoteText"/>
      </w:pPr>
      <w:r w:rsidRPr="00331B68">
        <w:rPr>
          <w:rStyle w:val="FootnoteReference"/>
          <w:sz w:val="20"/>
        </w:rPr>
        <w:footnoteRef/>
      </w:r>
      <w:r w:rsidRPr="00331B68">
        <w:t xml:space="preserve"> In no event, however, will the FCC send auction registration materials to anyone other than the contact person listed on the applicant’s FCC Form 175 or respond to a request for replacement registration materials from anyone other than an authorized bidder, the contact person, or the certifying official listed on the applicant’s FCC Form 175.  </w:t>
      </w:r>
      <w:r w:rsidRPr="00331B68">
        <w:rPr>
          <w:i/>
          <w:iCs/>
        </w:rPr>
        <w:t xml:space="preserve">See </w:t>
      </w:r>
      <w:r w:rsidRPr="00331B68">
        <w:t>Section III.D. “Auction Registration,” below.</w:t>
      </w:r>
    </w:p>
  </w:footnote>
  <w:footnote w:id="82">
    <w:p w:rsidR="00AE7482" w:rsidRPr="00331B68" w:rsidP="00637337" w14:paraId="1F295778" w14:textId="77777777">
      <w:pPr>
        <w:pStyle w:val="FootnoteText"/>
      </w:pPr>
      <w:r w:rsidRPr="00331B68">
        <w:rPr>
          <w:rStyle w:val="FootnoteReference"/>
          <w:sz w:val="20"/>
        </w:rPr>
        <w:footnoteRef/>
      </w:r>
      <w:r w:rsidRPr="00331B68">
        <w:t xml:space="preserve"> Consolidated Appropriations Act, 2018, Pub. L. No. 115-141, Div. P., Title I, 132 Stat. 348, 1080 (2018).</w:t>
      </w:r>
    </w:p>
  </w:footnote>
  <w:footnote w:id="83">
    <w:p w:rsidR="00AE7482" w:rsidRPr="00331B68" w:rsidP="00637337" w14:paraId="100D4A86" w14:textId="09B8125B">
      <w:pPr>
        <w:pStyle w:val="FootnoteText"/>
      </w:pPr>
      <w:r w:rsidRPr="00331B68">
        <w:rPr>
          <w:rStyle w:val="FootnoteReference"/>
          <w:sz w:val="20"/>
        </w:rPr>
        <w:footnoteRef/>
      </w:r>
      <w:r w:rsidRPr="00331B68">
        <w:t xml:space="preserve"> </w:t>
      </w:r>
      <w:r w:rsidRPr="00331B68">
        <w:rPr>
          <w:i/>
        </w:rPr>
        <w:t>See</w:t>
      </w:r>
      <w:r w:rsidRPr="00331B68">
        <w:t xml:space="preserve"> Section III.C.2. “Upfront Payments and Bidding Eligibility,” below.</w:t>
      </w:r>
    </w:p>
  </w:footnote>
  <w:footnote w:id="84">
    <w:p w:rsidR="00AE7482" w:rsidRPr="00331B68" w:rsidP="00637337" w14:paraId="1BB1442E" w14:textId="630FAA0D">
      <w:pPr>
        <w:pStyle w:val="FootnoteText"/>
      </w:pPr>
      <w:r w:rsidRPr="00331B68">
        <w:rPr>
          <w:rStyle w:val="FootnoteReference"/>
          <w:sz w:val="20"/>
        </w:rPr>
        <w:footnoteRef/>
      </w:r>
      <w:r w:rsidRPr="00331B68">
        <w:t xml:space="preserve"> </w:t>
      </w:r>
      <w:r w:rsidRPr="00331B68">
        <w:rPr>
          <w:i/>
        </w:rPr>
        <w:t xml:space="preserve">See </w:t>
      </w:r>
      <w:r w:rsidRPr="00331B68">
        <w:t xml:space="preserve">47 CFR §§ 0.21(n).  </w:t>
      </w:r>
      <w:r w:rsidRPr="00331B68">
        <w:rPr>
          <w:i/>
        </w:rPr>
        <w:t>See also Auction Procedures Consolidation Order</w:t>
      </w:r>
      <w:r w:rsidRPr="00331B68">
        <w:t xml:space="preserve">, 12 FCC Rcd at 5697-98, para 16.  </w:t>
      </w:r>
      <w:r w:rsidRPr="00331B68">
        <w:rPr>
          <w:i/>
        </w:rPr>
        <w:t xml:space="preserve">See also Amendment of Part 1 of the Commission's Rules – Competitive Bidding Procedures, </w:t>
      </w:r>
      <w:r w:rsidRPr="00331B68">
        <w:t>Third Report and Order and Second Further Notice of Proposed Rule Making, 13 FCC Rcd 374, 425, para. 86 (1997) (</w:t>
      </w:r>
      <w:r w:rsidRPr="00331B68">
        <w:rPr>
          <w:i/>
        </w:rPr>
        <w:t>Part 1 Third Report and Order</w:t>
      </w:r>
      <w:r w:rsidRPr="00331B68">
        <w:t xml:space="preserve">); </w:t>
      </w:r>
      <w:r w:rsidRPr="00331B68">
        <w:rPr>
          <w:i/>
        </w:rPr>
        <w:t>Competitive Bidding Second Report and Order</w:t>
      </w:r>
      <w:r w:rsidRPr="00331B68">
        <w:t>, 9 FCC Rcd at 2377-79, paras. 169-75.</w:t>
      </w:r>
    </w:p>
  </w:footnote>
  <w:footnote w:id="85">
    <w:p w:rsidR="00AE7482" w:rsidRPr="00331B68" w:rsidP="00637337" w14:paraId="7A914909" w14:textId="77777777">
      <w:pPr>
        <w:pStyle w:val="FootnoteText"/>
      </w:pPr>
      <w:r w:rsidRPr="00331B68">
        <w:rPr>
          <w:rStyle w:val="FootnoteReference"/>
          <w:sz w:val="20"/>
        </w:rPr>
        <w:footnoteRef/>
      </w:r>
      <w:r w:rsidRPr="00331B68">
        <w:t xml:space="preserve"> </w:t>
      </w:r>
      <w:r w:rsidRPr="00331B68">
        <w:rPr>
          <w:i/>
        </w:rPr>
        <w:t>See Competitive Bidding Second Report and Order</w:t>
      </w:r>
      <w:r w:rsidRPr="00331B68">
        <w:t>, 9 FCC Rcd at 2377-79, paras. 169-76.</w:t>
      </w:r>
    </w:p>
  </w:footnote>
  <w:footnote w:id="86">
    <w:p w:rsidR="00AE7482" w:rsidRPr="00331B68" w:rsidP="00637337" w14:paraId="32ABE48B" w14:textId="6377929F">
      <w:pPr>
        <w:pStyle w:val="FootnoteText"/>
      </w:pPr>
      <w:r w:rsidRPr="00331B68">
        <w:rPr>
          <w:rStyle w:val="FootnoteReference"/>
          <w:sz w:val="20"/>
        </w:rPr>
        <w:footnoteRef/>
      </w:r>
      <w:r w:rsidRPr="00331B68">
        <w:t xml:space="preserve"> </w:t>
      </w:r>
      <w:r w:rsidRPr="00331B68">
        <w:rPr>
          <w:i/>
        </w:rPr>
        <w:t>Part 1 Fifth Report and Order</w:t>
      </w:r>
      <w:r w:rsidRPr="00331B68">
        <w:t xml:space="preserve">, 15 FCC Rcd at 15316-18, paras. 40-43; </w:t>
      </w:r>
      <w:r w:rsidRPr="00331B68">
        <w:rPr>
          <w:i/>
        </w:rPr>
        <w:t xml:space="preserve">see also </w:t>
      </w:r>
      <w:r w:rsidRPr="00331B68">
        <w:t>47 CFR § 1.2106(a); Section II.E. “Provisions Regarding Former and Current Defaulters,” above</w:t>
      </w:r>
      <w:r w:rsidRPr="00331B68">
        <w:rPr>
          <w:i/>
        </w:rPr>
        <w:t xml:space="preserve">.  </w:t>
      </w:r>
    </w:p>
  </w:footnote>
  <w:footnote w:id="87">
    <w:p w:rsidR="00AE7482" w:rsidRPr="00331B68" w:rsidP="00637337" w14:paraId="076B6F28" w14:textId="77777777">
      <w:pPr>
        <w:pStyle w:val="FootnoteText"/>
      </w:pPr>
      <w:r w:rsidRPr="00331B68">
        <w:rPr>
          <w:rStyle w:val="FootnoteReference"/>
          <w:sz w:val="20"/>
        </w:rPr>
        <w:footnoteRef/>
      </w:r>
      <w:r w:rsidRPr="00331B68">
        <w:t xml:space="preserve"> For this purpose, the term “controlling interest” is defined in 47 CFR § 1.2105(a)(4)(i).</w:t>
      </w:r>
    </w:p>
  </w:footnote>
  <w:footnote w:id="88">
    <w:p w:rsidR="00AE7482" w:rsidRPr="00331B68" w:rsidP="00637337" w14:paraId="3F941006" w14:textId="524251DF">
      <w:pPr>
        <w:pStyle w:val="FootnoteText"/>
      </w:pPr>
      <w:r w:rsidRPr="00331B68">
        <w:rPr>
          <w:rStyle w:val="FootnoteReference"/>
          <w:sz w:val="20"/>
        </w:rPr>
        <w:footnoteRef/>
      </w:r>
      <w:r w:rsidRPr="00331B68">
        <w:t xml:space="preserve"> </w:t>
      </w:r>
      <w:r w:rsidRPr="00331B68">
        <w:rPr>
          <w:rStyle w:val="FootnoteTextCharCharCharChar3CharCharChar1"/>
          <w:i/>
        </w:rPr>
        <w:t xml:space="preserve">Auction 100 Comment </w:t>
      </w:r>
      <w:r w:rsidRPr="00331B68">
        <w:rPr>
          <w:i/>
        </w:rPr>
        <w:t>Public Notice</w:t>
      </w:r>
      <w:r w:rsidRPr="00331B68">
        <w:t xml:space="preserve">, 33 FCC Rcd at 9992-93, paras. 23-24.  </w:t>
      </w:r>
    </w:p>
  </w:footnote>
  <w:footnote w:id="89">
    <w:p w:rsidR="00AE7482" w:rsidRPr="00331B68" w:rsidP="00637337" w14:paraId="2E377C64" w14:textId="2BE88B75">
      <w:pPr>
        <w:pStyle w:val="FootnoteText"/>
        <w:rPr>
          <w:i/>
        </w:rPr>
      </w:pPr>
      <w:r w:rsidRPr="00331B68">
        <w:rPr>
          <w:rStyle w:val="FootnoteReference"/>
          <w:sz w:val="20"/>
        </w:rPr>
        <w:footnoteRef/>
      </w:r>
      <w:r w:rsidRPr="00331B68">
        <w:t xml:space="preserve"> Provisionally winning bids are bids that would become final winning bids if the auction were to close after the given round.  </w:t>
      </w:r>
      <w:r w:rsidRPr="00331B68">
        <w:rPr>
          <w:i/>
        </w:rPr>
        <w:t>See</w:t>
      </w:r>
      <w:r w:rsidRPr="00331B68">
        <w:t xml:space="preserve"> Section IV.B.4. “Provisionally Winning Bids,” below</w:t>
      </w:r>
      <w:r w:rsidRPr="00331B68">
        <w:rPr>
          <w:i/>
        </w:rPr>
        <w:t xml:space="preserve">.  </w:t>
      </w:r>
    </w:p>
  </w:footnote>
  <w:footnote w:id="90">
    <w:p w:rsidR="00AE7482" w:rsidRPr="00331B68" w:rsidP="00637337" w14:paraId="21ABC360" w14:textId="77777777">
      <w:pPr>
        <w:pStyle w:val="FootnoteText"/>
      </w:pPr>
      <w:r w:rsidRPr="00331B68">
        <w:rPr>
          <w:rStyle w:val="FootnoteReference"/>
          <w:sz w:val="20"/>
        </w:rPr>
        <w:footnoteRef/>
      </w:r>
      <w:r w:rsidRPr="00331B68">
        <w:t xml:space="preserve"> A qualified bidder’s maximum eligibility will not exceed the sum of the bidding units associated with the total number of construction permits identified for that applicant in Attachment A of this Public Notice.  In some cases, a qualified bidder's maximum eligibility may be less than the amount of its upfront payment because the qualified bidder has either previously been in default on a Commission construction permit or license or delinquent on non-tax debt owed to a Federal agency (</w:t>
      </w:r>
      <w:r w:rsidRPr="00331B68">
        <w:rPr>
          <w:i/>
        </w:rPr>
        <w:t>see</w:t>
      </w:r>
      <w:r w:rsidRPr="00331B68">
        <w:t xml:space="preserve"> 47 CFR § 1.2106(a)), or has submitted an upfront payment that exceeds the total amount of bidding units associated with the construction permits designated for that bidder.</w:t>
      </w:r>
    </w:p>
  </w:footnote>
  <w:footnote w:id="91">
    <w:p w:rsidR="00AE7482" w:rsidRPr="00331B68" w:rsidP="00637337" w14:paraId="5572F272" w14:textId="77777777">
      <w:pPr>
        <w:pStyle w:val="FootnoteText"/>
      </w:pPr>
      <w:r w:rsidRPr="00331B68">
        <w:rPr>
          <w:rStyle w:val="FootnoteReference"/>
          <w:sz w:val="20"/>
        </w:rPr>
        <w:footnoteRef/>
      </w:r>
      <w:r w:rsidRPr="00331B68">
        <w:t xml:space="preserve"> 47 CFR § 1.2106(a).</w:t>
      </w:r>
    </w:p>
  </w:footnote>
  <w:footnote w:id="92">
    <w:p w:rsidR="00AE7482" w:rsidRPr="00331B68" w:rsidP="00637337" w14:paraId="35CBDE93" w14:textId="77777777">
      <w:pPr>
        <w:pStyle w:val="FootnoteText"/>
      </w:pPr>
      <w:r w:rsidRPr="00331B68">
        <w:rPr>
          <w:rStyle w:val="FootnoteReference"/>
          <w:sz w:val="20"/>
        </w:rPr>
        <w:footnoteRef/>
      </w:r>
      <w:r w:rsidRPr="00331B68">
        <w:t xml:space="preserve"> If a former defaulter fails to submit a sufficient upfront payment to establish eligibility to bid on at least one of the construction permits designated for that applicant in Attachment A of this Public Notice, the applicant will not be eligible to participate in the auction.  </w:t>
      </w:r>
      <w:r w:rsidRPr="00331B68">
        <w:rPr>
          <w:i/>
        </w:rPr>
        <w:t>Broadcast Competitive Bidding Order</w:t>
      </w:r>
      <w:r w:rsidRPr="00331B68">
        <w:t xml:space="preserve">, 13 FCC Rcd at 15979-80, para. 153.  This applicant will retain its status as an applicant in Auction 100 and will remain subject to 47 CFR §§ 1.2105(c) and 73.5002(d).  </w:t>
      </w:r>
      <w:r w:rsidRPr="00331B68">
        <w:rPr>
          <w:i/>
        </w:rPr>
        <w:t>See Star Wireless, LLC</w:t>
      </w:r>
      <w:r w:rsidRPr="00331B68">
        <w:t xml:space="preserve">, Forfeiture Order, 19 FCC Rcd 18626, 18627-28, para. 4 &amp; n.19 (EB 2004), </w:t>
      </w:r>
      <w:r w:rsidRPr="00331B68">
        <w:rPr>
          <w:i/>
        </w:rPr>
        <w:t>order granted in part sub nom</w:t>
      </w:r>
      <w:r w:rsidRPr="00331B68">
        <w:t xml:space="preserve">, </w:t>
      </w:r>
      <w:r w:rsidRPr="00331B68">
        <w:rPr>
          <w:i/>
        </w:rPr>
        <w:t xml:space="preserve">Star Wireless, LLC </w:t>
      </w:r>
      <w:r w:rsidRPr="00331B68">
        <w:rPr>
          <w:i/>
          <w:color w:val="000000"/>
        </w:rPr>
        <w:t>and Northeast Communications of Wis., Inc</w:t>
      </w:r>
      <w:r w:rsidRPr="00331B68">
        <w:rPr>
          <w:color w:val="000000"/>
        </w:rPr>
        <w:t xml:space="preserve">., </w:t>
      </w:r>
      <w:r w:rsidRPr="00331B68">
        <w:t xml:space="preserve">Order on Review, 22 FCC Rcd 8943 (2007), </w:t>
      </w:r>
      <w:r w:rsidRPr="00331B68">
        <w:rPr>
          <w:i/>
        </w:rPr>
        <w:t>petition for review denied, Star Wireless, LLC v. FCC</w:t>
      </w:r>
      <w:r w:rsidRPr="00331B68">
        <w:t>, 522 F.3d 469 (D.C. Cir. 2008).</w:t>
      </w:r>
    </w:p>
  </w:footnote>
  <w:footnote w:id="93">
    <w:p w:rsidR="00AE7482" w:rsidRPr="00331B68" w:rsidP="00C96CC6" w14:paraId="62E1E30F" w14:textId="5590B73E">
      <w:pPr>
        <w:pStyle w:val="FootnoteText"/>
      </w:pPr>
      <w:r w:rsidRPr="00331B68">
        <w:rPr>
          <w:rStyle w:val="FootnoteReference"/>
          <w:sz w:val="20"/>
        </w:rPr>
        <w:footnoteRef/>
      </w:r>
      <w:r w:rsidRPr="00331B68">
        <w:t xml:space="preserve"> </w:t>
      </w:r>
      <w:r w:rsidRPr="00331B68">
        <w:rPr>
          <w:rStyle w:val="FootnoteTextCharCharCharChar3CharCharChar1"/>
          <w:i/>
        </w:rPr>
        <w:t xml:space="preserve">Auction 100 Comment </w:t>
      </w:r>
      <w:r w:rsidRPr="00331B68">
        <w:rPr>
          <w:i/>
        </w:rPr>
        <w:t>Public Notice</w:t>
      </w:r>
      <w:r w:rsidRPr="00331B68">
        <w:t xml:space="preserve">, 33 FCC Rcd at 9990, para. 15.  </w:t>
      </w:r>
    </w:p>
  </w:footnote>
  <w:footnote w:id="94">
    <w:p w:rsidR="00AE7482" w:rsidRPr="00331B68" w:rsidP="00C96CC6" w14:paraId="0ED0B48F" w14:textId="28223CD2">
      <w:pPr>
        <w:pStyle w:val="FootnoteText"/>
      </w:pPr>
      <w:r w:rsidRPr="00331B68">
        <w:rPr>
          <w:rStyle w:val="FootnoteReference"/>
          <w:sz w:val="20"/>
        </w:rPr>
        <w:footnoteRef/>
      </w:r>
      <w:r w:rsidRPr="00331B68">
        <w:t xml:space="preserve"> </w:t>
      </w:r>
      <w:r w:rsidRPr="00331B68">
        <w:rPr>
          <w:i/>
        </w:rPr>
        <w:t xml:space="preserve">See </w:t>
      </w:r>
      <w:r w:rsidRPr="00331B68">
        <w:t>Section III.C.2. “Upfront Payments and Bidding Eligibility,” above.</w:t>
      </w:r>
    </w:p>
  </w:footnote>
  <w:footnote w:id="95">
    <w:p w:rsidR="00AE7482" w:rsidRPr="00331B68" w:rsidP="00C96CC6" w14:paraId="77AB79F5" w14:textId="0DCE1FE4">
      <w:pPr>
        <w:pStyle w:val="FootnoteText"/>
        <w:rPr>
          <w:i/>
        </w:rPr>
      </w:pPr>
      <w:r w:rsidRPr="00331B68">
        <w:rPr>
          <w:rStyle w:val="FootnoteReference"/>
          <w:sz w:val="20"/>
        </w:rPr>
        <w:footnoteRef/>
      </w:r>
      <w:r w:rsidRPr="00331B68">
        <w:t xml:space="preserve"> Provisionally winning bids are bids that would become final winning bids if the auction were to close after the given round.  </w:t>
      </w:r>
      <w:r w:rsidRPr="00331B68">
        <w:rPr>
          <w:i/>
        </w:rPr>
        <w:t>See</w:t>
      </w:r>
      <w:r w:rsidRPr="00331B68">
        <w:t xml:space="preserve"> Section IV.B.4. “Provisionally Winning Bids,” below</w:t>
      </w:r>
      <w:r w:rsidRPr="00331B68">
        <w:rPr>
          <w:i/>
        </w:rPr>
        <w:t xml:space="preserve">.  </w:t>
      </w:r>
    </w:p>
  </w:footnote>
  <w:footnote w:id="96">
    <w:p w:rsidR="00AE7482" w:rsidRPr="00331B68" w:rsidP="00C96CC6" w14:paraId="0872AC0F" w14:textId="79A7E257">
      <w:pPr>
        <w:pStyle w:val="FootnoteText"/>
      </w:pPr>
      <w:r w:rsidRPr="00331B68">
        <w:rPr>
          <w:rStyle w:val="FootnoteReference"/>
          <w:sz w:val="20"/>
        </w:rPr>
        <w:footnoteRef/>
      </w:r>
      <w:r w:rsidRPr="00331B68">
        <w:t xml:space="preserve"> </w:t>
      </w:r>
      <w:r w:rsidRPr="00331B68">
        <w:rPr>
          <w:i/>
        </w:rPr>
        <w:t>See</w:t>
      </w:r>
      <w:r w:rsidRPr="00331B68">
        <w:t xml:space="preserve"> Section IV.A.3.</w:t>
      </w:r>
      <w:r w:rsidRPr="00331B68">
        <w:rPr>
          <w:i/>
        </w:rPr>
        <w:t xml:space="preserve"> </w:t>
      </w:r>
      <w:r w:rsidRPr="00331B68">
        <w:t>“Activity Rule Waivers,” below.</w:t>
      </w:r>
    </w:p>
  </w:footnote>
  <w:footnote w:id="97">
    <w:p w:rsidR="00AE7482" w:rsidRPr="00331B68" w:rsidP="00C96CC6" w14:paraId="323F7F43" w14:textId="4D35220E">
      <w:pPr>
        <w:pStyle w:val="FootnoteText"/>
      </w:pPr>
      <w:r w:rsidRPr="00331B68">
        <w:rPr>
          <w:rStyle w:val="FootnoteReference"/>
          <w:sz w:val="20"/>
        </w:rPr>
        <w:footnoteRef/>
      </w:r>
      <w:r w:rsidRPr="00331B68">
        <w:t xml:space="preserve"> </w:t>
      </w:r>
      <w:r w:rsidRPr="00331B68">
        <w:rPr>
          <w:rStyle w:val="FootnoteTextCharCharCharChar3CharCharChar1"/>
          <w:i/>
        </w:rPr>
        <w:t xml:space="preserve">Auction 100 Comment </w:t>
      </w:r>
      <w:r w:rsidRPr="00331B68">
        <w:rPr>
          <w:i/>
        </w:rPr>
        <w:t>Public Notice</w:t>
      </w:r>
      <w:r w:rsidRPr="00331B68">
        <w:t xml:space="preserve">, 33 FCC Rcd at 9993-94, paras. 26-30. </w:t>
      </w:r>
    </w:p>
  </w:footnote>
  <w:footnote w:id="98">
    <w:p w:rsidR="00AE7482" w:rsidRPr="00331B68" w:rsidP="00C96CC6" w14:paraId="4901EF94" w14:textId="0A685CD0">
      <w:pPr>
        <w:pStyle w:val="FootnoteText"/>
      </w:pPr>
      <w:r w:rsidRPr="00331B68">
        <w:rPr>
          <w:rStyle w:val="FootnoteReference"/>
          <w:sz w:val="20"/>
        </w:rPr>
        <w:footnoteRef/>
      </w:r>
      <w:r w:rsidRPr="00331B68">
        <w:t xml:space="preserve"> </w:t>
      </w:r>
      <w:r w:rsidRPr="00331B68">
        <w:rPr>
          <w:rStyle w:val="FootnoteTextCharCharCharChar3CharCharChar1"/>
          <w:i/>
        </w:rPr>
        <w:t>Id.</w:t>
      </w:r>
      <w:r w:rsidRPr="00331B68">
        <w:t xml:space="preserve">, 33 FCC Rcd at 9991-92, paras. 19-21.  </w:t>
      </w:r>
    </w:p>
  </w:footnote>
  <w:footnote w:id="99">
    <w:p w:rsidR="00AE7482" w:rsidRPr="00331B68" w:rsidP="00C96CC6" w14:paraId="6A50CA1E" w14:textId="4603B729">
      <w:pPr>
        <w:pStyle w:val="FootnoteText"/>
      </w:pPr>
      <w:r w:rsidRPr="00331B68">
        <w:rPr>
          <w:rStyle w:val="FootnoteReference"/>
          <w:sz w:val="20"/>
        </w:rPr>
        <w:footnoteRef/>
      </w:r>
      <w:r w:rsidRPr="00331B68">
        <w:t xml:space="preserve"> Provisionally winning bids are bids that would become final winning bids if the auction were to close after the given round.  </w:t>
      </w:r>
      <w:r w:rsidRPr="00331B68">
        <w:rPr>
          <w:i/>
        </w:rPr>
        <w:t>See</w:t>
      </w:r>
      <w:r w:rsidRPr="00331B68">
        <w:t xml:space="preserve"> Section IV.B.4. “Provisionally Winning Bids,” below</w:t>
      </w:r>
      <w:r w:rsidRPr="00331B68">
        <w:rPr>
          <w:i/>
        </w:rPr>
        <w:t xml:space="preserve">.  </w:t>
      </w:r>
      <w:r w:rsidRPr="00331B68">
        <w:t>Proactive waivers are described in Section IV.A.3. “Activity Rule Waivers,” above</w:t>
      </w:r>
      <w:r w:rsidRPr="00331B68">
        <w:rPr>
          <w:i/>
        </w:rPr>
        <w:t>.</w:t>
      </w:r>
    </w:p>
  </w:footnote>
  <w:footnote w:id="100">
    <w:p w:rsidR="00AE7482" w:rsidRPr="00331B68" w:rsidP="00C96CC6" w14:paraId="3866DA6F" w14:textId="60BD565A">
      <w:pPr>
        <w:pStyle w:val="FootnoteText"/>
      </w:pPr>
      <w:r w:rsidRPr="00331B68">
        <w:rPr>
          <w:rStyle w:val="FootnoteReference"/>
          <w:sz w:val="20"/>
        </w:rPr>
        <w:footnoteRef/>
      </w:r>
      <w:r w:rsidRPr="00331B68">
        <w:t xml:space="preserve"> </w:t>
      </w:r>
      <w:r w:rsidRPr="00331B68">
        <w:rPr>
          <w:rStyle w:val="FootnoteTextCharCharCharChar3CharCharChar1"/>
          <w:i/>
        </w:rPr>
        <w:t xml:space="preserve">Auction 100 Comment </w:t>
      </w:r>
      <w:r w:rsidRPr="00331B68">
        <w:rPr>
          <w:i/>
        </w:rPr>
        <w:t>Public Notice</w:t>
      </w:r>
      <w:r w:rsidRPr="00331B68">
        <w:t xml:space="preserve">, 33 FCC Rcd at 9992, para. 21. </w:t>
      </w:r>
    </w:p>
  </w:footnote>
  <w:footnote w:id="101">
    <w:p w:rsidR="00AE7482" w:rsidRPr="00331B68" w:rsidP="00C96CC6" w14:paraId="5CD69FA0" w14:textId="77777777">
      <w:pPr>
        <w:pStyle w:val="FootnoteText"/>
      </w:pPr>
      <w:r w:rsidRPr="00331B68">
        <w:rPr>
          <w:rStyle w:val="FootnoteReference"/>
          <w:sz w:val="20"/>
        </w:rPr>
        <w:footnoteRef/>
      </w:r>
      <w:r w:rsidRPr="00331B68">
        <w:t xml:space="preserve"> </w:t>
      </w:r>
      <w:r w:rsidRPr="00331B68">
        <w:rPr>
          <w:i/>
        </w:rPr>
        <w:t>Id.</w:t>
      </w:r>
    </w:p>
  </w:footnote>
  <w:footnote w:id="102">
    <w:p w:rsidR="00AE7482" w:rsidRPr="00331B68" w:rsidP="00C96CC6" w14:paraId="30B6AC05" w14:textId="77777777">
      <w:pPr>
        <w:pStyle w:val="FootnoteText"/>
      </w:pPr>
      <w:r w:rsidRPr="00331B68">
        <w:rPr>
          <w:rStyle w:val="FootnoteReference"/>
          <w:sz w:val="20"/>
        </w:rPr>
        <w:footnoteRef/>
      </w:r>
      <w:r w:rsidRPr="00331B68">
        <w:t xml:space="preserve"> </w:t>
      </w:r>
      <w:r w:rsidRPr="00331B68">
        <w:rPr>
          <w:i/>
        </w:rPr>
        <w:t>Id.</w:t>
      </w:r>
    </w:p>
  </w:footnote>
  <w:footnote w:id="103">
    <w:p w:rsidR="00AE7482" w:rsidRPr="00331B68" w:rsidP="00C96CC6" w14:paraId="6AF20F0F" w14:textId="77777777">
      <w:pPr>
        <w:pStyle w:val="FootnoteText"/>
      </w:pPr>
      <w:r w:rsidRPr="00331B68">
        <w:rPr>
          <w:rStyle w:val="FootnoteReference"/>
          <w:sz w:val="20"/>
        </w:rPr>
        <w:footnoteRef/>
      </w:r>
      <w:r w:rsidRPr="00331B68">
        <w:t xml:space="preserve"> </w:t>
      </w:r>
      <w:r w:rsidRPr="00331B68">
        <w:rPr>
          <w:i/>
        </w:rPr>
        <w:t>See Auction Procedures Consolidation Order</w:t>
      </w:r>
      <w:r w:rsidRPr="00331B68">
        <w:t xml:space="preserve">, 12 FCC Rcd at 5697-98, para. 16.  </w:t>
      </w:r>
      <w:r w:rsidRPr="00331B68">
        <w:rPr>
          <w:i/>
        </w:rPr>
        <w:t>See also Competitive Bidding Second Report and Order</w:t>
      </w:r>
      <w:r w:rsidRPr="00331B68">
        <w:t xml:space="preserve">, 9 FCC Rcd at 2377-79, paras. 169-76. </w:t>
      </w:r>
      <w:r w:rsidRPr="00331B68">
        <w:rPr>
          <w:i/>
        </w:rPr>
        <w:t xml:space="preserve"> </w:t>
      </w:r>
    </w:p>
  </w:footnote>
  <w:footnote w:id="104">
    <w:p w:rsidR="00AE7482" w:rsidRPr="00331B68" w:rsidP="00C96CC6" w14:paraId="6338AB15" w14:textId="77777777">
      <w:pPr>
        <w:pStyle w:val="FootnoteText"/>
      </w:pPr>
      <w:r w:rsidRPr="00331B68">
        <w:rPr>
          <w:rStyle w:val="FootnoteReference"/>
          <w:sz w:val="20"/>
        </w:rPr>
        <w:footnoteRef/>
      </w:r>
      <w:r w:rsidRPr="00331B68">
        <w:t xml:space="preserve"> 47 U.S.C. § 309(j)(4)(F).</w:t>
      </w:r>
    </w:p>
  </w:footnote>
  <w:footnote w:id="105">
    <w:p w:rsidR="00AE7482" w:rsidRPr="00331B68" w:rsidP="00C96CC6" w14:paraId="10082F8E" w14:textId="3992F150">
      <w:pPr>
        <w:pStyle w:val="FootnoteText"/>
      </w:pPr>
      <w:r w:rsidRPr="00331B68">
        <w:rPr>
          <w:rStyle w:val="FootnoteReference"/>
          <w:sz w:val="20"/>
        </w:rPr>
        <w:footnoteRef/>
      </w:r>
      <w:r w:rsidRPr="00331B68">
        <w:t xml:space="preserve"> </w:t>
      </w:r>
      <w:r w:rsidRPr="00331B68">
        <w:rPr>
          <w:i/>
        </w:rPr>
        <w:t>Part 1 Third Report and Order</w:t>
      </w:r>
      <w:r w:rsidRPr="00331B68">
        <w:t>, 13 FCC Rcd at 455-56, para. 141.</w:t>
      </w:r>
    </w:p>
  </w:footnote>
  <w:footnote w:id="106">
    <w:p w:rsidR="00AE7482" w:rsidRPr="00331B68" w:rsidP="00C96CC6" w14:paraId="251515C8" w14:textId="77777777">
      <w:pPr>
        <w:pStyle w:val="FootnoteText"/>
      </w:pPr>
      <w:r w:rsidRPr="00331B68">
        <w:rPr>
          <w:rStyle w:val="FootnoteReference"/>
          <w:sz w:val="20"/>
        </w:rPr>
        <w:footnoteRef/>
      </w:r>
      <w:r w:rsidRPr="00331B68">
        <w:t xml:space="preserve"> </w:t>
      </w:r>
      <w:r w:rsidRPr="00331B68">
        <w:rPr>
          <w:i/>
        </w:rPr>
        <w:t>Id</w:t>
      </w:r>
      <w:r w:rsidRPr="00331B68">
        <w:t>.</w:t>
      </w:r>
    </w:p>
  </w:footnote>
  <w:footnote w:id="107">
    <w:p w:rsidR="00AE7482" w:rsidRPr="00331B68" w:rsidP="00C96CC6" w14:paraId="34F1602A" w14:textId="77777777">
      <w:pPr>
        <w:pStyle w:val="FootnoteText"/>
      </w:pPr>
      <w:r w:rsidRPr="00331B68">
        <w:rPr>
          <w:rStyle w:val="FootnoteReference"/>
          <w:sz w:val="20"/>
        </w:rPr>
        <w:footnoteRef/>
      </w:r>
      <w:r w:rsidRPr="00331B68">
        <w:t xml:space="preserve"> </w:t>
      </w:r>
      <w:r w:rsidRPr="00331B68">
        <w:rPr>
          <w:i/>
        </w:rPr>
        <w:t>Id</w:t>
      </w:r>
      <w:r w:rsidRPr="00331B68">
        <w:t>.</w:t>
      </w:r>
    </w:p>
  </w:footnote>
  <w:footnote w:id="108">
    <w:p w:rsidR="00AE7482" w:rsidRPr="00331B68" w:rsidP="00C96CC6" w14:paraId="2B03022D" w14:textId="5AA69CC6">
      <w:pPr>
        <w:pStyle w:val="FootnoteText"/>
      </w:pPr>
      <w:r w:rsidRPr="00331B68">
        <w:rPr>
          <w:rStyle w:val="FootnoteReference"/>
          <w:sz w:val="20"/>
        </w:rPr>
        <w:footnoteRef/>
      </w:r>
      <w:r w:rsidRPr="00331B68">
        <w:t xml:space="preserve"> </w:t>
      </w:r>
      <w:r w:rsidRPr="00331B68">
        <w:rPr>
          <w:i/>
        </w:rPr>
        <w:t>Auction 100 Comment Public Notice</w:t>
      </w:r>
      <w:r w:rsidRPr="00331B68">
        <w:t>, 33 FCC Rcd at 9994-95, paras. 31-35.  Normally, a reserve price is an absolute minimum price below which a construction permit or license will not be sold in a specific auction.  A minimum opening bid, in contrast, is the minimum bid price set at the beginning of the auction below which no bids are accepted.</w:t>
      </w:r>
    </w:p>
  </w:footnote>
  <w:footnote w:id="109">
    <w:p w:rsidR="00AE7482" w:rsidRPr="00331B68" w:rsidP="00C96CC6" w14:paraId="53E3E0C4" w14:textId="5FC0D169">
      <w:pPr>
        <w:pStyle w:val="FootnoteText"/>
      </w:pPr>
      <w:r w:rsidRPr="00331B68">
        <w:rPr>
          <w:rStyle w:val="FootnoteReference"/>
          <w:sz w:val="20"/>
        </w:rPr>
        <w:footnoteRef/>
      </w:r>
      <w:r w:rsidRPr="00331B68">
        <w:t xml:space="preserve"> </w:t>
      </w:r>
      <w:r w:rsidRPr="00331B68">
        <w:rPr>
          <w:i/>
        </w:rPr>
        <w:t>Id.</w:t>
      </w:r>
      <w:r w:rsidRPr="00331B68">
        <w:t xml:space="preserve"> </w:t>
      </w:r>
    </w:p>
  </w:footnote>
  <w:footnote w:id="110">
    <w:p w:rsidR="00AE7482" w:rsidRPr="00331B68" w:rsidP="00C96CC6" w14:paraId="6832A52E" w14:textId="3E5473B6">
      <w:pPr>
        <w:pStyle w:val="FootnoteText"/>
      </w:pPr>
      <w:r w:rsidRPr="00331B68">
        <w:rPr>
          <w:rStyle w:val="FootnoteReference"/>
          <w:sz w:val="20"/>
        </w:rPr>
        <w:footnoteRef/>
      </w:r>
      <w:r w:rsidRPr="00331B68">
        <w:t xml:space="preserve"> </w:t>
      </w:r>
      <w:r w:rsidRPr="00331B68">
        <w:rPr>
          <w:i/>
        </w:rPr>
        <w:t xml:space="preserve">See </w:t>
      </w:r>
      <w:r w:rsidRPr="00331B68">
        <w:t xml:space="preserve">47 U.S.C. § 309(j)(4)(F); 47 CFR § 1.2104(d) (minimum bid increments, minimum opening bids and maximum bid increments).  A bidder must have sufficient eligibility to place a bid on the particular construction permit.  </w:t>
      </w:r>
      <w:r w:rsidRPr="00331B68">
        <w:rPr>
          <w:i/>
        </w:rPr>
        <w:t xml:space="preserve">See </w:t>
      </w:r>
      <w:r w:rsidRPr="00331B68">
        <w:t>Section III.C.2. “Upfront Payments and Bidding Eligibility,” above</w:t>
      </w:r>
      <w:r w:rsidRPr="00331B68">
        <w:rPr>
          <w:i/>
        </w:rPr>
        <w:t xml:space="preserve">.  </w:t>
      </w:r>
    </w:p>
  </w:footnote>
  <w:footnote w:id="111">
    <w:p w:rsidR="00AE7482" w:rsidRPr="00331B68" w:rsidP="00C96CC6" w14:paraId="79F7B7B7" w14:textId="77777777">
      <w:pPr>
        <w:pStyle w:val="FootnoteText"/>
      </w:pPr>
      <w:r w:rsidRPr="00331B68">
        <w:rPr>
          <w:rStyle w:val="FootnoteReference"/>
          <w:sz w:val="20"/>
        </w:rPr>
        <w:footnoteRef/>
      </w:r>
      <w:r w:rsidRPr="00331B68">
        <w:t xml:space="preserve"> Under the Commission’s standard rounding procedure for auctions, results above $10,000 are rounded to the nearest $1,000; results below $10,000 but above $1,000 are rounded to the nearest $100; and results below $1000 are rounded to the nearest $10.</w:t>
      </w:r>
    </w:p>
  </w:footnote>
  <w:footnote w:id="112">
    <w:p w:rsidR="00AE7482" w:rsidRPr="00331B68" w:rsidP="00C96CC6" w14:paraId="2F4FD7CD" w14:textId="5ADBDCDF">
      <w:pPr>
        <w:pStyle w:val="FootnoteText"/>
      </w:pPr>
      <w:r w:rsidRPr="00331B68">
        <w:rPr>
          <w:rStyle w:val="FootnoteReference"/>
          <w:sz w:val="20"/>
        </w:rPr>
        <w:footnoteRef/>
      </w:r>
      <w:r w:rsidRPr="00331B68">
        <w:t xml:space="preserve"> </w:t>
      </w:r>
      <w:r w:rsidRPr="00331B68">
        <w:rPr>
          <w:i/>
        </w:rPr>
        <w:t>See</w:t>
      </w:r>
      <w:r w:rsidRPr="00331B68">
        <w:t xml:space="preserve"> </w:t>
      </w:r>
      <w:r w:rsidRPr="00B70857">
        <w:t>note</w:t>
      </w:r>
      <w:r w:rsidRPr="00331B68">
        <w:t xml:space="preserve"> 10</w:t>
      </w:r>
      <w:r>
        <w:t>9</w:t>
      </w:r>
      <w:r w:rsidRPr="00331B68">
        <w:t xml:space="preserve"> (concerning rounding), above.</w:t>
      </w:r>
    </w:p>
  </w:footnote>
  <w:footnote w:id="113">
    <w:p w:rsidR="00AE7482" w:rsidRPr="00331B68" w:rsidP="00C96CC6" w14:paraId="251691BD" w14:textId="07E74DF9">
      <w:pPr>
        <w:pStyle w:val="FootnoteText"/>
      </w:pPr>
      <w:r w:rsidRPr="00331B68">
        <w:rPr>
          <w:rStyle w:val="FootnoteReference"/>
          <w:sz w:val="20"/>
        </w:rPr>
        <w:footnoteRef/>
      </w:r>
      <w:r w:rsidRPr="00331B68">
        <w:t xml:space="preserve"> </w:t>
      </w:r>
      <w:r w:rsidRPr="00331B68">
        <w:rPr>
          <w:i/>
        </w:rPr>
        <w:t>See, e.g., Auction of FM Broadcast Construction Permits Scheduled for July 23, 2015; Notice and Filing Requirements, Minimum Opening Bids, Upfront Payments, and Other Procedures for Auction 98</w:t>
      </w:r>
      <w:r w:rsidRPr="00331B68">
        <w:t xml:space="preserve">, Public Notice, 30 FCC Rcd 3544, 3581, paras. 147-48 (WTB/MB 2015); </w:t>
      </w:r>
      <w:r w:rsidRPr="00331B68">
        <w:rPr>
          <w:i/>
        </w:rPr>
        <w:t>see also</w:t>
      </w:r>
      <w:r w:rsidRPr="00331B68">
        <w:t xml:space="preserve"> 47 CFR § 1.2104(d) (“The Commission may, by announcement before or during an auction, require minimum bid increments in dollar or percentage terms.”).</w:t>
      </w:r>
    </w:p>
  </w:footnote>
  <w:footnote w:id="114">
    <w:p w:rsidR="00AE7482" w:rsidRPr="00331B68" w:rsidP="00C96CC6" w14:paraId="6DE1D753" w14:textId="544DADFA">
      <w:pPr>
        <w:pStyle w:val="FootnoteText"/>
      </w:pPr>
      <w:r w:rsidRPr="00331B68">
        <w:rPr>
          <w:rStyle w:val="FootnoteReference"/>
          <w:sz w:val="20"/>
        </w:rPr>
        <w:footnoteRef/>
      </w:r>
      <w:r w:rsidRPr="00331B68">
        <w:t xml:space="preserve"> </w:t>
      </w:r>
      <w:r w:rsidRPr="00331B68">
        <w:rPr>
          <w:i/>
        </w:rPr>
        <w:t>See, e.g.,</w:t>
      </w:r>
      <w:r w:rsidRPr="00331B68">
        <w:t xml:space="preserve"> </w:t>
      </w:r>
      <w:r w:rsidRPr="00331B68">
        <w:rPr>
          <w:i/>
        </w:rPr>
        <w:t>Auction of FM Broadcast Construction Permits Scheduled for July 23, 2015; Comment Sought on Competitive Bidding Procedures for Auction 98</w:t>
      </w:r>
      <w:r w:rsidRPr="00331B68">
        <w:t>, Public Notice, 30 FCC Rcd 1755, 1764-65, para. 37 (WTB/MB 2015).</w:t>
      </w:r>
    </w:p>
  </w:footnote>
  <w:footnote w:id="115">
    <w:p w:rsidR="00AE7482" w:rsidRPr="00331B68" w:rsidP="00C96CC6" w14:paraId="0C0E78ED" w14:textId="2B1F69A2">
      <w:pPr>
        <w:pStyle w:val="FootnoteText"/>
      </w:pPr>
      <w:r w:rsidRPr="00331B68">
        <w:rPr>
          <w:rStyle w:val="FootnoteReference"/>
          <w:sz w:val="20"/>
        </w:rPr>
        <w:footnoteRef/>
      </w:r>
      <w:r w:rsidRPr="00331B68">
        <w:t xml:space="preserve"> </w:t>
      </w:r>
      <w:r w:rsidRPr="00331B68">
        <w:rPr>
          <w:rStyle w:val="FootnoteTextCharCharCharChar3CharCharChar1"/>
          <w:i/>
        </w:rPr>
        <w:t xml:space="preserve">Auction 100 Comment </w:t>
      </w:r>
      <w:r w:rsidRPr="00331B68">
        <w:rPr>
          <w:i/>
        </w:rPr>
        <w:t>Public Notice</w:t>
      </w:r>
      <w:r w:rsidRPr="00331B68">
        <w:t xml:space="preserve">, 33 FCC Rcd at 9996, para. 42.  </w:t>
      </w:r>
    </w:p>
  </w:footnote>
  <w:footnote w:id="116">
    <w:p w:rsidR="00AE7482" w:rsidRPr="00331B68" w:rsidP="00C96CC6" w14:paraId="2241D39F" w14:textId="7C88DBF0">
      <w:pPr>
        <w:pStyle w:val="FootnoteText"/>
      </w:pPr>
      <w:r w:rsidRPr="00331B68">
        <w:rPr>
          <w:rStyle w:val="FootnoteReference"/>
          <w:sz w:val="20"/>
        </w:rPr>
        <w:footnoteRef/>
      </w:r>
      <w:r w:rsidRPr="00331B68">
        <w:t xml:space="preserve"> </w:t>
      </w:r>
      <w:r w:rsidRPr="00331B68">
        <w:rPr>
          <w:i/>
        </w:rPr>
        <w:t xml:space="preserve">See </w:t>
      </w:r>
      <w:r w:rsidRPr="00331B68">
        <w:t>Section IV.A.2. “Eligibility and Activity Rules,” above.</w:t>
      </w:r>
    </w:p>
  </w:footnote>
  <w:footnote w:id="117">
    <w:p w:rsidR="00AE7482" w:rsidRPr="00331B68" w:rsidP="00C96CC6" w14:paraId="52604517" w14:textId="76A58CB1">
      <w:pPr>
        <w:pStyle w:val="FootnoteText"/>
        <w:rPr>
          <w:i/>
        </w:rPr>
      </w:pPr>
      <w:r w:rsidRPr="00331B68">
        <w:rPr>
          <w:rStyle w:val="FootnoteReference"/>
          <w:sz w:val="20"/>
        </w:rPr>
        <w:footnoteRef/>
      </w:r>
      <w:r w:rsidRPr="00331B68">
        <w:t xml:space="preserve"> A bidder must have sufficient eligibility to place a bid on the particular construction permit.  </w:t>
      </w:r>
      <w:r w:rsidRPr="00331B68">
        <w:rPr>
          <w:i/>
        </w:rPr>
        <w:t>See</w:t>
      </w:r>
      <w:r w:rsidRPr="00331B68">
        <w:t xml:space="preserve"> Section III.C.2. “Upfront Payments and Bidding Eligibility,” above.</w:t>
      </w:r>
      <w:r w:rsidRPr="00331B68">
        <w:rPr>
          <w:i/>
        </w:rPr>
        <w:t xml:space="preserve"> </w:t>
      </w:r>
    </w:p>
  </w:footnote>
  <w:footnote w:id="118">
    <w:p w:rsidR="00AE7482" w:rsidRPr="00331B68" w:rsidP="00C96CC6" w14:paraId="52476463" w14:textId="293E317B">
      <w:pPr>
        <w:pStyle w:val="FootnoteText"/>
      </w:pPr>
      <w:r w:rsidRPr="00331B68">
        <w:rPr>
          <w:rStyle w:val="FootnoteReference"/>
          <w:sz w:val="20"/>
        </w:rPr>
        <w:footnoteRef/>
      </w:r>
      <w:r w:rsidRPr="00331B68">
        <w:t xml:space="preserve"> </w:t>
      </w:r>
      <w:r w:rsidRPr="00331B68">
        <w:rPr>
          <w:i/>
        </w:rPr>
        <w:t>See</w:t>
      </w:r>
      <w:r w:rsidRPr="00331B68">
        <w:t xml:space="preserve"> Section IV.B.3. “Bid Amounts,” above.</w:t>
      </w:r>
    </w:p>
  </w:footnote>
  <w:footnote w:id="119">
    <w:p w:rsidR="00AE7482" w:rsidRPr="00331B68" w:rsidP="00C96CC6" w14:paraId="17E30C6C" w14:textId="6F244085">
      <w:pPr>
        <w:pStyle w:val="FootnoteText"/>
      </w:pPr>
      <w:r w:rsidRPr="00331B68">
        <w:rPr>
          <w:rStyle w:val="FootnoteReference"/>
          <w:sz w:val="20"/>
        </w:rPr>
        <w:footnoteRef/>
      </w:r>
      <w:r w:rsidRPr="00331B68">
        <w:t xml:space="preserve"> </w:t>
      </w:r>
      <w:r w:rsidRPr="00331B68">
        <w:rPr>
          <w:rStyle w:val="FootnoteTextCharCharCharChar3CharCharChar1"/>
          <w:i/>
        </w:rPr>
        <w:t xml:space="preserve">Auction 100 Comment </w:t>
      </w:r>
      <w:r w:rsidRPr="00331B68">
        <w:rPr>
          <w:i/>
        </w:rPr>
        <w:t>Public Notice</w:t>
      </w:r>
      <w:r w:rsidRPr="00331B68">
        <w:t xml:space="preserve">, 33 FCC Rcd at 9997, para. 44-47.   </w:t>
      </w:r>
    </w:p>
  </w:footnote>
  <w:footnote w:id="120">
    <w:p w:rsidR="00AE7482" w:rsidRPr="00331B68" w:rsidP="00C96CC6" w14:paraId="7C6058A2" w14:textId="77777777">
      <w:pPr>
        <w:pStyle w:val="FootnoteText"/>
      </w:pPr>
      <w:r w:rsidRPr="00331B68">
        <w:rPr>
          <w:rStyle w:val="FootnoteReference"/>
          <w:sz w:val="20"/>
        </w:rPr>
        <w:footnoteRef/>
      </w:r>
      <w:r w:rsidRPr="00331B68">
        <w:t xml:space="preserve"> </w:t>
      </w:r>
      <w:r w:rsidRPr="00331B68">
        <w:rPr>
          <w:i/>
        </w:rPr>
        <w:t>Id.</w:t>
      </w:r>
    </w:p>
  </w:footnote>
  <w:footnote w:id="121">
    <w:p w:rsidR="00AE7482" w:rsidRPr="00331B68" w:rsidP="00C96CC6" w14:paraId="1735310C" w14:textId="7F5EC2A9">
      <w:pPr>
        <w:pStyle w:val="FootnoteText"/>
        <w:rPr>
          <w:i/>
        </w:rPr>
      </w:pPr>
      <w:r w:rsidRPr="00331B68">
        <w:rPr>
          <w:rStyle w:val="FootnoteReference"/>
          <w:sz w:val="20"/>
        </w:rPr>
        <w:footnoteRef/>
      </w:r>
      <w:r w:rsidRPr="00331B68">
        <w:t xml:space="preserve"> 47 CFR § 1.2107(b).  The gross bidding amounts and the net bidding amounts will be identical in Auction 100 because none of the 23 remaining applicants is seeking a new entrant bidding credit in Auction 100.  </w:t>
      </w:r>
    </w:p>
  </w:footnote>
  <w:footnote w:id="122">
    <w:p w:rsidR="00AE7482" w:rsidRPr="00331B68" w:rsidP="00C96CC6" w14:paraId="6EA745F0" w14:textId="063933A7">
      <w:pPr>
        <w:pStyle w:val="FootnoteText"/>
        <w:rPr>
          <w:i/>
        </w:rPr>
      </w:pPr>
      <w:r w:rsidRPr="00331B68">
        <w:rPr>
          <w:rStyle w:val="FootnoteReference"/>
          <w:sz w:val="20"/>
        </w:rPr>
        <w:footnoteRef/>
      </w:r>
      <w:r w:rsidRPr="00331B68">
        <w:t xml:space="preserve"> 47 CFR § 1.2109(a); </w:t>
      </w:r>
      <w:r w:rsidRPr="00331B68">
        <w:rPr>
          <w:i/>
        </w:rPr>
        <w:t>see</w:t>
      </w:r>
      <w:r w:rsidRPr="00331B68">
        <w:t xml:space="preserve"> </w:t>
      </w:r>
      <w:r w:rsidRPr="00331B68">
        <w:rPr>
          <w:i/>
        </w:rPr>
        <w:t>Implementation of the Commercial Spectrum Enhancement Act and Modernization of the Commission’s Competitive Bidding Rules and Procedures</w:t>
      </w:r>
      <w:r w:rsidRPr="00331B68">
        <w:t>, Report and Order, 21 FCC Rcd 891, 907-09, paras. 43-46 (2006) (</w:t>
      </w:r>
      <w:r w:rsidRPr="00331B68">
        <w:rPr>
          <w:i/>
        </w:rPr>
        <w:t>CSEA/Part 1 Report and Order</w:t>
      </w:r>
      <w:r w:rsidRPr="00331B68">
        <w:t xml:space="preserve">).  </w:t>
      </w:r>
    </w:p>
  </w:footnote>
  <w:footnote w:id="123">
    <w:p w:rsidR="00AE7482" w:rsidRPr="00331B68" w:rsidP="00C96CC6" w14:paraId="22330B50" w14:textId="77777777">
      <w:pPr>
        <w:pStyle w:val="FootnoteText"/>
      </w:pPr>
      <w:r w:rsidRPr="00331B68">
        <w:rPr>
          <w:rStyle w:val="FootnoteReference"/>
          <w:sz w:val="20"/>
        </w:rPr>
        <w:footnoteRef/>
      </w:r>
      <w:r w:rsidRPr="00331B68">
        <w:t xml:space="preserve"> 47 CFR § 73.5005(a).</w:t>
      </w:r>
    </w:p>
  </w:footnote>
  <w:footnote w:id="124">
    <w:p w:rsidR="00AE7482" w:rsidRPr="00331B68" w:rsidP="00C96CC6" w14:paraId="1B45D11C" w14:textId="4A2F4767">
      <w:pPr>
        <w:pStyle w:val="FootnoteText"/>
        <w:rPr>
          <w:b/>
        </w:rPr>
      </w:pPr>
      <w:r w:rsidRPr="00331B68">
        <w:rPr>
          <w:rStyle w:val="FootnoteReference"/>
          <w:sz w:val="20"/>
        </w:rPr>
        <w:footnoteRef/>
      </w:r>
      <w:r w:rsidRPr="00331B68">
        <w:t xml:space="preserve">  The Commission’s rules also provide that a winning bidder in a commercial broadcast spectrum auction is required to submit an application filing fee with its post-auction long-form application.  47 CFR § 1.2107(c); </w:t>
      </w:r>
      <w:r w:rsidRPr="00331B68">
        <w:rPr>
          <w:i/>
        </w:rPr>
        <w:t xml:space="preserve">see </w:t>
      </w:r>
      <w:r w:rsidRPr="00331B68">
        <w:t xml:space="preserve">47 CFR § 1.1104.  When an application filing fee is due by Auction 100 winning bidders, the amount may be higher or lower than the $835 currently reported at section 1.1104.  </w:t>
      </w:r>
      <w:r w:rsidRPr="00331B68">
        <w:rPr>
          <w:i/>
        </w:rPr>
        <w:t>See also</w:t>
      </w:r>
      <w:r w:rsidRPr="00331B68">
        <w:t xml:space="preserve"> Application Fee Filing Guide for Media Bureau (Sept. 4, 2018).  </w:t>
      </w:r>
    </w:p>
  </w:footnote>
  <w:footnote w:id="125">
    <w:p w:rsidR="00AE7482" w:rsidRPr="00331B68" w:rsidP="00C96CC6" w14:paraId="6073D8DD" w14:textId="715EC0EE">
      <w:pPr>
        <w:pStyle w:val="FootnoteText"/>
      </w:pPr>
      <w:r w:rsidRPr="00331B68">
        <w:rPr>
          <w:rStyle w:val="FootnoteReference"/>
          <w:sz w:val="20"/>
        </w:rPr>
        <w:footnoteRef/>
      </w:r>
      <w:r w:rsidRPr="00331B68">
        <w:t xml:space="preserve"> None of the 23 remaining applicants listed in Attachment A of this Public Notice is seeking a new entrant bidding credit in Auction 100.  Thus, no winning bidder in Auction 100 will need to include in its long-form application an exhibit demonstrating its eligibility for a bidding credit.  47 CFR §§ 1.2110(j), 73.5005; </w:t>
      </w:r>
      <w:r w:rsidRPr="00331B68">
        <w:rPr>
          <w:i/>
        </w:rPr>
        <w:t>see also</w:t>
      </w:r>
      <w:r w:rsidRPr="00331B68">
        <w:t xml:space="preserve"> 47 CFR § 1.2112(b)(2). </w:t>
      </w:r>
    </w:p>
  </w:footnote>
  <w:footnote w:id="126">
    <w:p w:rsidR="00AE7482" w:rsidRPr="00331B68" w:rsidP="00C96CC6" w14:paraId="5753913E" w14:textId="77777777">
      <w:pPr>
        <w:pStyle w:val="FootnoteText"/>
      </w:pPr>
      <w:r w:rsidRPr="00331B68">
        <w:rPr>
          <w:rStyle w:val="FootnoteReference"/>
          <w:sz w:val="20"/>
        </w:rPr>
        <w:footnoteRef/>
      </w:r>
      <w:r w:rsidRPr="00331B68">
        <w:t xml:space="preserve"> 47 CFR § 1.2104(g)(2).</w:t>
      </w:r>
    </w:p>
  </w:footnote>
  <w:footnote w:id="127">
    <w:p w:rsidR="00AE7482" w:rsidRPr="00331B68" w:rsidP="00C96CC6" w14:paraId="3BF7D423" w14:textId="12D328A4">
      <w:pPr>
        <w:pStyle w:val="FootnoteText"/>
      </w:pPr>
      <w:r w:rsidRPr="00331B68">
        <w:rPr>
          <w:rStyle w:val="FootnoteReference"/>
          <w:sz w:val="20"/>
        </w:rPr>
        <w:footnoteRef/>
      </w:r>
      <w:r w:rsidRPr="00331B68">
        <w:t xml:space="preserve"> </w:t>
      </w:r>
      <w:r w:rsidRPr="00331B68">
        <w:rPr>
          <w:i/>
        </w:rPr>
        <w:t>Id.,</w:t>
      </w:r>
      <w:r w:rsidRPr="00331B68">
        <w:t xml:space="preserve"> §§ 1.2109(b) and (c).</w:t>
      </w:r>
    </w:p>
  </w:footnote>
  <w:footnote w:id="128">
    <w:p w:rsidR="00AE7482" w:rsidRPr="00331B68" w:rsidP="00C96CC6" w14:paraId="2D9209AC" w14:textId="49CAD679">
      <w:pPr>
        <w:pStyle w:val="FootnoteText"/>
      </w:pPr>
      <w:r w:rsidRPr="00331B68">
        <w:rPr>
          <w:rStyle w:val="FootnoteReference"/>
          <w:sz w:val="20"/>
        </w:rPr>
        <w:footnoteRef/>
      </w:r>
      <w:r w:rsidRPr="00331B68">
        <w:t xml:space="preserve"> </w:t>
      </w:r>
      <w:r w:rsidRPr="00331B68">
        <w:rPr>
          <w:i/>
        </w:rPr>
        <w:t>Id.,</w:t>
      </w:r>
      <w:r w:rsidRPr="00331B68">
        <w:t xml:space="preserve"> § 1.2109(d).</w:t>
      </w:r>
    </w:p>
  </w:footnote>
  <w:footnote w:id="129">
    <w:p w:rsidR="00AE7482" w:rsidRPr="00331B68" w:rsidP="00C96CC6" w14:paraId="5689E5D9" w14:textId="77777777">
      <w:pPr>
        <w:pStyle w:val="FootnoteText"/>
      </w:pPr>
      <w:r w:rsidRPr="00331B68">
        <w:rPr>
          <w:rStyle w:val="FootnoteReference"/>
          <w:sz w:val="20"/>
        </w:rPr>
        <w:footnoteRef/>
      </w:r>
      <w:r w:rsidRPr="00331B68">
        <w:t xml:space="preserve"> </w:t>
      </w:r>
      <w:r w:rsidRPr="00331B68">
        <w:rPr>
          <w:i/>
        </w:rPr>
        <w:t>See</w:t>
      </w:r>
      <w:r w:rsidRPr="00331B68">
        <w:t xml:space="preserve"> 44 U.S.C. § 3506(c)(4).</w:t>
      </w:r>
    </w:p>
  </w:footnote>
  <w:footnote w:id="130">
    <w:p w:rsidR="00AE7482" w:rsidRPr="00331B68" w:rsidP="00C96CC6" w14:paraId="034391EC" w14:textId="77777777">
      <w:pPr>
        <w:pStyle w:val="FootnoteText"/>
      </w:pPr>
      <w:r w:rsidRPr="00331B68">
        <w:rPr>
          <w:rStyle w:val="FootnoteReference"/>
          <w:sz w:val="20"/>
        </w:rPr>
        <w:footnoteRef/>
      </w:r>
      <w:r w:rsidRPr="00331B68">
        <w:t xml:space="preserve"> </w:t>
      </w:r>
      <w:r w:rsidRPr="00331B68">
        <w:rPr>
          <w:i/>
        </w:rPr>
        <w:t>See</w:t>
      </w:r>
      <w:r w:rsidRPr="00331B68">
        <w:t xml:space="preserve"> 5 U.S.C. § 801(a)(1)(A).</w:t>
      </w:r>
    </w:p>
  </w:footnote>
  <w:footnote w:id="131">
    <w:p w:rsidR="00AE7482" w:rsidRPr="00331B68" w:rsidP="00C96CC6" w14:paraId="5241C747" w14:textId="0592B0F5">
      <w:pPr>
        <w:pStyle w:val="FootnoteText"/>
        <w:rPr>
          <w:highlight w:val="yellow"/>
        </w:rPr>
      </w:pPr>
      <w:r w:rsidRPr="00331B68">
        <w:rPr>
          <w:rStyle w:val="FootnoteReference"/>
          <w:sz w:val="20"/>
        </w:rPr>
        <w:footnoteRef/>
      </w:r>
      <w:r w:rsidRPr="00331B68">
        <w:t xml:space="preserve"> </w:t>
      </w:r>
      <w:r w:rsidRPr="00331B68">
        <w:rPr>
          <w:i/>
        </w:rPr>
        <w:t>See id.,</w:t>
      </w:r>
      <w:r w:rsidRPr="00331B68">
        <w:t xml:space="preserve"> § 603.  The RFA, </w:t>
      </w:r>
      <w:r w:rsidRPr="00331B68">
        <w:rPr>
          <w:i/>
        </w:rPr>
        <w:t xml:space="preserve">see </w:t>
      </w:r>
      <w:r w:rsidRPr="00331B68">
        <w:t xml:space="preserve">5 U.S.C. §§ 601-612, has been amended by the Small Business Regulatory Enforcement Fairness Act of 1996 (SBREFA), Pub. L. No. 104-121, Title II, 110 Stat. 857 (1996).  </w:t>
      </w:r>
    </w:p>
  </w:footnote>
  <w:footnote w:id="132">
    <w:p w:rsidR="00AE7482" w:rsidRPr="00331B68" w:rsidP="00C96CC6" w14:paraId="4086BFA5" w14:textId="77777777">
      <w:pPr>
        <w:pStyle w:val="FootnoteText"/>
      </w:pPr>
      <w:r w:rsidRPr="00331B68">
        <w:rPr>
          <w:rStyle w:val="FootnoteReference"/>
          <w:sz w:val="20"/>
        </w:rPr>
        <w:footnoteRef/>
      </w:r>
      <w:r w:rsidRPr="00331B68">
        <w:rPr>
          <w:i/>
        </w:rPr>
        <w:t xml:space="preserve"> </w:t>
      </w:r>
      <w:bookmarkStart w:id="1298" w:name="_Hlk530402582"/>
      <w:r w:rsidRPr="00331B68">
        <w:rPr>
          <w:i/>
        </w:rPr>
        <w:t xml:space="preserve">See </w:t>
      </w:r>
      <w:bookmarkEnd w:id="1298"/>
      <w:r w:rsidRPr="00331B68">
        <w:rPr>
          <w:i/>
        </w:rPr>
        <w:t xml:space="preserve">Implementation of Section 309(j) of the Communications Act – Competitive Bidding for Commercial Broadcast and Instructional Television Fixed Service Licenses, </w:t>
      </w:r>
      <w:r w:rsidRPr="00331B68">
        <w:t>Notice of Proposed Rulemaking, 12 FCC Rcd 22363, 22416-22, Appendix B (1997)</w:t>
      </w:r>
      <w:r w:rsidRPr="00331B68">
        <w:rPr>
          <w:i/>
        </w:rPr>
        <w:t xml:space="preserve"> </w:t>
      </w:r>
      <w:r w:rsidRPr="00331B68">
        <w:t>(</w:t>
      </w:r>
      <w:r w:rsidRPr="00331B68">
        <w:rPr>
          <w:i/>
        </w:rPr>
        <w:t>Broadcast Competitive Bidding Notice</w:t>
      </w:r>
      <w:r w:rsidRPr="00331B68">
        <w:t xml:space="preserve">). </w:t>
      </w:r>
    </w:p>
  </w:footnote>
  <w:footnote w:id="133">
    <w:p w:rsidR="00AE7482" w:rsidRPr="00331B68" w:rsidP="001D24F2" w14:paraId="2F16837D" w14:textId="75A4F3A3">
      <w:pPr>
        <w:pStyle w:val="FootnoteText"/>
        <w:rPr>
          <w:i/>
        </w:rPr>
      </w:pPr>
      <w:r w:rsidRPr="00331B68">
        <w:rPr>
          <w:rStyle w:val="FootnoteReference"/>
          <w:sz w:val="20"/>
        </w:rPr>
        <w:footnoteRef/>
      </w:r>
      <w:r w:rsidRPr="00331B68">
        <w:t xml:space="preserve"> </w:t>
      </w:r>
      <w:r w:rsidRPr="00331B68">
        <w:rPr>
          <w:i/>
        </w:rPr>
        <w:t xml:space="preserve">See Implementation of the Commercial Spectrum Enhancement Act and Modernization of the Commission’s Competitive Bidding Rules and Procedures, </w:t>
      </w:r>
      <w:r w:rsidRPr="00331B68">
        <w:t xml:space="preserve">Declaratory Ruling and Notice of Proposed Rule Making, 20 FCC </w:t>
      </w:r>
      <w:r w:rsidRPr="00331B68">
        <w:t>Rcd</w:t>
      </w:r>
      <w:r w:rsidRPr="00331B68">
        <w:t xml:space="preserve"> 11268, 11301-07, Appendix B (2005) (</w:t>
      </w:r>
      <w:r w:rsidRPr="00331B68">
        <w:rPr>
          <w:i/>
        </w:rPr>
        <w:t>CSEA Declaratory Ruling</w:t>
      </w:r>
      <w:r w:rsidRPr="00331B68">
        <w:t xml:space="preserve">); </w:t>
      </w:r>
      <w:r w:rsidRPr="00331B68">
        <w:rPr>
          <w:i/>
        </w:rPr>
        <w:t>Implementation of Section 309(j) of the Communications Act – Competitive Bidding</w:t>
      </w:r>
      <w:r w:rsidRPr="00331B68">
        <w:t xml:space="preserve">, Notice of Proposed Rule Making, 8 FCC </w:t>
      </w:r>
      <w:r w:rsidRPr="00331B68">
        <w:t>Rcd</w:t>
      </w:r>
      <w:r w:rsidRPr="00331B68">
        <w:t xml:space="preserve"> 7635, 7666, Appendix (1993) (</w:t>
      </w:r>
      <w:r w:rsidRPr="00331B68">
        <w:rPr>
          <w:i/>
        </w:rPr>
        <w:t>Competitive Bidding Notice</w:t>
      </w:r>
      <w:r w:rsidRPr="00331B68">
        <w:t>).</w:t>
      </w:r>
      <w:r w:rsidRPr="00DF06C2">
        <w:t xml:space="preserve"> </w:t>
      </w:r>
    </w:p>
  </w:footnote>
  <w:footnote w:id="134">
    <w:p w:rsidR="00AE7482" w:rsidRPr="00331B68" w:rsidP="00C96CC6" w14:paraId="0DBF1ADF" w14:textId="77777777">
      <w:pPr>
        <w:pStyle w:val="FootnoteText"/>
      </w:pPr>
      <w:r w:rsidRPr="00331B68">
        <w:rPr>
          <w:rStyle w:val="FootnoteReference"/>
          <w:sz w:val="20"/>
        </w:rPr>
        <w:footnoteRef/>
      </w:r>
      <w:r w:rsidRPr="00331B68">
        <w:t xml:space="preserve"> </w:t>
      </w:r>
      <w:r w:rsidRPr="00331B68">
        <w:rPr>
          <w:i/>
        </w:rPr>
        <w:t>See Broadcast Competitive Bidding Order</w:t>
      </w:r>
      <w:r w:rsidRPr="00331B68">
        <w:t>, 13 FCC Rcd at 16015-27 Appendix B;</w:t>
      </w:r>
      <w:r w:rsidRPr="00331B68">
        <w:rPr>
          <w:i/>
        </w:rPr>
        <w:t xml:space="preserve"> CSEA/Part 1 Report and Order, </w:t>
      </w:r>
      <w:r w:rsidRPr="00331B68">
        <w:t>21 FCC Rcd at 927-34, Appendix C;</w:t>
      </w:r>
      <w:r w:rsidRPr="00331B68">
        <w:rPr>
          <w:i/>
        </w:rPr>
        <w:t xml:space="preserve"> Part 1 Third Report and Order</w:t>
      </w:r>
      <w:r w:rsidRPr="00331B68">
        <w:t>, 13 FCC Rcd at 492-503, Appendix B;</w:t>
      </w:r>
      <w:r w:rsidRPr="00331B68">
        <w:rPr>
          <w:i/>
        </w:rPr>
        <w:t xml:space="preserve"> Auction Procedures Consolidation Order, </w:t>
      </w:r>
      <w:r w:rsidRPr="00331B68">
        <w:t>12 FCC Rcd at 5749-53, Appendix C;</w:t>
      </w:r>
      <w:r w:rsidRPr="00331B68">
        <w:rPr>
          <w:i/>
        </w:rPr>
        <w:t xml:space="preserve"> Competitive Bidding Second Report and Order</w:t>
      </w:r>
      <w:r w:rsidRPr="00331B68">
        <w:t>, 9 FCC Rcd at 2400, para. 299-302.</w:t>
      </w:r>
    </w:p>
  </w:footnote>
  <w:footnote w:id="135">
    <w:p w:rsidR="00AE7482" w:rsidRPr="00331B68" w:rsidP="00C96CC6" w14:paraId="777682EC" w14:textId="5CCC11E5">
      <w:pPr>
        <w:pStyle w:val="FootnoteText"/>
      </w:pPr>
      <w:r w:rsidRPr="00331B68">
        <w:rPr>
          <w:rStyle w:val="FootnoteReference"/>
          <w:sz w:val="20"/>
        </w:rPr>
        <w:footnoteRef/>
      </w:r>
      <w:r w:rsidRPr="00331B68">
        <w:t xml:space="preserve"> </w:t>
      </w:r>
      <w:r w:rsidRPr="00331B68">
        <w:rPr>
          <w:i/>
        </w:rPr>
        <w:t>Auction of Cross-Service FM Translator Construction Permits</w:t>
      </w:r>
      <w:r w:rsidRPr="00331B68">
        <w:rPr>
          <w:rStyle w:val="FootnoteTextCharCharCharChar3CharCharChar1"/>
          <w:i/>
        </w:rPr>
        <w:t>; Comment Sought on Competitive Bidding Procedures for Auction 100</w:t>
      </w:r>
      <w:r w:rsidRPr="00331B68">
        <w:rPr>
          <w:rStyle w:val="FootnoteTextCharCharCharChar3CharCharChar1"/>
        </w:rPr>
        <w:t>, Public Notice, 33 FCC Rcd at 9984 (WTB/MB 2018) (</w:t>
      </w:r>
      <w:r w:rsidRPr="00331B68">
        <w:rPr>
          <w:rStyle w:val="FootnoteTextCharCharCharChar3CharCharChar1"/>
          <w:i/>
        </w:rPr>
        <w:t>Auction 100 Comment Public Notice</w:t>
      </w:r>
      <w:r w:rsidRPr="00331B68">
        <w:rPr>
          <w:rStyle w:val="FootnoteTextCharCharCharChar3CharCharChar1"/>
        </w:rPr>
        <w:t>).  A summary of this public notice was published at 83 Fed. Reg. 56031 (Nov. 9, 2018).</w:t>
      </w:r>
    </w:p>
  </w:footnote>
  <w:footnote w:id="136">
    <w:p w:rsidR="00AE7482" w:rsidRPr="00331B68" w:rsidP="00C96CC6" w14:paraId="1889947E" w14:textId="0EECC77C">
      <w:pPr>
        <w:pStyle w:val="FootnoteText"/>
      </w:pPr>
      <w:r w:rsidRPr="00331B68">
        <w:rPr>
          <w:rStyle w:val="FootnoteReference"/>
          <w:sz w:val="20"/>
        </w:rPr>
        <w:footnoteRef/>
      </w:r>
      <w:r w:rsidRPr="00331B68">
        <w:t xml:space="preserve"> </w:t>
      </w:r>
      <w:r w:rsidRPr="00331B68">
        <w:rPr>
          <w:i/>
        </w:rPr>
        <w:t>See</w:t>
      </w:r>
      <w:r w:rsidRPr="00331B68">
        <w:t xml:space="preserve">, </w:t>
      </w:r>
      <w:r w:rsidRPr="00331B68">
        <w:rPr>
          <w:i/>
        </w:rPr>
        <w:t>e.g</w:t>
      </w:r>
      <w:r w:rsidRPr="00331B68">
        <w:t xml:space="preserve">., </w:t>
      </w:r>
      <w:r w:rsidRPr="00331B68">
        <w:rPr>
          <w:i/>
          <w:spacing w:val="-2"/>
        </w:rPr>
        <w:t>Updating Part 1 Order</w:t>
      </w:r>
      <w:r w:rsidRPr="00331B68">
        <w:rPr>
          <w:spacing w:val="-2"/>
        </w:rPr>
        <w:t xml:space="preserve">, </w:t>
      </w:r>
      <w:r w:rsidRPr="00331B68">
        <w:t xml:space="preserve">30 FCC Rcd at 7493 (modified by </w:t>
      </w:r>
      <w:r w:rsidRPr="00331B68">
        <w:rPr>
          <w:i/>
        </w:rPr>
        <w:t>Erratum</w:t>
      </w:r>
      <w:r w:rsidRPr="00331B68">
        <w:t xml:space="preserve">, 30 FCC Rcd 8518); </w:t>
      </w:r>
      <w:r w:rsidRPr="00331B68">
        <w:rPr>
          <w:i/>
        </w:rPr>
        <w:t>Auction Procedures Consolidation Order</w:t>
      </w:r>
      <w:r w:rsidRPr="00331B68">
        <w:t xml:space="preserve">, 12 FCC Rcd at 5686; </w:t>
      </w:r>
      <w:r w:rsidRPr="00331B68">
        <w:rPr>
          <w:i/>
        </w:rPr>
        <w:t>Part 1 Fifth Report and Order</w:t>
      </w:r>
      <w:r w:rsidRPr="00331B68">
        <w:t xml:space="preserve">, 15 FCC Rcd at 15293 (modified by </w:t>
      </w:r>
      <w:r w:rsidRPr="00331B68">
        <w:rPr>
          <w:i/>
        </w:rPr>
        <w:t>Erratum</w:t>
      </w:r>
      <w:r w:rsidRPr="00331B68">
        <w:t xml:space="preserve">, 15 FCC Rcd at 21520); </w:t>
      </w:r>
      <w:r w:rsidRPr="00331B68">
        <w:rPr>
          <w:i/>
        </w:rPr>
        <w:t>Part 1</w:t>
      </w:r>
      <w:r w:rsidRPr="00331B68">
        <w:t xml:space="preserve"> </w:t>
      </w:r>
      <w:r w:rsidRPr="00331B68">
        <w:rPr>
          <w:i/>
        </w:rPr>
        <w:t>Seventh Report and Order</w:t>
      </w:r>
      <w:r w:rsidRPr="00331B68">
        <w:t xml:space="preserve">, 16 FCC Rcd at 17546; </w:t>
      </w:r>
      <w:r w:rsidRPr="00331B68">
        <w:rPr>
          <w:i/>
        </w:rPr>
        <w:t>Part 1 Eighth Report and Order</w:t>
      </w:r>
      <w:r w:rsidRPr="00331B68">
        <w:t xml:space="preserve">, 17 FCC Rcd at 2962; </w:t>
      </w:r>
      <w:r w:rsidRPr="00DB674C">
        <w:rPr>
          <w:i/>
        </w:rPr>
        <w:t xml:space="preserve">First Reconsideration </w:t>
      </w:r>
      <w:r w:rsidRPr="00331B68">
        <w:rPr>
          <w:i/>
        </w:rPr>
        <w:t>of Fifth Report and Order</w:t>
      </w:r>
      <w:r w:rsidRPr="00331B68">
        <w:t xml:space="preserve">, 18 FCC Rcd at 10180; </w:t>
      </w:r>
      <w:r w:rsidRPr="00331B68">
        <w:rPr>
          <w:i/>
        </w:rPr>
        <w:t>Second Reconsideration of Fifth Report and Order</w:t>
      </w:r>
      <w:r w:rsidRPr="00331B68">
        <w:t xml:space="preserve">, 20 FCC Rcd at 1942; </w:t>
      </w:r>
      <w:r w:rsidRPr="00331B68">
        <w:rPr>
          <w:i/>
        </w:rPr>
        <w:t>see also</w:t>
      </w:r>
      <w:r w:rsidRPr="00331B68">
        <w:t xml:space="preserve"> </w:t>
      </w:r>
      <w:r w:rsidRPr="00331B68">
        <w:rPr>
          <w:i/>
        </w:rPr>
        <w:t>Broadcast Competitive Bidding Order</w:t>
      </w:r>
      <w:r w:rsidRPr="00331B68">
        <w:t xml:space="preserve">, 13 FCC Rcd at 15920, </w:t>
      </w:r>
      <w:r w:rsidRPr="00331B68">
        <w:rPr>
          <w:i/>
        </w:rPr>
        <w:t>on recon.</w:t>
      </w:r>
      <w:r w:rsidRPr="00331B68">
        <w:t xml:space="preserve">, Memorandum Opinion and Order, 14 FCC Rcd 8724, </w:t>
      </w:r>
      <w:r w:rsidRPr="00331B68">
        <w:rPr>
          <w:i/>
        </w:rPr>
        <w:t>on further recon.</w:t>
      </w:r>
      <w:r w:rsidRPr="00331B68">
        <w:t>, Memorandum Opinion and Order, 14 FCC Rcd 12541 (1999);</w:t>
      </w:r>
      <w:r w:rsidRPr="00331B68">
        <w:rPr>
          <w:i/>
        </w:rPr>
        <w:t xml:space="preserve"> Noncommercial Educational Second Report and Order</w:t>
      </w:r>
      <w:r w:rsidRPr="00331B68">
        <w:t xml:space="preserve">, 18 FCC Rcd at 6691; </w:t>
      </w:r>
      <w:r w:rsidRPr="00331B68">
        <w:rPr>
          <w:i/>
        </w:rPr>
        <w:t>Noncommercial Educational Third Reconsideration Order</w:t>
      </w:r>
      <w:r w:rsidRPr="00331B68">
        <w:t>, 23 FCC Rcd at 17423.</w:t>
      </w:r>
    </w:p>
  </w:footnote>
  <w:footnote w:id="137">
    <w:p w:rsidR="00AE7482" w:rsidRPr="00331B68" w:rsidP="00C96CC6" w14:paraId="711269E1" w14:textId="77777777">
      <w:pPr>
        <w:pStyle w:val="FootnoteText"/>
      </w:pPr>
      <w:r w:rsidRPr="00331B68">
        <w:rPr>
          <w:rStyle w:val="FootnoteReference"/>
          <w:sz w:val="20"/>
        </w:rPr>
        <w:footnoteRef/>
      </w:r>
      <w:r w:rsidRPr="00331B68">
        <w:t xml:space="preserve"> 5 U.S.C. § 604(a)(3).</w:t>
      </w:r>
    </w:p>
  </w:footnote>
  <w:footnote w:id="138">
    <w:p w:rsidR="00AE7482" w:rsidRPr="00331B68" w:rsidP="00C96CC6" w14:paraId="6A74E136" w14:textId="679B680A">
      <w:pPr>
        <w:pStyle w:val="FootnoteText"/>
      </w:pPr>
      <w:r w:rsidRPr="00331B68">
        <w:rPr>
          <w:rStyle w:val="FootnoteReference"/>
          <w:sz w:val="20"/>
        </w:rPr>
        <w:footnoteRef/>
      </w:r>
      <w:r w:rsidRPr="00331B68">
        <w:t xml:space="preserve"> </w:t>
      </w:r>
      <w:r w:rsidRPr="00331B68">
        <w:rPr>
          <w:i/>
        </w:rPr>
        <w:t>Id</w:t>
      </w:r>
      <w:r w:rsidRPr="00331B68">
        <w:t>.</w:t>
      </w:r>
    </w:p>
  </w:footnote>
  <w:footnote w:id="139">
    <w:p w:rsidR="00AE7482" w:rsidRPr="00331B68" w:rsidP="00C96CC6" w14:paraId="20F0B3DA" w14:textId="4FF33AF2">
      <w:pPr>
        <w:pStyle w:val="FootnoteText"/>
      </w:pPr>
      <w:r w:rsidRPr="00331B68">
        <w:rPr>
          <w:rStyle w:val="FootnoteReference"/>
          <w:sz w:val="20"/>
        </w:rPr>
        <w:footnoteRef/>
      </w:r>
      <w:r w:rsidRPr="00331B68">
        <w:t xml:space="preserve"> </w:t>
      </w:r>
      <w:r w:rsidRPr="00331B68">
        <w:rPr>
          <w:i/>
        </w:rPr>
        <w:t>Id.,</w:t>
      </w:r>
      <w:r w:rsidRPr="00331B68">
        <w:t xml:space="preserve"> § 601(6).</w:t>
      </w:r>
    </w:p>
  </w:footnote>
  <w:footnote w:id="140">
    <w:p w:rsidR="00AE7482" w:rsidRPr="00331B68" w:rsidP="00C96CC6" w14:paraId="4D3086DD" w14:textId="412944A9">
      <w:pPr>
        <w:pStyle w:val="FootnoteText"/>
      </w:pPr>
      <w:r w:rsidRPr="00331B68">
        <w:rPr>
          <w:rStyle w:val="FootnoteReference"/>
          <w:sz w:val="20"/>
        </w:rPr>
        <w:footnoteRef/>
      </w:r>
      <w:r w:rsidRPr="00331B68">
        <w:t xml:space="preserve"> </w:t>
      </w:r>
      <w:r w:rsidRPr="00331B68">
        <w:rPr>
          <w:i/>
        </w:rPr>
        <w:t>Id.,</w:t>
      </w:r>
      <w:r w:rsidRPr="00331B68">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p>
  </w:footnote>
  <w:footnote w:id="141">
    <w:p w:rsidR="00AE7482" w:rsidRPr="00331B68" w:rsidP="00C96CC6" w14:paraId="59B2AFDD" w14:textId="77777777">
      <w:pPr>
        <w:pStyle w:val="FootnoteText"/>
      </w:pPr>
      <w:r w:rsidRPr="00331B68">
        <w:rPr>
          <w:rStyle w:val="FootnoteReference"/>
          <w:sz w:val="20"/>
        </w:rPr>
        <w:footnoteRef/>
      </w:r>
      <w:r w:rsidRPr="00331B68">
        <w:t xml:space="preserve"> 15 U.S.C. § 632.</w:t>
      </w:r>
    </w:p>
  </w:footnote>
  <w:footnote w:id="142">
    <w:p w:rsidR="00AE7482" w:rsidRPr="00331B68" w:rsidP="00C96CC6" w14:paraId="37119A7C" w14:textId="1BD76778">
      <w:pPr>
        <w:pStyle w:val="FootnoteText"/>
      </w:pPr>
      <w:r w:rsidRPr="00331B68">
        <w:rPr>
          <w:rStyle w:val="FootnoteReference"/>
          <w:sz w:val="20"/>
        </w:rPr>
        <w:footnoteRef/>
      </w:r>
      <w:r w:rsidRPr="00331B68">
        <w:t xml:space="preserve"> </w:t>
      </w:r>
      <w:r w:rsidRPr="00331B68">
        <w:rPr>
          <w:i/>
        </w:rPr>
        <w:t>Auction 100 Comment Public Notice,</w:t>
      </w:r>
      <w:r w:rsidRPr="00331B68">
        <w:rPr>
          <w:rStyle w:val="FootnoteTextCharCharCharChar3CharCharChar1"/>
        </w:rPr>
        <w:t xml:space="preserve"> 33 FCC Rcd at 9984.</w:t>
      </w:r>
    </w:p>
  </w:footnote>
  <w:footnote w:id="143">
    <w:p w:rsidR="00AE7482" w:rsidRPr="00331B68" w:rsidP="00C96CC6" w14:paraId="396061C9" w14:textId="77777777">
      <w:pPr>
        <w:pStyle w:val="FootnoteText"/>
      </w:pPr>
      <w:r w:rsidRPr="00331B68">
        <w:rPr>
          <w:rStyle w:val="FootnoteReference"/>
          <w:sz w:val="20"/>
        </w:rPr>
        <w:footnoteRef/>
      </w:r>
      <w:r w:rsidRPr="00331B68">
        <w:t xml:space="preserve"> U.S. Census Bureau, 2017 North American Industry Classification System (NAICS) Definitions, “515112 Radio Stations,” </w:t>
      </w:r>
      <w:hyperlink r:id="rId1" w:history="1">
        <w:hyperlink r:id="rId2" w:history="1">
          <w:r w:rsidRPr="00331B68">
            <w:rPr>
              <w:rStyle w:val="Hyperlink"/>
            </w:rPr>
            <w:t>https://www.census.gov/cgi-bin/sssd/naics/naicsrch?input=515112&amp;search=2017+NAICS+Search&amp;search=2017</w:t>
          </w:r>
        </w:hyperlink>
      </w:hyperlink>
      <w:r w:rsidRPr="00331B68">
        <w:t xml:space="preserve">.  </w:t>
      </w:r>
    </w:p>
  </w:footnote>
  <w:footnote w:id="144">
    <w:p w:rsidR="00AE7482" w:rsidRPr="00331B68" w:rsidP="00C96CC6" w14:paraId="41943496" w14:textId="77777777">
      <w:pPr>
        <w:pStyle w:val="FootnoteText"/>
      </w:pPr>
      <w:r w:rsidRPr="00331B68">
        <w:rPr>
          <w:rStyle w:val="FootnoteReference"/>
          <w:sz w:val="20"/>
        </w:rPr>
        <w:footnoteRef/>
      </w:r>
      <w:r w:rsidRPr="00331B68">
        <w:t xml:space="preserve"> 13 CFR § 121.201; NAICS code </w:t>
      </w:r>
      <w:r w:rsidRPr="00331B68">
        <w:rPr>
          <w:bCs/>
        </w:rPr>
        <w:t>515112</w:t>
      </w:r>
      <w:r w:rsidRPr="00331B68">
        <w:t>.</w:t>
      </w:r>
    </w:p>
  </w:footnote>
  <w:footnote w:id="145">
    <w:p w:rsidR="00AE7482" w:rsidRPr="00331B68" w:rsidP="00C96CC6" w14:paraId="6DB22CCA" w14:textId="77777777">
      <w:pPr>
        <w:pStyle w:val="FootnoteText"/>
      </w:pPr>
      <w:r w:rsidRPr="00331B68">
        <w:rPr>
          <w:rStyle w:val="FootnoteReference"/>
          <w:sz w:val="20"/>
        </w:rPr>
        <w:footnoteRef/>
      </w:r>
      <w:r w:rsidRPr="00331B68">
        <w:t xml:space="preserve"> U.S. Census Bureau, Table No. EC0751SSSZ4, </w:t>
      </w:r>
      <w:r w:rsidRPr="00331B68">
        <w:rPr>
          <w:i/>
        </w:rPr>
        <w:t>Information: Subject Series – Establishment and Firm Size: Receipts Size of Firms for the United States: 2012</w:t>
      </w:r>
      <w:r w:rsidRPr="00331B68">
        <w:t xml:space="preserve"> </w:t>
      </w:r>
      <w:r w:rsidRPr="00331B68">
        <w:rPr>
          <w:i/>
        </w:rPr>
        <w:t>NAICS Code 515112</w:t>
      </w:r>
      <w:r w:rsidRPr="00331B68">
        <w:t xml:space="preserve">, </w:t>
      </w:r>
      <w:hyperlink r:id="rId3" w:history="1">
        <w:r w:rsidRPr="00331B68">
          <w:rPr>
            <w:rStyle w:val="Hyperlink"/>
          </w:rPr>
          <w:t>https://factfinder.census.gov/bkmk/table/1.0/en/ECN/2012_US/51SSSZ4//naics~515112</w:t>
        </w:r>
      </w:hyperlink>
      <w:r w:rsidRPr="00331B68">
        <w:t xml:space="preserve">. </w:t>
      </w:r>
    </w:p>
  </w:footnote>
  <w:footnote w:id="146">
    <w:p w:rsidR="00AE7482" w:rsidRPr="00331B68" w:rsidP="00C96CC6" w14:paraId="676D3A77" w14:textId="77777777">
      <w:pPr>
        <w:pStyle w:val="FootnoteText"/>
      </w:pPr>
      <w:r w:rsidRPr="00331B68">
        <w:rPr>
          <w:rStyle w:val="FootnoteReference"/>
          <w:sz w:val="20"/>
        </w:rPr>
        <w:footnoteRef/>
      </w:r>
      <w:r w:rsidRPr="00331B68">
        <w:t xml:space="preserve"> </w:t>
      </w:r>
      <w:r w:rsidRPr="00331B68">
        <w:rPr>
          <w:i/>
        </w:rPr>
        <w:t>Id.</w:t>
      </w:r>
    </w:p>
  </w:footnote>
  <w:footnote w:id="147">
    <w:p w:rsidR="00AE7482" w:rsidRPr="00331B68" w:rsidP="00C96CC6" w14:paraId="6468D573" w14:textId="77777777">
      <w:pPr>
        <w:pStyle w:val="FootnoteText"/>
      </w:pPr>
      <w:r w:rsidRPr="00331B68">
        <w:rPr>
          <w:rStyle w:val="FootnoteReference"/>
          <w:sz w:val="20"/>
        </w:rPr>
        <w:footnoteRef/>
      </w:r>
      <w:r w:rsidRPr="00331B68">
        <w:t xml:space="preserve"> BIA/Kelsey, MEDIA Access Pro Database (viewed Sept. 6, 2018).</w:t>
      </w:r>
    </w:p>
  </w:footnote>
  <w:footnote w:id="148">
    <w:p w:rsidR="00AE7482" w:rsidRPr="00331B68" w:rsidP="00C96CC6" w14:paraId="24D17E09" w14:textId="77777777">
      <w:pPr>
        <w:pStyle w:val="FootnoteText"/>
      </w:pPr>
      <w:r w:rsidRPr="00331B68">
        <w:rPr>
          <w:rStyle w:val="FootnoteReference"/>
          <w:sz w:val="20"/>
        </w:rPr>
        <w:footnoteRef/>
      </w:r>
      <w:r w:rsidRPr="00331B68">
        <w:t xml:space="preserve"> </w:t>
      </w:r>
      <w:r w:rsidRPr="00331B68">
        <w:rPr>
          <w:i/>
        </w:rPr>
        <w:t>AM Radio Revitalization Order</w:t>
      </w:r>
      <w:r w:rsidRPr="00331B68">
        <w:t xml:space="preserve">, 30 FCC Rcd at 12145. </w:t>
      </w:r>
    </w:p>
  </w:footnote>
  <w:footnote w:id="149">
    <w:p w:rsidR="00AE7482" w:rsidRPr="00331B68" w:rsidP="00C96CC6" w14:paraId="13DCF045" w14:textId="3027D2FD">
      <w:pPr>
        <w:pStyle w:val="FootnoteText"/>
      </w:pPr>
      <w:r w:rsidRPr="00331B68">
        <w:rPr>
          <w:rStyle w:val="FootnoteReference"/>
          <w:sz w:val="20"/>
        </w:rPr>
        <w:footnoteRef/>
      </w:r>
      <w:r w:rsidRPr="00331B68">
        <w:t xml:space="preserve"> </w:t>
      </w:r>
      <w:r w:rsidRPr="00331B68">
        <w:rPr>
          <w:i/>
        </w:rPr>
        <w:t>Revitalization of the AM Radio Service</w:t>
      </w:r>
      <w:r w:rsidRPr="00331B68">
        <w:t>, Notice of Proposed Rule Making, 28 FCC Rcd 15221, 15247, para. 6 (2013).</w:t>
      </w:r>
    </w:p>
  </w:footnote>
  <w:footnote w:id="150">
    <w:p w:rsidR="00AE7482" w:rsidRPr="00331B68" w:rsidP="00C96CC6" w14:paraId="1DFA481B" w14:textId="77777777">
      <w:pPr>
        <w:pStyle w:val="FootnoteText"/>
      </w:pPr>
      <w:r w:rsidRPr="00331B68">
        <w:rPr>
          <w:rStyle w:val="FootnoteReference"/>
          <w:sz w:val="20"/>
        </w:rPr>
        <w:footnoteRef/>
      </w:r>
      <w:r w:rsidRPr="00331B68">
        <w:t xml:space="preserve"> 13 CFR § 121.201; NAICS code 515112.  </w:t>
      </w:r>
    </w:p>
  </w:footnote>
  <w:footnote w:id="151">
    <w:p w:rsidR="00AE7482" w:rsidRPr="00331B68" w:rsidP="00C96CC6" w14:paraId="25AD00C3" w14:textId="77777777">
      <w:pPr>
        <w:pStyle w:val="FootnoteText"/>
      </w:pPr>
      <w:r w:rsidRPr="00331B68">
        <w:rPr>
          <w:rStyle w:val="FootnoteReference"/>
          <w:sz w:val="20"/>
        </w:rPr>
        <w:footnoteRef/>
      </w:r>
      <w:r w:rsidRPr="00331B68">
        <w:t xml:space="preserve"> BIA/Kelsey, MEDIA Access Pro Database (viewed Sept. 6, 2018).</w:t>
      </w:r>
    </w:p>
  </w:footnote>
  <w:footnote w:id="152">
    <w:p w:rsidR="00AE7482" w:rsidRPr="00331B68" w:rsidP="00C96CC6" w14:paraId="79030138" w14:textId="710F0E67">
      <w:pPr>
        <w:spacing w:after="120"/>
        <w:rPr>
          <w:sz w:val="20"/>
        </w:rPr>
      </w:pPr>
      <w:r w:rsidRPr="00331B68">
        <w:rPr>
          <w:rStyle w:val="FootnoteReference"/>
          <w:sz w:val="20"/>
        </w:rPr>
        <w:footnoteRef/>
      </w:r>
      <w:r w:rsidRPr="00331B68">
        <w:rPr>
          <w:sz w:val="20"/>
        </w:rPr>
        <w:t xml:space="preserve"> In assessing whether a business entity qualifies as “small” under the SBA definition, business control affiliations must be included.  This estimate therefore likely overstates the number of small entities that might be affected by Auction 100,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100 competitive bidding requirements may apply does not exclude any radio station from the definition of a small business on these bases and is therefore over-inclusive to that extent. Furthermore, we are unable at this time to define or quantify the criteria that would establish whether a specific radio station is dominant in its field of operation. In addition, given the difficulty in assessing these criteria in the context of media entities, our estimates of small businesses to which they apply may be over-inclusive.</w:t>
      </w:r>
    </w:p>
  </w:footnote>
  <w:footnote w:id="153">
    <w:p w:rsidR="00AE7482" w:rsidRPr="00331B68" w:rsidP="00194E4B" w14:paraId="510E2E1A" w14:textId="77777777">
      <w:pPr>
        <w:pStyle w:val="FootnoteText"/>
      </w:pPr>
      <w:r w:rsidRPr="00331B68">
        <w:rPr>
          <w:rStyle w:val="FootnoteReference"/>
          <w:sz w:val="20"/>
        </w:rPr>
        <w:footnoteRef/>
      </w:r>
      <w:r w:rsidRPr="00331B68">
        <w:t xml:space="preserve"> This Commission policy was articulated in a 1994 rulemaking order.  </w:t>
      </w:r>
      <w:r w:rsidRPr="00331B68">
        <w:rPr>
          <w:i/>
        </w:rPr>
        <w:t>See</w:t>
      </w:r>
      <w:r w:rsidRPr="00331B68">
        <w:t xml:space="preserve"> </w:t>
      </w:r>
      <w:r w:rsidRPr="00331B68">
        <w:rPr>
          <w:i/>
        </w:rPr>
        <w:t>Competitive Bidding Second Report and Order</w:t>
      </w:r>
      <w:r w:rsidRPr="00331B68">
        <w:t>, 9 FCC Rcd at 2375-76, paras. 162-63, 165.</w:t>
      </w:r>
    </w:p>
  </w:footnote>
  <w:footnote w:id="154">
    <w:p w:rsidR="00AE7482" w:rsidP="0011104B" w14:paraId="7119AC55" w14:textId="77777777">
      <w:pPr>
        <w:pStyle w:val="FootnoteText"/>
      </w:pPr>
      <w:r>
        <w:rPr>
          <w:rStyle w:val="FootnoteReference"/>
        </w:rPr>
        <w:footnoteRef/>
      </w:r>
      <w:r>
        <w:t xml:space="preserve"> Each upfront payment must be accompanied by a complete and accurate FCC Remittance Advice Form (FCC Form 159), following the procedures and instructions set forth in this Public Notice.  </w:t>
      </w:r>
      <w:r w:rsidRPr="00D450DC">
        <w:t>47 CFR § 1.1111 specifies that an FCC Form 159 must accompany each such payment submission.</w:t>
      </w:r>
    </w:p>
  </w:footnote>
  <w:footnote w:id="155">
    <w:p w:rsidR="00AE7482" w:rsidRPr="00331B68" w:rsidP="00173309" w14:paraId="7FAC9829" w14:textId="49885AF1">
      <w:pPr>
        <w:pStyle w:val="FootnoteText"/>
      </w:pPr>
      <w:r w:rsidRPr="00331B68">
        <w:rPr>
          <w:rStyle w:val="FootnoteReference"/>
          <w:sz w:val="20"/>
        </w:rPr>
        <w:footnoteRef/>
      </w:r>
      <w:r w:rsidRPr="00331B68">
        <w:t xml:space="preserve"> The resubmission opportunity for auction applicants with certain application deficiencies was established by the Commission in the 1994 </w:t>
      </w:r>
      <w:r w:rsidRPr="00331B68">
        <w:rPr>
          <w:i/>
        </w:rPr>
        <w:t>Competitive Bidding Second Report and Order</w:t>
      </w:r>
      <w:r w:rsidRPr="00331B68">
        <w:t xml:space="preserve">.  </w:t>
      </w:r>
      <w:r w:rsidRPr="00331B68">
        <w:rPr>
          <w:i/>
        </w:rPr>
        <w:t>Id</w:t>
      </w:r>
      <w:r w:rsidRPr="00331B68">
        <w:t>., 9 FCC Rcd at 2377, paras. 167-68, at 2408.</w:t>
      </w:r>
    </w:p>
  </w:footnote>
  <w:footnote w:id="156">
    <w:p w:rsidR="00AE7482" w:rsidRPr="00331B68" w:rsidP="00173309" w14:paraId="4965851A" w14:textId="4D32B173">
      <w:pPr>
        <w:pStyle w:val="FootnoteText"/>
      </w:pPr>
      <w:r w:rsidRPr="00331B68">
        <w:rPr>
          <w:rStyle w:val="FootnoteReference"/>
          <w:sz w:val="20"/>
        </w:rPr>
        <w:footnoteRef/>
      </w:r>
      <w:r w:rsidRPr="00331B68">
        <w:t xml:space="preserve"> This down payment requirement was adopted by the Commission in the </w:t>
      </w:r>
      <w:r w:rsidRPr="00331B68">
        <w:rPr>
          <w:i/>
        </w:rPr>
        <w:t>Competitive Bidding Second Report and Order</w:t>
      </w:r>
      <w:r w:rsidRPr="00331B68">
        <w:t xml:space="preserve">.  </w:t>
      </w:r>
      <w:r w:rsidRPr="00331B68">
        <w:rPr>
          <w:i/>
        </w:rPr>
        <w:t>See id</w:t>
      </w:r>
      <w:r w:rsidRPr="00331B68">
        <w:t>., 9 FCC Rcd at 2381-82, paras. 189-92, at 2409.</w:t>
      </w:r>
    </w:p>
  </w:footnote>
  <w:footnote w:id="157">
    <w:p w:rsidR="00AE7482" w:rsidRPr="00331B68" w:rsidP="00173309" w14:paraId="56B005A5" w14:textId="2CCE5714">
      <w:pPr>
        <w:pStyle w:val="FootnoteText"/>
      </w:pPr>
      <w:r w:rsidRPr="00331B68">
        <w:rPr>
          <w:rStyle w:val="FootnoteReference"/>
          <w:sz w:val="20"/>
        </w:rPr>
        <w:footnoteRef/>
      </w:r>
      <w:r w:rsidRPr="00331B68">
        <w:t xml:space="preserve"> This final payment requirement was established by the Commission in the </w:t>
      </w:r>
      <w:r w:rsidRPr="00331B68">
        <w:rPr>
          <w:i/>
        </w:rPr>
        <w:t>Competitive Bidding Second Report and Order</w:t>
      </w:r>
      <w:r w:rsidRPr="00331B68">
        <w:t xml:space="preserve">.  </w:t>
      </w:r>
      <w:r w:rsidRPr="00331B68">
        <w:rPr>
          <w:i/>
        </w:rPr>
        <w:t>See id</w:t>
      </w:r>
      <w:r w:rsidRPr="00331B68">
        <w:t>., 9 FCC Rcd at 2382, para. 194, at 2409.</w:t>
      </w:r>
    </w:p>
  </w:footnote>
  <w:footnote w:id="158">
    <w:p w:rsidR="00AE7482" w:rsidRPr="00331B68" w:rsidP="00173309" w14:paraId="39D5648E" w14:textId="77777777">
      <w:pPr>
        <w:pStyle w:val="FootnoteText"/>
      </w:pPr>
      <w:r w:rsidRPr="00331B68">
        <w:rPr>
          <w:rStyle w:val="FootnoteReference"/>
          <w:sz w:val="20"/>
        </w:rPr>
        <w:footnoteRef/>
      </w:r>
      <w:r w:rsidRPr="00331B68">
        <w:t xml:space="preserve"> This long-form application requirement was applied to winning bidders in broadcast auctions in a 1998 rulemaking order.  </w:t>
      </w:r>
      <w:r w:rsidRPr="00331B68">
        <w:rPr>
          <w:i/>
        </w:rPr>
        <w:t>See Broadcast Competitive Bidding Order</w:t>
      </w:r>
      <w:r w:rsidRPr="00331B68">
        <w:t>, 13 FCC Rcd at 15984-85, paras. 163-64.</w:t>
      </w:r>
    </w:p>
  </w:footnote>
  <w:footnote w:id="159">
    <w:p w:rsidR="00AE7482" w:rsidRPr="00331B68" w:rsidP="00C96CC6" w14:paraId="0352AD05" w14:textId="77777777">
      <w:pPr>
        <w:pStyle w:val="FootnoteText"/>
      </w:pPr>
      <w:r w:rsidRPr="00331B68">
        <w:rPr>
          <w:rStyle w:val="FootnoteReference"/>
          <w:sz w:val="20"/>
        </w:rPr>
        <w:footnoteRef/>
      </w:r>
      <w:r w:rsidRPr="00331B68">
        <w:t xml:space="preserve"> 5 U.S.C. § 603(c)(1)-(4).</w:t>
      </w:r>
    </w:p>
  </w:footnote>
  <w:footnote w:id="160">
    <w:p w:rsidR="00AE7482" w:rsidRPr="00331B68" w:rsidP="00C96CC6" w14:paraId="0AFD0CAC" w14:textId="1A6380E5">
      <w:pPr>
        <w:pStyle w:val="FootnoteText"/>
      </w:pPr>
      <w:r w:rsidRPr="00331B68">
        <w:rPr>
          <w:rStyle w:val="FootnoteReference"/>
          <w:sz w:val="20"/>
        </w:rPr>
        <w:footnoteRef/>
      </w:r>
      <w:r w:rsidRPr="00331B68">
        <w:t xml:space="preserve"> </w:t>
      </w:r>
      <w:r w:rsidRPr="00331B68">
        <w:rPr>
          <w:i/>
        </w:rPr>
        <w:t>Id.,</w:t>
      </w:r>
      <w:r w:rsidRPr="00331B68">
        <w:t xml:space="preserve"> § 604(b).</w:t>
      </w:r>
    </w:p>
  </w:footnote>
  <w:footnote w:id="161">
    <w:p w:rsidR="00AE7482" w:rsidRPr="00331B68" w:rsidP="00AF6C16" w14:paraId="0F03B38D" w14:textId="77777777">
      <w:pPr>
        <w:pStyle w:val="FootnoteText"/>
      </w:pPr>
      <w:r w:rsidRPr="00331B68">
        <w:rPr>
          <w:rStyle w:val="FootnoteReference"/>
          <w:sz w:val="20"/>
        </w:rPr>
        <w:footnoteRef/>
      </w:r>
      <w:r w:rsidRPr="00331B68">
        <w:t xml:space="preserve"> An applicant must initiate the wire transfer through its bank, authorizing the bank to wire funds from the applicant’s account to the Commission’s account at the U.S. Treasury.  </w:t>
      </w:r>
    </w:p>
  </w:footnote>
  <w:footnote w:id="162">
    <w:p w:rsidR="00AE7482" w:rsidRPr="00331B68" w:rsidP="00AF6C16" w14:paraId="1C0BDF5F" w14:textId="77777777">
      <w:pPr>
        <w:pStyle w:val="FootnoteText"/>
      </w:pPr>
      <w:r w:rsidRPr="00331B68">
        <w:rPr>
          <w:rStyle w:val="FootnoteReference"/>
          <w:sz w:val="20"/>
        </w:rPr>
        <w:footnoteRef/>
      </w:r>
      <w:r w:rsidRPr="00331B68">
        <w:t xml:space="preserve"> The Commission will not accept checks, credit cards, or automated clearing house (ACH) payments.</w:t>
      </w:r>
    </w:p>
  </w:footnote>
  <w:footnote w:id="163">
    <w:p w:rsidR="00AE7482" w:rsidRPr="00331B68" w:rsidP="00AF6C16" w14:paraId="0E850D5E" w14:textId="77777777">
      <w:pPr>
        <w:pStyle w:val="FootnoteText"/>
      </w:pPr>
      <w:r w:rsidRPr="00331B68">
        <w:rPr>
          <w:rStyle w:val="FootnoteReference"/>
          <w:sz w:val="20"/>
        </w:rPr>
        <w:footnoteRef/>
      </w:r>
      <w:r w:rsidRPr="00331B68">
        <w:rPr>
          <w:rStyle w:val="FootnoteReference"/>
          <w:sz w:val="20"/>
        </w:rPr>
        <w:t xml:space="preserve"> </w:t>
      </w:r>
      <w:r w:rsidRPr="00331B68">
        <w:t>Letter to Lee G. Petro, Counsel for Four Corners Broadcasting, LLC, from Margaret W. Wiener, Chief, Auctions and Spectrum Access Div., 25 FCC Rcd 9046 (WTB 2010).</w:t>
      </w:r>
    </w:p>
  </w:footnote>
  <w:footnote w:id="164">
    <w:p w:rsidR="00AE7482" w:rsidRPr="00331B68" w:rsidP="00AF6C16" w14:paraId="215E7810" w14:textId="77777777">
      <w:pPr>
        <w:pStyle w:val="FootnoteText"/>
      </w:pPr>
      <w:r w:rsidRPr="00331B68">
        <w:rPr>
          <w:rStyle w:val="FootnoteReference"/>
          <w:sz w:val="20"/>
        </w:rPr>
        <w:footnoteRef/>
      </w:r>
      <w:r w:rsidRPr="00331B68">
        <w:t xml:space="preserve"> Do not use a version of the FCC Form 159 earlier than the edition revised in February of 2003.  </w:t>
      </w:r>
    </w:p>
  </w:footnote>
  <w:footnote w:id="165">
    <w:p w:rsidR="00AE7482" w:rsidRPr="00331B68" w:rsidP="00AF6C16" w14:paraId="4030B808" w14:textId="77777777">
      <w:pPr>
        <w:pStyle w:val="FootnoteText"/>
      </w:pPr>
      <w:r w:rsidRPr="00331B68">
        <w:rPr>
          <w:rStyle w:val="FootnoteReference"/>
          <w:sz w:val="20"/>
        </w:rPr>
        <w:footnoteRef/>
      </w:r>
      <w:r w:rsidRPr="00331B68">
        <w:t xml:space="preserve"> </w:t>
      </w:r>
      <w:r w:rsidRPr="00331B68">
        <w:rPr>
          <w:i/>
        </w:rPr>
        <w:t xml:space="preserve">See, e.g., </w:t>
      </w:r>
      <w:r w:rsidRPr="00331B68">
        <w:t xml:space="preserve">Letter to David G. O’Neil, Esq., Counsel for Spectrum Acquisitions, Inc., from Margaret W. Wiener, Chief, Auctions and Spectrum Access Div., 23 FCC Rcd 4765 (WTB 2008); Letter to Patrick Shannon, Esq., Counsel for Lynch 3G Communications Corp., from Margaret W. Wiener, Chief, Auctions and Industry Analysis Div., 18 FCC Rcd 11552 (WTB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RPr="00C96CC6" w:rsidP="00837C62" w14:paraId="284C73A8" w14:textId="22B579ED">
    <w:pPr>
      <w:pStyle w:val="Header"/>
      <w:rPr>
        <w:rFonts w:ascii="Times New Roman" w:hAnsi="Times New Roman" w:cs="Times New Roman"/>
        <w:sz w:val="22"/>
        <w:szCs w:val="22"/>
      </w:rPr>
    </w:pPr>
    <w:bookmarkStart w:id="1323" w:name="_Hlk531269399"/>
    <w:bookmarkStart w:id="1324" w:name="_Hlk531269400"/>
    <w:bookmarkStart w:id="1325" w:name="_Hlk531269401"/>
    <w:bookmarkStart w:id="1326" w:name="_Hlk531269402"/>
    <w:bookmarkStart w:id="1327" w:name="_Hlk531269403"/>
    <w:bookmarkStart w:id="1328" w:name="_Hlk531269404"/>
    <w:bookmarkStart w:id="1329" w:name="_Hlk531269405"/>
    <w:bookmarkStart w:id="1330" w:name="_Hlk531269406"/>
    <w:bookmarkStart w:id="1331" w:name="_Hlk531269407"/>
    <w:bookmarkStart w:id="1332" w:name="_Hlk531269408"/>
    <w:bookmarkStart w:id="1333" w:name="_Hlk531269409"/>
    <w:bookmarkStart w:id="1334" w:name="_Hlk531269410"/>
    <w:bookmarkStart w:id="1335" w:name="_Hlk531269693"/>
    <w:bookmarkStart w:id="1336" w:name="_Hlk531269694"/>
    <w:r w:rsidRPr="00C96CC6">
      <w:rPr>
        <w:rFonts w:ascii="Times New Roman" w:hAnsi="Times New Roman" w:cs="Times New Roman"/>
        <w:sz w:val="22"/>
        <w:szCs w:val="22"/>
      </w:rPr>
      <w:tab/>
      <w:t>Federal Communications Commission</w:t>
    </w:r>
    <w:r w:rsidRPr="00C96CC6">
      <w:rPr>
        <w:rFonts w:ascii="Times New Roman" w:hAnsi="Times New Roman" w:cs="Times New Roman"/>
        <w:sz w:val="22"/>
        <w:szCs w:val="22"/>
      </w:rPr>
      <w:tab/>
    </w:r>
    <w:r>
      <w:rPr>
        <w:rFonts w:ascii="Times New Roman" w:hAnsi="Times New Roman" w:cs="Times New Roman"/>
        <w:sz w:val="22"/>
        <w:szCs w:val="22"/>
      </w:rPr>
      <w:t>DA 19-273</w:t>
    </w:r>
  </w:p>
  <w:p w:rsidR="00AE7482" w:rsidRPr="00C96CC6" w14:paraId="17FDA99C"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8240" o:allowincell="f" fillcolor="black" stroked="f" strokeweight="0.05pt">
          <v:fill color2="black"/>
          <w10:wrap anchorx="margin"/>
        </v:rect>
      </w:pict>
    </w:r>
  </w:p>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rsidR="00AE7482" w14:paraId="7960744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RPr="00837C62" w:rsidP="00837C62" w14:paraId="751A39B0"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AE7482" w:rsidP="00837C62" w14:paraId="0A2418B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AE7482" w:rsidP="00C82B6B" w14:paraId="17E22B0E" w14:textId="77777777">
                <w:pPr>
                  <w:rPr>
                    <w:rFonts w:ascii="Arial" w:hAnsi="Arial"/>
                    <w:b/>
                  </w:rPr>
                </w:pPr>
                <w:r>
                  <w:rPr>
                    <w:rFonts w:ascii="Arial" w:hAnsi="Arial"/>
                    <w:b/>
                  </w:rPr>
                  <w:t>Federal Communications Commission</w:t>
                </w:r>
              </w:p>
              <w:p w:rsidR="00AE7482" w:rsidP="00C82B6B" w14:paraId="5A9A75C0" w14:textId="27700324">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AE7482" w:rsidP="00C82B6B" w14:paraId="72A43365" w14:textId="0C02CBFC">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AE7482" w:rsidP="00C82B6B" w14:paraId="67747110" w14:textId="62584D06">
                <w:pPr>
                  <w:spacing w:before="40"/>
                  <w:jc w:val="right"/>
                  <w:rPr>
                    <w:rFonts w:ascii="Arial" w:hAnsi="Arial"/>
                    <w:b/>
                    <w:sz w:val="16"/>
                  </w:rPr>
                </w:pPr>
                <w:r>
                  <w:rPr>
                    <w:rFonts w:ascii="Arial" w:hAnsi="Arial"/>
                    <w:b/>
                    <w:sz w:val="16"/>
                  </w:rPr>
                  <w:t>News Media Information: 202-418-0500</w:t>
                </w:r>
              </w:p>
              <w:p w:rsidR="00AE7482" w:rsidP="00C82B6B" w14:paraId="79225950" w14:textId="57E46204">
                <w:pPr>
                  <w:jc w:val="right"/>
                  <w:rPr>
                    <w:rFonts w:ascii="Arial" w:hAnsi="Arial"/>
                    <w:b/>
                    <w:sz w:val="16"/>
                  </w:rPr>
                </w:pPr>
                <w:r>
                  <w:rPr>
                    <w:rFonts w:ascii="Arial" w:hAnsi="Arial"/>
                    <w:b/>
                    <w:sz w:val="16"/>
                  </w:rPr>
                  <w:t>Internet: www.fcc.gov</w:t>
                </w:r>
              </w:p>
              <w:p w:rsidR="00AE7482" w:rsidP="00C82B6B" w14:paraId="35C93E7C" w14:textId="6F9127F7">
                <w:pPr>
                  <w:jc w:val="right"/>
                  <w:rPr>
                    <w:rFonts w:ascii="Arial" w:hAnsi="Arial"/>
                    <w:b/>
                    <w:sz w:val="16"/>
                  </w:rPr>
                </w:pPr>
                <w:r>
                  <w:rPr>
                    <w:rFonts w:ascii="Arial" w:hAnsi="Arial"/>
                    <w:b/>
                    <w:sz w:val="16"/>
                  </w:rPr>
                  <w:t>TTY: 888-835-5322</w:t>
                </w:r>
              </w:p>
              <w:p w:rsidR="00AE7482" w:rsidP="00C82B6B" w14:paraId="046EEE99" w14:textId="77777777">
                <w:pPr>
                  <w:jc w:val="right"/>
                </w:pPr>
              </w:p>
            </w:txbxContent>
          </v:textbox>
        </v:shape>
      </w:pict>
    </w:r>
  </w:p>
  <w:p w:rsidR="00AE7482" w:rsidRPr="00C82B6B" w:rsidP="00837C62" w14:paraId="25D5D19F" w14:textId="77777777">
    <w:pPr>
      <w:pStyle w:val="Header"/>
    </w:pPr>
    <w:r>
      <w:rPr>
        <w:noProof/>
      </w:rPr>
      <w:pict>
        <v:line id="_x0000_s2053" style="position:absolute;z-index:251660288"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482" w:rsidRPr="00C96CC6" w:rsidP="00CB1862" w14:paraId="01F103DA" w14:textId="6BA5245F">
    <w:pPr>
      <w:pStyle w:val="Header"/>
      <w:rPr>
        <w:rFonts w:ascii="Times New Roman" w:hAnsi="Times New Roman" w:cs="Times New Roman"/>
        <w:sz w:val="22"/>
        <w:szCs w:val="22"/>
      </w:rPr>
    </w:pPr>
    <w:r w:rsidRPr="00C96CC6">
      <w:rPr>
        <w:rFonts w:ascii="Times New Roman" w:hAnsi="Times New Roman" w:cs="Times New Roman"/>
        <w:sz w:val="22"/>
        <w:szCs w:val="22"/>
      </w:rPr>
      <w:tab/>
      <w:t>Federal Communications Commission</w:t>
    </w:r>
    <w:r w:rsidRPr="00C96CC6">
      <w:rPr>
        <w:rFonts w:ascii="Times New Roman" w:hAnsi="Times New Roman" w:cs="Times New Roman"/>
        <w:sz w:val="22"/>
        <w:szCs w:val="22"/>
      </w:rPr>
      <w:tab/>
    </w:r>
    <w:r>
      <w:rPr>
        <w:rFonts w:ascii="Times New Roman" w:hAnsi="Times New Roman" w:cs="Times New Roman"/>
        <w:sz w:val="22"/>
        <w:szCs w:val="22"/>
      </w:rPr>
      <w:t>DA 19-</w:t>
    </w:r>
    <w:r w:rsidR="009E0D6E">
      <w:rPr>
        <w:rFonts w:ascii="Times New Roman" w:hAnsi="Times New Roman" w:cs="Times New Roman"/>
        <w:sz w:val="22"/>
        <w:szCs w:val="22"/>
      </w:rPr>
      <w:t>273</w:t>
    </w:r>
  </w:p>
  <w:p w:rsidR="00AE7482" w:rsidRPr="00C96CC6" w:rsidP="00CB1862" w14:paraId="162D6FFB" w14:textId="77777777">
    <w:pPr>
      <w:tabs>
        <w:tab w:val="left" w:pos="-720"/>
      </w:tabs>
      <w:suppressAutoHyphens/>
      <w:spacing w:line="19" w:lineRule="exact"/>
      <w:rPr>
        <w:spacing w:val="-2"/>
        <w:szCs w:val="22"/>
      </w:rPr>
    </w:pPr>
    <w:r>
      <w:rPr>
        <w:noProof/>
        <w:snapToGrid/>
        <w:szCs w:val="22"/>
      </w:rPr>
      <w:pict>
        <v:rect id="_x0000_s2054" style="width:468pt;height:0.95pt;margin-top:0;margin-left:0;mso-position-horizontal-relative:margin;position:absolute;z-index:-251653120" o:allowincell="f" fillcolor="black" stroked="f" strokeweight="0.05pt">
          <v:fill color2="black"/>
          <w10:wrap anchorx="margin"/>
        </v:rect>
      </w:pict>
    </w:r>
  </w:p>
  <w:p w:rsidR="00AE7482" w:rsidP="00CB1862" w14:paraId="682DA2F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1B18D2"/>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147228"/>
    <w:multiLevelType w:val="hybridMultilevel"/>
    <w:tmpl w:val="5F02629A"/>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4">
    <w:nsid w:val="1E1F3D3A"/>
    <w:multiLevelType w:val="hybridMultilevel"/>
    <w:tmpl w:val="9A761F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415CB30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F47093"/>
    <w:multiLevelType w:val="multilevel"/>
    <w:tmpl w:val="79EA8CC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820665A"/>
    <w:multiLevelType w:val="hybridMultilevel"/>
    <w:tmpl w:val="A2481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940D52"/>
    <w:multiLevelType w:val="hybridMultilevel"/>
    <w:tmpl w:val="E99E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7806DF"/>
    <w:multiLevelType w:val="hybridMultilevel"/>
    <w:tmpl w:val="139493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5309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48646339"/>
    <w:multiLevelType w:val="hybridMultilevel"/>
    <w:tmpl w:val="812AB6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E9765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07A124C"/>
    <w:multiLevelType w:val="hybridMultilevel"/>
    <w:tmpl w:val="86D64DD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3233418"/>
    <w:multiLevelType w:val="hybridMultilevel"/>
    <w:tmpl w:val="6D501A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566E23"/>
    <w:multiLevelType w:val="multilevel"/>
    <w:tmpl w:val="773A4EF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F18646D"/>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3B6130F"/>
    <w:multiLevelType w:val="hybridMultilevel"/>
    <w:tmpl w:val="94C01E74"/>
    <w:lvl w:ilvl="0">
      <w:start w:val="8"/>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F450C3C"/>
    <w:multiLevelType w:val="hybridMultilevel"/>
    <w:tmpl w:val="363286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E96D5C"/>
    <w:multiLevelType w:val="hybridMultilevel"/>
    <w:tmpl w:val="751C51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9395A2A"/>
    <w:multiLevelType w:val="hybridMultilevel"/>
    <w:tmpl w:val="7804D30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3"/>
  </w:num>
  <w:num w:numId="3">
    <w:abstractNumId w:val="7"/>
  </w:num>
  <w:num w:numId="4">
    <w:abstractNumId w:val="15"/>
  </w:num>
  <w:num w:numId="5">
    <w:abstractNumId w:val="6"/>
  </w:num>
  <w:num w:numId="6">
    <w:abstractNumId w:val="0"/>
  </w:num>
  <w:num w:numId="7">
    <w:abstractNumId w:val="2"/>
  </w:num>
  <w:num w:numId="8">
    <w:abstractNumId w:val="23"/>
    <w:lvlOverride w:ilvl="0">
      <w:startOverride w:val="1"/>
    </w:lvlOverride>
  </w:num>
  <w:num w:numId="9">
    <w:abstractNumId w:val="23"/>
    <w:lvlOverride w:ilvl="0">
      <w:startOverride w:val="1"/>
    </w:lvlOverride>
  </w:num>
  <w:num w:numId="10">
    <w:abstractNumId w:val="10"/>
  </w:num>
  <w:num w:numId="11">
    <w:abstractNumId w:val="25"/>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8"/>
  </w:num>
  <w:num w:numId="17">
    <w:abstractNumId w:val="17"/>
  </w:num>
  <w:num w:numId="18">
    <w:abstractNumId w:val="16"/>
  </w:num>
  <w:num w:numId="19">
    <w:abstractNumId w:val="1"/>
  </w:num>
  <w:num w:numId="20">
    <w:abstractNumId w:val="13"/>
  </w:num>
  <w:num w:numId="21">
    <w:abstractNumId w:val="21"/>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20"/>
  </w:num>
  <w:num w:numId="28">
    <w:abstractNumId w:val="26"/>
  </w:num>
  <w:num w:numId="29">
    <w:abstractNumId w:val="12"/>
  </w:num>
  <w:num w:numId="30">
    <w:abstractNumId w:val="28"/>
  </w:num>
  <w:num w:numId="31">
    <w:abstractNumId w:val="4"/>
  </w:num>
  <w:num w:numId="32">
    <w:abstractNumId w:val="11"/>
  </w:num>
  <w:num w:numId="33">
    <w:abstractNumId w:val="27"/>
  </w:num>
  <w:num w:numId="34">
    <w:abstractNumId w:val="23"/>
    <w:lvlOverride w:ilvl="0">
      <w:startOverride w:val="1"/>
    </w:lvlOverride>
  </w:num>
  <w:num w:numId="35">
    <w:abstractNumId w:val="23"/>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4"/>
    <w:rsid w:val="00001305"/>
    <w:rsid w:val="00010A74"/>
    <w:rsid w:val="000138C4"/>
    <w:rsid w:val="00017172"/>
    <w:rsid w:val="00033480"/>
    <w:rsid w:val="00036039"/>
    <w:rsid w:val="00037F90"/>
    <w:rsid w:val="00040B84"/>
    <w:rsid w:val="00046B4F"/>
    <w:rsid w:val="00047DA4"/>
    <w:rsid w:val="000579F8"/>
    <w:rsid w:val="000601D0"/>
    <w:rsid w:val="000647D5"/>
    <w:rsid w:val="0006658F"/>
    <w:rsid w:val="00066C25"/>
    <w:rsid w:val="00083DB9"/>
    <w:rsid w:val="000845F4"/>
    <w:rsid w:val="00086DEA"/>
    <w:rsid w:val="000875BF"/>
    <w:rsid w:val="000910A3"/>
    <w:rsid w:val="0009267E"/>
    <w:rsid w:val="00095139"/>
    <w:rsid w:val="00096D8C"/>
    <w:rsid w:val="000A05EB"/>
    <w:rsid w:val="000B4CC1"/>
    <w:rsid w:val="000C0B65"/>
    <w:rsid w:val="000C360D"/>
    <w:rsid w:val="000D0413"/>
    <w:rsid w:val="000D1F47"/>
    <w:rsid w:val="000D4222"/>
    <w:rsid w:val="000E3D42"/>
    <w:rsid w:val="000E42CC"/>
    <w:rsid w:val="000E45A2"/>
    <w:rsid w:val="000E5884"/>
    <w:rsid w:val="000F2417"/>
    <w:rsid w:val="000F7B18"/>
    <w:rsid w:val="001030F8"/>
    <w:rsid w:val="0010537F"/>
    <w:rsid w:val="001062EA"/>
    <w:rsid w:val="0011104B"/>
    <w:rsid w:val="001209FA"/>
    <w:rsid w:val="00122BD5"/>
    <w:rsid w:val="00132BAE"/>
    <w:rsid w:val="00133B97"/>
    <w:rsid w:val="00145458"/>
    <w:rsid w:val="00147BF7"/>
    <w:rsid w:val="00173309"/>
    <w:rsid w:val="001762EA"/>
    <w:rsid w:val="001767AE"/>
    <w:rsid w:val="00183276"/>
    <w:rsid w:val="00183E39"/>
    <w:rsid w:val="00186003"/>
    <w:rsid w:val="00190126"/>
    <w:rsid w:val="00194D70"/>
    <w:rsid w:val="00194E4B"/>
    <w:rsid w:val="001A1300"/>
    <w:rsid w:val="001A3B7B"/>
    <w:rsid w:val="001C289C"/>
    <w:rsid w:val="001C2E9C"/>
    <w:rsid w:val="001C4058"/>
    <w:rsid w:val="001C430B"/>
    <w:rsid w:val="001C6D47"/>
    <w:rsid w:val="001D0B04"/>
    <w:rsid w:val="001D1ABB"/>
    <w:rsid w:val="001D24F2"/>
    <w:rsid w:val="001D3CC0"/>
    <w:rsid w:val="001D6BCF"/>
    <w:rsid w:val="001E01CA"/>
    <w:rsid w:val="001F001D"/>
    <w:rsid w:val="001F60FA"/>
    <w:rsid w:val="001F7A76"/>
    <w:rsid w:val="002007CF"/>
    <w:rsid w:val="00200ACF"/>
    <w:rsid w:val="00200F60"/>
    <w:rsid w:val="00203A98"/>
    <w:rsid w:val="002072D0"/>
    <w:rsid w:val="002078B3"/>
    <w:rsid w:val="002101C0"/>
    <w:rsid w:val="00210863"/>
    <w:rsid w:val="00212508"/>
    <w:rsid w:val="00220473"/>
    <w:rsid w:val="002235C4"/>
    <w:rsid w:val="0022369C"/>
    <w:rsid w:val="00226822"/>
    <w:rsid w:val="0023256E"/>
    <w:rsid w:val="00235528"/>
    <w:rsid w:val="00241184"/>
    <w:rsid w:val="002425C6"/>
    <w:rsid w:val="002438E7"/>
    <w:rsid w:val="002519AE"/>
    <w:rsid w:val="0026493B"/>
    <w:rsid w:val="002774E9"/>
    <w:rsid w:val="002819FB"/>
    <w:rsid w:val="0028276B"/>
    <w:rsid w:val="00285017"/>
    <w:rsid w:val="0029144D"/>
    <w:rsid w:val="00293EDE"/>
    <w:rsid w:val="002969EC"/>
    <w:rsid w:val="00296A54"/>
    <w:rsid w:val="002A0DC5"/>
    <w:rsid w:val="002A19DC"/>
    <w:rsid w:val="002A21F0"/>
    <w:rsid w:val="002A2D2E"/>
    <w:rsid w:val="002B479E"/>
    <w:rsid w:val="002C1D1B"/>
    <w:rsid w:val="002C6481"/>
    <w:rsid w:val="002D64F3"/>
    <w:rsid w:val="002E57ED"/>
    <w:rsid w:val="002F4A7B"/>
    <w:rsid w:val="002F7CE0"/>
    <w:rsid w:val="00303AF8"/>
    <w:rsid w:val="003046C5"/>
    <w:rsid w:val="00304B3F"/>
    <w:rsid w:val="00305B88"/>
    <w:rsid w:val="00307EB2"/>
    <w:rsid w:val="00310A80"/>
    <w:rsid w:val="00323CDF"/>
    <w:rsid w:val="00324A89"/>
    <w:rsid w:val="00324F70"/>
    <w:rsid w:val="00325221"/>
    <w:rsid w:val="00326155"/>
    <w:rsid w:val="00331B68"/>
    <w:rsid w:val="00336D27"/>
    <w:rsid w:val="00341C96"/>
    <w:rsid w:val="00341DD7"/>
    <w:rsid w:val="00343749"/>
    <w:rsid w:val="00371FDD"/>
    <w:rsid w:val="00391F13"/>
    <w:rsid w:val="003A3E33"/>
    <w:rsid w:val="003B0550"/>
    <w:rsid w:val="003B1687"/>
    <w:rsid w:val="003B694F"/>
    <w:rsid w:val="003C1151"/>
    <w:rsid w:val="003D4617"/>
    <w:rsid w:val="003D46B7"/>
    <w:rsid w:val="003E5AE0"/>
    <w:rsid w:val="003E6139"/>
    <w:rsid w:val="003F171C"/>
    <w:rsid w:val="003F2F8A"/>
    <w:rsid w:val="003F4483"/>
    <w:rsid w:val="00403915"/>
    <w:rsid w:val="00411034"/>
    <w:rsid w:val="0041223B"/>
    <w:rsid w:val="00412FC5"/>
    <w:rsid w:val="00415F2C"/>
    <w:rsid w:val="00420136"/>
    <w:rsid w:val="00422276"/>
    <w:rsid w:val="004242F1"/>
    <w:rsid w:val="00424AC0"/>
    <w:rsid w:val="00425C85"/>
    <w:rsid w:val="00430591"/>
    <w:rsid w:val="00431AEF"/>
    <w:rsid w:val="00432657"/>
    <w:rsid w:val="004426E9"/>
    <w:rsid w:val="00445A00"/>
    <w:rsid w:val="00451B0F"/>
    <w:rsid w:val="004568B9"/>
    <w:rsid w:val="0046220A"/>
    <w:rsid w:val="00462FC8"/>
    <w:rsid w:val="00463D88"/>
    <w:rsid w:val="00471FAD"/>
    <w:rsid w:val="0047754A"/>
    <w:rsid w:val="004843BD"/>
    <w:rsid w:val="00490BB8"/>
    <w:rsid w:val="004917F4"/>
    <w:rsid w:val="004953C0"/>
    <w:rsid w:val="00496106"/>
    <w:rsid w:val="004A0633"/>
    <w:rsid w:val="004A2C56"/>
    <w:rsid w:val="004A408C"/>
    <w:rsid w:val="004B39A9"/>
    <w:rsid w:val="004B3E6F"/>
    <w:rsid w:val="004C12D0"/>
    <w:rsid w:val="004C2EE3"/>
    <w:rsid w:val="004D3847"/>
    <w:rsid w:val="004D3B63"/>
    <w:rsid w:val="004D465C"/>
    <w:rsid w:val="004E0894"/>
    <w:rsid w:val="004E4054"/>
    <w:rsid w:val="004E4A22"/>
    <w:rsid w:val="004E6718"/>
    <w:rsid w:val="004F34A5"/>
    <w:rsid w:val="004F36D3"/>
    <w:rsid w:val="0051008C"/>
    <w:rsid w:val="00511968"/>
    <w:rsid w:val="00515DAC"/>
    <w:rsid w:val="00515E52"/>
    <w:rsid w:val="00517FE6"/>
    <w:rsid w:val="0053566C"/>
    <w:rsid w:val="0054345E"/>
    <w:rsid w:val="00547CAA"/>
    <w:rsid w:val="00555B64"/>
    <w:rsid w:val="0055614C"/>
    <w:rsid w:val="005626AD"/>
    <w:rsid w:val="005627FD"/>
    <w:rsid w:val="005662DF"/>
    <w:rsid w:val="005712E5"/>
    <w:rsid w:val="0057241F"/>
    <w:rsid w:val="005749A5"/>
    <w:rsid w:val="005940CD"/>
    <w:rsid w:val="00597291"/>
    <w:rsid w:val="005974AB"/>
    <w:rsid w:val="005A52C8"/>
    <w:rsid w:val="005A52D9"/>
    <w:rsid w:val="005B0D07"/>
    <w:rsid w:val="005B113A"/>
    <w:rsid w:val="005C5D0E"/>
    <w:rsid w:val="005D09AC"/>
    <w:rsid w:val="005E52E0"/>
    <w:rsid w:val="005F1199"/>
    <w:rsid w:val="005F68E3"/>
    <w:rsid w:val="005F7D13"/>
    <w:rsid w:val="006016AD"/>
    <w:rsid w:val="006023CB"/>
    <w:rsid w:val="006040C2"/>
    <w:rsid w:val="00606DE4"/>
    <w:rsid w:val="00607BA5"/>
    <w:rsid w:val="006200C3"/>
    <w:rsid w:val="00620BF2"/>
    <w:rsid w:val="00626EB6"/>
    <w:rsid w:val="00637337"/>
    <w:rsid w:val="0064004B"/>
    <w:rsid w:val="00640E12"/>
    <w:rsid w:val="006426E1"/>
    <w:rsid w:val="00642749"/>
    <w:rsid w:val="0064745A"/>
    <w:rsid w:val="00647C71"/>
    <w:rsid w:val="00651443"/>
    <w:rsid w:val="00651FC3"/>
    <w:rsid w:val="00655D03"/>
    <w:rsid w:val="006573D8"/>
    <w:rsid w:val="006639FD"/>
    <w:rsid w:val="00666032"/>
    <w:rsid w:val="00667565"/>
    <w:rsid w:val="0067006D"/>
    <w:rsid w:val="006731D4"/>
    <w:rsid w:val="006739DB"/>
    <w:rsid w:val="00683F84"/>
    <w:rsid w:val="00692219"/>
    <w:rsid w:val="00696B68"/>
    <w:rsid w:val="00697E02"/>
    <w:rsid w:val="006A1BAC"/>
    <w:rsid w:val="006A2192"/>
    <w:rsid w:val="006A445A"/>
    <w:rsid w:val="006A5AC7"/>
    <w:rsid w:val="006A6A81"/>
    <w:rsid w:val="006B5854"/>
    <w:rsid w:val="006B5883"/>
    <w:rsid w:val="006C4B5A"/>
    <w:rsid w:val="006C7621"/>
    <w:rsid w:val="006D17C1"/>
    <w:rsid w:val="006D7453"/>
    <w:rsid w:val="006E0926"/>
    <w:rsid w:val="006E26AF"/>
    <w:rsid w:val="006E3B2E"/>
    <w:rsid w:val="006F4414"/>
    <w:rsid w:val="006F7393"/>
    <w:rsid w:val="0070224F"/>
    <w:rsid w:val="007115F7"/>
    <w:rsid w:val="007126C6"/>
    <w:rsid w:val="00712787"/>
    <w:rsid w:val="00713E36"/>
    <w:rsid w:val="00714D85"/>
    <w:rsid w:val="0071531E"/>
    <w:rsid w:val="00726CD6"/>
    <w:rsid w:val="007326EC"/>
    <w:rsid w:val="0073407E"/>
    <w:rsid w:val="00754E66"/>
    <w:rsid w:val="00762FBC"/>
    <w:rsid w:val="00763F18"/>
    <w:rsid w:val="00764293"/>
    <w:rsid w:val="00767B4D"/>
    <w:rsid w:val="00774362"/>
    <w:rsid w:val="00781F59"/>
    <w:rsid w:val="00785689"/>
    <w:rsid w:val="00790BC8"/>
    <w:rsid w:val="00791622"/>
    <w:rsid w:val="00793C1E"/>
    <w:rsid w:val="007943E0"/>
    <w:rsid w:val="0079754B"/>
    <w:rsid w:val="007A1E6D"/>
    <w:rsid w:val="007A5322"/>
    <w:rsid w:val="007A6245"/>
    <w:rsid w:val="007B1543"/>
    <w:rsid w:val="007B7A3B"/>
    <w:rsid w:val="007C3363"/>
    <w:rsid w:val="007C52FA"/>
    <w:rsid w:val="007D31D7"/>
    <w:rsid w:val="007D7D83"/>
    <w:rsid w:val="007E2CAF"/>
    <w:rsid w:val="007E2D08"/>
    <w:rsid w:val="007E342F"/>
    <w:rsid w:val="007E4A5E"/>
    <w:rsid w:val="007E5680"/>
    <w:rsid w:val="007F7CC0"/>
    <w:rsid w:val="008050D6"/>
    <w:rsid w:val="00806254"/>
    <w:rsid w:val="008104F7"/>
    <w:rsid w:val="008124FC"/>
    <w:rsid w:val="00822CE0"/>
    <w:rsid w:val="00832AA0"/>
    <w:rsid w:val="00837C62"/>
    <w:rsid w:val="00841AB1"/>
    <w:rsid w:val="00841FAD"/>
    <w:rsid w:val="0085441E"/>
    <w:rsid w:val="00854B58"/>
    <w:rsid w:val="00865368"/>
    <w:rsid w:val="008656BE"/>
    <w:rsid w:val="008722DD"/>
    <w:rsid w:val="00884535"/>
    <w:rsid w:val="00885C28"/>
    <w:rsid w:val="00890B40"/>
    <w:rsid w:val="00893034"/>
    <w:rsid w:val="00893A32"/>
    <w:rsid w:val="008B2CB8"/>
    <w:rsid w:val="008C484E"/>
    <w:rsid w:val="008C7578"/>
    <w:rsid w:val="008D40DC"/>
    <w:rsid w:val="008D61E0"/>
    <w:rsid w:val="008E6340"/>
    <w:rsid w:val="008E7074"/>
    <w:rsid w:val="0090595E"/>
    <w:rsid w:val="00914A99"/>
    <w:rsid w:val="00915E0F"/>
    <w:rsid w:val="009169BE"/>
    <w:rsid w:val="009215BC"/>
    <w:rsid w:val="00921CD4"/>
    <w:rsid w:val="00926503"/>
    <w:rsid w:val="00927C04"/>
    <w:rsid w:val="009307DC"/>
    <w:rsid w:val="009378FD"/>
    <w:rsid w:val="00947EC1"/>
    <w:rsid w:val="0095293B"/>
    <w:rsid w:val="0095321F"/>
    <w:rsid w:val="00954AA8"/>
    <w:rsid w:val="00956038"/>
    <w:rsid w:val="00957529"/>
    <w:rsid w:val="00957E6C"/>
    <w:rsid w:val="00957F27"/>
    <w:rsid w:val="00961A42"/>
    <w:rsid w:val="009620B2"/>
    <w:rsid w:val="009649F9"/>
    <w:rsid w:val="00974135"/>
    <w:rsid w:val="0098082D"/>
    <w:rsid w:val="00981C53"/>
    <w:rsid w:val="00987250"/>
    <w:rsid w:val="009944E7"/>
    <w:rsid w:val="009952DC"/>
    <w:rsid w:val="00996ACB"/>
    <w:rsid w:val="009A122A"/>
    <w:rsid w:val="009A5022"/>
    <w:rsid w:val="009D06D1"/>
    <w:rsid w:val="009E0D6E"/>
    <w:rsid w:val="009F06C4"/>
    <w:rsid w:val="009F0EEA"/>
    <w:rsid w:val="00A006B0"/>
    <w:rsid w:val="00A07715"/>
    <w:rsid w:val="00A1250F"/>
    <w:rsid w:val="00A15223"/>
    <w:rsid w:val="00A25DC6"/>
    <w:rsid w:val="00A31CE1"/>
    <w:rsid w:val="00A419EA"/>
    <w:rsid w:val="00A433CC"/>
    <w:rsid w:val="00A45F4F"/>
    <w:rsid w:val="00A600A9"/>
    <w:rsid w:val="00A61C50"/>
    <w:rsid w:val="00A62779"/>
    <w:rsid w:val="00A6495A"/>
    <w:rsid w:val="00A65F60"/>
    <w:rsid w:val="00A662C3"/>
    <w:rsid w:val="00A70DF4"/>
    <w:rsid w:val="00A83068"/>
    <w:rsid w:val="00A86BFF"/>
    <w:rsid w:val="00A90226"/>
    <w:rsid w:val="00A931B6"/>
    <w:rsid w:val="00A94852"/>
    <w:rsid w:val="00AA2B80"/>
    <w:rsid w:val="00AA3282"/>
    <w:rsid w:val="00AA3FEB"/>
    <w:rsid w:val="00AA55B7"/>
    <w:rsid w:val="00AA5B9E"/>
    <w:rsid w:val="00AB2407"/>
    <w:rsid w:val="00AB4AC3"/>
    <w:rsid w:val="00AB53DF"/>
    <w:rsid w:val="00AB5A9C"/>
    <w:rsid w:val="00AD1536"/>
    <w:rsid w:val="00AE10B9"/>
    <w:rsid w:val="00AE6187"/>
    <w:rsid w:val="00AE7482"/>
    <w:rsid w:val="00AF3BF5"/>
    <w:rsid w:val="00AF6C16"/>
    <w:rsid w:val="00B07E5C"/>
    <w:rsid w:val="00B122F7"/>
    <w:rsid w:val="00B15925"/>
    <w:rsid w:val="00B221F4"/>
    <w:rsid w:val="00B43022"/>
    <w:rsid w:val="00B5607E"/>
    <w:rsid w:val="00B65064"/>
    <w:rsid w:val="00B70857"/>
    <w:rsid w:val="00B75B71"/>
    <w:rsid w:val="00B811F7"/>
    <w:rsid w:val="00B83400"/>
    <w:rsid w:val="00B84B83"/>
    <w:rsid w:val="00BA079A"/>
    <w:rsid w:val="00BA1D04"/>
    <w:rsid w:val="00BA263A"/>
    <w:rsid w:val="00BA4CA7"/>
    <w:rsid w:val="00BA512E"/>
    <w:rsid w:val="00BA5DC6"/>
    <w:rsid w:val="00BA6196"/>
    <w:rsid w:val="00BC0ED4"/>
    <w:rsid w:val="00BC1EBB"/>
    <w:rsid w:val="00BC6D8C"/>
    <w:rsid w:val="00BD3AC6"/>
    <w:rsid w:val="00BD752F"/>
    <w:rsid w:val="00BE78D0"/>
    <w:rsid w:val="00BF531E"/>
    <w:rsid w:val="00C02154"/>
    <w:rsid w:val="00C0407F"/>
    <w:rsid w:val="00C06E1B"/>
    <w:rsid w:val="00C07C81"/>
    <w:rsid w:val="00C15359"/>
    <w:rsid w:val="00C27342"/>
    <w:rsid w:val="00C34006"/>
    <w:rsid w:val="00C426B1"/>
    <w:rsid w:val="00C45BAB"/>
    <w:rsid w:val="00C51944"/>
    <w:rsid w:val="00C5607F"/>
    <w:rsid w:val="00C56657"/>
    <w:rsid w:val="00C57C9E"/>
    <w:rsid w:val="00C61655"/>
    <w:rsid w:val="00C61FA4"/>
    <w:rsid w:val="00C724CC"/>
    <w:rsid w:val="00C7502D"/>
    <w:rsid w:val="00C76B00"/>
    <w:rsid w:val="00C82B6B"/>
    <w:rsid w:val="00C8356B"/>
    <w:rsid w:val="00C83CA0"/>
    <w:rsid w:val="00C83F0F"/>
    <w:rsid w:val="00C90D6A"/>
    <w:rsid w:val="00C96CC6"/>
    <w:rsid w:val="00CA1BA6"/>
    <w:rsid w:val="00CA58CF"/>
    <w:rsid w:val="00CA6286"/>
    <w:rsid w:val="00CB1862"/>
    <w:rsid w:val="00CB5B97"/>
    <w:rsid w:val="00CB7FEA"/>
    <w:rsid w:val="00CC1D6B"/>
    <w:rsid w:val="00CC3AEE"/>
    <w:rsid w:val="00CC72B6"/>
    <w:rsid w:val="00CD02F4"/>
    <w:rsid w:val="00CD1878"/>
    <w:rsid w:val="00CD1F30"/>
    <w:rsid w:val="00CE35FE"/>
    <w:rsid w:val="00CE370E"/>
    <w:rsid w:val="00CF0E85"/>
    <w:rsid w:val="00CF3C0B"/>
    <w:rsid w:val="00CF4E9A"/>
    <w:rsid w:val="00CF5529"/>
    <w:rsid w:val="00CF5FC1"/>
    <w:rsid w:val="00D0218D"/>
    <w:rsid w:val="00D16CD6"/>
    <w:rsid w:val="00D20D33"/>
    <w:rsid w:val="00D23486"/>
    <w:rsid w:val="00D23E0B"/>
    <w:rsid w:val="00D24E7A"/>
    <w:rsid w:val="00D25662"/>
    <w:rsid w:val="00D275F7"/>
    <w:rsid w:val="00D3364E"/>
    <w:rsid w:val="00D36E64"/>
    <w:rsid w:val="00D450DC"/>
    <w:rsid w:val="00D473A9"/>
    <w:rsid w:val="00D50882"/>
    <w:rsid w:val="00D5727F"/>
    <w:rsid w:val="00D6300F"/>
    <w:rsid w:val="00D70AFD"/>
    <w:rsid w:val="00D7677C"/>
    <w:rsid w:val="00D850E4"/>
    <w:rsid w:val="00D9041D"/>
    <w:rsid w:val="00DA2529"/>
    <w:rsid w:val="00DA3070"/>
    <w:rsid w:val="00DB0A6A"/>
    <w:rsid w:val="00DB130A"/>
    <w:rsid w:val="00DB25FF"/>
    <w:rsid w:val="00DB2859"/>
    <w:rsid w:val="00DB54BD"/>
    <w:rsid w:val="00DB674C"/>
    <w:rsid w:val="00DC10A1"/>
    <w:rsid w:val="00DC211B"/>
    <w:rsid w:val="00DC3F3B"/>
    <w:rsid w:val="00DC655F"/>
    <w:rsid w:val="00DD609F"/>
    <w:rsid w:val="00DD7EBD"/>
    <w:rsid w:val="00DE363B"/>
    <w:rsid w:val="00DE4E30"/>
    <w:rsid w:val="00DE4EA7"/>
    <w:rsid w:val="00DE5B64"/>
    <w:rsid w:val="00DF06C2"/>
    <w:rsid w:val="00DF62B6"/>
    <w:rsid w:val="00DF7948"/>
    <w:rsid w:val="00E07225"/>
    <w:rsid w:val="00E17012"/>
    <w:rsid w:val="00E22381"/>
    <w:rsid w:val="00E36B17"/>
    <w:rsid w:val="00E44C52"/>
    <w:rsid w:val="00E457F0"/>
    <w:rsid w:val="00E471A8"/>
    <w:rsid w:val="00E500E8"/>
    <w:rsid w:val="00E5409F"/>
    <w:rsid w:val="00E553BD"/>
    <w:rsid w:val="00E612AB"/>
    <w:rsid w:val="00E6625D"/>
    <w:rsid w:val="00E66EB6"/>
    <w:rsid w:val="00E717D8"/>
    <w:rsid w:val="00E75725"/>
    <w:rsid w:val="00E8182C"/>
    <w:rsid w:val="00E8441A"/>
    <w:rsid w:val="00E84B9C"/>
    <w:rsid w:val="00E87A95"/>
    <w:rsid w:val="00E906AD"/>
    <w:rsid w:val="00E935BF"/>
    <w:rsid w:val="00E96F3C"/>
    <w:rsid w:val="00EA4E12"/>
    <w:rsid w:val="00EA7C1D"/>
    <w:rsid w:val="00EB163E"/>
    <w:rsid w:val="00EB2B59"/>
    <w:rsid w:val="00EB3D24"/>
    <w:rsid w:val="00EC7E9E"/>
    <w:rsid w:val="00EE07F6"/>
    <w:rsid w:val="00EE782C"/>
    <w:rsid w:val="00EF3215"/>
    <w:rsid w:val="00F00A23"/>
    <w:rsid w:val="00F021FA"/>
    <w:rsid w:val="00F03BE1"/>
    <w:rsid w:val="00F15057"/>
    <w:rsid w:val="00F15F92"/>
    <w:rsid w:val="00F204B8"/>
    <w:rsid w:val="00F46145"/>
    <w:rsid w:val="00F5244E"/>
    <w:rsid w:val="00F57ACA"/>
    <w:rsid w:val="00F62E97"/>
    <w:rsid w:val="00F64209"/>
    <w:rsid w:val="00F650FA"/>
    <w:rsid w:val="00F657E6"/>
    <w:rsid w:val="00F674EF"/>
    <w:rsid w:val="00F67A95"/>
    <w:rsid w:val="00F76360"/>
    <w:rsid w:val="00F76575"/>
    <w:rsid w:val="00F7675F"/>
    <w:rsid w:val="00F85E5F"/>
    <w:rsid w:val="00F93BF5"/>
    <w:rsid w:val="00FA45D5"/>
    <w:rsid w:val="00FB2B9B"/>
    <w:rsid w:val="00FB4F18"/>
    <w:rsid w:val="00FC47CC"/>
    <w:rsid w:val="00FD129B"/>
    <w:rsid w:val="00FD2646"/>
    <w:rsid w:val="00FD5A75"/>
    <w:rsid w:val="00FF5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310829-6202-435A-BC06-7280099F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C06E1B"/>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nhideWhenUsed/>
    <w:rsid w:val="00B221F4"/>
    <w:rPr>
      <w:rFonts w:ascii="Segoe UI" w:hAnsi="Segoe UI" w:cs="Segoe UI"/>
      <w:sz w:val="18"/>
      <w:szCs w:val="18"/>
    </w:rPr>
  </w:style>
  <w:style w:type="character" w:customStyle="1" w:styleId="BalloonTextChar">
    <w:name w:val="Balloon Text Char"/>
    <w:basedOn w:val="DefaultParagraphFont"/>
    <w:link w:val="BalloonText"/>
    <w:rsid w:val="00B221F4"/>
    <w:rPr>
      <w:rFonts w:ascii="Segoe UI" w:hAnsi="Segoe UI" w:cs="Segoe UI"/>
      <w:snapToGrid w:val="0"/>
      <w:kern w:val="28"/>
      <w:sz w:val="18"/>
      <w:szCs w:val="18"/>
    </w:rPr>
  </w:style>
  <w:style w:type="character" w:styleId="CommentReference">
    <w:name w:val="annotation reference"/>
    <w:uiPriority w:val="99"/>
    <w:unhideWhenUsed/>
    <w:rsid w:val="00C96CC6"/>
    <w:rPr>
      <w:sz w:val="16"/>
      <w:szCs w:val="16"/>
    </w:rPr>
  </w:style>
  <w:style w:type="paragraph" w:styleId="CommentText">
    <w:name w:val="annotation text"/>
    <w:basedOn w:val="Normal"/>
    <w:link w:val="CommentTextChar"/>
    <w:uiPriority w:val="99"/>
    <w:unhideWhenUsed/>
    <w:rsid w:val="00C96CC6"/>
    <w:rPr>
      <w:sz w:val="20"/>
    </w:rPr>
  </w:style>
  <w:style w:type="character" w:customStyle="1" w:styleId="CommentTextChar">
    <w:name w:val="Comment Text Char"/>
    <w:basedOn w:val="DefaultParagraphFont"/>
    <w:link w:val="CommentText"/>
    <w:uiPriority w:val="99"/>
    <w:rsid w:val="00C96CC6"/>
    <w:rPr>
      <w:snapToGrid w:val="0"/>
      <w:kern w:val="28"/>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96CC6"/>
    <w:rPr>
      <w:lang w:val="en-US" w:eastAsia="en-US" w:bidi="ar-SA"/>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C96CC6"/>
  </w:style>
  <w:style w:type="character" w:customStyle="1" w:styleId="ParaNumChar">
    <w:name w:val="ParaNum Char"/>
    <w:link w:val="ParaNum"/>
    <w:locked/>
    <w:rsid w:val="00C96CC6"/>
    <w:rPr>
      <w:snapToGrid w:val="0"/>
      <w:kern w:val="28"/>
      <w:sz w:val="22"/>
    </w:rPr>
  </w:style>
  <w:style w:type="paragraph" w:styleId="CommentSubject">
    <w:name w:val="annotation subject"/>
    <w:basedOn w:val="CommentText"/>
    <w:next w:val="CommentText"/>
    <w:link w:val="CommentSubjectChar"/>
    <w:uiPriority w:val="99"/>
    <w:unhideWhenUsed/>
    <w:rsid w:val="00C96CC6"/>
    <w:rPr>
      <w:b/>
      <w:bCs/>
    </w:rPr>
  </w:style>
  <w:style w:type="character" w:customStyle="1" w:styleId="CommentSubjectChar">
    <w:name w:val="Comment Subject Char"/>
    <w:basedOn w:val="CommentTextChar"/>
    <w:link w:val="CommentSubject"/>
    <w:uiPriority w:val="99"/>
    <w:rsid w:val="00C96CC6"/>
    <w:rPr>
      <w:b/>
      <w:bCs/>
      <w:snapToGrid w:val="0"/>
      <w:kern w:val="28"/>
    </w:rPr>
  </w:style>
  <w:style w:type="character" w:styleId="FollowedHyperlink">
    <w:name w:val="FollowedHyperlink"/>
    <w:uiPriority w:val="99"/>
    <w:unhideWhenUsed/>
    <w:rsid w:val="00C96CC6"/>
    <w:rPr>
      <w:color w:val="954F72"/>
      <w:u w:val="single"/>
    </w:rPr>
  </w:style>
  <w:style w:type="paragraph" w:customStyle="1" w:styleId="ParaNumChar1Char">
    <w:name w:val="ParaNum Char1 Char"/>
    <w:basedOn w:val="Normal"/>
    <w:link w:val="ParaNumChar1CharChar"/>
    <w:rsid w:val="00C96CC6"/>
    <w:pPr>
      <w:tabs>
        <w:tab w:val="num" w:pos="1080"/>
      </w:tabs>
      <w:spacing w:after="120"/>
      <w:ind w:firstLine="720"/>
    </w:pPr>
  </w:style>
  <w:style w:type="character" w:customStyle="1" w:styleId="ParaNumChar1CharChar">
    <w:name w:val="ParaNum Char1 Char Char"/>
    <w:link w:val="ParaNumChar1Char"/>
    <w:rsid w:val="00C96CC6"/>
    <w:rPr>
      <w:snapToGrid w:val="0"/>
      <w:kern w:val="28"/>
      <w:sz w:val="22"/>
    </w:rPr>
  </w:style>
  <w:style w:type="character" w:customStyle="1" w:styleId="UnresolvedMention1">
    <w:name w:val="Unresolved Mention1"/>
    <w:uiPriority w:val="99"/>
    <w:semiHidden/>
    <w:unhideWhenUsed/>
    <w:rsid w:val="00C96CC6"/>
    <w:rPr>
      <w:color w:val="808080"/>
      <w:shd w:val="clear" w:color="auto" w:fill="E6E6E6"/>
    </w:rPr>
  </w:style>
  <w:style w:type="paragraph" w:customStyle="1" w:styleId="BulletCharChar">
    <w:name w:val="Bullet Char Char"/>
    <w:basedOn w:val="Normal"/>
    <w:link w:val="BulletCharCharChar"/>
    <w:rsid w:val="00C96CC6"/>
    <w:pPr>
      <w:tabs>
        <w:tab w:val="left" w:pos="2160"/>
      </w:tabs>
      <w:spacing w:after="220"/>
      <w:ind w:left="2160" w:hanging="720"/>
    </w:pPr>
  </w:style>
  <w:style w:type="character" w:customStyle="1" w:styleId="BulletCharCharChar">
    <w:name w:val="Bullet Char Char Char"/>
    <w:link w:val="BulletCharChar"/>
    <w:rsid w:val="00C96CC6"/>
    <w:rPr>
      <w:snapToGrid w:val="0"/>
      <w:kern w:val="28"/>
      <w:sz w:val="22"/>
    </w:rPr>
  </w:style>
  <w:style w:type="paragraph" w:styleId="Revision">
    <w:name w:val="Revision"/>
    <w:hidden/>
    <w:uiPriority w:val="99"/>
    <w:semiHidden/>
    <w:rsid w:val="00C96CC6"/>
    <w:rPr>
      <w:snapToGrid w:val="0"/>
      <w:kern w:val="28"/>
      <w:sz w:val="22"/>
    </w:rPr>
  </w:style>
  <w:style w:type="character" w:customStyle="1" w:styleId="FooterChar">
    <w:name w:val="Footer Char"/>
    <w:link w:val="Footer"/>
    <w:uiPriority w:val="99"/>
    <w:rsid w:val="00C96CC6"/>
    <w:rPr>
      <w:snapToGrid w:val="0"/>
      <w:kern w:val="28"/>
      <w:sz w:val="22"/>
    </w:rPr>
  </w:style>
  <w:style w:type="paragraph" w:styleId="ListParagraph">
    <w:name w:val="List Paragraph"/>
    <w:basedOn w:val="Normal"/>
    <w:uiPriority w:val="34"/>
    <w:qFormat/>
    <w:rsid w:val="00C96CC6"/>
    <w:pPr>
      <w:widowControl/>
      <w:spacing w:after="200" w:line="276" w:lineRule="auto"/>
      <w:ind w:left="720"/>
      <w:contextualSpacing/>
    </w:pPr>
    <w:rPr>
      <w:rFonts w:ascii="Calibri" w:eastAsia="Calibri" w:hAnsi="Calibri"/>
      <w:snapToGrid/>
      <w:kern w:val="0"/>
      <w:szCs w:val="22"/>
    </w:rPr>
  </w:style>
  <w:style w:type="paragraph" w:styleId="TOCHeading">
    <w:name w:val="TOC Heading"/>
    <w:basedOn w:val="Heading1"/>
    <w:next w:val="Normal"/>
    <w:uiPriority w:val="39"/>
    <w:unhideWhenUsed/>
    <w:qFormat/>
    <w:rsid w:val="00C96CC6"/>
    <w:pPr>
      <w:keepLines/>
      <w:widowControl/>
      <w:numPr>
        <w:numId w:val="0"/>
      </w:numPr>
      <w:tabs>
        <w:tab w:val="left" w:pos="720"/>
        <w:tab w:val="num" w:pos="1080"/>
      </w:tabs>
      <w:suppressAutoHyphens w:val="0"/>
      <w:spacing w:before="240" w:after="0" w:line="259" w:lineRule="auto"/>
      <w:ind w:firstLine="720"/>
      <w:outlineLvl w:val="9"/>
    </w:pPr>
    <w:rPr>
      <w:rFonts w:ascii="Calibri Light" w:eastAsia="MS Gothic" w:hAnsi="Calibri Light"/>
      <w:b w:val="0"/>
      <w:caps w:val="0"/>
      <w:color w:val="2E74B5"/>
      <w:kern w:val="0"/>
      <w:sz w:val="32"/>
      <w:szCs w:val="32"/>
    </w:rPr>
  </w:style>
  <w:style w:type="character" w:customStyle="1" w:styleId="apple-converted-space">
    <w:name w:val="apple-converted-space"/>
    <w:rsid w:val="00C96CC6"/>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C96CC6"/>
  </w:style>
  <w:style w:type="character" w:customStyle="1" w:styleId="footnote">
    <w:name w:val="footnote"/>
    <w:rsid w:val="00C96CC6"/>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link w:val="Heading1"/>
    <w:rsid w:val="00C96CC6"/>
    <w:rPr>
      <w:rFonts w:ascii="Times New Roman Bold" w:hAnsi="Times New Roman Bold"/>
      <w:b/>
      <w:caps/>
      <w:snapToGrid w:val="0"/>
      <w:kern w:val="28"/>
      <w:sz w:val="22"/>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C96CC6"/>
  </w:style>
  <w:style w:type="paragraph" w:styleId="NormalWeb">
    <w:name w:val="Normal (Web)"/>
    <w:basedOn w:val="Normal"/>
    <w:uiPriority w:val="99"/>
    <w:unhideWhenUsed/>
    <w:rsid w:val="00C96CC6"/>
    <w:pPr>
      <w:widowControl/>
      <w:spacing w:after="200" w:line="330" w:lineRule="atLeast"/>
      <w:textAlignment w:val="baseline"/>
    </w:pPr>
    <w:rPr>
      <w:rFonts w:ascii="Calibri" w:eastAsia="Calibri" w:hAnsi="Calibri"/>
      <w:color w:val="000000"/>
      <w:kern w:val="0"/>
      <w:sz w:val="20"/>
      <w:szCs w:val="22"/>
    </w:rPr>
  </w:style>
  <w:style w:type="character" w:customStyle="1" w:styleId="cohovertext">
    <w:name w:val="co_hovertext"/>
    <w:rsid w:val="00C96CC6"/>
  </w:style>
  <w:style w:type="character" w:customStyle="1" w:styleId="cosearchterm">
    <w:name w:val="co_searchterm"/>
    <w:rsid w:val="00C96CC6"/>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link w:val="Heading4"/>
    <w:rsid w:val="00C96CC6"/>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C96CC6"/>
    <w:rPr>
      <w:b/>
      <w:snapToGrid w:val="0"/>
      <w:kern w:val="28"/>
      <w:sz w:val="22"/>
    </w:rPr>
  </w:style>
  <w:style w:type="character" w:styleId="Emphasis">
    <w:name w:val="Emphasis"/>
    <w:qFormat/>
    <w:rsid w:val="00C96CC6"/>
    <w:rPr>
      <w:i/>
      <w:iCs/>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C06E1B"/>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rsid w:val="00C96CC6"/>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C96CC6"/>
    <w:rPr>
      <w:b/>
      <w:snapToGrid w:val="0"/>
      <w:kern w:val="28"/>
      <w:sz w:val="22"/>
    </w:rPr>
  </w:style>
  <w:style w:type="character" w:customStyle="1" w:styleId="Heading7Char">
    <w:name w:val="Heading 7 Char"/>
    <w:link w:val="Heading7"/>
    <w:rsid w:val="00C96CC6"/>
    <w:rPr>
      <w:b/>
      <w:snapToGrid w:val="0"/>
      <w:kern w:val="28"/>
      <w:sz w:val="22"/>
    </w:rPr>
  </w:style>
  <w:style w:type="character" w:customStyle="1" w:styleId="Heading8Char">
    <w:name w:val="Heading 8 Char"/>
    <w:link w:val="Heading8"/>
    <w:rsid w:val="00C96CC6"/>
    <w:rPr>
      <w:b/>
      <w:snapToGrid w:val="0"/>
      <w:kern w:val="28"/>
      <w:sz w:val="22"/>
    </w:rPr>
  </w:style>
  <w:style w:type="character" w:customStyle="1" w:styleId="Heading9Char">
    <w:name w:val="Heading 9 Char"/>
    <w:aliases w:val="9 Char,Heading 9.table Char,Titre 9 Char,Topic Char,t Char,table Char"/>
    <w:link w:val="Heading9"/>
    <w:rsid w:val="00C96CC6"/>
    <w:rPr>
      <w:b/>
      <w:snapToGrid w:val="0"/>
      <w:kern w:val="28"/>
      <w:sz w:val="22"/>
    </w:rPr>
  </w:style>
  <w:style w:type="character" w:styleId="Strong">
    <w:name w:val="Strong"/>
    <w:qFormat/>
    <w:rsid w:val="00C96CC6"/>
    <w:rPr>
      <w:b/>
    </w:rPr>
  </w:style>
  <w:style w:type="character" w:customStyle="1" w:styleId="a">
    <w:name w:val="_"/>
    <w:rsid w:val="00C96CC6"/>
    <w:rPr>
      <w:rFonts w:ascii="Times New Roman" w:hAnsi="Times New Roman"/>
      <w:sz w:val="24"/>
    </w:rPr>
  </w:style>
  <w:style w:type="paragraph" w:customStyle="1" w:styleId="12PtBullet">
    <w:name w:val="12PtBullet"/>
    <w:basedOn w:val="Normal"/>
    <w:rsid w:val="00C96CC6"/>
    <w:pPr>
      <w:widowControl/>
      <w:tabs>
        <w:tab w:val="num" w:pos="720"/>
      </w:tabs>
      <w:spacing w:after="160" w:line="259" w:lineRule="auto"/>
      <w:ind w:left="720" w:hanging="720"/>
    </w:pPr>
    <w:rPr>
      <w:rFonts w:ascii="Calibri" w:eastAsia="Calibri" w:hAnsi="Calibri"/>
      <w:kern w:val="0"/>
      <w:sz w:val="24"/>
      <w:szCs w:val="22"/>
    </w:rPr>
  </w:style>
  <w:style w:type="character" w:customStyle="1" w:styleId="a0">
    <w:name w:val="a"/>
    <w:rsid w:val="00C96CC6"/>
    <w:rPr>
      <w:rFonts w:ascii="Times New Roman" w:hAnsi="Times New Roman" w:cs="Times New Roman" w:hint="default"/>
    </w:rPr>
  </w:style>
  <w:style w:type="character" w:customStyle="1" w:styleId="HeaderChar">
    <w:name w:val="Header Char"/>
    <w:link w:val="Header"/>
    <w:rsid w:val="00C96CC6"/>
    <w:rPr>
      <w:rFonts w:ascii="Arial" w:hAnsi="Arial" w:cs="Arial"/>
      <w:b/>
      <w:snapToGrid w:val="0"/>
      <w:kern w:val="28"/>
      <w:sz w:val="96"/>
      <w:szCs w:val="96"/>
    </w:rPr>
  </w:style>
  <w:style w:type="character" w:customStyle="1" w:styleId="break-word">
    <w:name w:val="break-word"/>
    <w:rsid w:val="00C96CC6"/>
  </w:style>
  <w:style w:type="table" w:customStyle="1" w:styleId="TableGrid1">
    <w:name w:val="Table Grid1"/>
    <w:basedOn w:val="TableNormal"/>
    <w:next w:val="TableGrid"/>
    <w:uiPriority w:val="59"/>
    <w:rsid w:val="00C96C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9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6CC6"/>
    <w:rPr>
      <w:color w:val="808080"/>
      <w:shd w:val="clear" w:color="auto" w:fill="E6E6E6"/>
    </w:rPr>
  </w:style>
  <w:style w:type="character" w:customStyle="1" w:styleId="footnotetextcharcharcharchar3charcharchar10">
    <w:name w:val="footnotetextcharcharcharchar3charcharchar1"/>
    <w:rsid w:val="0004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http://www.fcc.gov/formpage.html" TargetMode="External" /><Relationship Id="rId12" Type="http://schemas.openxmlformats.org/officeDocument/2006/relationships/hyperlink" Target="mailto:fcc504@fcc.gov" TargetMode="External" /><Relationship Id="rId13" Type="http://schemas.openxmlformats.org/officeDocument/2006/relationships/hyperlink" Target="http://www.fcc.gov/ocbo" TargetMode="External" /><Relationship Id="rId14" Type="http://schemas.openxmlformats.org/officeDocument/2006/relationships/hyperlink" Target="http://www.fcc.gov" TargetMode="External" /><Relationship Id="rId15" Type="http://schemas.openxmlformats.org/officeDocument/2006/relationships/hyperlink" Target="http://www.fcc.gov/auction/100" TargetMode="External" /><Relationship Id="rId16" Type="http://schemas.openxmlformats.org/officeDocument/2006/relationships/hyperlink" Target="http://www.fcc.gov/mb"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3.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3.xml" /><Relationship Id="rId25" Type="http://schemas.openxmlformats.org/officeDocument/2006/relationships/footer" Target="foot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s" TargetMode="External" /><Relationship Id="rId6" Type="http://schemas.openxmlformats.org/officeDocument/2006/relationships/hyperlink" Target="mailto:auction100@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s://www.fcc.gov/auction/100"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factfinder.census.gov/faces/affhelp/jsf/pages/metadata.xhtml?lang=en&amp;type=ib&amp;id=ib.en./ECN.NAICS2012.515112" TargetMode="External" /><Relationship Id="rId2" Type="http://schemas.openxmlformats.org/officeDocument/2006/relationships/hyperlink" Target="https://www.census.gov/cgi-bin/sssd/naics/naicsrch?input=515112&amp;search=2017+NAICS+Search&amp;search=2017" TargetMode="External" /><Relationship Id="rId3" Type="http://schemas.openxmlformats.org/officeDocument/2006/relationships/hyperlink" Target="https://factfinder.census.gov/bkmk/table/1.0/en/ECN/2012_US/51SSSZ4//naics~51511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