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4E16" w:rsidRPr="00511023" w:rsidP="000E4E16" w14:paraId="7F8A4183" w14:textId="14916618">
      <w:pPr>
        <w:spacing w:after="0"/>
        <w:rPr>
          <w:rFonts w:ascii="Times New Roman" w:hAnsi="Times New Roman" w:cs="Times New Roman"/>
        </w:rPr>
      </w:pPr>
      <w:r w:rsidRPr="00511023">
        <w:rPr>
          <w:rFonts w:ascii="Times New Roman" w:hAnsi="Times New Roman" w:cs="Times New Roman"/>
        </w:rPr>
        <w:t xml:space="preserve">                                                                  </w:t>
      </w:r>
    </w:p>
    <w:p w:rsidR="006F2901" w:rsidRPr="00511023" w:rsidP="006F2901" w14:paraId="76004994" w14:textId="77777777">
      <w:pPr>
        <w:spacing w:after="0" w:line="240" w:lineRule="auto"/>
        <w:rPr>
          <w:rFonts w:ascii="Times New Roman" w:hAnsi="Times New Roman" w:cs="Times New Roman"/>
        </w:rPr>
      </w:pPr>
      <w:r w:rsidRPr="00511023">
        <w:rPr>
          <w:rFonts w:ascii="Times New Roman" w:hAnsi="Times New Roman" w:cs="Times New Roman"/>
        </w:rPr>
        <w:t xml:space="preserve">                                                                </w:t>
      </w:r>
    </w:p>
    <w:p w:rsidR="000E4E16" w:rsidP="00511023" w14:paraId="02752977" w14:textId="49C2665D">
      <w:pPr>
        <w:spacing w:after="0"/>
        <w:jc w:val="right"/>
        <w:rPr>
          <w:rFonts w:ascii="Times New Roman" w:hAnsi="Times New Roman" w:cs="Times New Roman"/>
          <w:b/>
          <w:sz w:val="24"/>
          <w:szCs w:val="24"/>
        </w:rPr>
      </w:pPr>
      <w:r w:rsidRPr="00511023">
        <w:rPr>
          <w:rFonts w:ascii="Times New Roman" w:hAnsi="Times New Roman" w:cs="Times New Roman"/>
        </w:rPr>
        <w:t xml:space="preserve">                                                          </w:t>
      </w:r>
      <w:r w:rsidRPr="00511023">
        <w:rPr>
          <w:rFonts w:ascii="Times New Roman" w:hAnsi="Times New Roman" w:cs="Times New Roman"/>
        </w:rPr>
        <w:t xml:space="preserve">                                                          </w:t>
      </w:r>
      <w:r w:rsidRPr="00511023" w:rsidR="00121A4A">
        <w:rPr>
          <w:rFonts w:ascii="Times New Roman" w:hAnsi="Times New Roman" w:cs="Times New Roman"/>
        </w:rPr>
        <w:tab/>
      </w:r>
      <w:r w:rsidRPr="00511023">
        <w:rPr>
          <w:rFonts w:ascii="Times New Roman" w:hAnsi="Times New Roman" w:cs="Times New Roman"/>
        </w:rPr>
        <w:t xml:space="preserve"> </w:t>
      </w:r>
      <w:r w:rsidR="00F4281B">
        <w:rPr>
          <w:rFonts w:ascii="Times New Roman" w:hAnsi="Times New Roman" w:cs="Times New Roman"/>
        </w:rPr>
        <w:t xml:space="preserve">        </w:t>
      </w:r>
      <w:r w:rsidRPr="00511023" w:rsidR="00F4281B">
        <w:rPr>
          <w:rFonts w:ascii="Times New Roman" w:hAnsi="Times New Roman" w:cs="Times New Roman"/>
          <w:sz w:val="24"/>
          <w:szCs w:val="24"/>
        </w:rPr>
        <w:t xml:space="preserve"> </w:t>
      </w:r>
      <w:r w:rsidRPr="00511023">
        <w:rPr>
          <w:rFonts w:ascii="Times New Roman" w:hAnsi="Times New Roman" w:cs="Times New Roman"/>
          <w:b/>
          <w:sz w:val="24"/>
          <w:szCs w:val="24"/>
        </w:rPr>
        <w:t xml:space="preserve">DA </w:t>
      </w:r>
      <w:r w:rsidR="00572002">
        <w:rPr>
          <w:rFonts w:ascii="Times New Roman" w:hAnsi="Times New Roman" w:cs="Times New Roman"/>
          <w:b/>
          <w:sz w:val="24"/>
          <w:szCs w:val="24"/>
        </w:rPr>
        <w:t>19-</w:t>
      </w:r>
      <w:r w:rsidR="00FA60EB">
        <w:rPr>
          <w:rFonts w:ascii="Times New Roman" w:hAnsi="Times New Roman" w:cs="Times New Roman"/>
          <w:b/>
          <w:sz w:val="24"/>
          <w:szCs w:val="24"/>
        </w:rPr>
        <w:t>27</w:t>
      </w:r>
      <w:r w:rsidR="008C13D2">
        <w:rPr>
          <w:rFonts w:ascii="Times New Roman" w:hAnsi="Times New Roman" w:cs="Times New Roman"/>
          <w:b/>
          <w:sz w:val="24"/>
          <w:szCs w:val="24"/>
        </w:rPr>
        <w:t>7</w:t>
      </w:r>
    </w:p>
    <w:p w:rsidR="006F117F" w:rsidRPr="00511023" w:rsidP="00511023" w14:paraId="700578AB" w14:textId="77777777">
      <w:pPr>
        <w:spacing w:after="0"/>
        <w:jc w:val="right"/>
        <w:rPr>
          <w:rFonts w:ascii="Times New Roman" w:hAnsi="Times New Roman" w:cs="Times New Roman"/>
          <w:sz w:val="24"/>
          <w:szCs w:val="24"/>
        </w:rPr>
      </w:pPr>
    </w:p>
    <w:p w:rsidR="000E4E16" w:rsidRPr="00511023" w:rsidP="001A2016" w14:paraId="02B71EAA" w14:textId="55CB894D">
      <w:pPr>
        <w:spacing w:after="0"/>
        <w:ind w:left="1440" w:right="1530"/>
        <w:jc w:val="center"/>
        <w:rPr>
          <w:rFonts w:ascii="Times New Roman" w:hAnsi="Times New Roman" w:cs="Times New Roman"/>
          <w:b/>
        </w:rPr>
      </w:pPr>
      <w:r w:rsidRPr="00511023">
        <w:rPr>
          <w:rFonts w:ascii="Times New Roman" w:hAnsi="Times New Roman" w:cs="Times New Roman"/>
          <w:b/>
          <w:sz w:val="28"/>
          <w:szCs w:val="28"/>
        </w:rPr>
        <w:t>SMALL ENTITY COMPLIANCE GUIDE</w:t>
      </w:r>
    </w:p>
    <w:p w:rsidR="00B67094" w:rsidP="001A2016" w14:paraId="6AE69842" w14:textId="77777777">
      <w:pPr>
        <w:spacing w:after="0"/>
        <w:ind w:left="1440" w:right="1530" w:hanging="90"/>
        <w:jc w:val="center"/>
        <w:rPr>
          <w:rFonts w:ascii="Times New Roman" w:hAnsi="Times New Roman" w:cs="Times New Roman"/>
          <w:b/>
        </w:rPr>
      </w:pPr>
    </w:p>
    <w:p w:rsidR="006F2901" w:rsidRPr="00511023" w:rsidP="001A2016" w14:paraId="567AC2E3" w14:textId="0AC2B6AC">
      <w:pPr>
        <w:spacing w:after="0"/>
        <w:ind w:left="1440" w:right="1530" w:hanging="90"/>
        <w:jc w:val="center"/>
        <w:rPr>
          <w:rFonts w:ascii="Times New Roman" w:hAnsi="Times New Roman" w:cs="Times New Roman"/>
          <w:b/>
        </w:rPr>
      </w:pPr>
      <w:r w:rsidRPr="00E2670E">
        <w:rPr>
          <w:rFonts w:ascii="Times New Roman" w:hAnsi="Times New Roman" w:cs="Times New Roman"/>
          <w:b/>
        </w:rPr>
        <w:t xml:space="preserve">Accelerating Wireless Broadband Deployment by Removing </w:t>
      </w:r>
      <w:r>
        <w:rPr>
          <w:rFonts w:ascii="Times New Roman" w:hAnsi="Times New Roman" w:cs="Times New Roman"/>
          <w:b/>
        </w:rPr>
        <w:t>B</w:t>
      </w:r>
      <w:r w:rsidRPr="00E2670E">
        <w:rPr>
          <w:rFonts w:ascii="Times New Roman" w:hAnsi="Times New Roman" w:cs="Times New Roman"/>
          <w:b/>
        </w:rPr>
        <w:t>arriers to Infrastructure Investment</w:t>
      </w:r>
    </w:p>
    <w:p w:rsidR="004C1D7F" w:rsidRPr="00511023" w:rsidP="001A2016" w14:paraId="10E82F17" w14:textId="77777777">
      <w:pPr>
        <w:spacing w:after="0"/>
        <w:ind w:left="1440" w:right="1530"/>
        <w:jc w:val="center"/>
        <w:rPr>
          <w:rFonts w:ascii="Times New Roman" w:hAnsi="Times New Roman" w:cs="Times New Roman"/>
        </w:rPr>
      </w:pPr>
      <w:r>
        <w:rPr>
          <w:rFonts w:ascii="Times New Roman" w:hAnsi="Times New Roman" w:cs="Times New Roman"/>
          <w:b/>
        </w:rPr>
        <w:t>WT Docket No. 17-79</w:t>
      </w:r>
    </w:p>
    <w:p w:rsidR="004C1D7F" w:rsidRPr="00511023" w:rsidP="001A2016" w14:paraId="160F85FF" w14:textId="448BC162">
      <w:pPr>
        <w:spacing w:after="0"/>
        <w:ind w:left="1440" w:right="1530" w:hanging="90"/>
        <w:jc w:val="center"/>
        <w:rPr>
          <w:rFonts w:ascii="Times New Roman" w:hAnsi="Times New Roman" w:cs="Times New Roman"/>
          <w:b/>
        </w:rPr>
      </w:pPr>
      <w:r w:rsidRPr="00E2670E">
        <w:rPr>
          <w:rFonts w:ascii="Times New Roman" w:hAnsi="Times New Roman" w:cs="Times New Roman"/>
          <w:b/>
        </w:rPr>
        <w:t>Accelerating Wirel</w:t>
      </w:r>
      <w:r>
        <w:rPr>
          <w:rFonts w:ascii="Times New Roman" w:hAnsi="Times New Roman" w:cs="Times New Roman"/>
          <w:b/>
        </w:rPr>
        <w:t>ine</w:t>
      </w:r>
      <w:r w:rsidRPr="00E2670E">
        <w:rPr>
          <w:rFonts w:ascii="Times New Roman" w:hAnsi="Times New Roman" w:cs="Times New Roman"/>
          <w:b/>
        </w:rPr>
        <w:t xml:space="preserve"> Broadband Deployment by Removing </w:t>
      </w:r>
      <w:r>
        <w:rPr>
          <w:rFonts w:ascii="Times New Roman" w:hAnsi="Times New Roman" w:cs="Times New Roman"/>
          <w:b/>
        </w:rPr>
        <w:t>B</w:t>
      </w:r>
      <w:r w:rsidRPr="00E2670E">
        <w:rPr>
          <w:rFonts w:ascii="Times New Roman" w:hAnsi="Times New Roman" w:cs="Times New Roman"/>
          <w:b/>
        </w:rPr>
        <w:t>arriers to Infrastructure Investment</w:t>
      </w:r>
    </w:p>
    <w:p w:rsidR="004C1D7F" w:rsidRPr="004C1D7F" w:rsidP="001A2016" w14:paraId="4BF8552B" w14:textId="2AA2325A">
      <w:pPr>
        <w:spacing w:after="0"/>
        <w:ind w:left="1440" w:right="1530"/>
        <w:jc w:val="center"/>
        <w:rPr>
          <w:rFonts w:ascii="Times New Roman" w:hAnsi="Times New Roman" w:cs="Times New Roman"/>
        </w:rPr>
      </w:pPr>
      <w:r>
        <w:rPr>
          <w:rFonts w:ascii="Times New Roman" w:hAnsi="Times New Roman" w:cs="Times New Roman"/>
          <w:b/>
        </w:rPr>
        <w:t>W</w:t>
      </w:r>
      <w:r w:rsidR="00063688">
        <w:rPr>
          <w:rFonts w:ascii="Times New Roman" w:hAnsi="Times New Roman" w:cs="Times New Roman"/>
          <w:b/>
        </w:rPr>
        <w:t>C</w:t>
      </w:r>
      <w:r>
        <w:rPr>
          <w:rFonts w:ascii="Times New Roman" w:hAnsi="Times New Roman" w:cs="Times New Roman"/>
          <w:b/>
        </w:rPr>
        <w:t xml:space="preserve"> Docket No. 17-</w:t>
      </w:r>
      <w:r w:rsidR="00063688">
        <w:rPr>
          <w:rFonts w:ascii="Times New Roman" w:hAnsi="Times New Roman" w:cs="Times New Roman"/>
          <w:b/>
        </w:rPr>
        <w:t>84</w:t>
      </w:r>
    </w:p>
    <w:p w:rsidR="006F2901" w:rsidRPr="00511023" w:rsidP="001A2016" w14:paraId="3E93547C" w14:textId="7CF9CEF7">
      <w:pPr>
        <w:spacing w:after="0"/>
        <w:ind w:left="1440" w:right="1530"/>
        <w:jc w:val="center"/>
        <w:rPr>
          <w:rFonts w:ascii="Times New Roman" w:hAnsi="Times New Roman" w:cs="Times New Roman"/>
          <w:b/>
        </w:rPr>
      </w:pPr>
      <w:r w:rsidRPr="00511023">
        <w:rPr>
          <w:rFonts w:ascii="Times New Roman" w:hAnsi="Times New Roman" w:cs="Times New Roman"/>
          <w:b/>
        </w:rPr>
        <w:t xml:space="preserve">FCC </w:t>
      </w:r>
      <w:r w:rsidR="00D17D9C">
        <w:rPr>
          <w:rFonts w:ascii="Times New Roman" w:hAnsi="Times New Roman" w:cs="Times New Roman"/>
          <w:b/>
        </w:rPr>
        <w:t>18-</w:t>
      </w:r>
      <w:r w:rsidR="00063688">
        <w:rPr>
          <w:rFonts w:ascii="Times New Roman" w:hAnsi="Times New Roman" w:cs="Times New Roman"/>
          <w:b/>
        </w:rPr>
        <w:t>133</w:t>
      </w:r>
    </w:p>
    <w:p w:rsidR="006F2901" w:rsidRPr="00511023" w:rsidP="001A2016" w14:paraId="2FE15FB2" w14:textId="6A192B6D">
      <w:pPr>
        <w:spacing w:after="0"/>
        <w:ind w:left="1440" w:right="1530"/>
        <w:jc w:val="center"/>
        <w:rPr>
          <w:rFonts w:ascii="Times New Roman" w:hAnsi="Times New Roman" w:cs="Times New Roman"/>
          <w:b/>
        </w:rPr>
      </w:pPr>
      <w:r w:rsidRPr="00511023">
        <w:rPr>
          <w:rFonts w:ascii="Times New Roman" w:hAnsi="Times New Roman" w:cs="Times New Roman"/>
          <w:b/>
        </w:rPr>
        <w:t>Released</w:t>
      </w:r>
      <w:r w:rsidR="006E6EAC">
        <w:rPr>
          <w:rFonts w:ascii="Times New Roman" w:hAnsi="Times New Roman" w:cs="Times New Roman"/>
          <w:b/>
        </w:rPr>
        <w:t>:</w:t>
      </w:r>
      <w:r w:rsidRPr="00511023">
        <w:rPr>
          <w:rFonts w:ascii="Times New Roman" w:hAnsi="Times New Roman" w:cs="Times New Roman"/>
          <w:b/>
        </w:rPr>
        <w:t xml:space="preserve"> </w:t>
      </w:r>
      <w:r w:rsidR="00063688">
        <w:rPr>
          <w:rFonts w:ascii="Times New Roman" w:hAnsi="Times New Roman" w:cs="Times New Roman"/>
          <w:b/>
        </w:rPr>
        <w:t>September 27</w:t>
      </w:r>
      <w:r w:rsidR="00C37AC8">
        <w:rPr>
          <w:rFonts w:ascii="Times New Roman" w:hAnsi="Times New Roman" w:cs="Times New Roman"/>
          <w:b/>
        </w:rPr>
        <w:t>, 201</w:t>
      </w:r>
      <w:r w:rsidR="00063688">
        <w:rPr>
          <w:rFonts w:ascii="Times New Roman" w:hAnsi="Times New Roman" w:cs="Times New Roman"/>
          <w:b/>
        </w:rPr>
        <w:t>8</w:t>
      </w:r>
    </w:p>
    <w:p w:rsidR="000E4E16" w:rsidRPr="00511023" w:rsidP="001D4297" w14:paraId="7420EAC8" w14:textId="77777777">
      <w:pPr>
        <w:spacing w:after="0"/>
        <w:ind w:left="360"/>
        <w:rPr>
          <w:rFonts w:ascii="Times New Roman" w:hAnsi="Times New Roman" w:cs="Times New Roman"/>
        </w:rPr>
      </w:pPr>
    </w:p>
    <w:p w:rsidR="006F2901" w:rsidRPr="00511023" w:rsidP="001D4297" w14:paraId="0359BFFD" w14:textId="164E7944">
      <w:pPr>
        <w:spacing w:after="0"/>
        <w:ind w:left="360"/>
        <w:jc w:val="both"/>
        <w:rPr>
          <w:rFonts w:ascii="Times New Roman" w:hAnsi="Times New Roman" w:cs="Times New Roman"/>
          <w:b/>
        </w:rPr>
      </w:pPr>
      <w:r w:rsidRPr="00B12C82">
        <w:rPr>
          <w:rFonts w:ascii="Times New Roman" w:hAnsi="Times New Roman" w:cs="Times New Roman"/>
          <w:b/>
        </w:rPr>
        <w:t>Th</w:t>
      </w:r>
      <w:r w:rsidRPr="00B12C82">
        <w:rPr>
          <w:rFonts w:ascii="Times New Roman" w:hAnsi="Times New Roman" w:cs="Times New Roman"/>
          <w:b/>
        </w:rPr>
        <w:t xml:space="preserve">is Guide is prepared in accordance with the requirements of Section 212 of the Small Business Regulatory Enforcement Fairness Act of 1996.  It is intended to help small entities—small businesses, small organizations (non-profits), and small governmental jurisdictions—comply with the </w:t>
      </w:r>
      <w:r w:rsidRPr="00E2092F" w:rsidR="00C47CEF">
        <w:rPr>
          <w:rFonts w:ascii="Times New Roman" w:hAnsi="Times New Roman" w:cs="Times New Roman"/>
          <w:b/>
        </w:rPr>
        <w:t xml:space="preserve">revised </w:t>
      </w:r>
      <w:r w:rsidRPr="00E2092F">
        <w:rPr>
          <w:rFonts w:ascii="Times New Roman" w:hAnsi="Times New Roman" w:cs="Times New Roman"/>
          <w:b/>
        </w:rPr>
        <w:t xml:space="preserve">rules adopted in the above-referenced </w:t>
      </w:r>
      <w:r w:rsidRPr="00E2092F" w:rsidR="00C47CEF">
        <w:rPr>
          <w:rFonts w:ascii="Times New Roman" w:hAnsi="Times New Roman" w:cs="Times New Roman"/>
          <w:b/>
        </w:rPr>
        <w:t>Federal Communications Commission (</w:t>
      </w:r>
      <w:r w:rsidRPr="00E2092F">
        <w:rPr>
          <w:rFonts w:ascii="Times New Roman" w:hAnsi="Times New Roman" w:cs="Times New Roman"/>
          <w:b/>
        </w:rPr>
        <w:t>FCC</w:t>
      </w:r>
      <w:r w:rsidRPr="00E2092F" w:rsidR="00C47CEF">
        <w:rPr>
          <w:rFonts w:ascii="Times New Roman" w:hAnsi="Times New Roman" w:cs="Times New Roman"/>
          <w:b/>
        </w:rPr>
        <w:t xml:space="preserve"> or Commission)</w:t>
      </w:r>
      <w:r w:rsidRPr="00E2092F">
        <w:rPr>
          <w:rFonts w:ascii="Times New Roman" w:hAnsi="Times New Roman" w:cs="Times New Roman"/>
          <w:b/>
        </w:rPr>
        <w:t xml:space="preserve"> rulemaking dockets.  This Guide is not intended to replace </w:t>
      </w:r>
      <w:r w:rsidRPr="00E2092F" w:rsidR="00C47CEF">
        <w:rPr>
          <w:rFonts w:ascii="Times New Roman" w:hAnsi="Times New Roman" w:cs="Times New Roman"/>
          <w:b/>
        </w:rPr>
        <w:t xml:space="preserve">or supersede </w:t>
      </w:r>
      <w:r w:rsidRPr="00E2092F">
        <w:rPr>
          <w:rFonts w:ascii="Times New Roman" w:hAnsi="Times New Roman" w:cs="Times New Roman"/>
          <w:b/>
        </w:rPr>
        <w:t>the</w:t>
      </w:r>
      <w:r w:rsidRPr="00E2092F" w:rsidR="00C47CEF">
        <w:rPr>
          <w:rFonts w:ascii="Times New Roman" w:hAnsi="Times New Roman" w:cs="Times New Roman"/>
          <w:b/>
        </w:rPr>
        <w:t>se</w:t>
      </w:r>
      <w:r w:rsidRPr="00E2092F">
        <w:rPr>
          <w:rFonts w:ascii="Times New Roman" w:hAnsi="Times New Roman" w:cs="Times New Roman"/>
          <w:b/>
        </w:rPr>
        <w:t xml:space="preserve"> rules</w:t>
      </w:r>
      <w:r w:rsidRPr="00E2092F" w:rsidR="00C47CEF">
        <w:rPr>
          <w:rFonts w:ascii="Times New Roman" w:hAnsi="Times New Roman" w:cs="Times New Roman"/>
          <w:b/>
        </w:rPr>
        <w:t xml:space="preserve">, but to facilitate compliance with the rules. </w:t>
      </w:r>
      <w:r w:rsidRPr="00E2092F">
        <w:rPr>
          <w:rFonts w:ascii="Times New Roman" w:hAnsi="Times New Roman" w:cs="Times New Roman"/>
          <w:b/>
        </w:rPr>
        <w:t xml:space="preserve"> Although we have attempted to cover all parts of the rules that might be especially important to small entities, the coverage may not be exhaustive.  This Guide </w:t>
      </w:r>
      <w:r w:rsidRPr="00E2092F" w:rsidR="00B629FE">
        <w:rPr>
          <w:rFonts w:ascii="Times New Roman" w:hAnsi="Times New Roman" w:cs="Times New Roman"/>
          <w:b/>
        </w:rPr>
        <w:t xml:space="preserve">cannot anticipate all situations in which the rules apply.   Furthermore, the Commission </w:t>
      </w:r>
      <w:r w:rsidRPr="00E2092F">
        <w:rPr>
          <w:rFonts w:ascii="Times New Roman" w:hAnsi="Times New Roman" w:cs="Times New Roman"/>
          <w:b/>
        </w:rPr>
        <w:t xml:space="preserve">retains the discretion to adopt </w:t>
      </w:r>
      <w:r w:rsidRPr="00E2092F" w:rsidR="00B629FE">
        <w:rPr>
          <w:rFonts w:ascii="Times New Roman" w:hAnsi="Times New Roman" w:cs="Times New Roman"/>
          <w:b/>
        </w:rPr>
        <w:t xml:space="preserve">case-by-case </w:t>
      </w:r>
      <w:r w:rsidRPr="00E2092F">
        <w:rPr>
          <w:rFonts w:ascii="Times New Roman" w:hAnsi="Times New Roman" w:cs="Times New Roman"/>
          <w:b/>
        </w:rPr>
        <w:t>approaches</w:t>
      </w:r>
      <w:r w:rsidRPr="00E2092F" w:rsidR="00B629FE">
        <w:rPr>
          <w:rFonts w:ascii="Times New Roman" w:hAnsi="Times New Roman" w:cs="Times New Roman"/>
          <w:b/>
        </w:rPr>
        <w:t>, where appropriate,</w:t>
      </w:r>
      <w:r w:rsidRPr="00E2092F">
        <w:rPr>
          <w:rFonts w:ascii="Times New Roman" w:hAnsi="Times New Roman" w:cs="Times New Roman"/>
          <w:b/>
        </w:rPr>
        <w:t xml:space="preserve"> that may differ from this Guide.  Any decision regarding a </w:t>
      </w:r>
      <w:r w:rsidRPr="00E2092F">
        <w:rPr>
          <w:rFonts w:ascii="Times New Roman" w:hAnsi="Times New Roman" w:cs="Times New Roman"/>
          <w:b/>
        </w:rPr>
        <w:t>particular small</w:t>
      </w:r>
      <w:r w:rsidRPr="00E2092F">
        <w:rPr>
          <w:rFonts w:ascii="Times New Roman" w:hAnsi="Times New Roman" w:cs="Times New Roman"/>
          <w:b/>
        </w:rPr>
        <w:t xml:space="preserve"> entity will be based on the statute and</w:t>
      </w:r>
      <w:r w:rsidRPr="00E2092F" w:rsidR="008E2841">
        <w:rPr>
          <w:rFonts w:ascii="Times New Roman" w:hAnsi="Times New Roman" w:cs="Times New Roman"/>
          <w:b/>
        </w:rPr>
        <w:t xml:space="preserve"> any relevant rules</w:t>
      </w:r>
      <w:r w:rsidRPr="00511023">
        <w:rPr>
          <w:rFonts w:ascii="Times New Roman" w:hAnsi="Times New Roman" w:cs="Times New Roman"/>
          <w:b/>
        </w:rPr>
        <w:t xml:space="preserve">. </w:t>
      </w:r>
    </w:p>
    <w:p w:rsidR="006F2901" w:rsidRPr="00511023" w:rsidP="001D4297" w14:paraId="25270ABA" w14:textId="77777777">
      <w:pPr>
        <w:pStyle w:val="ListParagraph"/>
        <w:ind w:left="360" w:hanging="1080"/>
        <w:jc w:val="both"/>
        <w:rPr>
          <w:rFonts w:ascii="Times New Roman" w:hAnsi="Times New Roman" w:cs="Times New Roman"/>
          <w:b/>
        </w:rPr>
      </w:pPr>
    </w:p>
    <w:p w:rsidR="006F2901" w:rsidRPr="001A2016" w:rsidP="001D4297" w14:paraId="65D355CA" w14:textId="62A3EAC2">
      <w:pPr>
        <w:ind w:left="360"/>
        <w:jc w:val="both"/>
        <w:rPr>
          <w:rFonts w:ascii="Times New Roman" w:hAnsi="Times New Roman" w:cs="Times New Roman"/>
          <w:b/>
        </w:rPr>
      </w:pPr>
      <w:r w:rsidRPr="001A2016">
        <w:rPr>
          <w:rFonts w:ascii="Times New Roman" w:hAnsi="Times New Roman" w:cs="Times New Roman"/>
          <w:b/>
        </w:rPr>
        <w:t xml:space="preserve">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w:t>
      </w:r>
      <w:r w:rsidRPr="001A2016">
        <w:rPr>
          <w:rFonts w:ascii="Times New Roman" w:hAnsi="Times New Roman" w:cs="Times New Roman"/>
          <w:b/>
        </w:rPr>
        <w:t>particular situation</w:t>
      </w:r>
      <w:r w:rsidRPr="001A2016" w:rsidR="00B47D0B">
        <w:rPr>
          <w:rFonts w:ascii="Times New Roman" w:hAnsi="Times New Roman" w:cs="Times New Roman"/>
          <w:b/>
        </w:rPr>
        <w:t xml:space="preserve">. </w:t>
      </w:r>
      <w:r w:rsidR="006E6EAC">
        <w:rPr>
          <w:rFonts w:ascii="Times New Roman" w:hAnsi="Times New Roman" w:cs="Times New Roman"/>
          <w:b/>
        </w:rPr>
        <w:t xml:space="preserve"> </w:t>
      </w:r>
      <w:r w:rsidRPr="001A2016" w:rsidR="00B47D0B">
        <w:rPr>
          <w:rFonts w:ascii="Times New Roman" w:hAnsi="Times New Roman" w:cs="Times New Roman"/>
          <w:b/>
        </w:rPr>
        <w:t>T</w:t>
      </w:r>
      <w:r w:rsidRPr="001A2016">
        <w:rPr>
          <w:rFonts w:ascii="Times New Roman" w:hAnsi="Times New Roman" w:cs="Times New Roman"/>
          <w:b/>
        </w:rPr>
        <w:t xml:space="preserve">he FCC will </w:t>
      </w:r>
      <w:r w:rsidRPr="001A2016" w:rsidR="00FE30EB">
        <w:rPr>
          <w:rFonts w:ascii="Times New Roman" w:hAnsi="Times New Roman" w:cs="Times New Roman"/>
          <w:b/>
        </w:rPr>
        <w:t xml:space="preserve">then </w:t>
      </w:r>
      <w:r w:rsidRPr="001A2016">
        <w:rPr>
          <w:rFonts w:ascii="Times New Roman" w:hAnsi="Times New Roman" w:cs="Times New Roman"/>
          <w:b/>
        </w:rPr>
        <w:t xml:space="preserve">consider whether the recommendations or interpretations in the Guide are appropriate in that situation.  The FCC may decide to revise this Guide without public notice to reflect changes in the FCC’s approach to implementing a rule, or </w:t>
      </w:r>
      <w:r w:rsidRPr="001A2016" w:rsidR="00B47D0B">
        <w:rPr>
          <w:rFonts w:ascii="Times New Roman" w:hAnsi="Times New Roman" w:cs="Times New Roman"/>
          <w:b/>
        </w:rPr>
        <w:t>i</w:t>
      </w:r>
      <w:r w:rsidRPr="001A2016">
        <w:rPr>
          <w:rFonts w:ascii="Times New Roman" w:hAnsi="Times New Roman" w:cs="Times New Roman"/>
          <w:b/>
        </w:rPr>
        <w:t>t</w:t>
      </w:r>
      <w:r w:rsidRPr="001A2016" w:rsidR="00B47D0B">
        <w:rPr>
          <w:rFonts w:ascii="Times New Roman" w:hAnsi="Times New Roman" w:cs="Times New Roman"/>
          <w:b/>
        </w:rPr>
        <w:t xml:space="preserve"> may</w:t>
      </w:r>
      <w:r w:rsidRPr="001A2016">
        <w:rPr>
          <w:rFonts w:ascii="Times New Roman" w:hAnsi="Times New Roman" w:cs="Times New Roman"/>
          <w:b/>
        </w:rPr>
        <w:t xml:space="preserve"> clarify or update the text of the Guide.  Direct your comments and recommendations, or calls for further assistance, to the FCC’s Consumer Center:</w:t>
      </w:r>
    </w:p>
    <w:p w:rsidR="000E4E16" w:rsidRPr="00511023" w:rsidP="000E4E16" w14:paraId="44F9D184" w14:textId="77777777">
      <w:pPr>
        <w:pStyle w:val="ListParagraph"/>
        <w:ind w:left="1080"/>
        <w:rPr>
          <w:rFonts w:ascii="Times New Roman" w:hAnsi="Times New Roman" w:cs="Times New Roman"/>
          <w:b/>
        </w:rPr>
      </w:pPr>
    </w:p>
    <w:p w:rsidR="006F2901" w:rsidRPr="00E2092F" w:rsidP="007F30D5" w14:paraId="3EE78D98" w14:textId="05A6654E">
      <w:pPr>
        <w:pStyle w:val="ListParagraph"/>
        <w:ind w:left="360"/>
        <w:jc w:val="center"/>
        <w:rPr>
          <w:rFonts w:ascii="Times New Roman" w:hAnsi="Times New Roman" w:cs="Times New Roman"/>
          <w:b/>
        </w:rPr>
      </w:pPr>
      <w:r w:rsidRPr="00E2092F">
        <w:rPr>
          <w:rFonts w:ascii="Times New Roman" w:hAnsi="Times New Roman" w:cs="Times New Roman"/>
          <w:b/>
        </w:rPr>
        <w:t>1-888-CALL-FCC (1-888-225-5322)</w:t>
      </w:r>
    </w:p>
    <w:p w:rsidR="00B47D0B" w:rsidRPr="00E2092F" w:rsidP="007F30D5" w14:paraId="7189DA74" w14:textId="5B89279E">
      <w:pPr>
        <w:pStyle w:val="ListParagraph"/>
        <w:ind w:left="360"/>
        <w:jc w:val="center"/>
        <w:rPr>
          <w:rFonts w:ascii="Times New Roman" w:hAnsi="Times New Roman" w:cs="Times New Roman"/>
          <w:b/>
        </w:rPr>
      </w:pPr>
      <w:r w:rsidRPr="00E2092F">
        <w:rPr>
          <w:rFonts w:ascii="Times New Roman" w:hAnsi="Times New Roman" w:cs="Times New Roman"/>
          <w:b/>
        </w:rPr>
        <w:t>TTY: 1-888-TELL-FCC (1-888-835-5322)</w:t>
      </w:r>
    </w:p>
    <w:p w:rsidR="006F2901" w:rsidRPr="00E2092F" w:rsidP="007F30D5" w14:paraId="542FD57C" w14:textId="71A82108">
      <w:pPr>
        <w:pStyle w:val="ListParagraph"/>
        <w:ind w:left="360"/>
        <w:jc w:val="center"/>
        <w:rPr>
          <w:rFonts w:ascii="Times New Roman" w:hAnsi="Times New Roman" w:cs="Times New Roman"/>
          <w:b/>
        </w:rPr>
      </w:pPr>
      <w:r w:rsidRPr="00E2092F">
        <w:rPr>
          <w:rFonts w:ascii="Times New Roman" w:hAnsi="Times New Roman" w:cs="Times New Roman"/>
          <w:b/>
        </w:rPr>
        <w:t>Videophone: 1-844-4-FCC-ASL (1-844-432-2275)</w:t>
      </w:r>
    </w:p>
    <w:p w:rsidR="0095132F" w:rsidRPr="00E2092F" w:rsidP="007F30D5" w14:paraId="4A1DEB02" w14:textId="37C1C0C6">
      <w:pPr>
        <w:pStyle w:val="ListParagraph"/>
        <w:ind w:left="360"/>
        <w:jc w:val="center"/>
        <w:rPr>
          <w:rFonts w:ascii="Times New Roman" w:hAnsi="Times New Roman" w:cs="Times New Roman"/>
          <w:b/>
        </w:rPr>
        <w:sectPr w:rsidSect="00152909">
          <w:headerReference w:type="default" r:id="rId4"/>
          <w:footerReference w:type="default" r:id="rId5"/>
          <w:pgSz w:w="12240" w:h="15840"/>
          <w:pgMar w:top="1440" w:right="1440" w:bottom="1008" w:left="1440" w:header="720" w:footer="187" w:gutter="0"/>
          <w:cols w:space="720"/>
          <w:docGrid w:linePitch="360"/>
        </w:sectPr>
      </w:pPr>
      <w:r w:rsidRPr="00E2092F">
        <w:rPr>
          <w:rFonts w:ascii="Times New Roman" w:hAnsi="Times New Roman" w:cs="Times New Roman"/>
          <w:b/>
        </w:rPr>
        <w:t>Fax: 1-866-418-0232</w:t>
      </w:r>
    </w:p>
    <w:p w:rsidR="00CD624E" w:rsidP="00CD624E" w14:paraId="25301E88" w14:textId="77777777">
      <w:pPr>
        <w:jc w:val="center"/>
        <w:rPr>
          <w:rFonts w:ascii="Times New Roman" w:hAnsi="Times New Roman" w:cs="Times New Roman"/>
          <w:b/>
          <w:u w:val="single"/>
        </w:rPr>
      </w:pPr>
      <w:r w:rsidRPr="00C419A9">
        <w:rPr>
          <w:rFonts w:ascii="Times New Roman" w:hAnsi="Times New Roman" w:cs="Times New Roman"/>
          <w:b/>
          <w:u w:val="single"/>
        </w:rPr>
        <w:t>TABLE OF CONTENTS</w:t>
      </w:r>
    </w:p>
    <w:p w:rsidR="00CD624E" w:rsidRPr="00C419A9" w:rsidP="00CD624E" w14:paraId="42100107" w14:textId="77777777">
      <w:pPr>
        <w:jc w:val="center"/>
        <w:rPr>
          <w:rFonts w:ascii="Times New Roman" w:hAnsi="Times New Roman" w:cs="Times New Roman"/>
          <w:b/>
          <w:u w:val="single"/>
        </w:rPr>
      </w:pPr>
    </w:p>
    <w:p w:rsidR="00CD624E" w:rsidRPr="00C419A9" w:rsidP="00CD624E" w14:paraId="0B3562B8" w14:textId="77777777">
      <w:pPr>
        <w:rPr>
          <w:rFonts w:ascii="Times New Roman" w:hAnsi="Times New Roman" w:cs="Times New Roman"/>
        </w:rPr>
      </w:pPr>
    </w:p>
    <w:p w:rsidR="00CD624E" w:rsidRPr="00C419A9" w:rsidP="00CD624E" w14:paraId="1A18EB69" w14:textId="3CCD6F45">
      <w:pPr>
        <w:tabs>
          <w:tab w:val="right" w:leader="dot" w:pos="8640"/>
        </w:tabs>
        <w:rPr>
          <w:rFonts w:ascii="Times New Roman" w:hAnsi="Times New Roman" w:cs="Times New Roman"/>
          <w:b/>
        </w:rPr>
      </w:pPr>
      <w:r w:rsidRPr="00C419A9">
        <w:rPr>
          <w:rFonts w:ascii="Times New Roman" w:hAnsi="Times New Roman" w:cs="Times New Roman"/>
          <w:b/>
        </w:rPr>
        <w:t xml:space="preserve">I.         </w:t>
      </w:r>
      <w:r>
        <w:rPr>
          <w:rFonts w:ascii="Times New Roman" w:hAnsi="Times New Roman" w:cs="Times New Roman"/>
          <w:b/>
        </w:rPr>
        <w:t xml:space="preserve"> OBJECTIVES OF THE PROCEEDING </w:t>
      </w:r>
      <w:r>
        <w:rPr>
          <w:rFonts w:ascii="Times New Roman" w:hAnsi="Times New Roman" w:cs="Times New Roman"/>
          <w:b/>
        </w:rPr>
        <w:tab/>
      </w:r>
      <w:r w:rsidR="006862CF">
        <w:rPr>
          <w:rFonts w:ascii="Times New Roman" w:hAnsi="Times New Roman" w:cs="Times New Roman"/>
          <w:b/>
        </w:rPr>
        <w:t>1</w:t>
      </w:r>
    </w:p>
    <w:p w:rsidR="00CD624E" w:rsidRPr="00C419A9" w:rsidP="00CD624E" w14:paraId="490BE852" w14:textId="30328615">
      <w:pPr>
        <w:tabs>
          <w:tab w:val="right" w:leader="dot" w:pos="8640"/>
        </w:tabs>
        <w:rPr>
          <w:rFonts w:ascii="Times New Roman" w:hAnsi="Times New Roman" w:cs="Times New Roman"/>
          <w:b/>
        </w:rPr>
      </w:pPr>
      <w:r w:rsidRPr="00C419A9">
        <w:rPr>
          <w:rFonts w:ascii="Times New Roman" w:hAnsi="Times New Roman" w:cs="Times New Roman"/>
          <w:b/>
        </w:rPr>
        <w:t xml:space="preserve">II.         </w:t>
      </w:r>
      <w:r>
        <w:rPr>
          <w:rFonts w:ascii="Times New Roman" w:hAnsi="Times New Roman" w:cs="Times New Roman"/>
          <w:b/>
        </w:rPr>
        <w:t xml:space="preserve">COMPLIANCE REQUIREMENTS </w:t>
      </w:r>
      <w:r>
        <w:rPr>
          <w:rFonts w:ascii="Times New Roman" w:hAnsi="Times New Roman" w:cs="Times New Roman"/>
          <w:b/>
        </w:rPr>
        <w:tab/>
      </w:r>
      <w:r w:rsidR="006862CF">
        <w:rPr>
          <w:rFonts w:ascii="Times New Roman" w:hAnsi="Times New Roman" w:cs="Times New Roman"/>
          <w:b/>
        </w:rPr>
        <w:t>1</w:t>
      </w:r>
    </w:p>
    <w:p w:rsidR="00CD624E" w:rsidRPr="00C419A9" w:rsidP="00CD624E" w14:paraId="68DC6F13" w14:textId="74852171">
      <w:pPr>
        <w:tabs>
          <w:tab w:val="right" w:leader="dot" w:pos="8640"/>
        </w:tabs>
        <w:rPr>
          <w:rFonts w:ascii="Times New Roman" w:hAnsi="Times New Roman" w:cs="Times New Roman"/>
          <w:b/>
        </w:rPr>
      </w:pPr>
      <w:r w:rsidRPr="00C419A9">
        <w:rPr>
          <w:rFonts w:ascii="Times New Roman" w:hAnsi="Times New Roman" w:cs="Times New Roman"/>
          <w:b/>
        </w:rPr>
        <w:t>III.</w:t>
      </w:r>
      <w:r>
        <w:rPr>
          <w:rFonts w:ascii="Times New Roman" w:hAnsi="Times New Roman" w:cs="Times New Roman"/>
          <w:b/>
        </w:rPr>
        <w:t xml:space="preserve">        </w:t>
      </w:r>
      <w:r w:rsidRPr="00C419A9">
        <w:rPr>
          <w:rFonts w:ascii="Times New Roman" w:hAnsi="Times New Roman" w:cs="Times New Roman"/>
          <w:b/>
        </w:rPr>
        <w:t>RECORDKEEPI</w:t>
      </w:r>
      <w:r>
        <w:rPr>
          <w:rFonts w:ascii="Times New Roman" w:hAnsi="Times New Roman" w:cs="Times New Roman"/>
          <w:b/>
        </w:rPr>
        <w:t xml:space="preserve">NG AND REPORTING REQUIREMENTS </w:t>
      </w:r>
      <w:r>
        <w:rPr>
          <w:rFonts w:ascii="Times New Roman" w:hAnsi="Times New Roman" w:cs="Times New Roman"/>
          <w:b/>
        </w:rPr>
        <w:tab/>
      </w:r>
      <w:r w:rsidR="006862CF">
        <w:rPr>
          <w:rFonts w:ascii="Times New Roman" w:hAnsi="Times New Roman" w:cs="Times New Roman"/>
          <w:b/>
        </w:rPr>
        <w:t>2</w:t>
      </w:r>
    </w:p>
    <w:p w:rsidR="00CD624E" w:rsidRPr="00C419A9" w:rsidP="00CD624E" w14:paraId="6B9E0B35" w14:textId="09B9104E">
      <w:pPr>
        <w:tabs>
          <w:tab w:val="right" w:leader="dot" w:pos="8640"/>
        </w:tabs>
        <w:rPr>
          <w:rFonts w:ascii="Times New Roman" w:hAnsi="Times New Roman" w:cs="Times New Roman"/>
          <w:b/>
        </w:rPr>
      </w:pPr>
      <w:r w:rsidRPr="00C419A9">
        <w:rPr>
          <w:rFonts w:ascii="Times New Roman" w:hAnsi="Times New Roman" w:cs="Times New Roman"/>
          <w:b/>
        </w:rPr>
        <w:t>IV.</w:t>
      </w:r>
      <w:r>
        <w:rPr>
          <w:rFonts w:ascii="Times New Roman" w:hAnsi="Times New Roman" w:cs="Times New Roman"/>
          <w:b/>
        </w:rPr>
        <w:t xml:space="preserve">        IMPLEMENTATION DATE </w:t>
      </w:r>
      <w:r>
        <w:rPr>
          <w:rFonts w:ascii="Times New Roman" w:hAnsi="Times New Roman" w:cs="Times New Roman"/>
          <w:b/>
        </w:rPr>
        <w:tab/>
      </w:r>
      <w:r w:rsidR="00BC79AB">
        <w:rPr>
          <w:rFonts w:ascii="Times New Roman" w:hAnsi="Times New Roman" w:cs="Times New Roman"/>
          <w:b/>
        </w:rPr>
        <w:t>3</w:t>
      </w:r>
    </w:p>
    <w:p w:rsidR="00CD624E" w:rsidRPr="00C419A9" w:rsidP="00CD624E" w14:paraId="2920F242" w14:textId="1BB32CD9">
      <w:pPr>
        <w:tabs>
          <w:tab w:val="right" w:leader="dot" w:pos="8640"/>
        </w:tabs>
        <w:rPr>
          <w:rFonts w:ascii="Times New Roman" w:hAnsi="Times New Roman" w:cs="Times New Roman"/>
          <w:b/>
        </w:rPr>
      </w:pPr>
      <w:r>
        <w:rPr>
          <w:rFonts w:ascii="Times New Roman" w:hAnsi="Times New Roman" w:cs="Times New Roman"/>
          <w:b/>
        </w:rPr>
        <w:t xml:space="preserve">V.         INTERNET LINKS </w:t>
      </w:r>
      <w:r>
        <w:rPr>
          <w:rFonts w:ascii="Times New Roman" w:hAnsi="Times New Roman" w:cs="Times New Roman"/>
          <w:b/>
        </w:rPr>
        <w:tab/>
      </w:r>
      <w:r w:rsidR="00BC79AB">
        <w:rPr>
          <w:rFonts w:ascii="Times New Roman" w:hAnsi="Times New Roman" w:cs="Times New Roman"/>
          <w:b/>
        </w:rPr>
        <w:t>3</w:t>
      </w:r>
    </w:p>
    <w:p w:rsidR="00CD624E" w:rsidP="00074CA4" w14:paraId="4688C0B6" w14:textId="77777777">
      <w:pPr>
        <w:pStyle w:val="ListParagraph"/>
        <w:spacing w:after="0"/>
        <w:ind w:left="0"/>
        <w:rPr>
          <w:rFonts w:ascii="Times New Roman" w:hAnsi="Times New Roman" w:cs="Times New Roman"/>
          <w:b/>
        </w:rPr>
      </w:pPr>
    </w:p>
    <w:p w:rsidR="008D4AA5" w:rsidRPr="00074CA4" w:rsidP="00074CA4" w14:paraId="2364AF40" w14:textId="77777777">
      <w:pPr>
        <w:rPr>
          <w:rFonts w:ascii="Times New Roman" w:hAnsi="Times New Roman" w:cs="Times New Roman"/>
          <w:b/>
        </w:rPr>
      </w:pPr>
    </w:p>
    <w:p w:rsidR="00463A2A" w:rsidP="00E97A21" w14:paraId="2A40148F" w14:textId="77777777">
      <w:pPr>
        <w:rPr>
          <w:rFonts w:ascii="Times New Roman" w:hAnsi="Times New Roman" w:cs="Times New Roman"/>
          <w:b/>
        </w:rPr>
      </w:pPr>
    </w:p>
    <w:p w:rsidR="001743EF" w:rsidP="00E97A21" w14:paraId="0E64538F" w14:textId="77777777">
      <w:pPr>
        <w:rPr>
          <w:rFonts w:ascii="Times New Roman" w:hAnsi="Times New Roman" w:cs="Times New Roman"/>
          <w:b/>
        </w:rPr>
        <w:sectPr w:rsidSect="001743EF">
          <w:headerReference w:type="default" r:id="rId6"/>
          <w:pgSz w:w="12240" w:h="15840"/>
          <w:pgMar w:top="1440" w:right="1440" w:bottom="1008" w:left="1440" w:header="720" w:footer="187" w:gutter="0"/>
          <w:pgNumType w:start="1"/>
          <w:cols w:space="720"/>
          <w:docGrid w:linePitch="360"/>
        </w:sectPr>
      </w:pPr>
      <w:bookmarkStart w:id="0" w:name="_GoBack"/>
      <w:bookmarkEnd w:id="0"/>
    </w:p>
    <w:p w:rsidR="00E97A21" w:rsidRPr="00511023" w:rsidP="009F7F95" w14:paraId="003F6D71" w14:textId="43CC3043">
      <w:pPr>
        <w:tabs>
          <w:tab w:val="left" w:pos="720"/>
        </w:tabs>
        <w:rPr>
          <w:rFonts w:ascii="Times New Roman" w:hAnsi="Times New Roman" w:cs="Times New Roman"/>
          <w:b/>
        </w:rPr>
      </w:pPr>
      <w:r>
        <w:rPr>
          <w:rFonts w:ascii="Times New Roman" w:hAnsi="Times New Roman" w:cs="Times New Roman"/>
          <w:b/>
        </w:rPr>
        <w:t xml:space="preserve">I.           </w:t>
      </w:r>
      <w:r w:rsidRPr="00511023" w:rsidR="001A1EAC">
        <w:rPr>
          <w:rFonts w:ascii="Times New Roman" w:hAnsi="Times New Roman" w:cs="Times New Roman"/>
          <w:b/>
        </w:rPr>
        <w:t>OBJECTIVES OF THE PROCEEDING</w:t>
      </w:r>
    </w:p>
    <w:p w:rsidR="00D01F97" w:rsidRPr="00323A7C" w:rsidP="001D4297" w14:paraId="330241CF" w14:textId="5F9CE99D">
      <w:pPr>
        <w:pStyle w:val="ParaNum"/>
        <w:ind w:firstLine="720"/>
        <w:rPr>
          <w:szCs w:val="22"/>
        </w:rPr>
      </w:pPr>
      <w:r>
        <w:t xml:space="preserve">In the </w:t>
      </w:r>
      <w:r w:rsidRPr="00B67094">
        <w:rPr>
          <w:i/>
        </w:rPr>
        <w:t>Declaratory Ruling and Third Report and Order</w:t>
      </w:r>
      <w:r>
        <w:t xml:space="preserve"> </w:t>
      </w:r>
      <w:r w:rsidR="00560F43">
        <w:t>(</w:t>
      </w:r>
      <w:r w:rsidRPr="001E3786" w:rsidR="00560F43">
        <w:rPr>
          <w:i/>
        </w:rPr>
        <w:t>Third Report and Order</w:t>
      </w:r>
      <w:r w:rsidR="00560F43">
        <w:t xml:space="preserve">) </w:t>
      </w:r>
      <w:r>
        <w:t xml:space="preserve">in FCC 18-133, WT Docket No. 17-79 and WC Docket No. 17-84, the Commission continued </w:t>
      </w:r>
      <w:r w:rsidR="006E6EAC">
        <w:t xml:space="preserve">its </w:t>
      </w:r>
      <w:r>
        <w:t>efforts to streamline the regulatory framework for deployment of small wireless facilities and 5G service.</w:t>
      </w:r>
      <w:r w:rsidR="00B64F77">
        <w:t xml:space="preserve">  </w:t>
      </w:r>
      <w:r w:rsidRPr="00B64F77" w:rsidR="00B64F77">
        <w:t xml:space="preserve">The rules adopted in the </w:t>
      </w:r>
      <w:r w:rsidRPr="001D4297" w:rsidR="00B64F77">
        <w:rPr>
          <w:i/>
        </w:rPr>
        <w:t>Third Report and Order</w:t>
      </w:r>
      <w:r w:rsidRPr="00B64F77" w:rsidR="00B64F77">
        <w:t xml:space="preserve"> will accelerate the deployment of wireless infrastructure needed for the mobile wireless services of the future, while preserving the fundamental role of localities in this process.</w:t>
      </w:r>
      <w:r>
        <w:t xml:space="preserve">  </w:t>
      </w:r>
    </w:p>
    <w:p w:rsidR="00D01F97" w:rsidRPr="00323A7C" w:rsidP="001D4297" w14:paraId="024D9DE0" w14:textId="4FAF839C">
      <w:pPr>
        <w:pStyle w:val="ParaNum"/>
        <w:ind w:firstLine="720"/>
        <w:rPr>
          <w:szCs w:val="22"/>
        </w:rPr>
      </w:pPr>
      <w:r>
        <w:t>The</w:t>
      </w:r>
      <w:r w:rsidRPr="00323A7C">
        <w:t xml:space="preserve"> </w:t>
      </w:r>
      <w:r w:rsidRPr="009E1022">
        <w:rPr>
          <w:i/>
        </w:rPr>
        <w:t>Third Report &amp; Order</w:t>
      </w:r>
      <w:r w:rsidR="00CF2FBC">
        <w:rPr>
          <w:i/>
        </w:rPr>
        <w:t xml:space="preserve"> </w:t>
      </w:r>
      <w:r w:rsidR="00CF2FBC">
        <w:rPr>
          <w:szCs w:val="22"/>
        </w:rPr>
        <w:t>e</w:t>
      </w:r>
      <w:r w:rsidRPr="00323A7C">
        <w:rPr>
          <w:szCs w:val="22"/>
        </w:rPr>
        <w:t xml:space="preserve">stablishes </w:t>
      </w:r>
      <w:r w:rsidR="003027B2">
        <w:rPr>
          <w:szCs w:val="22"/>
        </w:rPr>
        <w:t xml:space="preserve">and codifies </w:t>
      </w:r>
      <w:r w:rsidRPr="003027B2" w:rsidR="003027B2">
        <w:rPr>
          <w:szCs w:val="22"/>
        </w:rPr>
        <w:t xml:space="preserve">specific rules </w:t>
      </w:r>
      <w:r w:rsidR="003027B2">
        <w:rPr>
          <w:szCs w:val="22"/>
        </w:rPr>
        <w:t>pertain</w:t>
      </w:r>
      <w:r w:rsidRPr="003027B2" w:rsidR="003027B2">
        <w:rPr>
          <w:szCs w:val="22"/>
        </w:rPr>
        <w:t xml:space="preserve">ing </w:t>
      </w:r>
      <w:r w:rsidR="003027B2">
        <w:rPr>
          <w:szCs w:val="22"/>
        </w:rPr>
        <w:t>to</w:t>
      </w:r>
      <w:r w:rsidR="00FC7959">
        <w:rPr>
          <w:szCs w:val="22"/>
        </w:rPr>
        <w:t xml:space="preserve"> </w:t>
      </w:r>
      <w:r w:rsidRPr="003027B2" w:rsidR="003027B2">
        <w:rPr>
          <w:szCs w:val="22"/>
        </w:rPr>
        <w:t>the amount of time siting agencies may take to review and approve certain categories of wireless infrastructure siting applications.</w:t>
      </w:r>
      <w:r w:rsidR="0019300B">
        <w:rPr>
          <w:szCs w:val="22"/>
        </w:rPr>
        <w:t xml:space="preserve">  More specifically, the </w:t>
      </w:r>
      <w:r w:rsidR="0019300B">
        <w:rPr>
          <w:i/>
          <w:szCs w:val="22"/>
        </w:rPr>
        <w:t xml:space="preserve">Third Report and Order </w:t>
      </w:r>
      <w:r w:rsidR="0019300B">
        <w:rPr>
          <w:szCs w:val="22"/>
        </w:rPr>
        <w:t xml:space="preserve">establishes </w:t>
      </w:r>
      <w:r w:rsidRPr="00323A7C">
        <w:rPr>
          <w:szCs w:val="22"/>
        </w:rPr>
        <w:t xml:space="preserve">two new </w:t>
      </w:r>
      <w:r w:rsidR="0019300B">
        <w:rPr>
          <w:szCs w:val="22"/>
        </w:rPr>
        <w:t xml:space="preserve">review period </w:t>
      </w:r>
      <w:r w:rsidRPr="00323A7C">
        <w:rPr>
          <w:szCs w:val="22"/>
        </w:rPr>
        <w:t xml:space="preserve">shot clocks for </w:t>
      </w:r>
      <w:r w:rsidR="00923B78">
        <w:rPr>
          <w:szCs w:val="22"/>
        </w:rPr>
        <w:t>S</w:t>
      </w:r>
      <w:r w:rsidRPr="00323A7C">
        <w:rPr>
          <w:szCs w:val="22"/>
        </w:rPr>
        <w:t xml:space="preserve">mall </w:t>
      </w:r>
      <w:r w:rsidR="00923B78">
        <w:rPr>
          <w:szCs w:val="22"/>
        </w:rPr>
        <w:t>W</w:t>
      </w:r>
      <w:r w:rsidRPr="00323A7C" w:rsidR="00923B78">
        <w:rPr>
          <w:szCs w:val="22"/>
        </w:rPr>
        <w:t xml:space="preserve">ireless </w:t>
      </w:r>
      <w:r w:rsidR="00923B78">
        <w:rPr>
          <w:szCs w:val="22"/>
        </w:rPr>
        <w:t>F</w:t>
      </w:r>
      <w:r w:rsidRPr="00323A7C" w:rsidR="00923B78">
        <w:rPr>
          <w:szCs w:val="22"/>
        </w:rPr>
        <w:t xml:space="preserve">acilities </w:t>
      </w:r>
      <w:r w:rsidRPr="00323A7C">
        <w:rPr>
          <w:szCs w:val="22"/>
        </w:rPr>
        <w:t>(60 days for collocation on existing structures and 90 days for new builds)</w:t>
      </w:r>
      <w:r w:rsidR="00CF2FBC">
        <w:rPr>
          <w:szCs w:val="22"/>
        </w:rPr>
        <w:t xml:space="preserve"> and c</w:t>
      </w:r>
      <w:r w:rsidRPr="00323A7C">
        <w:rPr>
          <w:szCs w:val="22"/>
        </w:rPr>
        <w:t xml:space="preserve">odifies the existing 90 and 150 day shot clocks for </w:t>
      </w:r>
      <w:r w:rsidR="006A5903">
        <w:rPr>
          <w:szCs w:val="22"/>
        </w:rPr>
        <w:t xml:space="preserve">deployments of </w:t>
      </w:r>
      <w:r w:rsidRPr="00323A7C">
        <w:rPr>
          <w:szCs w:val="22"/>
        </w:rPr>
        <w:t>wireless facilit</w:t>
      </w:r>
      <w:r w:rsidR="006A5903">
        <w:rPr>
          <w:szCs w:val="22"/>
        </w:rPr>
        <w:t>ies</w:t>
      </w:r>
      <w:r w:rsidRPr="00323A7C">
        <w:rPr>
          <w:szCs w:val="22"/>
        </w:rPr>
        <w:t xml:space="preserve"> that do not qualify as small </w:t>
      </w:r>
      <w:r w:rsidR="006A5903">
        <w:rPr>
          <w:szCs w:val="22"/>
        </w:rPr>
        <w:t>wireless facilities</w:t>
      </w:r>
      <w:r w:rsidR="00CF2FBC">
        <w:rPr>
          <w:szCs w:val="22"/>
        </w:rPr>
        <w:t>.</w:t>
      </w:r>
      <w:r>
        <w:rPr>
          <w:szCs w:val="22"/>
        </w:rPr>
        <w:t xml:space="preserve"> </w:t>
      </w:r>
      <w:r w:rsidRPr="00323A7C" w:rsidR="00047470">
        <w:rPr>
          <w:szCs w:val="22"/>
        </w:rPr>
        <w:t xml:space="preserve"> </w:t>
      </w:r>
      <w:r w:rsidR="0019300B">
        <w:rPr>
          <w:szCs w:val="22"/>
        </w:rPr>
        <w:t xml:space="preserve">In addition, the </w:t>
      </w:r>
      <w:r w:rsidRPr="001D4297" w:rsidR="0019300B">
        <w:rPr>
          <w:i/>
          <w:szCs w:val="22"/>
        </w:rPr>
        <w:t>Third Report and Order</w:t>
      </w:r>
      <w:r w:rsidR="0019300B">
        <w:rPr>
          <w:szCs w:val="22"/>
        </w:rPr>
        <w:t xml:space="preserve"> sets out how the shot clock date is calculated, how any applicable shot clock tolling period</w:t>
      </w:r>
      <w:r w:rsidR="006F22DA">
        <w:rPr>
          <w:szCs w:val="22"/>
        </w:rPr>
        <w:t>s are applied</w:t>
      </w:r>
      <w:r w:rsidR="0019300B">
        <w:rPr>
          <w:szCs w:val="22"/>
        </w:rPr>
        <w:t xml:space="preserve"> and</w:t>
      </w:r>
      <w:r w:rsidR="00CF2FBC">
        <w:rPr>
          <w:szCs w:val="22"/>
        </w:rPr>
        <w:t xml:space="preserve"> </w:t>
      </w:r>
      <w:r w:rsidR="00EC5FFD">
        <w:rPr>
          <w:szCs w:val="22"/>
        </w:rPr>
        <w:t xml:space="preserve">states </w:t>
      </w:r>
      <w:r w:rsidRPr="00323A7C">
        <w:rPr>
          <w:szCs w:val="22"/>
        </w:rPr>
        <w:t>that all state and local government authorizations necessary for the deployment of personal wireless service infrastructure are subject to th</w:t>
      </w:r>
      <w:r w:rsidR="00EC5FFD">
        <w:rPr>
          <w:szCs w:val="22"/>
        </w:rPr>
        <w:t>e applicable</w:t>
      </w:r>
      <w:r w:rsidRPr="00323A7C">
        <w:rPr>
          <w:szCs w:val="22"/>
        </w:rPr>
        <w:t xml:space="preserve"> shot clocks</w:t>
      </w:r>
      <w:r w:rsidR="00EC5FFD">
        <w:rPr>
          <w:szCs w:val="22"/>
        </w:rPr>
        <w:t xml:space="preserve">. </w:t>
      </w:r>
      <w:r w:rsidR="007A0798">
        <w:rPr>
          <w:szCs w:val="22"/>
        </w:rPr>
        <w:t xml:space="preserve"> </w:t>
      </w:r>
      <w:r w:rsidR="00EC5FFD">
        <w:rPr>
          <w:szCs w:val="22"/>
        </w:rPr>
        <w:t xml:space="preserve">The </w:t>
      </w:r>
      <w:r w:rsidRPr="001E3786" w:rsidR="00EC5FFD">
        <w:rPr>
          <w:i/>
          <w:szCs w:val="22"/>
        </w:rPr>
        <w:t>Third Report and Order</w:t>
      </w:r>
      <w:r w:rsidR="00EC5FFD">
        <w:rPr>
          <w:szCs w:val="22"/>
        </w:rPr>
        <w:t xml:space="preserve"> also </w:t>
      </w:r>
      <w:r w:rsidR="00CF2FBC">
        <w:rPr>
          <w:szCs w:val="22"/>
        </w:rPr>
        <w:t>a</w:t>
      </w:r>
      <w:r w:rsidRPr="00323A7C">
        <w:rPr>
          <w:szCs w:val="22"/>
        </w:rPr>
        <w:t xml:space="preserve">dopts a new remedy for </w:t>
      </w:r>
      <w:r w:rsidR="006F22DA">
        <w:rPr>
          <w:szCs w:val="22"/>
        </w:rPr>
        <w:t xml:space="preserve">applicants when siting authorities </w:t>
      </w:r>
      <w:r w:rsidRPr="00323A7C">
        <w:rPr>
          <w:szCs w:val="22"/>
        </w:rPr>
        <w:t>miss shot clocks</w:t>
      </w:r>
      <w:r w:rsidR="00315C87">
        <w:rPr>
          <w:szCs w:val="22"/>
        </w:rPr>
        <w:t xml:space="preserve"> for small wireless facilities</w:t>
      </w:r>
      <w:r w:rsidRPr="00323A7C">
        <w:rPr>
          <w:szCs w:val="22"/>
        </w:rPr>
        <w:t>.</w:t>
      </w:r>
    </w:p>
    <w:p w:rsidR="00EF4B82" w:rsidRPr="00511023" w:rsidP="00286EA8" w14:paraId="2676F6DC" w14:textId="03839D53">
      <w:pPr>
        <w:tabs>
          <w:tab w:val="left" w:pos="720"/>
        </w:tabs>
        <w:rPr>
          <w:rFonts w:ascii="Times New Roman" w:hAnsi="Times New Roman" w:cs="Times New Roman"/>
          <w:b/>
        </w:rPr>
      </w:pPr>
      <w:r w:rsidRPr="00511023">
        <w:rPr>
          <w:rFonts w:ascii="Times New Roman" w:hAnsi="Times New Roman" w:cs="Times New Roman"/>
          <w:b/>
        </w:rPr>
        <w:t xml:space="preserve">II. </w:t>
      </w:r>
      <w:r w:rsidR="00286EA8">
        <w:rPr>
          <w:rFonts w:ascii="Times New Roman" w:hAnsi="Times New Roman" w:cs="Times New Roman"/>
          <w:b/>
        </w:rPr>
        <w:tab/>
      </w:r>
      <w:r w:rsidRPr="00511023">
        <w:rPr>
          <w:rFonts w:ascii="Times New Roman" w:hAnsi="Times New Roman" w:cs="Times New Roman"/>
          <w:b/>
        </w:rPr>
        <w:t>COMPLIANCE REQUIREMENTS</w:t>
      </w:r>
    </w:p>
    <w:p w:rsidR="00B40C5F" w:rsidP="001D4297" w14:paraId="52C96B11" w14:textId="623C362D">
      <w:pPr>
        <w:pStyle w:val="ParaNum"/>
        <w:spacing w:after="0"/>
        <w:ind w:firstLine="720"/>
        <w:rPr>
          <w:szCs w:val="22"/>
        </w:rPr>
      </w:pPr>
      <w:r w:rsidRPr="006862CF">
        <w:rPr>
          <w:szCs w:val="22"/>
        </w:rPr>
        <w:t xml:space="preserve">The </w:t>
      </w:r>
      <w:r w:rsidRPr="00B67094">
        <w:rPr>
          <w:i/>
          <w:szCs w:val="22"/>
        </w:rPr>
        <w:t>Third Report &amp; Order</w:t>
      </w:r>
      <w:r w:rsidRPr="006862CF">
        <w:rPr>
          <w:szCs w:val="22"/>
        </w:rPr>
        <w:t xml:space="preserve"> amends the Commission’s rules, </w:t>
      </w:r>
      <w:r w:rsidR="002F368C">
        <w:rPr>
          <w:szCs w:val="22"/>
        </w:rPr>
        <w:t xml:space="preserve">adding </w:t>
      </w:r>
      <w:r w:rsidRPr="006862CF">
        <w:rPr>
          <w:szCs w:val="22"/>
        </w:rPr>
        <w:t xml:space="preserve">47 CFR </w:t>
      </w:r>
      <w:r w:rsidRPr="006862CF" w:rsidR="002146E0">
        <w:rPr>
          <w:szCs w:val="22"/>
        </w:rPr>
        <w:t xml:space="preserve">§ 1.6003 </w:t>
      </w:r>
      <w:r w:rsidRPr="006862CF">
        <w:rPr>
          <w:szCs w:val="22"/>
        </w:rPr>
        <w:t>to require</w:t>
      </w:r>
      <w:r w:rsidRPr="006862CF" w:rsidR="00A54A19">
        <w:rPr>
          <w:szCs w:val="22"/>
        </w:rPr>
        <w:t xml:space="preserve"> </w:t>
      </w:r>
      <w:r w:rsidRPr="006862CF">
        <w:rPr>
          <w:szCs w:val="22"/>
        </w:rPr>
        <w:t xml:space="preserve">a </w:t>
      </w:r>
      <w:r w:rsidRPr="006862CF" w:rsidR="002146E0">
        <w:rPr>
          <w:szCs w:val="22"/>
        </w:rPr>
        <w:t>siting authority</w:t>
      </w:r>
      <w:r w:rsidRPr="006862CF" w:rsidR="00A54A19">
        <w:rPr>
          <w:szCs w:val="22"/>
        </w:rPr>
        <w:t xml:space="preserve"> (i.e.</w:t>
      </w:r>
      <w:r w:rsidR="00B70C2A">
        <w:rPr>
          <w:szCs w:val="22"/>
        </w:rPr>
        <w:t>,</w:t>
      </w:r>
      <w:r w:rsidRPr="006862CF" w:rsidR="00A54A19">
        <w:rPr>
          <w:szCs w:val="22"/>
        </w:rPr>
        <w:t xml:space="preserve"> state or local governmental entity)</w:t>
      </w:r>
      <w:r w:rsidRPr="006862CF" w:rsidR="002146E0">
        <w:rPr>
          <w:szCs w:val="22"/>
        </w:rPr>
        <w:t xml:space="preserve"> </w:t>
      </w:r>
      <w:r w:rsidR="00A36E26">
        <w:rPr>
          <w:szCs w:val="22"/>
        </w:rPr>
        <w:t xml:space="preserve">to </w:t>
      </w:r>
      <w:r w:rsidR="002F368C">
        <w:rPr>
          <w:szCs w:val="22"/>
        </w:rPr>
        <w:t>take timely action on a siting application</w:t>
      </w:r>
      <w:r w:rsidR="00A36E26">
        <w:rPr>
          <w:szCs w:val="22"/>
        </w:rPr>
        <w:t xml:space="preserve"> and establishes the parameters for a reasonable time to act on a siting application</w:t>
      </w:r>
      <w:r w:rsidR="002F368C">
        <w:rPr>
          <w:szCs w:val="22"/>
        </w:rPr>
        <w:t xml:space="preserve">. </w:t>
      </w:r>
    </w:p>
    <w:p w:rsidR="00B64F77" w:rsidP="001D4297" w14:paraId="17278BBE" w14:textId="77777777">
      <w:pPr>
        <w:pStyle w:val="ParaNum"/>
        <w:spacing w:after="0"/>
        <w:rPr>
          <w:b/>
          <w:szCs w:val="22"/>
        </w:rPr>
      </w:pPr>
    </w:p>
    <w:p w:rsidR="00FB7CB6" w:rsidP="001A2016" w14:paraId="64D2B0D0" w14:textId="32C8CE04">
      <w:pPr>
        <w:pStyle w:val="ParaNum"/>
        <w:rPr>
          <w:b/>
          <w:i/>
          <w:szCs w:val="22"/>
        </w:rPr>
      </w:pPr>
      <w:r>
        <w:rPr>
          <w:b/>
          <w:i/>
          <w:szCs w:val="22"/>
        </w:rPr>
        <w:t>Time</w:t>
      </w:r>
      <w:r w:rsidR="00A36E26">
        <w:rPr>
          <w:b/>
          <w:i/>
          <w:szCs w:val="22"/>
        </w:rPr>
        <w:t>ly</w:t>
      </w:r>
      <w:r>
        <w:rPr>
          <w:b/>
          <w:i/>
          <w:szCs w:val="22"/>
        </w:rPr>
        <w:t xml:space="preserve"> Action Required </w:t>
      </w:r>
      <w:r w:rsidR="00B64F77">
        <w:rPr>
          <w:b/>
          <w:i/>
          <w:szCs w:val="22"/>
        </w:rPr>
        <w:t>b</w:t>
      </w:r>
      <w:r>
        <w:rPr>
          <w:b/>
          <w:i/>
          <w:szCs w:val="22"/>
        </w:rPr>
        <w:t xml:space="preserve">y A Siting Authority </w:t>
      </w:r>
      <w:r w:rsidRPr="00B40C5F">
        <w:rPr>
          <w:b/>
          <w:i/>
          <w:szCs w:val="22"/>
        </w:rPr>
        <w:t>(47 CFR §</w:t>
      </w:r>
      <w:r>
        <w:rPr>
          <w:b/>
          <w:i/>
          <w:szCs w:val="22"/>
        </w:rPr>
        <w:t xml:space="preserve"> </w:t>
      </w:r>
      <w:r w:rsidRPr="00B40C5F">
        <w:rPr>
          <w:b/>
          <w:i/>
          <w:szCs w:val="22"/>
        </w:rPr>
        <w:t>1.6003</w:t>
      </w:r>
      <w:r>
        <w:rPr>
          <w:b/>
          <w:i/>
          <w:szCs w:val="22"/>
        </w:rPr>
        <w:t>(a)</w:t>
      </w:r>
      <w:r w:rsidRPr="00B40C5F">
        <w:rPr>
          <w:b/>
          <w:i/>
          <w:szCs w:val="22"/>
        </w:rPr>
        <w:t>)</w:t>
      </w:r>
    </w:p>
    <w:p w:rsidR="00FB7CB6" w:rsidP="001D4297" w14:paraId="58C0387B" w14:textId="3CE5A258">
      <w:pPr>
        <w:pStyle w:val="ParaNum"/>
        <w:numPr>
          <w:ilvl w:val="0"/>
          <w:numId w:val="18"/>
        </w:numPr>
        <w:rPr>
          <w:b/>
          <w:i/>
          <w:szCs w:val="22"/>
        </w:rPr>
      </w:pPr>
      <w:r>
        <w:rPr>
          <w:szCs w:val="22"/>
        </w:rPr>
        <w:t xml:space="preserve">Any siting authority </w:t>
      </w:r>
      <w:r w:rsidRPr="006862CF">
        <w:rPr>
          <w:szCs w:val="22"/>
        </w:rPr>
        <w:t>that fails to act on a siting application by the expiration of the</w:t>
      </w:r>
      <w:r>
        <w:rPr>
          <w:szCs w:val="22"/>
        </w:rPr>
        <w:t xml:space="preserve"> applicable</w:t>
      </w:r>
      <w:r w:rsidRPr="006862CF">
        <w:rPr>
          <w:szCs w:val="22"/>
        </w:rPr>
        <w:t xml:space="preserve"> shot clock is presumed not to have acted within a reasonable </w:t>
      </w:r>
      <w:r w:rsidRPr="006862CF">
        <w:rPr>
          <w:szCs w:val="22"/>
        </w:rPr>
        <w:t>period of time</w:t>
      </w:r>
      <w:r w:rsidRPr="006862CF">
        <w:rPr>
          <w:szCs w:val="22"/>
        </w:rPr>
        <w:t>.</w:t>
      </w:r>
    </w:p>
    <w:p w:rsidR="00A95753" w:rsidP="001A2016" w14:paraId="5BCD0A41" w14:textId="7C6C7B65">
      <w:pPr>
        <w:pStyle w:val="ParaNum"/>
        <w:rPr>
          <w:b/>
          <w:i/>
          <w:szCs w:val="22"/>
        </w:rPr>
      </w:pPr>
      <w:r>
        <w:rPr>
          <w:b/>
          <w:i/>
          <w:szCs w:val="22"/>
        </w:rPr>
        <w:t xml:space="preserve">Shot </w:t>
      </w:r>
      <w:r w:rsidR="002A1242">
        <w:rPr>
          <w:b/>
          <w:i/>
          <w:szCs w:val="22"/>
        </w:rPr>
        <w:t xml:space="preserve">Clock Period for A Siting Application </w:t>
      </w:r>
      <w:r w:rsidRPr="00B40C5F" w:rsidR="002A1242">
        <w:rPr>
          <w:b/>
          <w:i/>
          <w:szCs w:val="22"/>
        </w:rPr>
        <w:t>(47 CFR §</w:t>
      </w:r>
      <w:r w:rsidR="002A1242">
        <w:rPr>
          <w:b/>
          <w:i/>
          <w:szCs w:val="22"/>
        </w:rPr>
        <w:t xml:space="preserve"> </w:t>
      </w:r>
      <w:r w:rsidRPr="00B40C5F" w:rsidR="002A1242">
        <w:rPr>
          <w:b/>
          <w:i/>
          <w:szCs w:val="22"/>
        </w:rPr>
        <w:t>1.6003</w:t>
      </w:r>
      <w:r w:rsidR="002A1242">
        <w:rPr>
          <w:b/>
          <w:i/>
          <w:szCs w:val="22"/>
        </w:rPr>
        <w:t>(</w:t>
      </w:r>
      <w:r>
        <w:rPr>
          <w:b/>
          <w:i/>
          <w:szCs w:val="22"/>
        </w:rPr>
        <w:t>b</w:t>
      </w:r>
      <w:r w:rsidR="002A1242">
        <w:rPr>
          <w:b/>
          <w:i/>
          <w:szCs w:val="22"/>
        </w:rPr>
        <w:t>)</w:t>
      </w:r>
      <w:r w:rsidRPr="00B40C5F" w:rsidR="002A1242">
        <w:rPr>
          <w:b/>
          <w:i/>
          <w:szCs w:val="22"/>
        </w:rPr>
        <w:t xml:space="preserve">) </w:t>
      </w:r>
    </w:p>
    <w:p w:rsidR="002A1242" w:rsidRPr="001D4297" w:rsidP="001D4297" w14:paraId="1041437D" w14:textId="78E2588E">
      <w:pPr>
        <w:pStyle w:val="ParaNum"/>
        <w:numPr>
          <w:ilvl w:val="0"/>
          <w:numId w:val="17"/>
        </w:numPr>
        <w:ind w:left="720"/>
        <w:rPr>
          <w:i/>
          <w:szCs w:val="22"/>
        </w:rPr>
      </w:pPr>
      <w:r w:rsidRPr="001D4297">
        <w:rPr>
          <w:szCs w:val="22"/>
        </w:rPr>
        <w:t xml:space="preserve">The shot clock period for a siting application is the sum of the </w:t>
      </w:r>
      <w:r w:rsidR="00CE4CA6">
        <w:rPr>
          <w:szCs w:val="22"/>
        </w:rPr>
        <w:t xml:space="preserve">number of </w:t>
      </w:r>
      <w:r w:rsidRPr="001D4297">
        <w:rPr>
          <w:szCs w:val="22"/>
        </w:rPr>
        <w:t xml:space="preserve">days specified </w:t>
      </w:r>
      <w:r w:rsidR="00CE4CA6">
        <w:rPr>
          <w:szCs w:val="22"/>
        </w:rPr>
        <w:t xml:space="preserve">for the relevant application type </w:t>
      </w:r>
      <w:r w:rsidRPr="001D4297">
        <w:rPr>
          <w:szCs w:val="22"/>
        </w:rPr>
        <w:t xml:space="preserve">as the presumptively reasonable time for a siting authority to act plus the number </w:t>
      </w:r>
      <w:r w:rsidRPr="001D4297" w:rsidR="00CE4CA6">
        <w:rPr>
          <w:szCs w:val="22"/>
        </w:rPr>
        <w:t>of days of any applicable tolling period.</w:t>
      </w:r>
    </w:p>
    <w:p w:rsidR="002F368C" w:rsidRPr="00B40C5F" w:rsidP="001A2016" w14:paraId="0B3B97B7" w14:textId="1CF57975">
      <w:pPr>
        <w:pStyle w:val="ParaNum"/>
        <w:rPr>
          <w:b/>
          <w:i/>
          <w:szCs w:val="22"/>
        </w:rPr>
      </w:pPr>
      <w:r>
        <w:rPr>
          <w:b/>
          <w:i/>
          <w:szCs w:val="22"/>
        </w:rPr>
        <w:t>Presumptively Reasonable Period of Time</w:t>
      </w:r>
      <w:r w:rsidR="002A1242">
        <w:rPr>
          <w:b/>
          <w:i/>
          <w:szCs w:val="22"/>
        </w:rPr>
        <w:t xml:space="preserve"> for Action</w:t>
      </w:r>
      <w:r>
        <w:rPr>
          <w:b/>
          <w:i/>
          <w:szCs w:val="22"/>
        </w:rPr>
        <w:t xml:space="preserve"> </w:t>
      </w:r>
      <w:r w:rsidRPr="00B40C5F">
        <w:rPr>
          <w:b/>
          <w:i/>
          <w:szCs w:val="22"/>
        </w:rPr>
        <w:t>(47 CFR §</w:t>
      </w:r>
      <w:r>
        <w:rPr>
          <w:b/>
          <w:i/>
          <w:szCs w:val="22"/>
        </w:rPr>
        <w:t xml:space="preserve"> </w:t>
      </w:r>
      <w:r w:rsidRPr="00B40C5F">
        <w:rPr>
          <w:b/>
          <w:i/>
          <w:szCs w:val="22"/>
        </w:rPr>
        <w:t>1.6003</w:t>
      </w:r>
      <w:r>
        <w:rPr>
          <w:b/>
          <w:i/>
          <w:szCs w:val="22"/>
        </w:rPr>
        <w:t>(c)</w:t>
      </w:r>
      <w:r w:rsidRPr="00B40C5F">
        <w:rPr>
          <w:b/>
          <w:i/>
          <w:szCs w:val="22"/>
        </w:rPr>
        <w:t xml:space="preserve">)   </w:t>
      </w:r>
    </w:p>
    <w:p w:rsidR="000568D1" w:rsidP="00B40C5F" w14:paraId="3F9ACF9C" w14:textId="678BB4F0">
      <w:pPr>
        <w:pStyle w:val="ParaNum"/>
        <w:numPr>
          <w:ilvl w:val="0"/>
          <w:numId w:val="16"/>
        </w:numPr>
        <w:rPr>
          <w:szCs w:val="22"/>
        </w:rPr>
      </w:pPr>
      <w:r>
        <w:rPr>
          <w:szCs w:val="22"/>
        </w:rPr>
        <w:t xml:space="preserve">Siting authorities must act in accordance with </w:t>
      </w:r>
      <w:r w:rsidRPr="006862CF" w:rsidR="00A54A19">
        <w:rPr>
          <w:szCs w:val="22"/>
        </w:rPr>
        <w:t xml:space="preserve">the </w:t>
      </w:r>
      <w:r>
        <w:rPr>
          <w:szCs w:val="22"/>
        </w:rPr>
        <w:t xml:space="preserve">following </w:t>
      </w:r>
      <w:r w:rsidRPr="006862CF" w:rsidR="000D6D6D">
        <w:rPr>
          <w:szCs w:val="22"/>
        </w:rPr>
        <w:t>shot clocks</w:t>
      </w:r>
      <w:r w:rsidRPr="006862CF" w:rsidR="00A54A19">
        <w:rPr>
          <w:szCs w:val="22"/>
        </w:rPr>
        <w:t xml:space="preserve">: </w:t>
      </w:r>
    </w:p>
    <w:p w:rsidR="000568D1" w:rsidP="00B40C5F" w14:paraId="5DF132D2" w14:textId="7B7B77F9">
      <w:pPr>
        <w:pStyle w:val="ParaNum"/>
        <w:numPr>
          <w:ilvl w:val="1"/>
          <w:numId w:val="16"/>
        </w:numPr>
        <w:rPr>
          <w:szCs w:val="22"/>
        </w:rPr>
      </w:pPr>
      <w:r>
        <w:rPr>
          <w:szCs w:val="22"/>
        </w:rPr>
        <w:t>Application to c</w:t>
      </w:r>
      <w:r w:rsidRPr="006862CF" w:rsidR="00A54A19">
        <w:rPr>
          <w:szCs w:val="22"/>
        </w:rPr>
        <w:t>ollocat</w:t>
      </w:r>
      <w:r>
        <w:rPr>
          <w:szCs w:val="22"/>
        </w:rPr>
        <w:t>e</w:t>
      </w:r>
      <w:r w:rsidRPr="006862CF" w:rsidR="002146E0">
        <w:rPr>
          <w:szCs w:val="22"/>
        </w:rPr>
        <w:t xml:space="preserve"> a </w:t>
      </w:r>
      <w:r w:rsidR="00B67094">
        <w:rPr>
          <w:szCs w:val="22"/>
        </w:rPr>
        <w:t>s</w:t>
      </w:r>
      <w:r w:rsidRPr="006862CF" w:rsidR="002146E0">
        <w:rPr>
          <w:szCs w:val="22"/>
        </w:rPr>
        <w:t xml:space="preserve">mall </w:t>
      </w:r>
      <w:r w:rsidR="00B67094">
        <w:rPr>
          <w:szCs w:val="22"/>
        </w:rPr>
        <w:t>w</w:t>
      </w:r>
      <w:r w:rsidRPr="006862CF" w:rsidR="002146E0">
        <w:rPr>
          <w:szCs w:val="22"/>
        </w:rPr>
        <w:t xml:space="preserve">ireless </w:t>
      </w:r>
      <w:r w:rsidR="00B67094">
        <w:rPr>
          <w:szCs w:val="22"/>
        </w:rPr>
        <w:t>f</w:t>
      </w:r>
      <w:r w:rsidRPr="006862CF" w:rsidR="002146E0">
        <w:rPr>
          <w:szCs w:val="22"/>
        </w:rPr>
        <w:t>acility using an existing structure:  60 days</w:t>
      </w:r>
      <w:r>
        <w:rPr>
          <w:szCs w:val="22"/>
        </w:rPr>
        <w:t>.</w:t>
      </w:r>
      <w:r w:rsidRPr="006862CF" w:rsidR="00A54A19">
        <w:rPr>
          <w:szCs w:val="22"/>
        </w:rPr>
        <w:t xml:space="preserve"> </w:t>
      </w:r>
    </w:p>
    <w:p w:rsidR="000568D1" w:rsidP="00B40C5F" w14:paraId="73787E41" w14:textId="0C322BC3">
      <w:pPr>
        <w:pStyle w:val="ParaNum"/>
        <w:numPr>
          <w:ilvl w:val="1"/>
          <w:numId w:val="16"/>
        </w:numPr>
        <w:rPr>
          <w:szCs w:val="22"/>
        </w:rPr>
      </w:pPr>
      <w:r w:rsidRPr="006862CF">
        <w:rPr>
          <w:szCs w:val="22"/>
        </w:rPr>
        <w:t>A</w:t>
      </w:r>
      <w:r w:rsidRPr="006862CF" w:rsidR="002146E0">
        <w:rPr>
          <w:szCs w:val="22"/>
        </w:rPr>
        <w:t xml:space="preserve">pplication to collocate a facility other than a </w:t>
      </w:r>
      <w:r w:rsidR="00B67094">
        <w:rPr>
          <w:szCs w:val="22"/>
        </w:rPr>
        <w:t>s</w:t>
      </w:r>
      <w:r w:rsidRPr="006862CF" w:rsidR="002146E0">
        <w:rPr>
          <w:szCs w:val="22"/>
        </w:rPr>
        <w:t xml:space="preserve">mall </w:t>
      </w:r>
      <w:r w:rsidR="00B67094">
        <w:rPr>
          <w:szCs w:val="22"/>
        </w:rPr>
        <w:t>w</w:t>
      </w:r>
      <w:r w:rsidRPr="006862CF" w:rsidR="002146E0">
        <w:rPr>
          <w:szCs w:val="22"/>
        </w:rPr>
        <w:t xml:space="preserve">ireless </w:t>
      </w:r>
      <w:r w:rsidR="00B67094">
        <w:rPr>
          <w:szCs w:val="22"/>
        </w:rPr>
        <w:t>f</w:t>
      </w:r>
      <w:r w:rsidRPr="006862CF" w:rsidR="002146E0">
        <w:rPr>
          <w:szCs w:val="22"/>
        </w:rPr>
        <w:t>acility using an existing structure:  90 days</w:t>
      </w:r>
      <w:r>
        <w:rPr>
          <w:szCs w:val="22"/>
        </w:rPr>
        <w:t>.</w:t>
      </w:r>
      <w:r w:rsidRPr="006862CF">
        <w:rPr>
          <w:szCs w:val="22"/>
        </w:rPr>
        <w:t xml:space="preserve"> </w:t>
      </w:r>
    </w:p>
    <w:p w:rsidR="000568D1" w:rsidP="00B40C5F" w14:paraId="42561FB5" w14:textId="1851C1D7">
      <w:pPr>
        <w:pStyle w:val="ParaNum"/>
        <w:numPr>
          <w:ilvl w:val="1"/>
          <w:numId w:val="16"/>
        </w:numPr>
        <w:rPr>
          <w:szCs w:val="22"/>
        </w:rPr>
      </w:pPr>
      <w:r w:rsidRPr="006862CF">
        <w:rPr>
          <w:szCs w:val="22"/>
        </w:rPr>
        <w:t>A</w:t>
      </w:r>
      <w:r w:rsidRPr="006862CF" w:rsidR="002146E0">
        <w:rPr>
          <w:szCs w:val="22"/>
        </w:rPr>
        <w:t xml:space="preserve">pplication to deploy a </w:t>
      </w:r>
      <w:r w:rsidR="00B67094">
        <w:rPr>
          <w:szCs w:val="22"/>
        </w:rPr>
        <w:t>s</w:t>
      </w:r>
      <w:r w:rsidRPr="006862CF" w:rsidR="002146E0">
        <w:rPr>
          <w:szCs w:val="22"/>
        </w:rPr>
        <w:t xml:space="preserve">mall </w:t>
      </w:r>
      <w:r w:rsidR="00B67094">
        <w:rPr>
          <w:szCs w:val="22"/>
        </w:rPr>
        <w:t>w</w:t>
      </w:r>
      <w:r w:rsidRPr="006862CF" w:rsidR="002146E0">
        <w:rPr>
          <w:szCs w:val="22"/>
        </w:rPr>
        <w:t xml:space="preserve">ireless </w:t>
      </w:r>
      <w:r w:rsidR="00B67094">
        <w:rPr>
          <w:szCs w:val="22"/>
        </w:rPr>
        <w:t>f</w:t>
      </w:r>
      <w:r w:rsidRPr="006862CF" w:rsidR="002146E0">
        <w:rPr>
          <w:szCs w:val="22"/>
        </w:rPr>
        <w:t>acility using a new structure:  90 days</w:t>
      </w:r>
      <w:r>
        <w:rPr>
          <w:szCs w:val="22"/>
        </w:rPr>
        <w:t>.</w:t>
      </w:r>
      <w:r w:rsidRPr="006862CF">
        <w:rPr>
          <w:szCs w:val="22"/>
        </w:rPr>
        <w:t xml:space="preserve">  </w:t>
      </w:r>
    </w:p>
    <w:p w:rsidR="000568D1" w:rsidP="00B40C5F" w14:paraId="339BFF55" w14:textId="1C31DE75">
      <w:pPr>
        <w:pStyle w:val="ParaNum"/>
        <w:numPr>
          <w:ilvl w:val="1"/>
          <w:numId w:val="16"/>
        </w:numPr>
        <w:rPr>
          <w:szCs w:val="22"/>
        </w:rPr>
      </w:pPr>
      <w:r w:rsidRPr="006862CF">
        <w:rPr>
          <w:szCs w:val="22"/>
        </w:rPr>
        <w:t>A</w:t>
      </w:r>
      <w:r w:rsidRPr="006862CF" w:rsidR="002146E0">
        <w:rPr>
          <w:szCs w:val="22"/>
        </w:rPr>
        <w:t xml:space="preserve">pplication to deploy a facility other than a </w:t>
      </w:r>
      <w:r w:rsidR="00B67094">
        <w:rPr>
          <w:szCs w:val="22"/>
        </w:rPr>
        <w:t>s</w:t>
      </w:r>
      <w:r w:rsidRPr="006862CF" w:rsidR="002146E0">
        <w:rPr>
          <w:szCs w:val="22"/>
        </w:rPr>
        <w:t xml:space="preserve">mall </w:t>
      </w:r>
      <w:r w:rsidR="00B67094">
        <w:rPr>
          <w:szCs w:val="22"/>
        </w:rPr>
        <w:t>w</w:t>
      </w:r>
      <w:r w:rsidRPr="006862CF" w:rsidR="002146E0">
        <w:rPr>
          <w:szCs w:val="22"/>
        </w:rPr>
        <w:t xml:space="preserve">ireless </w:t>
      </w:r>
      <w:r w:rsidR="00B67094">
        <w:rPr>
          <w:szCs w:val="22"/>
        </w:rPr>
        <w:t>f</w:t>
      </w:r>
      <w:r w:rsidRPr="006862CF" w:rsidR="002146E0">
        <w:rPr>
          <w:szCs w:val="22"/>
        </w:rPr>
        <w:t>acility using a new structure:  150 days.</w:t>
      </w:r>
      <w:r w:rsidRPr="006862CF" w:rsidR="000D6D6D">
        <w:rPr>
          <w:szCs w:val="22"/>
        </w:rPr>
        <w:t xml:space="preserve">  </w:t>
      </w:r>
    </w:p>
    <w:p w:rsidR="002F368C" w:rsidRPr="001D4297" w:rsidP="001D4297" w14:paraId="657D9F6E" w14:textId="7865C707">
      <w:pPr>
        <w:pStyle w:val="ParaNum"/>
        <w:rPr>
          <w:b/>
          <w:i/>
          <w:szCs w:val="22"/>
        </w:rPr>
      </w:pPr>
      <w:r>
        <w:rPr>
          <w:b/>
          <w:i/>
          <w:szCs w:val="22"/>
        </w:rPr>
        <w:t>Batched Applications</w:t>
      </w:r>
      <w:r w:rsidR="003660F1">
        <w:rPr>
          <w:b/>
          <w:i/>
          <w:szCs w:val="22"/>
        </w:rPr>
        <w:t xml:space="preserve"> </w:t>
      </w:r>
      <w:r w:rsidRPr="00B40C5F" w:rsidR="003660F1">
        <w:rPr>
          <w:b/>
          <w:i/>
          <w:szCs w:val="22"/>
        </w:rPr>
        <w:t>(47 CFR §</w:t>
      </w:r>
      <w:r w:rsidR="003660F1">
        <w:rPr>
          <w:b/>
          <w:i/>
          <w:szCs w:val="22"/>
        </w:rPr>
        <w:t xml:space="preserve"> </w:t>
      </w:r>
      <w:r w:rsidRPr="00B40C5F" w:rsidR="003660F1">
        <w:rPr>
          <w:b/>
          <w:i/>
          <w:szCs w:val="22"/>
        </w:rPr>
        <w:t>1.6003</w:t>
      </w:r>
      <w:r w:rsidR="003660F1">
        <w:rPr>
          <w:b/>
          <w:i/>
          <w:szCs w:val="22"/>
        </w:rPr>
        <w:t>(d)</w:t>
      </w:r>
      <w:r w:rsidRPr="00B40C5F" w:rsidR="003660F1">
        <w:rPr>
          <w:b/>
          <w:i/>
          <w:szCs w:val="22"/>
        </w:rPr>
        <w:t xml:space="preserve">)   </w:t>
      </w:r>
    </w:p>
    <w:p w:rsidR="002F368C" w:rsidP="00B40C5F" w14:paraId="6AC627B2" w14:textId="77777777">
      <w:pPr>
        <w:pStyle w:val="ParaNum"/>
        <w:numPr>
          <w:ilvl w:val="0"/>
          <w:numId w:val="16"/>
        </w:numPr>
        <w:rPr>
          <w:szCs w:val="22"/>
        </w:rPr>
      </w:pPr>
      <w:r w:rsidRPr="006862CF">
        <w:rPr>
          <w:szCs w:val="22"/>
        </w:rPr>
        <w:t xml:space="preserve">If an applicant files </w:t>
      </w:r>
      <w:r w:rsidR="006268F4">
        <w:rPr>
          <w:szCs w:val="22"/>
        </w:rPr>
        <w:t xml:space="preserve">either a batched application to collocate small wireless facilities or a batched application to deploy new small wireless facilities, the shot clock that applies to the batch is the same one that would apply had the applicant submitted </w:t>
      </w:r>
      <w:r w:rsidR="00B67094">
        <w:rPr>
          <w:szCs w:val="22"/>
        </w:rPr>
        <w:t xml:space="preserve">an </w:t>
      </w:r>
      <w:r w:rsidR="006268F4">
        <w:rPr>
          <w:szCs w:val="22"/>
        </w:rPr>
        <w:t>individual application</w:t>
      </w:r>
      <w:r w:rsidRPr="006862CF">
        <w:rPr>
          <w:szCs w:val="22"/>
        </w:rPr>
        <w:t xml:space="preserve">. </w:t>
      </w:r>
      <w:r w:rsidR="006268F4">
        <w:rPr>
          <w:szCs w:val="22"/>
        </w:rPr>
        <w:t xml:space="preserve"> </w:t>
      </w:r>
    </w:p>
    <w:p w:rsidR="002F368C" w:rsidP="00B40C5F" w14:paraId="13E04283" w14:textId="7CA6D296">
      <w:pPr>
        <w:pStyle w:val="ParaNum"/>
        <w:numPr>
          <w:ilvl w:val="0"/>
          <w:numId w:val="16"/>
        </w:numPr>
        <w:rPr>
          <w:szCs w:val="22"/>
        </w:rPr>
      </w:pPr>
      <w:r>
        <w:rPr>
          <w:szCs w:val="22"/>
        </w:rPr>
        <w:t xml:space="preserve">If </w:t>
      </w:r>
      <w:r w:rsidR="006268F4">
        <w:rPr>
          <w:szCs w:val="22"/>
        </w:rPr>
        <w:t>an applicant file</w:t>
      </w:r>
      <w:r>
        <w:rPr>
          <w:szCs w:val="22"/>
        </w:rPr>
        <w:t>s</w:t>
      </w:r>
      <w:r w:rsidR="006268F4">
        <w:rPr>
          <w:szCs w:val="22"/>
        </w:rPr>
        <w:t xml:space="preserve"> a batch of applications that includes both collocation and new construction of small wireless facilities, the 90-day shot clock that applies to new construction of small wireless facilities would apply to the entire batch.  </w:t>
      </w:r>
    </w:p>
    <w:p w:rsidR="002146E0" w:rsidRPr="006862CF" w:rsidP="00B40C5F" w14:paraId="51A96E67" w14:textId="57DB51DC">
      <w:pPr>
        <w:pStyle w:val="ParaNum"/>
        <w:numPr>
          <w:ilvl w:val="0"/>
          <w:numId w:val="16"/>
        </w:numPr>
        <w:rPr>
          <w:szCs w:val="22"/>
        </w:rPr>
      </w:pPr>
      <w:r w:rsidRPr="006862CF">
        <w:rPr>
          <w:szCs w:val="22"/>
        </w:rPr>
        <w:t xml:space="preserve">Siting authorities may not refuse to accept batched applications. </w:t>
      </w:r>
    </w:p>
    <w:p w:rsidR="00D61CA9" w:rsidRPr="001D4297" w:rsidP="001D4297" w14:paraId="1DC08562" w14:textId="40C9AD02">
      <w:pPr>
        <w:pStyle w:val="ParaNum"/>
        <w:rPr>
          <w:b/>
          <w:i/>
          <w:szCs w:val="22"/>
        </w:rPr>
      </w:pPr>
      <w:r>
        <w:rPr>
          <w:b/>
          <w:i/>
          <w:szCs w:val="22"/>
        </w:rPr>
        <w:t>Tolling Period</w:t>
      </w:r>
      <w:r w:rsidR="00C66D96">
        <w:rPr>
          <w:b/>
          <w:i/>
          <w:szCs w:val="22"/>
        </w:rPr>
        <w:t xml:space="preserve"> </w:t>
      </w:r>
      <w:r w:rsidRPr="00B40C5F" w:rsidR="00C66D96">
        <w:rPr>
          <w:b/>
          <w:i/>
          <w:szCs w:val="22"/>
        </w:rPr>
        <w:t>(47 CFR §</w:t>
      </w:r>
      <w:r w:rsidR="00C66D96">
        <w:rPr>
          <w:b/>
          <w:i/>
          <w:szCs w:val="22"/>
        </w:rPr>
        <w:t xml:space="preserve"> </w:t>
      </w:r>
      <w:r w:rsidRPr="00B40C5F" w:rsidR="00C66D96">
        <w:rPr>
          <w:b/>
          <w:i/>
          <w:szCs w:val="22"/>
        </w:rPr>
        <w:t>1.6003</w:t>
      </w:r>
      <w:r w:rsidR="00C66D96">
        <w:rPr>
          <w:b/>
          <w:i/>
          <w:szCs w:val="22"/>
        </w:rPr>
        <w:t>(d)</w:t>
      </w:r>
      <w:r w:rsidRPr="00B40C5F" w:rsidR="00C66D96">
        <w:rPr>
          <w:b/>
          <w:i/>
          <w:szCs w:val="22"/>
        </w:rPr>
        <w:t xml:space="preserve">)   </w:t>
      </w:r>
    </w:p>
    <w:p w:rsidR="00591A2B" w:rsidP="00B40C5F" w14:paraId="235D87CF" w14:textId="0D18E553">
      <w:pPr>
        <w:pStyle w:val="ParaNum"/>
        <w:numPr>
          <w:ilvl w:val="0"/>
          <w:numId w:val="16"/>
        </w:numPr>
        <w:rPr>
          <w:szCs w:val="22"/>
        </w:rPr>
      </w:pPr>
      <w:r>
        <w:rPr>
          <w:szCs w:val="22"/>
        </w:rPr>
        <w:t>Absent a written agreement between an applicant and the siting authority specifying an alternative tolling period, the tolling period for an application is as follows:</w:t>
      </w:r>
    </w:p>
    <w:p w:rsidR="00BE388B" w:rsidP="001D4297" w14:paraId="24A961D7" w14:textId="73E321CD">
      <w:pPr>
        <w:pStyle w:val="ParaNum"/>
        <w:numPr>
          <w:ilvl w:val="1"/>
          <w:numId w:val="16"/>
        </w:numPr>
        <w:rPr>
          <w:szCs w:val="22"/>
        </w:rPr>
      </w:pPr>
      <w:r w:rsidRPr="006862CF">
        <w:rPr>
          <w:szCs w:val="22"/>
        </w:rPr>
        <w:t xml:space="preserve">For an initial application to deploy </w:t>
      </w:r>
      <w:r w:rsidR="00D76548">
        <w:rPr>
          <w:szCs w:val="22"/>
        </w:rPr>
        <w:t>s</w:t>
      </w:r>
      <w:r w:rsidRPr="006862CF">
        <w:rPr>
          <w:szCs w:val="22"/>
        </w:rPr>
        <w:t xml:space="preserve">mall </w:t>
      </w:r>
      <w:r w:rsidR="00D76548">
        <w:rPr>
          <w:szCs w:val="22"/>
        </w:rPr>
        <w:t>w</w:t>
      </w:r>
      <w:r w:rsidRPr="006862CF">
        <w:rPr>
          <w:szCs w:val="22"/>
        </w:rPr>
        <w:t xml:space="preserve">ireless </w:t>
      </w:r>
      <w:r w:rsidR="00D76548">
        <w:rPr>
          <w:szCs w:val="22"/>
        </w:rPr>
        <w:t>f</w:t>
      </w:r>
      <w:r w:rsidRPr="006862CF">
        <w:rPr>
          <w:szCs w:val="22"/>
        </w:rPr>
        <w:t>acilities, if the siting authority notifies the applicant on or before the 10th day after submission that the application is materially incomplete, and clearly and specifically identifies the missing documents or information and the specific rule or regulation creating the obligation to submit such documents or information, </w:t>
      </w:r>
      <w:r w:rsidRPr="001D4297">
        <w:rPr>
          <w:b/>
          <w:i/>
          <w:szCs w:val="22"/>
        </w:rPr>
        <w:t xml:space="preserve">the shot clock </w:t>
      </w:r>
      <w:r w:rsidRPr="001D4297" w:rsidR="005A1A8A">
        <w:rPr>
          <w:b/>
          <w:i/>
          <w:szCs w:val="22"/>
        </w:rPr>
        <w:t xml:space="preserve">date calculation </w:t>
      </w:r>
      <w:r w:rsidRPr="001D4297">
        <w:rPr>
          <w:b/>
          <w:i/>
          <w:szCs w:val="22"/>
        </w:rPr>
        <w:t xml:space="preserve">shall restart </w:t>
      </w:r>
      <w:r w:rsidRPr="001D4297" w:rsidR="005A1A8A">
        <w:rPr>
          <w:b/>
          <w:i/>
          <w:szCs w:val="22"/>
        </w:rPr>
        <w:t>at zero</w:t>
      </w:r>
      <w:r w:rsidR="005A1A8A">
        <w:rPr>
          <w:szCs w:val="22"/>
        </w:rPr>
        <w:t xml:space="preserve"> </w:t>
      </w:r>
      <w:r w:rsidRPr="006862CF">
        <w:rPr>
          <w:szCs w:val="22"/>
        </w:rPr>
        <w:t xml:space="preserve">on the date which the applicant submits all the documents and information identified by the siting authority to </w:t>
      </w:r>
      <w:r w:rsidR="000568D1">
        <w:rPr>
          <w:szCs w:val="22"/>
        </w:rPr>
        <w:t>make</w:t>
      </w:r>
      <w:r w:rsidRPr="006862CF" w:rsidR="000568D1">
        <w:rPr>
          <w:szCs w:val="22"/>
        </w:rPr>
        <w:t xml:space="preserve"> </w:t>
      </w:r>
      <w:r w:rsidRPr="006862CF">
        <w:rPr>
          <w:szCs w:val="22"/>
        </w:rPr>
        <w:t>the application complete.</w:t>
      </w:r>
    </w:p>
    <w:p w:rsidR="002146E0" w:rsidRPr="006862CF" w:rsidP="001D4297" w14:paraId="489C8BE3" w14:textId="26E9B436">
      <w:pPr>
        <w:pStyle w:val="ParaNum"/>
        <w:numPr>
          <w:ilvl w:val="1"/>
          <w:numId w:val="16"/>
        </w:numPr>
        <w:rPr>
          <w:szCs w:val="22"/>
        </w:rPr>
      </w:pPr>
      <w:r w:rsidRPr="006862CF">
        <w:rPr>
          <w:szCs w:val="22"/>
        </w:rPr>
        <w:t>For</w:t>
      </w:r>
      <w:r w:rsidRPr="006862CF">
        <w:rPr>
          <w:szCs w:val="22"/>
        </w:rPr>
        <w:t xml:space="preserve"> initial applications</w:t>
      </w:r>
      <w:r w:rsidRPr="006862CF" w:rsidR="002D593C">
        <w:rPr>
          <w:szCs w:val="22"/>
        </w:rPr>
        <w:t xml:space="preserve"> </w:t>
      </w:r>
      <w:r w:rsidR="00D95137">
        <w:rPr>
          <w:szCs w:val="22"/>
        </w:rPr>
        <w:t xml:space="preserve">to deploy facilities </w:t>
      </w:r>
      <w:r w:rsidRPr="006862CF" w:rsidR="002D593C">
        <w:rPr>
          <w:szCs w:val="22"/>
        </w:rPr>
        <w:t>other than small wireless facilities</w:t>
      </w:r>
      <w:r w:rsidRPr="006862CF">
        <w:rPr>
          <w:szCs w:val="22"/>
        </w:rPr>
        <w:t>, </w:t>
      </w:r>
      <w:r w:rsidR="00D95137">
        <w:rPr>
          <w:szCs w:val="22"/>
        </w:rPr>
        <w:t xml:space="preserve">the shot clock is </w:t>
      </w:r>
      <w:r w:rsidR="00586C8F">
        <w:rPr>
          <w:szCs w:val="22"/>
        </w:rPr>
        <w:t>paused</w:t>
      </w:r>
      <w:r w:rsidR="00D95137">
        <w:rPr>
          <w:szCs w:val="22"/>
        </w:rPr>
        <w:t xml:space="preserve"> if </w:t>
      </w:r>
      <w:r w:rsidRPr="006862CF">
        <w:rPr>
          <w:szCs w:val="22"/>
        </w:rPr>
        <w:t>the siting authority notifies the applicant in writing</w:t>
      </w:r>
      <w:r w:rsidR="00D95137">
        <w:rPr>
          <w:szCs w:val="22"/>
        </w:rPr>
        <w:t>, within 30 days of the initial submission,</w:t>
      </w:r>
      <w:r w:rsidRPr="006862CF">
        <w:rPr>
          <w:szCs w:val="22"/>
        </w:rPr>
        <w:t xml:space="preserve"> that the application is materially incomplete and clearly and specifically identifies the missing documents or information that the applicant must submit to render the application complete and the specific rule or regulation creating this obligation, </w:t>
      </w:r>
      <w:r w:rsidR="00D95137">
        <w:rPr>
          <w:szCs w:val="22"/>
        </w:rPr>
        <w:t xml:space="preserve">and </w:t>
      </w:r>
      <w:r w:rsidRPr="001D4297" w:rsidR="00D95137">
        <w:rPr>
          <w:b/>
          <w:i/>
          <w:szCs w:val="22"/>
        </w:rPr>
        <w:t>the shot clock resumes</w:t>
      </w:r>
      <w:r w:rsidRPr="001D4297" w:rsidR="00F070AF">
        <w:rPr>
          <w:b/>
          <w:i/>
          <w:szCs w:val="22"/>
        </w:rPr>
        <w:t xml:space="preserve"> (the date calculation does not restart) </w:t>
      </w:r>
      <w:r w:rsidRPr="001D4297" w:rsidR="00586C8F">
        <w:rPr>
          <w:b/>
          <w:i/>
          <w:szCs w:val="22"/>
        </w:rPr>
        <w:t>to run</w:t>
      </w:r>
      <w:r w:rsidR="00586C8F">
        <w:rPr>
          <w:szCs w:val="22"/>
        </w:rPr>
        <w:t xml:space="preserve"> </w:t>
      </w:r>
      <w:r w:rsidR="00D95137">
        <w:rPr>
          <w:szCs w:val="22"/>
        </w:rPr>
        <w:t>on</w:t>
      </w:r>
      <w:r w:rsidRPr="006862CF">
        <w:rPr>
          <w:szCs w:val="22"/>
        </w:rPr>
        <w:t xml:space="preserve"> </w:t>
      </w:r>
      <w:r w:rsidRPr="006862CF" w:rsidR="002D593C">
        <w:rPr>
          <w:szCs w:val="22"/>
        </w:rPr>
        <w:t>th</w:t>
      </w:r>
      <w:r w:rsidRPr="006862CF">
        <w:rPr>
          <w:szCs w:val="22"/>
        </w:rPr>
        <w:t>e date when the applicant submits all the documents and information identified by the siting authority to render the application complete</w:t>
      </w:r>
      <w:r w:rsidRPr="006862CF" w:rsidR="002D593C">
        <w:rPr>
          <w:szCs w:val="22"/>
        </w:rPr>
        <w:t xml:space="preserve">. </w:t>
      </w:r>
    </w:p>
    <w:p w:rsidR="00DD4232" w:rsidP="001D4297" w14:paraId="061E0EE1" w14:textId="62972EBB">
      <w:pPr>
        <w:pStyle w:val="ParaNum"/>
        <w:numPr>
          <w:ilvl w:val="1"/>
          <w:numId w:val="16"/>
        </w:numPr>
        <w:rPr>
          <w:szCs w:val="22"/>
        </w:rPr>
      </w:pPr>
      <w:r w:rsidRPr="006862CF">
        <w:rPr>
          <w:szCs w:val="22"/>
        </w:rPr>
        <w:t>If</w:t>
      </w:r>
      <w:r>
        <w:rPr>
          <w:szCs w:val="22"/>
        </w:rPr>
        <w:t xml:space="preserve"> an applicant’s supplemental submission fails to </w:t>
      </w:r>
      <w:r w:rsidR="00E31DAA">
        <w:rPr>
          <w:szCs w:val="22"/>
        </w:rPr>
        <w:t>make</w:t>
      </w:r>
      <w:r w:rsidRPr="006862CF">
        <w:rPr>
          <w:szCs w:val="22"/>
        </w:rPr>
        <w:t xml:space="preserve"> the application complete</w:t>
      </w:r>
      <w:r>
        <w:rPr>
          <w:szCs w:val="22"/>
        </w:rPr>
        <w:t xml:space="preserve">, and the siting authority notifies the applicant of this determination within 10 days of the supplemental submission </w:t>
      </w:r>
      <w:r w:rsidRPr="006862CF">
        <w:rPr>
          <w:szCs w:val="22"/>
        </w:rPr>
        <w:t>and clearly and specifically identifies the missing documents or information</w:t>
      </w:r>
      <w:r w:rsidRPr="006862CF" w:rsidR="002146E0">
        <w:rPr>
          <w:szCs w:val="22"/>
        </w:rPr>
        <w:t>, the</w:t>
      </w:r>
      <w:r>
        <w:rPr>
          <w:szCs w:val="22"/>
        </w:rPr>
        <w:t xml:space="preserve"> applicable shot clock</w:t>
      </w:r>
      <w:r w:rsidRPr="006862CF" w:rsidR="002146E0">
        <w:rPr>
          <w:szCs w:val="22"/>
        </w:rPr>
        <w:t xml:space="preserve"> </w:t>
      </w:r>
      <w:r>
        <w:rPr>
          <w:szCs w:val="22"/>
        </w:rPr>
        <w:t>would be paused</w:t>
      </w:r>
      <w:r w:rsidRPr="006862CF" w:rsidR="002146E0">
        <w:rPr>
          <w:szCs w:val="22"/>
        </w:rPr>
        <w:t xml:space="preserve"> </w:t>
      </w:r>
      <w:r w:rsidR="00A34D69">
        <w:rPr>
          <w:szCs w:val="22"/>
        </w:rPr>
        <w:t xml:space="preserve">until the applicant </w:t>
      </w:r>
      <w:r w:rsidR="00E31DAA">
        <w:rPr>
          <w:szCs w:val="22"/>
        </w:rPr>
        <w:t>provides</w:t>
      </w:r>
      <w:r w:rsidR="00A34D69">
        <w:rPr>
          <w:szCs w:val="22"/>
        </w:rPr>
        <w:t xml:space="preserve"> the missing documents or information</w:t>
      </w:r>
      <w:r w:rsidR="00E31DAA">
        <w:rPr>
          <w:szCs w:val="22"/>
        </w:rPr>
        <w:t>.</w:t>
      </w:r>
      <w:r w:rsidR="00553327">
        <w:rPr>
          <w:szCs w:val="22"/>
        </w:rPr>
        <w:t xml:space="preserve">  </w:t>
      </w:r>
      <w:r w:rsidR="00553327">
        <w:rPr>
          <w:b/>
          <w:i/>
          <w:szCs w:val="22"/>
        </w:rPr>
        <w:t>T</w:t>
      </w:r>
      <w:r w:rsidRPr="001E3786" w:rsidR="00553327">
        <w:rPr>
          <w:b/>
          <w:i/>
          <w:szCs w:val="22"/>
        </w:rPr>
        <w:t>he shot clock resumes (the date calculation does not restart) to run</w:t>
      </w:r>
      <w:r w:rsidR="00553327">
        <w:rPr>
          <w:szCs w:val="22"/>
        </w:rPr>
        <w:t xml:space="preserve"> on</w:t>
      </w:r>
      <w:r w:rsidRPr="006862CF" w:rsidR="00553327">
        <w:rPr>
          <w:szCs w:val="22"/>
        </w:rPr>
        <w:t xml:space="preserve"> the date when the applicant submits all the documents and information identified by the siting authority to render the application complete</w:t>
      </w:r>
      <w:r w:rsidR="0094554C">
        <w:rPr>
          <w:szCs w:val="22"/>
        </w:rPr>
        <w:t>.</w:t>
      </w:r>
    </w:p>
    <w:p w:rsidR="00C66D96" w:rsidRPr="001D4297" w:rsidP="001D4297" w14:paraId="5CE8A2F5" w14:textId="3593C713">
      <w:pPr>
        <w:pStyle w:val="ParaNum"/>
        <w:rPr>
          <w:b/>
          <w:i/>
          <w:szCs w:val="22"/>
        </w:rPr>
      </w:pPr>
      <w:r w:rsidRPr="001D4297">
        <w:rPr>
          <w:b/>
          <w:i/>
          <w:szCs w:val="22"/>
        </w:rPr>
        <w:t>Shot Clock Date</w:t>
      </w:r>
      <w:r>
        <w:rPr>
          <w:b/>
          <w:i/>
          <w:szCs w:val="22"/>
        </w:rPr>
        <w:t xml:space="preserve"> </w:t>
      </w:r>
      <w:r w:rsidRPr="00B40C5F">
        <w:rPr>
          <w:b/>
          <w:i/>
          <w:szCs w:val="22"/>
        </w:rPr>
        <w:t>(47 CFR §</w:t>
      </w:r>
      <w:r>
        <w:rPr>
          <w:b/>
          <w:i/>
          <w:szCs w:val="22"/>
        </w:rPr>
        <w:t xml:space="preserve"> </w:t>
      </w:r>
      <w:r w:rsidRPr="00B40C5F">
        <w:rPr>
          <w:b/>
          <w:i/>
          <w:szCs w:val="22"/>
        </w:rPr>
        <w:t>1.6003</w:t>
      </w:r>
      <w:r>
        <w:rPr>
          <w:b/>
          <w:i/>
          <w:szCs w:val="22"/>
        </w:rPr>
        <w:t>(e)</w:t>
      </w:r>
      <w:r w:rsidRPr="00B40C5F">
        <w:rPr>
          <w:b/>
          <w:i/>
          <w:szCs w:val="22"/>
        </w:rPr>
        <w:t xml:space="preserve">)   </w:t>
      </w:r>
    </w:p>
    <w:p w:rsidR="002146E0" w:rsidRPr="006862CF" w:rsidP="00B40C5F" w14:paraId="04C3C15B" w14:textId="10C7BA57">
      <w:pPr>
        <w:pStyle w:val="ParaNum"/>
        <w:numPr>
          <w:ilvl w:val="0"/>
          <w:numId w:val="16"/>
        </w:numPr>
        <w:rPr>
          <w:szCs w:val="22"/>
        </w:rPr>
      </w:pPr>
      <w:r w:rsidRPr="006862CF">
        <w:rPr>
          <w:szCs w:val="22"/>
        </w:rPr>
        <w:t>The shot clock date</w:t>
      </w:r>
      <w:r w:rsidRPr="006862CF" w:rsidR="006862CF">
        <w:rPr>
          <w:szCs w:val="22"/>
        </w:rPr>
        <w:t>s</w:t>
      </w:r>
      <w:r w:rsidR="00A34D69">
        <w:rPr>
          <w:szCs w:val="22"/>
        </w:rPr>
        <w:t xml:space="preserve"> (i.e., the dates by which the siting authority must act on an application)</w:t>
      </w:r>
      <w:r w:rsidRPr="006862CF">
        <w:rPr>
          <w:szCs w:val="22"/>
        </w:rPr>
        <w:t xml:space="preserve"> </w:t>
      </w:r>
      <w:r w:rsidRPr="006862CF" w:rsidR="006862CF">
        <w:rPr>
          <w:szCs w:val="22"/>
        </w:rPr>
        <w:t>are</w:t>
      </w:r>
      <w:r w:rsidRPr="006862CF">
        <w:rPr>
          <w:szCs w:val="22"/>
        </w:rPr>
        <w:t xml:space="preserve"> determined by counting forward, </w:t>
      </w:r>
      <w:r w:rsidRPr="006862CF" w:rsidR="006862CF">
        <w:rPr>
          <w:szCs w:val="22"/>
        </w:rPr>
        <w:t xml:space="preserve">by </w:t>
      </w:r>
      <w:r w:rsidRPr="006862CF">
        <w:rPr>
          <w:szCs w:val="22"/>
        </w:rPr>
        <w:t>calendar days</w:t>
      </w:r>
      <w:r w:rsidRPr="006862CF" w:rsidR="00D961E3">
        <w:rPr>
          <w:szCs w:val="22"/>
        </w:rPr>
        <w:t>,</w:t>
      </w:r>
      <w:r w:rsidRPr="006862CF">
        <w:rPr>
          <w:szCs w:val="22"/>
        </w:rPr>
        <w:t xml:space="preserve"> including any pre-application period</w:t>
      </w:r>
      <w:r w:rsidR="00A34D69">
        <w:rPr>
          <w:szCs w:val="22"/>
        </w:rPr>
        <w:t xml:space="preserve"> asserted by the siting authority</w:t>
      </w:r>
      <w:r w:rsidRPr="006862CF" w:rsidR="00D961E3">
        <w:rPr>
          <w:szCs w:val="22"/>
        </w:rPr>
        <w:t xml:space="preserve">.  </w:t>
      </w:r>
      <w:r w:rsidRPr="006862CF" w:rsidR="006862CF">
        <w:rPr>
          <w:szCs w:val="22"/>
        </w:rPr>
        <w:t>I</w:t>
      </w:r>
      <w:r w:rsidRPr="006862CF">
        <w:rPr>
          <w:szCs w:val="22"/>
        </w:rPr>
        <w:t xml:space="preserve">f the </w:t>
      </w:r>
      <w:r w:rsidR="00E31DAA">
        <w:rPr>
          <w:szCs w:val="22"/>
        </w:rPr>
        <w:t>shot clock d</w:t>
      </w:r>
      <w:r w:rsidR="00B40C5F">
        <w:rPr>
          <w:szCs w:val="22"/>
        </w:rPr>
        <w:t>ate</w:t>
      </w:r>
      <w:r w:rsidR="00E31DAA">
        <w:rPr>
          <w:szCs w:val="22"/>
        </w:rPr>
        <w:t xml:space="preserve"> falls on</w:t>
      </w:r>
      <w:r w:rsidRPr="006862CF">
        <w:rPr>
          <w:szCs w:val="22"/>
        </w:rPr>
        <w:t xml:space="preserve"> a “holiday”</w:t>
      </w:r>
      <w:r w:rsidR="00586C8F">
        <w:rPr>
          <w:szCs w:val="22"/>
        </w:rPr>
        <w:t xml:space="preserve"> under FCC rules or</w:t>
      </w:r>
      <w:r w:rsidRPr="006862CF">
        <w:rPr>
          <w:szCs w:val="22"/>
        </w:rPr>
        <w:t xml:space="preserve"> within the relevant State or local jurisdiction, the shot clock </w:t>
      </w:r>
      <w:r w:rsidR="00B40C5F">
        <w:rPr>
          <w:szCs w:val="22"/>
        </w:rPr>
        <w:t>date</w:t>
      </w:r>
      <w:r w:rsidRPr="006862CF">
        <w:rPr>
          <w:szCs w:val="22"/>
        </w:rPr>
        <w:t xml:space="preserve"> is the next business day</w:t>
      </w:r>
      <w:r w:rsidRPr="006862CF" w:rsidR="006862CF">
        <w:rPr>
          <w:szCs w:val="22"/>
        </w:rPr>
        <w:t>.</w:t>
      </w:r>
    </w:p>
    <w:p w:rsidR="009055DE" w:rsidP="001A2016" w14:paraId="301AEFB8" w14:textId="48715E1D">
      <w:pPr>
        <w:pStyle w:val="ParaNum"/>
        <w:rPr>
          <w:b/>
          <w:i/>
        </w:rPr>
      </w:pPr>
      <w:r>
        <w:rPr>
          <w:b/>
          <w:i/>
        </w:rPr>
        <w:t>A</w:t>
      </w:r>
      <w:r w:rsidR="00C74305">
        <w:rPr>
          <w:b/>
          <w:i/>
        </w:rPr>
        <w:t>n A</w:t>
      </w:r>
      <w:r>
        <w:rPr>
          <w:b/>
          <w:i/>
        </w:rPr>
        <w:t xml:space="preserve">dditional </w:t>
      </w:r>
      <w:r w:rsidRPr="001D4297" w:rsidR="003C5E97">
        <w:rPr>
          <w:b/>
          <w:i/>
        </w:rPr>
        <w:t>Remed</w:t>
      </w:r>
      <w:r w:rsidRPr="001D4297">
        <w:rPr>
          <w:b/>
          <w:i/>
        </w:rPr>
        <w:t>y</w:t>
      </w:r>
      <w:r w:rsidRPr="001D4297" w:rsidR="003C5E97">
        <w:rPr>
          <w:b/>
          <w:i/>
        </w:rPr>
        <w:t xml:space="preserve"> </w:t>
      </w:r>
      <w:r w:rsidRPr="001D4297" w:rsidR="00E34028">
        <w:rPr>
          <w:b/>
          <w:i/>
        </w:rPr>
        <w:t>for a Siting Authority’s Failure to Act</w:t>
      </w:r>
    </w:p>
    <w:p w:rsidR="00C74305" w:rsidRPr="001D4297" w:rsidP="001D4297" w14:paraId="2C9EC4CB" w14:textId="5070FABE">
      <w:pPr>
        <w:pStyle w:val="ParaNum"/>
        <w:numPr>
          <w:ilvl w:val="0"/>
          <w:numId w:val="16"/>
        </w:numPr>
      </w:pPr>
      <w:r w:rsidRPr="001D4297">
        <w:t>The failure of a state or local government to issue a decision on a Small Wireless Facility siting application within the presumptively reasonable time periods above will constitute a “failure to act” within the meaning of Section 332(c)(7)(B)</w:t>
      </w:r>
      <w:r>
        <w:t>.</w:t>
      </w:r>
    </w:p>
    <w:p w:rsidR="00C74305" w:rsidRPr="001D4297" w:rsidP="001D4297" w14:paraId="47340AAE" w14:textId="4F27F7C9">
      <w:pPr>
        <w:pStyle w:val="ParaNum"/>
        <w:numPr>
          <w:ilvl w:val="0"/>
          <w:numId w:val="16"/>
        </w:numPr>
      </w:pPr>
      <w:r w:rsidRPr="001D4297">
        <w:t xml:space="preserve">The remedies granted under Section 332(c)(7)(B)(v) are independent of, and in addition to, any remedies that may be available under state or local law.  </w:t>
      </w:r>
      <w:r>
        <w:t>A</w:t>
      </w:r>
      <w:r w:rsidRPr="001D4297">
        <w:t xml:space="preserve">n applicant must wait until the Commission shot clock period has expired to </w:t>
      </w:r>
      <w:r w:rsidRPr="001D4297">
        <w:t>bring suit</w:t>
      </w:r>
      <w:r w:rsidRPr="001D4297">
        <w:t xml:space="preserve"> for a “failure to act” under Section 332(c)(7)(B)(v).</w:t>
      </w:r>
    </w:p>
    <w:p w:rsidR="00E34028" w:rsidRPr="00C74305" w:rsidP="001D4297" w14:paraId="6B70FB76" w14:textId="1129B9FD">
      <w:pPr>
        <w:pStyle w:val="ParaNum"/>
        <w:numPr>
          <w:ilvl w:val="0"/>
          <w:numId w:val="16"/>
        </w:numPr>
        <w:rPr>
          <w:b/>
        </w:rPr>
      </w:pPr>
      <w:r w:rsidRPr="001D4297">
        <w:t>Where a state or locality has established its own shot clocks, an applicant may pursue any remedies granted under state or local law in cases where the siting authority fails to act within those shot clocks.</w:t>
      </w:r>
      <w:r w:rsidRPr="00C74305" w:rsidR="008E1B5C">
        <w:rPr>
          <w:b/>
        </w:rPr>
        <w:t xml:space="preserve"> </w:t>
      </w:r>
    </w:p>
    <w:p w:rsidR="00DE567B" w:rsidRPr="00511023" w:rsidP="001A2016" w14:paraId="1759BBF7" w14:textId="68A6AF53">
      <w:pPr>
        <w:pStyle w:val="ParaNum"/>
        <w:rPr>
          <w:b/>
        </w:rPr>
      </w:pPr>
      <w:r w:rsidRPr="00511023">
        <w:rPr>
          <w:b/>
        </w:rPr>
        <w:t>I</w:t>
      </w:r>
      <w:r w:rsidR="00BA1697">
        <w:rPr>
          <w:b/>
        </w:rPr>
        <w:t>II.</w:t>
      </w:r>
      <w:r w:rsidR="00286EA8">
        <w:rPr>
          <w:b/>
        </w:rPr>
        <w:tab/>
      </w:r>
      <w:r w:rsidRPr="00511023">
        <w:rPr>
          <w:b/>
        </w:rPr>
        <w:t xml:space="preserve">RECORDKEEPING </w:t>
      </w:r>
      <w:r w:rsidR="00292357">
        <w:rPr>
          <w:b/>
        </w:rPr>
        <w:t xml:space="preserve">AND REPORTING </w:t>
      </w:r>
      <w:r w:rsidRPr="00511023">
        <w:rPr>
          <w:b/>
        </w:rPr>
        <w:t>REQUIREMENTS</w:t>
      </w:r>
    </w:p>
    <w:p w:rsidR="001961AA" w:rsidP="001D4297" w14:paraId="1ED3D0C5" w14:textId="6EB34EDC">
      <w:pPr>
        <w:pStyle w:val="ParaNum"/>
        <w:ind w:left="720" w:firstLine="720"/>
        <w:rPr>
          <w:szCs w:val="22"/>
        </w:rPr>
      </w:pPr>
      <w:r w:rsidRPr="006862CF">
        <w:rPr>
          <w:szCs w:val="22"/>
        </w:rPr>
        <w:t>The Commission’s actions in the</w:t>
      </w:r>
      <w:r w:rsidR="00CF2FBC">
        <w:rPr>
          <w:szCs w:val="22"/>
        </w:rPr>
        <w:t xml:space="preserve"> </w:t>
      </w:r>
      <w:r w:rsidRPr="00CF2FBC" w:rsidR="00CF2FBC">
        <w:rPr>
          <w:i/>
          <w:szCs w:val="22"/>
        </w:rPr>
        <w:t>Third</w:t>
      </w:r>
      <w:r w:rsidRPr="00CF2FBC">
        <w:rPr>
          <w:i/>
          <w:szCs w:val="22"/>
        </w:rPr>
        <w:t xml:space="preserve"> Report and Order</w:t>
      </w:r>
      <w:r w:rsidRPr="006862CF">
        <w:rPr>
          <w:szCs w:val="22"/>
        </w:rPr>
        <w:t xml:space="preserve"> </w:t>
      </w:r>
      <w:r w:rsidRPr="006862CF" w:rsidR="000D790A">
        <w:rPr>
          <w:szCs w:val="22"/>
        </w:rPr>
        <w:t>did</w:t>
      </w:r>
      <w:r w:rsidRPr="006862CF">
        <w:rPr>
          <w:szCs w:val="22"/>
        </w:rPr>
        <w:t xml:space="preserve"> not create any new recordkeeping </w:t>
      </w:r>
      <w:r w:rsidRPr="006862CF" w:rsidR="00013982">
        <w:rPr>
          <w:szCs w:val="22"/>
        </w:rPr>
        <w:t xml:space="preserve">or reporting </w:t>
      </w:r>
      <w:r w:rsidRPr="006862CF">
        <w:rPr>
          <w:szCs w:val="22"/>
        </w:rPr>
        <w:t>requirements.</w:t>
      </w:r>
    </w:p>
    <w:p w:rsidR="000D15CD" w:rsidP="00CF2FBC" w14:paraId="734AD0FF" w14:textId="77777777">
      <w:pPr>
        <w:pStyle w:val="ParaNum"/>
        <w:rPr>
          <w:szCs w:val="22"/>
        </w:rPr>
      </w:pPr>
    </w:p>
    <w:p w:rsidR="00066CB4" w:rsidRPr="00511023" w:rsidP="001D4297" w14:paraId="2F69183C" w14:textId="7612FBF9">
      <w:pPr>
        <w:tabs>
          <w:tab w:val="left" w:pos="720"/>
        </w:tabs>
        <w:spacing w:after="120"/>
        <w:rPr>
          <w:rFonts w:ascii="Times New Roman" w:hAnsi="Times New Roman" w:cs="Times New Roman"/>
          <w:b/>
        </w:rPr>
      </w:pPr>
      <w:r>
        <w:rPr>
          <w:rFonts w:ascii="Times New Roman" w:hAnsi="Times New Roman" w:cs="Times New Roman"/>
          <w:b/>
        </w:rPr>
        <w:t>I</w:t>
      </w:r>
      <w:r w:rsidRPr="00511023">
        <w:rPr>
          <w:rFonts w:ascii="Times New Roman" w:hAnsi="Times New Roman" w:cs="Times New Roman"/>
          <w:b/>
        </w:rPr>
        <w:t xml:space="preserve">V. </w:t>
      </w:r>
      <w:r w:rsidR="00286EA8">
        <w:rPr>
          <w:rFonts w:ascii="Times New Roman" w:hAnsi="Times New Roman" w:cs="Times New Roman"/>
          <w:b/>
        </w:rPr>
        <w:tab/>
      </w:r>
      <w:r w:rsidRPr="00511023">
        <w:rPr>
          <w:rFonts w:ascii="Times New Roman" w:hAnsi="Times New Roman" w:cs="Times New Roman"/>
          <w:b/>
        </w:rPr>
        <w:t>IMPLEMENTATION</w:t>
      </w:r>
      <w:r w:rsidR="00716724">
        <w:rPr>
          <w:rFonts w:ascii="Times New Roman" w:hAnsi="Times New Roman" w:cs="Times New Roman"/>
          <w:b/>
        </w:rPr>
        <w:t xml:space="preserve"> DATE</w:t>
      </w:r>
    </w:p>
    <w:p w:rsidR="000D15CD" w:rsidP="001D4297" w14:paraId="05F6D06E" w14:textId="49D0A082">
      <w:pPr>
        <w:pStyle w:val="ParaNum"/>
        <w:spacing w:after="160"/>
        <w:ind w:firstLine="720"/>
        <w:rPr>
          <w:b/>
        </w:rPr>
      </w:pPr>
      <w:r w:rsidRPr="006862CF">
        <w:rPr>
          <w:szCs w:val="22"/>
        </w:rPr>
        <w:t>T</w:t>
      </w:r>
      <w:r w:rsidRPr="006862CF" w:rsidR="00491F77">
        <w:rPr>
          <w:szCs w:val="22"/>
        </w:rPr>
        <w:t xml:space="preserve">he rules in the </w:t>
      </w:r>
      <w:r w:rsidRPr="00D478B9" w:rsidR="006A1C3E">
        <w:rPr>
          <w:i/>
          <w:szCs w:val="22"/>
        </w:rPr>
        <w:t>Third</w:t>
      </w:r>
      <w:r w:rsidRPr="00D478B9" w:rsidR="00DA0F2B">
        <w:rPr>
          <w:i/>
          <w:szCs w:val="22"/>
        </w:rPr>
        <w:t xml:space="preserve"> </w:t>
      </w:r>
      <w:r w:rsidRPr="00D478B9" w:rsidR="00491F77">
        <w:rPr>
          <w:i/>
          <w:szCs w:val="22"/>
        </w:rPr>
        <w:t>Report and Order</w:t>
      </w:r>
      <w:r w:rsidRPr="006862CF" w:rsidR="00491F77">
        <w:rPr>
          <w:szCs w:val="22"/>
        </w:rPr>
        <w:t xml:space="preserve"> </w:t>
      </w:r>
      <w:r w:rsidRPr="006862CF" w:rsidR="003172C5">
        <w:rPr>
          <w:szCs w:val="22"/>
        </w:rPr>
        <w:t>became</w:t>
      </w:r>
      <w:r w:rsidRPr="006862CF" w:rsidR="00491F77">
        <w:rPr>
          <w:szCs w:val="22"/>
        </w:rPr>
        <w:t xml:space="preserve"> effective</w:t>
      </w:r>
      <w:r w:rsidRPr="006862CF" w:rsidR="00E63B9E">
        <w:rPr>
          <w:szCs w:val="22"/>
        </w:rPr>
        <w:t xml:space="preserve"> </w:t>
      </w:r>
      <w:r w:rsidR="00E31DAA">
        <w:rPr>
          <w:szCs w:val="22"/>
        </w:rPr>
        <w:t xml:space="preserve">on </w:t>
      </w:r>
      <w:r w:rsidRPr="006862CF" w:rsidR="008D1637">
        <w:rPr>
          <w:szCs w:val="22"/>
        </w:rPr>
        <w:t xml:space="preserve">January </w:t>
      </w:r>
      <w:r w:rsidRPr="006862CF" w:rsidR="006A1C3E">
        <w:rPr>
          <w:szCs w:val="22"/>
        </w:rPr>
        <w:t>14</w:t>
      </w:r>
      <w:r w:rsidRPr="006862CF" w:rsidR="00E63B9E">
        <w:rPr>
          <w:szCs w:val="22"/>
        </w:rPr>
        <w:t>, 201</w:t>
      </w:r>
      <w:r w:rsidRPr="006862CF" w:rsidR="006A1C3E">
        <w:rPr>
          <w:szCs w:val="22"/>
        </w:rPr>
        <w:t>9</w:t>
      </w:r>
      <w:r w:rsidRPr="006862CF" w:rsidR="00E63B9E">
        <w:rPr>
          <w:szCs w:val="22"/>
        </w:rPr>
        <w:t>,</w:t>
      </w:r>
      <w:r w:rsidRPr="006862CF" w:rsidR="00491F77">
        <w:rPr>
          <w:szCs w:val="22"/>
        </w:rPr>
        <w:t xml:space="preserve"> </w:t>
      </w:r>
      <w:r w:rsidRPr="006862CF" w:rsidR="006A1C3E">
        <w:rPr>
          <w:szCs w:val="22"/>
        </w:rPr>
        <w:t>9</w:t>
      </w:r>
      <w:r w:rsidRPr="006862CF" w:rsidR="003172C5">
        <w:rPr>
          <w:szCs w:val="22"/>
        </w:rPr>
        <w:t>0</w:t>
      </w:r>
      <w:r w:rsidRPr="006862CF" w:rsidR="001338B0">
        <w:rPr>
          <w:szCs w:val="22"/>
        </w:rPr>
        <w:t xml:space="preserve"> </w:t>
      </w:r>
      <w:r w:rsidRPr="006862CF" w:rsidR="00491F77">
        <w:rPr>
          <w:szCs w:val="22"/>
        </w:rPr>
        <w:t xml:space="preserve">days after publication </w:t>
      </w:r>
      <w:r w:rsidRPr="006862CF" w:rsidR="001338B0">
        <w:rPr>
          <w:szCs w:val="22"/>
        </w:rPr>
        <w:t>in the Federal Register</w:t>
      </w:r>
      <w:r w:rsidRPr="006862CF" w:rsidR="00E63B9E">
        <w:rPr>
          <w:szCs w:val="22"/>
        </w:rPr>
        <w:t xml:space="preserve"> of a </w:t>
      </w:r>
      <w:r w:rsidRPr="006862CF" w:rsidR="00DA0F2B">
        <w:rPr>
          <w:szCs w:val="22"/>
        </w:rPr>
        <w:t xml:space="preserve">summary of the </w:t>
      </w:r>
      <w:r w:rsidRPr="00D478B9" w:rsidR="006A1C3E">
        <w:rPr>
          <w:i/>
          <w:szCs w:val="22"/>
        </w:rPr>
        <w:t>Third Report and Order</w:t>
      </w:r>
      <w:r w:rsidRPr="006862CF" w:rsidR="006A1C3E">
        <w:rPr>
          <w:szCs w:val="22"/>
        </w:rPr>
        <w:t xml:space="preserve"> </w:t>
      </w:r>
      <w:r w:rsidRPr="006862CF" w:rsidR="0092655D">
        <w:rPr>
          <w:szCs w:val="22"/>
        </w:rPr>
        <w:t>(which contained the full text of the rules)</w:t>
      </w:r>
      <w:r w:rsidRPr="006862CF" w:rsidR="001338B0">
        <w:rPr>
          <w:szCs w:val="22"/>
        </w:rPr>
        <w:t>.</w:t>
      </w:r>
    </w:p>
    <w:p w:rsidR="00C5062A" w:rsidRPr="00511023" w:rsidP="001D4297" w14:paraId="79679D59" w14:textId="1840B89B">
      <w:pPr>
        <w:tabs>
          <w:tab w:val="left" w:pos="720"/>
        </w:tabs>
        <w:spacing w:after="120"/>
        <w:rPr>
          <w:rFonts w:ascii="Times New Roman" w:hAnsi="Times New Roman" w:cs="Times New Roman"/>
          <w:b/>
        </w:rPr>
      </w:pPr>
      <w:r>
        <w:rPr>
          <w:rFonts w:ascii="Times New Roman" w:hAnsi="Times New Roman" w:cs="Times New Roman"/>
          <w:b/>
        </w:rPr>
        <w:t>V.</w:t>
      </w:r>
      <w:r>
        <w:rPr>
          <w:rFonts w:ascii="Times New Roman" w:hAnsi="Times New Roman" w:cs="Times New Roman"/>
          <w:b/>
        </w:rPr>
        <w:tab/>
      </w:r>
      <w:r w:rsidRPr="00511023">
        <w:rPr>
          <w:rFonts w:ascii="Times New Roman" w:hAnsi="Times New Roman" w:cs="Times New Roman"/>
          <w:b/>
        </w:rPr>
        <w:t>INTERNET LINKS</w:t>
      </w:r>
    </w:p>
    <w:p w:rsidR="00334EB4" w:rsidP="001D4297" w14:paraId="36BD504D" w14:textId="63AA7CDB">
      <w:pPr>
        <w:pStyle w:val="ParaNum"/>
        <w:ind w:firstLine="720"/>
        <w:rPr>
          <w:szCs w:val="22"/>
        </w:rPr>
      </w:pPr>
      <w:r w:rsidRPr="006862CF">
        <w:rPr>
          <w:szCs w:val="22"/>
        </w:rPr>
        <w:t xml:space="preserve">A copy of the </w:t>
      </w:r>
      <w:r w:rsidRPr="00B40C5F" w:rsidR="006A1C3E">
        <w:rPr>
          <w:i/>
          <w:szCs w:val="22"/>
        </w:rPr>
        <w:t>Third Report and Order</w:t>
      </w:r>
      <w:r w:rsidRPr="006862CF" w:rsidR="006A1C3E">
        <w:rPr>
          <w:szCs w:val="22"/>
        </w:rPr>
        <w:t xml:space="preserve"> </w:t>
      </w:r>
      <w:r w:rsidRPr="006862CF">
        <w:rPr>
          <w:szCs w:val="22"/>
        </w:rPr>
        <w:t>is available at:</w:t>
      </w:r>
      <w:r w:rsidRPr="006862CF">
        <w:rPr>
          <w:szCs w:val="22"/>
        </w:rPr>
        <w:t xml:space="preserve"> </w:t>
      </w:r>
      <w:hyperlink r:id="rId7" w:history="1">
        <w:r w:rsidRPr="00831724" w:rsidR="00D478B9">
          <w:rPr>
            <w:rStyle w:val="Hyperlink"/>
            <w:szCs w:val="22"/>
          </w:rPr>
          <w:t>https://docs.fcc.gov/public/attachments/FCC-18-133A1_Rcd.pdf</w:t>
        </w:r>
      </w:hyperlink>
    </w:p>
    <w:p w:rsidR="002F55DA" w:rsidP="001D4297" w14:paraId="68D2444D" w14:textId="686208D9">
      <w:pPr>
        <w:pStyle w:val="ParaNum"/>
        <w:ind w:firstLine="720"/>
        <w:rPr>
          <w:szCs w:val="22"/>
        </w:rPr>
      </w:pPr>
      <w:r w:rsidRPr="006862CF">
        <w:rPr>
          <w:szCs w:val="22"/>
        </w:rPr>
        <w:t xml:space="preserve">A copy of the Federal Register Summary of the </w:t>
      </w:r>
      <w:r w:rsidRPr="00B40C5F" w:rsidR="00B40C5F">
        <w:rPr>
          <w:i/>
          <w:szCs w:val="22"/>
        </w:rPr>
        <w:t>Third Report and Order</w:t>
      </w:r>
      <w:r w:rsidRPr="006862CF">
        <w:rPr>
          <w:szCs w:val="22"/>
        </w:rPr>
        <w:t xml:space="preserve"> is available at:</w:t>
      </w:r>
      <w:r w:rsidRPr="006862CF" w:rsidR="003D2DC7">
        <w:rPr>
          <w:szCs w:val="22"/>
        </w:rPr>
        <w:t xml:space="preserve"> </w:t>
      </w:r>
    </w:p>
    <w:p w:rsidR="00D478B9" w:rsidRPr="006862CF" w:rsidP="00D478B9" w14:paraId="627F78C7" w14:textId="2026CD26">
      <w:pPr>
        <w:pStyle w:val="ParaNum"/>
        <w:rPr>
          <w:szCs w:val="22"/>
        </w:rPr>
      </w:pPr>
      <w:hyperlink r:id="rId8" w:history="1">
        <w:r w:rsidRPr="009521E8" w:rsidR="00D75172">
          <w:rPr>
            <w:rStyle w:val="Hyperlink"/>
            <w:szCs w:val="22"/>
          </w:rPr>
          <w:t>https://www.govinfo.gov/content/pkg/FR-2018-10-15/pdf/2018-22234.pdf</w:t>
        </w:r>
      </w:hyperlink>
      <w:r w:rsidR="00D75172">
        <w:rPr>
          <w:szCs w:val="22"/>
        </w:rPr>
        <w:t xml:space="preserve"> </w:t>
      </w:r>
    </w:p>
    <w:p w:rsidR="003149AB" w:rsidP="00C5062A" w14:paraId="154B48C1" w14:textId="7DB8D481">
      <w:pPr>
        <w:spacing w:after="0"/>
        <w:rPr>
          <w:rFonts w:ascii="Times New Roman" w:hAnsi="Times New Roman" w:cs="Times New Roman"/>
          <w:b/>
        </w:rPr>
      </w:pPr>
    </w:p>
    <w:p w:rsidR="003149AB" w:rsidP="00C5062A" w14:paraId="0432C9C4" w14:textId="77777777">
      <w:pPr>
        <w:spacing w:after="0"/>
        <w:rPr>
          <w:rFonts w:ascii="Times New Roman" w:hAnsi="Times New Roman" w:cs="Times New Roman"/>
          <w:b/>
        </w:rPr>
      </w:pPr>
    </w:p>
    <w:p w:rsidR="008F02BA" w:rsidRPr="00511023" w:rsidP="00C5062A" w14:paraId="64B9C807" w14:textId="77777777">
      <w:pPr>
        <w:spacing w:after="0"/>
        <w:rPr>
          <w:rFonts w:ascii="Times New Roman" w:hAnsi="Times New Roman" w:cs="Times New Roman"/>
          <w:b/>
        </w:rPr>
      </w:pPr>
    </w:p>
    <w:p w:rsidR="004008B8" w:rsidRPr="00511023" w:rsidP="00972776" w14:paraId="76D7AB80" w14:textId="77777777">
      <w:pPr>
        <w:spacing w:after="0"/>
        <w:rPr>
          <w:rFonts w:ascii="Times New Roman" w:hAnsi="Times New Roman" w:cs="Times New Roman"/>
          <w:b/>
        </w:rPr>
      </w:pPr>
    </w:p>
    <w:sectPr w:rsidSect="001743EF">
      <w:headerReference w:type="default" r:id="rId9"/>
      <w:footerReference w:type="default" r:id="rId10"/>
      <w:pgSz w:w="12240" w:h="15840"/>
      <w:pgMar w:top="1440" w:right="1440" w:bottom="1008" w:left="1440" w:header="720" w:footer="187"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A4A" w:rsidRPr="00511023" w14:paraId="01C560DC" w14:textId="1D8CEDE0">
    <w:pPr>
      <w:pStyle w:val="Footer"/>
      <w:jc w:val="center"/>
      <w:rPr>
        <w:rFonts w:ascii="Times New Roman" w:hAnsi="Times New Roman" w:cs="Times New Roman"/>
      </w:rPr>
    </w:pPr>
  </w:p>
  <w:p w:rsidR="00121A4A" w14:paraId="0C218C9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43EF" w14:paraId="3502747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A4A" w:rsidP="001D4297" w14:paraId="0B5C5E41" w14:textId="77777777">
    <w:pPr>
      <w:pStyle w:val="Header"/>
      <w:spacing w:before="360" w:line="228" w:lineRule="auto"/>
      <w:ind w:firstLine="1620"/>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position:absolute;visibility:visible;z-index:-251658240" o:oleicon="f" o:allowincell="f" wrapcoords="-251 0 -251 21349 21600 21349 21600 0 -251 0" filled="t" fillcolor="#3cc">
          <v:imagedata r:id="rId1" o:title="" gain="69719f"/>
          <w10:wrap type="through"/>
        </v:shape>
        <o:OLEObject Type="Embed" ProgID="Word.Picture.8" ShapeID="_x0000_s2049" DrawAspect="Content" ObjectID="_1616474634" r:id="rId2"/>
      </w:pict>
    </w:r>
    <w:r>
      <w:rPr>
        <w:rFonts w:ascii="CG Times (W1)" w:hAnsi="CG Times (W1)"/>
        <w:sz w:val="28"/>
      </w:rPr>
      <w:t>Federal Communications Commission</w:t>
    </w:r>
  </w:p>
  <w:p w:rsidR="00121A4A" w:rsidP="001D4297" w14:paraId="71989AC2" w14:textId="77777777">
    <w:pPr>
      <w:ind w:firstLine="2340"/>
      <w:rPr>
        <w:rFonts w:ascii="CG Times (W1)" w:hAnsi="CG Times (W1)"/>
        <w:sz w:val="28"/>
      </w:rPr>
    </w:pPr>
    <w:r>
      <w:rPr>
        <w:rFonts w:ascii="CG Times (W1)" w:hAnsi="CG Times (W1)"/>
        <w:sz w:val="28"/>
      </w:rPr>
      <w:t>Washington, D.C. 20554</w:t>
    </w:r>
  </w:p>
  <w:p w:rsidR="00121A4A" w:rsidRPr="003172B5" w:rsidP="001D4297" w14:paraId="0675F8B2" w14:textId="1B58CE37">
    <w:pPr>
      <w:ind w:firstLine="3060"/>
      <w:rPr>
        <w:sz w:val="24"/>
        <w:szCs w:val="24"/>
      </w:rPr>
    </w:pPr>
    <w:r>
      <w:rPr>
        <w:rFonts w:ascii="CG Times (W1)" w:hAnsi="CG Times (W1)"/>
        <w:sz w:val="24"/>
        <w:szCs w:val="24"/>
      </w:rPr>
      <w:t xml:space="preserve">April </w:t>
    </w:r>
    <w:r w:rsidR="00572002">
      <w:rPr>
        <w:rFonts w:ascii="CG Times (W1)" w:hAnsi="CG Times (W1)"/>
        <w:sz w:val="24"/>
        <w:szCs w:val="24"/>
      </w:rPr>
      <w:t>11</w:t>
    </w:r>
    <w:r w:rsidRPr="003172B5">
      <w:rPr>
        <w:rFonts w:ascii="CG Times (W1)" w:hAnsi="CG Times (W1)"/>
        <w:sz w:val="24"/>
        <w:szCs w:val="24"/>
      </w:rPr>
      <w:t>, 20</w:t>
    </w:r>
    <w:r w:rsidR="001A2016">
      <w:rPr>
        <w:rFonts w:ascii="CG Times (W1)" w:hAnsi="CG Times (W1)"/>
        <w:sz w:val="24"/>
        <w:szCs w:val="24"/>
      </w:rPr>
      <w:t>19</w:t>
    </w:r>
    <w:r w:rsidRPr="003172B5">
      <w:rPr>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132F" w:rsidP="00511023" w14:paraId="03960335" w14:textId="77777777">
    <w:pPr>
      <w:pStyle w:val="Header"/>
      <w:spacing w:before="360" w:line="228" w:lineRule="auto"/>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43EF" w:rsidP="00511023" w14:paraId="65D1CA50" w14:textId="77777777">
    <w:pPr>
      <w:pStyle w:val="Header"/>
      <w:spacing w:before="360" w:line="228" w:lineRule="aut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5273E6E"/>
    <w:multiLevelType w:val="hybridMultilevel"/>
    <w:tmpl w:val="8FE6E994"/>
    <w:lvl w:ilvl="0">
      <w:start w:val="1"/>
      <w:numFmt w:val="bullet"/>
      <w:lvlText w:val=""/>
      <w:lvlJc w:val="left"/>
      <w:pPr>
        <w:ind w:left="833" w:hanging="360"/>
      </w:pPr>
      <w:rPr>
        <w:rFonts w:ascii="Symbol" w:hAnsi="Symbol" w:hint="default"/>
      </w:rPr>
    </w:lvl>
    <w:lvl w:ilvl="1" w:tentative="1">
      <w:start w:val="1"/>
      <w:numFmt w:val="bullet"/>
      <w:lvlText w:val="o"/>
      <w:lvlJc w:val="left"/>
      <w:pPr>
        <w:ind w:left="1553" w:hanging="360"/>
      </w:pPr>
      <w:rPr>
        <w:rFonts w:ascii="Courier New" w:hAnsi="Courier New" w:cs="Courier New" w:hint="default"/>
      </w:rPr>
    </w:lvl>
    <w:lvl w:ilvl="2" w:tentative="1">
      <w:start w:val="1"/>
      <w:numFmt w:val="bullet"/>
      <w:lvlText w:val=""/>
      <w:lvlJc w:val="left"/>
      <w:pPr>
        <w:ind w:left="2273" w:hanging="360"/>
      </w:pPr>
      <w:rPr>
        <w:rFonts w:ascii="Wingdings" w:hAnsi="Wingdings" w:hint="default"/>
      </w:rPr>
    </w:lvl>
    <w:lvl w:ilvl="3" w:tentative="1">
      <w:start w:val="1"/>
      <w:numFmt w:val="bullet"/>
      <w:lvlText w:val=""/>
      <w:lvlJc w:val="left"/>
      <w:pPr>
        <w:ind w:left="2993" w:hanging="360"/>
      </w:pPr>
      <w:rPr>
        <w:rFonts w:ascii="Symbol" w:hAnsi="Symbol" w:hint="default"/>
      </w:rPr>
    </w:lvl>
    <w:lvl w:ilvl="4" w:tentative="1">
      <w:start w:val="1"/>
      <w:numFmt w:val="bullet"/>
      <w:lvlText w:val="o"/>
      <w:lvlJc w:val="left"/>
      <w:pPr>
        <w:ind w:left="3713" w:hanging="360"/>
      </w:pPr>
      <w:rPr>
        <w:rFonts w:ascii="Courier New" w:hAnsi="Courier New" w:cs="Courier New" w:hint="default"/>
      </w:rPr>
    </w:lvl>
    <w:lvl w:ilvl="5" w:tentative="1">
      <w:start w:val="1"/>
      <w:numFmt w:val="bullet"/>
      <w:lvlText w:val=""/>
      <w:lvlJc w:val="left"/>
      <w:pPr>
        <w:ind w:left="4433" w:hanging="360"/>
      </w:pPr>
      <w:rPr>
        <w:rFonts w:ascii="Wingdings" w:hAnsi="Wingdings" w:hint="default"/>
      </w:rPr>
    </w:lvl>
    <w:lvl w:ilvl="6" w:tentative="1">
      <w:start w:val="1"/>
      <w:numFmt w:val="bullet"/>
      <w:lvlText w:val=""/>
      <w:lvlJc w:val="left"/>
      <w:pPr>
        <w:ind w:left="5153" w:hanging="360"/>
      </w:pPr>
      <w:rPr>
        <w:rFonts w:ascii="Symbol" w:hAnsi="Symbol" w:hint="default"/>
      </w:rPr>
    </w:lvl>
    <w:lvl w:ilvl="7" w:tentative="1">
      <w:start w:val="1"/>
      <w:numFmt w:val="bullet"/>
      <w:lvlText w:val="o"/>
      <w:lvlJc w:val="left"/>
      <w:pPr>
        <w:ind w:left="5873" w:hanging="360"/>
      </w:pPr>
      <w:rPr>
        <w:rFonts w:ascii="Courier New" w:hAnsi="Courier New" w:cs="Courier New" w:hint="default"/>
      </w:rPr>
    </w:lvl>
    <w:lvl w:ilvl="8" w:tentative="1">
      <w:start w:val="1"/>
      <w:numFmt w:val="bullet"/>
      <w:lvlText w:val=""/>
      <w:lvlJc w:val="left"/>
      <w:pPr>
        <w:ind w:left="6593" w:hanging="360"/>
      </w:pPr>
      <w:rPr>
        <w:rFonts w:ascii="Wingdings" w:hAnsi="Wingdings" w:hint="default"/>
      </w:rPr>
    </w:lvl>
  </w:abstractNum>
  <w:abstractNum w:abstractNumId="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2C700723"/>
    <w:multiLevelType w:val="hybridMultilevel"/>
    <w:tmpl w:val="DEDE89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FA20D93"/>
    <w:multiLevelType w:val="hybridMultilevel"/>
    <w:tmpl w:val="BCBE5C02"/>
    <w:lvl w:ilvl="0">
      <w:start w:val="4"/>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0E61378"/>
    <w:multiLevelType w:val="hybridMultilevel"/>
    <w:tmpl w:val="8C04F006"/>
    <w:lvl w:ilvl="0">
      <w:start w:val="1"/>
      <w:numFmt w:val="upp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31BD4BED"/>
    <w:multiLevelType w:val="hybridMultilevel"/>
    <w:tmpl w:val="306AC5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1BB6520"/>
    <w:multiLevelType w:val="hybridMultilevel"/>
    <w:tmpl w:val="743EDE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96A3DD8"/>
    <w:multiLevelType w:val="hybridMultilevel"/>
    <w:tmpl w:val="18FA85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068636C"/>
    <w:multiLevelType w:val="hybridMultilevel"/>
    <w:tmpl w:val="F46EBE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013000B"/>
    <w:multiLevelType w:val="hybridMultilevel"/>
    <w:tmpl w:val="BE1E12D6"/>
    <w:lvl w:ilvl="0">
      <w:start w:val="2"/>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0195BB7"/>
    <w:multiLevelType w:val="hybridMultilevel"/>
    <w:tmpl w:val="A6186D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61182925"/>
    <w:multiLevelType w:val="singleLevel"/>
    <w:tmpl w:val="A9EE9842"/>
    <w:lvl w:ilvl="0">
      <w:start w:val="1"/>
      <w:numFmt w:val="decimal"/>
      <w:lvlText w:val="%1."/>
      <w:lvlJc w:val="left"/>
      <w:pPr>
        <w:tabs>
          <w:tab w:val="num" w:pos="1080"/>
        </w:tabs>
        <w:ind w:left="0" w:firstLine="720"/>
      </w:pPr>
    </w:lvl>
  </w:abstractNum>
  <w:abstractNum w:abstractNumId="12">
    <w:nsid w:val="61617F2E"/>
    <w:multiLevelType w:val="hybridMultilevel"/>
    <w:tmpl w:val="B23AD2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6B4C167D"/>
    <w:multiLevelType w:val="hybridMultilevel"/>
    <w:tmpl w:val="1708DD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7747782"/>
    <w:multiLevelType w:val="hybridMultilevel"/>
    <w:tmpl w:val="33A6CEA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A9164CF"/>
    <w:multiLevelType w:val="hybridMultilevel"/>
    <w:tmpl w:val="3D58E74A"/>
    <w:lvl w:ilvl="0">
      <w:start w:val="1"/>
      <w:numFmt w:val="bullet"/>
      <w:lvlText w:val=""/>
      <w:lvlJc w:val="left"/>
      <w:pPr>
        <w:ind w:left="720" w:hanging="360"/>
      </w:pPr>
      <w:rPr>
        <w:rFonts w:ascii="Wingdings" w:hAnsi="Wingdings"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F1B0028"/>
    <w:multiLevelType w:val="hybridMultilevel"/>
    <w:tmpl w:val="4D24E80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6"/>
  </w:num>
  <w:num w:numId="2">
    <w:abstractNumId w:val="4"/>
  </w:num>
  <w:num w:numId="3">
    <w:abstractNumId w:val="9"/>
  </w:num>
  <w:num w:numId="4">
    <w:abstractNumId w:val="3"/>
  </w:num>
  <w:num w:numId="5">
    <w:abstractNumId w:val="14"/>
  </w:num>
  <w:num w:numId="6">
    <w:abstractNumId w:val="6"/>
  </w:num>
  <w:num w:numId="7">
    <w:abstractNumId w:val="1"/>
  </w:num>
  <w:num w:numId="8">
    <w:abstractNumId w:val="11"/>
  </w:num>
  <w:num w:numId="9">
    <w:abstractNumId w:val="8"/>
  </w:num>
  <w:num w:numId="10">
    <w:abstractNumId w:val="2"/>
  </w:num>
  <w:num w:numId="11">
    <w:abstractNumId w:val="7"/>
  </w:num>
  <w:num w:numId="12">
    <w:abstractNumId w:val="10"/>
  </w:num>
  <w:num w:numId="13">
    <w:abstractNumId w:val="1"/>
    <w:lvlOverride w:ilvl="0">
      <w:startOverride w:val="1"/>
    </w:lvlOverride>
    <w:lvlOverride w:ilvl="1">
      <w:startOverride w:val="1"/>
    </w:lvlOverride>
    <w:lvlOverride w:ilvl="2">
      <w:startOverride w:val="1"/>
    </w:lvlOverride>
    <w:lvlOverride w:ilvl="3">
      <w:startOverride w:val="3"/>
    </w:lvlOverride>
  </w:num>
  <w:num w:numId="14">
    <w:abstractNumId w:val="15"/>
  </w:num>
  <w:num w:numId="15">
    <w:abstractNumId w:val="5"/>
  </w:num>
  <w:num w:numId="16">
    <w:abstractNumId w:val="13"/>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3E"/>
    <w:rsid w:val="0000705E"/>
    <w:rsid w:val="00013982"/>
    <w:rsid w:val="0001453A"/>
    <w:rsid w:val="00022ECD"/>
    <w:rsid w:val="00025AB0"/>
    <w:rsid w:val="000320CC"/>
    <w:rsid w:val="00034878"/>
    <w:rsid w:val="00047470"/>
    <w:rsid w:val="000568D1"/>
    <w:rsid w:val="000601FD"/>
    <w:rsid w:val="00063688"/>
    <w:rsid w:val="00066CB4"/>
    <w:rsid w:val="00074CA4"/>
    <w:rsid w:val="00087BBD"/>
    <w:rsid w:val="0009430B"/>
    <w:rsid w:val="000B2151"/>
    <w:rsid w:val="000B7E9D"/>
    <w:rsid w:val="000C0EEC"/>
    <w:rsid w:val="000C1FA6"/>
    <w:rsid w:val="000D15CD"/>
    <w:rsid w:val="000D2F0F"/>
    <w:rsid w:val="000D6D6D"/>
    <w:rsid w:val="000D790A"/>
    <w:rsid w:val="000E4E16"/>
    <w:rsid w:val="000E7D14"/>
    <w:rsid w:val="000F616D"/>
    <w:rsid w:val="000F7BE7"/>
    <w:rsid w:val="00111E1F"/>
    <w:rsid w:val="00115515"/>
    <w:rsid w:val="00121A4A"/>
    <w:rsid w:val="00131CCC"/>
    <w:rsid w:val="001338B0"/>
    <w:rsid w:val="00133D08"/>
    <w:rsid w:val="00152909"/>
    <w:rsid w:val="001544BD"/>
    <w:rsid w:val="00173AB8"/>
    <w:rsid w:val="001743EF"/>
    <w:rsid w:val="0019300B"/>
    <w:rsid w:val="0019345D"/>
    <w:rsid w:val="001961AA"/>
    <w:rsid w:val="001A1EAC"/>
    <w:rsid w:val="001A2016"/>
    <w:rsid w:val="001D4297"/>
    <w:rsid w:val="001D6690"/>
    <w:rsid w:val="001E3786"/>
    <w:rsid w:val="001E378E"/>
    <w:rsid w:val="002122D8"/>
    <w:rsid w:val="002146E0"/>
    <w:rsid w:val="00230205"/>
    <w:rsid w:val="00233B90"/>
    <w:rsid w:val="00243CE9"/>
    <w:rsid w:val="00245470"/>
    <w:rsid w:val="00247E1B"/>
    <w:rsid w:val="002511EF"/>
    <w:rsid w:val="00282849"/>
    <w:rsid w:val="00286EA8"/>
    <w:rsid w:val="00292357"/>
    <w:rsid w:val="002973BD"/>
    <w:rsid w:val="002A1242"/>
    <w:rsid w:val="002A57BD"/>
    <w:rsid w:val="002A73FE"/>
    <w:rsid w:val="002B11B3"/>
    <w:rsid w:val="002B6FD0"/>
    <w:rsid w:val="002C1EA9"/>
    <w:rsid w:val="002D0DED"/>
    <w:rsid w:val="002D593C"/>
    <w:rsid w:val="002F368C"/>
    <w:rsid w:val="002F55DA"/>
    <w:rsid w:val="002F6779"/>
    <w:rsid w:val="002F683E"/>
    <w:rsid w:val="002F7376"/>
    <w:rsid w:val="003017A1"/>
    <w:rsid w:val="003027B2"/>
    <w:rsid w:val="003149AB"/>
    <w:rsid w:val="00315C87"/>
    <w:rsid w:val="003172B5"/>
    <w:rsid w:val="003172C5"/>
    <w:rsid w:val="00320D58"/>
    <w:rsid w:val="00323A7C"/>
    <w:rsid w:val="00330480"/>
    <w:rsid w:val="003322AF"/>
    <w:rsid w:val="00334EB4"/>
    <w:rsid w:val="003423E5"/>
    <w:rsid w:val="00343E2F"/>
    <w:rsid w:val="0034659A"/>
    <w:rsid w:val="00361D37"/>
    <w:rsid w:val="00364D35"/>
    <w:rsid w:val="003660F1"/>
    <w:rsid w:val="00367858"/>
    <w:rsid w:val="00372A6F"/>
    <w:rsid w:val="003733F4"/>
    <w:rsid w:val="003837F4"/>
    <w:rsid w:val="003C5E97"/>
    <w:rsid w:val="003D1B5B"/>
    <w:rsid w:val="003D226E"/>
    <w:rsid w:val="003D2DC7"/>
    <w:rsid w:val="003E344A"/>
    <w:rsid w:val="003E4DFF"/>
    <w:rsid w:val="003F1DFC"/>
    <w:rsid w:val="003F5CB7"/>
    <w:rsid w:val="004008B8"/>
    <w:rsid w:val="004029F1"/>
    <w:rsid w:val="0040311E"/>
    <w:rsid w:val="004126D5"/>
    <w:rsid w:val="0041380C"/>
    <w:rsid w:val="00432C60"/>
    <w:rsid w:val="00463A2A"/>
    <w:rsid w:val="004740BF"/>
    <w:rsid w:val="004749A4"/>
    <w:rsid w:val="00485B77"/>
    <w:rsid w:val="00491D54"/>
    <w:rsid w:val="00491F77"/>
    <w:rsid w:val="004B6491"/>
    <w:rsid w:val="004B7242"/>
    <w:rsid w:val="004C1D7F"/>
    <w:rsid w:val="004C2AC8"/>
    <w:rsid w:val="004D3D34"/>
    <w:rsid w:val="004F3108"/>
    <w:rsid w:val="004F5CE9"/>
    <w:rsid w:val="004F68F6"/>
    <w:rsid w:val="005008FB"/>
    <w:rsid w:val="0050544C"/>
    <w:rsid w:val="00511023"/>
    <w:rsid w:val="00514667"/>
    <w:rsid w:val="005275C1"/>
    <w:rsid w:val="00527F85"/>
    <w:rsid w:val="00537EE8"/>
    <w:rsid w:val="005449FD"/>
    <w:rsid w:val="00553327"/>
    <w:rsid w:val="00560F43"/>
    <w:rsid w:val="005717FB"/>
    <w:rsid w:val="00572002"/>
    <w:rsid w:val="00575EDA"/>
    <w:rsid w:val="005869BB"/>
    <w:rsid w:val="00586C8F"/>
    <w:rsid w:val="00591A2B"/>
    <w:rsid w:val="005A1A8A"/>
    <w:rsid w:val="005B3852"/>
    <w:rsid w:val="005C1817"/>
    <w:rsid w:val="005E03BE"/>
    <w:rsid w:val="005E70B7"/>
    <w:rsid w:val="00601404"/>
    <w:rsid w:val="006045F7"/>
    <w:rsid w:val="0060545A"/>
    <w:rsid w:val="00610B56"/>
    <w:rsid w:val="006175DB"/>
    <w:rsid w:val="006268F4"/>
    <w:rsid w:val="00633F31"/>
    <w:rsid w:val="00637613"/>
    <w:rsid w:val="00657EA8"/>
    <w:rsid w:val="00677244"/>
    <w:rsid w:val="00683C2E"/>
    <w:rsid w:val="006862CF"/>
    <w:rsid w:val="00691299"/>
    <w:rsid w:val="006A0193"/>
    <w:rsid w:val="006A1C3E"/>
    <w:rsid w:val="006A5903"/>
    <w:rsid w:val="006B4F31"/>
    <w:rsid w:val="006E50A3"/>
    <w:rsid w:val="006E542F"/>
    <w:rsid w:val="006E6EAC"/>
    <w:rsid w:val="006F117F"/>
    <w:rsid w:val="006F22DA"/>
    <w:rsid w:val="006F2901"/>
    <w:rsid w:val="006F411B"/>
    <w:rsid w:val="00701319"/>
    <w:rsid w:val="00716724"/>
    <w:rsid w:val="00734B5A"/>
    <w:rsid w:val="00735330"/>
    <w:rsid w:val="00740ED6"/>
    <w:rsid w:val="00765ABD"/>
    <w:rsid w:val="00765D31"/>
    <w:rsid w:val="00783FE3"/>
    <w:rsid w:val="00791348"/>
    <w:rsid w:val="007A0798"/>
    <w:rsid w:val="007E2562"/>
    <w:rsid w:val="007E64DB"/>
    <w:rsid w:val="007F0A80"/>
    <w:rsid w:val="007F30D5"/>
    <w:rsid w:val="008104E2"/>
    <w:rsid w:val="008131DA"/>
    <w:rsid w:val="008178D8"/>
    <w:rsid w:val="00821520"/>
    <w:rsid w:val="00831688"/>
    <w:rsid w:val="00831724"/>
    <w:rsid w:val="008417FA"/>
    <w:rsid w:val="00864203"/>
    <w:rsid w:val="00876EE0"/>
    <w:rsid w:val="008C13D2"/>
    <w:rsid w:val="008C3B06"/>
    <w:rsid w:val="008D1637"/>
    <w:rsid w:val="008D4AA5"/>
    <w:rsid w:val="008D517B"/>
    <w:rsid w:val="008E1B5C"/>
    <w:rsid w:val="008E2841"/>
    <w:rsid w:val="008F02BA"/>
    <w:rsid w:val="009055DE"/>
    <w:rsid w:val="00923B78"/>
    <w:rsid w:val="0092655D"/>
    <w:rsid w:val="009433DE"/>
    <w:rsid w:val="0094554C"/>
    <w:rsid w:val="009464B8"/>
    <w:rsid w:val="0095028B"/>
    <w:rsid w:val="0095132F"/>
    <w:rsid w:val="00951C24"/>
    <w:rsid w:val="009521E8"/>
    <w:rsid w:val="00972776"/>
    <w:rsid w:val="00972B46"/>
    <w:rsid w:val="009827ED"/>
    <w:rsid w:val="00996590"/>
    <w:rsid w:val="009A61EC"/>
    <w:rsid w:val="009B3815"/>
    <w:rsid w:val="009B41FC"/>
    <w:rsid w:val="009C050E"/>
    <w:rsid w:val="009C5AF7"/>
    <w:rsid w:val="009C7F6E"/>
    <w:rsid w:val="009E1022"/>
    <w:rsid w:val="009F7F95"/>
    <w:rsid w:val="00A11129"/>
    <w:rsid w:val="00A34D69"/>
    <w:rsid w:val="00A36E26"/>
    <w:rsid w:val="00A422B6"/>
    <w:rsid w:val="00A47914"/>
    <w:rsid w:val="00A54A19"/>
    <w:rsid w:val="00A61714"/>
    <w:rsid w:val="00A71535"/>
    <w:rsid w:val="00A77AB7"/>
    <w:rsid w:val="00A813BD"/>
    <w:rsid w:val="00A90709"/>
    <w:rsid w:val="00A95753"/>
    <w:rsid w:val="00AA08D1"/>
    <w:rsid w:val="00AA34B7"/>
    <w:rsid w:val="00AA7D23"/>
    <w:rsid w:val="00AB1D1E"/>
    <w:rsid w:val="00AB1E95"/>
    <w:rsid w:val="00AC1A95"/>
    <w:rsid w:val="00AC5039"/>
    <w:rsid w:val="00AC6478"/>
    <w:rsid w:val="00AD0BD0"/>
    <w:rsid w:val="00AD7A25"/>
    <w:rsid w:val="00B0585E"/>
    <w:rsid w:val="00B06D94"/>
    <w:rsid w:val="00B12C82"/>
    <w:rsid w:val="00B15ED8"/>
    <w:rsid w:val="00B40C5F"/>
    <w:rsid w:val="00B47D0B"/>
    <w:rsid w:val="00B629FE"/>
    <w:rsid w:val="00B64F77"/>
    <w:rsid w:val="00B67094"/>
    <w:rsid w:val="00B70C2A"/>
    <w:rsid w:val="00B7401E"/>
    <w:rsid w:val="00B8024D"/>
    <w:rsid w:val="00B81F96"/>
    <w:rsid w:val="00B849ED"/>
    <w:rsid w:val="00BA1697"/>
    <w:rsid w:val="00BA39EA"/>
    <w:rsid w:val="00BB1633"/>
    <w:rsid w:val="00BC79AB"/>
    <w:rsid w:val="00BE2A20"/>
    <w:rsid w:val="00BE388B"/>
    <w:rsid w:val="00BF51F0"/>
    <w:rsid w:val="00C02A61"/>
    <w:rsid w:val="00C235FA"/>
    <w:rsid w:val="00C37AC8"/>
    <w:rsid w:val="00C419A9"/>
    <w:rsid w:val="00C47CEF"/>
    <w:rsid w:val="00C5062A"/>
    <w:rsid w:val="00C66D96"/>
    <w:rsid w:val="00C67CA7"/>
    <w:rsid w:val="00C74305"/>
    <w:rsid w:val="00C92483"/>
    <w:rsid w:val="00C979FD"/>
    <w:rsid w:val="00CA2314"/>
    <w:rsid w:val="00CC1EC9"/>
    <w:rsid w:val="00CC7874"/>
    <w:rsid w:val="00CD59E5"/>
    <w:rsid w:val="00CD624E"/>
    <w:rsid w:val="00CE4CA6"/>
    <w:rsid w:val="00CF2FBC"/>
    <w:rsid w:val="00D01F1B"/>
    <w:rsid w:val="00D01F97"/>
    <w:rsid w:val="00D17D9C"/>
    <w:rsid w:val="00D34102"/>
    <w:rsid w:val="00D34EE0"/>
    <w:rsid w:val="00D3573A"/>
    <w:rsid w:val="00D4618C"/>
    <w:rsid w:val="00D464D2"/>
    <w:rsid w:val="00D478B9"/>
    <w:rsid w:val="00D47DB5"/>
    <w:rsid w:val="00D61CA9"/>
    <w:rsid w:val="00D75172"/>
    <w:rsid w:val="00D76548"/>
    <w:rsid w:val="00D8271C"/>
    <w:rsid w:val="00D95137"/>
    <w:rsid w:val="00D961E3"/>
    <w:rsid w:val="00DA0F2B"/>
    <w:rsid w:val="00DA51FF"/>
    <w:rsid w:val="00DA673B"/>
    <w:rsid w:val="00DA6B99"/>
    <w:rsid w:val="00DB4D1A"/>
    <w:rsid w:val="00DB784D"/>
    <w:rsid w:val="00DC5B9C"/>
    <w:rsid w:val="00DD2774"/>
    <w:rsid w:val="00DD4232"/>
    <w:rsid w:val="00DE567B"/>
    <w:rsid w:val="00DE653F"/>
    <w:rsid w:val="00E154FC"/>
    <w:rsid w:val="00E2092F"/>
    <w:rsid w:val="00E2670E"/>
    <w:rsid w:val="00E31DAA"/>
    <w:rsid w:val="00E34028"/>
    <w:rsid w:val="00E35CE3"/>
    <w:rsid w:val="00E446F0"/>
    <w:rsid w:val="00E47D90"/>
    <w:rsid w:val="00E56A46"/>
    <w:rsid w:val="00E63B9E"/>
    <w:rsid w:val="00E77061"/>
    <w:rsid w:val="00E97A21"/>
    <w:rsid w:val="00EA4DD4"/>
    <w:rsid w:val="00EB64E6"/>
    <w:rsid w:val="00EC30F1"/>
    <w:rsid w:val="00EC472D"/>
    <w:rsid w:val="00EC5FFD"/>
    <w:rsid w:val="00EC723E"/>
    <w:rsid w:val="00ED5EC2"/>
    <w:rsid w:val="00ED7745"/>
    <w:rsid w:val="00EF4B82"/>
    <w:rsid w:val="00F0469C"/>
    <w:rsid w:val="00F070AF"/>
    <w:rsid w:val="00F1379B"/>
    <w:rsid w:val="00F25963"/>
    <w:rsid w:val="00F41273"/>
    <w:rsid w:val="00F426F6"/>
    <w:rsid w:val="00F4281B"/>
    <w:rsid w:val="00F445A1"/>
    <w:rsid w:val="00F4551F"/>
    <w:rsid w:val="00F75BD2"/>
    <w:rsid w:val="00FA3E65"/>
    <w:rsid w:val="00FA60EB"/>
    <w:rsid w:val="00FB7CB6"/>
    <w:rsid w:val="00FC0EA7"/>
    <w:rsid w:val="00FC7959"/>
    <w:rsid w:val="00FE30EB"/>
    <w:rsid w:val="00FE346F"/>
    <w:rsid w:val="00FF0AA5"/>
    <w:rsid w:val="00FF22A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DE64FBA-A8E6-49B6-A837-9CDF69D4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ParaNum"/>
    <w:link w:val="Heading1Char"/>
    <w:qFormat/>
    <w:rsid w:val="003D226E"/>
    <w:pPr>
      <w:keepNext/>
      <w:widowControl w:val="0"/>
      <w:numPr>
        <w:numId w:val="7"/>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link w:val="Heading2Char"/>
    <w:autoRedefine/>
    <w:qFormat/>
    <w:rsid w:val="003D226E"/>
    <w:pPr>
      <w:keepNext/>
      <w:widowControl w:val="0"/>
      <w:numPr>
        <w:ilvl w:val="1"/>
        <w:numId w:val="7"/>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aliases w:val="Heading 3 Char Char"/>
    <w:basedOn w:val="Normal"/>
    <w:next w:val="ParaNum"/>
    <w:link w:val="Heading3Char"/>
    <w:qFormat/>
    <w:rsid w:val="003D226E"/>
    <w:pPr>
      <w:keepNext/>
      <w:widowControl w:val="0"/>
      <w:numPr>
        <w:ilvl w:val="2"/>
        <w:numId w:val="7"/>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link w:val="Heading4Char"/>
    <w:qFormat/>
    <w:rsid w:val="003D226E"/>
    <w:pPr>
      <w:keepNext/>
      <w:widowControl w:val="0"/>
      <w:numPr>
        <w:ilvl w:val="3"/>
        <w:numId w:val="7"/>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3D226E"/>
    <w:pPr>
      <w:keepNext/>
      <w:widowControl w:val="0"/>
      <w:numPr>
        <w:ilvl w:val="4"/>
        <w:numId w:val="7"/>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3D226E"/>
    <w:pPr>
      <w:widowControl w:val="0"/>
      <w:numPr>
        <w:ilvl w:val="5"/>
        <w:numId w:val="7"/>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link w:val="Heading7Char"/>
    <w:qFormat/>
    <w:rsid w:val="003D226E"/>
    <w:pPr>
      <w:widowControl w:val="0"/>
      <w:numPr>
        <w:ilvl w:val="6"/>
        <w:numId w:val="7"/>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link w:val="Heading8Char"/>
    <w:qFormat/>
    <w:rsid w:val="003D226E"/>
    <w:pPr>
      <w:widowControl w:val="0"/>
      <w:numPr>
        <w:ilvl w:val="7"/>
        <w:numId w:val="7"/>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aliases w:val="9,Heading 9.table,Titre 9,Topic,t,table"/>
    <w:basedOn w:val="Normal"/>
    <w:next w:val="ParaNum"/>
    <w:link w:val="Heading9Char"/>
    <w:qFormat/>
    <w:rsid w:val="003D226E"/>
    <w:pPr>
      <w:widowControl w:val="0"/>
      <w:numPr>
        <w:ilvl w:val="8"/>
        <w:numId w:val="7"/>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83E"/>
    <w:pPr>
      <w:ind w:left="720"/>
      <w:contextualSpacing/>
    </w:pPr>
  </w:style>
  <w:style w:type="paragraph" w:styleId="FootnoteText">
    <w:name w:val="footnote text"/>
    <w:aliases w:val="Footnote Text Char Char,Footnote Text Char Char Char,Footnote Text Char Char Char Char Char2,Footnote Text Char1,Footnote Text Char1 Char Char Char1,Footnote Text Char2 Char Char Char Char Char,Footnote Text Char3,Footnote Text Char3 Char1"/>
    <w:basedOn w:val="Normal"/>
    <w:link w:val="FootnoteTextChar"/>
    <w:uiPriority w:val="99"/>
    <w:unhideWhenUsed/>
    <w:rsid w:val="00034878"/>
    <w:pPr>
      <w:spacing w:after="0" w:line="240" w:lineRule="auto"/>
    </w:pPr>
    <w:rPr>
      <w:sz w:val="20"/>
      <w:szCs w:val="20"/>
    </w:rPr>
  </w:style>
  <w:style w:type="character" w:customStyle="1" w:styleId="FootnoteTextChar">
    <w:name w:val="Footnote Text Char"/>
    <w:aliases w:val="Footnote Text Char Char Char Char,Footnote Text Char Char Char Char Char2 Char,Footnote Text Char1 Char,Footnote Text Char1 Char Char Char1 Char,Footnote Text Char2 Char Char Char Char Char Char,Footnote Text Char3 Char1 Char"/>
    <w:basedOn w:val="DefaultParagraphFont"/>
    <w:link w:val="FootnoteText"/>
    <w:uiPriority w:val="99"/>
    <w:rsid w:val="00034878"/>
    <w:rPr>
      <w:sz w:val="20"/>
      <w:szCs w:val="20"/>
    </w:rPr>
  </w:style>
  <w:style w:type="character" w:styleId="FootnoteReference">
    <w:name w:val="footnote reference"/>
    <w:aliases w:val="(NECG) Footnote Reference,A,Appel note de bas de p,FR,Footnote Reference/,Footnote Reference1,Style 12,Style 124,Style 13,Style 17,Style 3,Style 34,Style 4,Style 6,Style 7,Style 9,fr,o"/>
    <w:basedOn w:val="DefaultParagraphFont"/>
    <w:uiPriority w:val="99"/>
    <w:unhideWhenUsed/>
    <w:rsid w:val="00034878"/>
    <w:rPr>
      <w:vertAlign w:val="superscript"/>
    </w:rPr>
  </w:style>
  <w:style w:type="paragraph" w:styleId="BalloonText">
    <w:name w:val="Balloon Text"/>
    <w:basedOn w:val="Normal"/>
    <w:link w:val="BalloonTextChar"/>
    <w:uiPriority w:val="99"/>
    <w:semiHidden/>
    <w:unhideWhenUsed/>
    <w:rsid w:val="00E44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6F0"/>
    <w:rPr>
      <w:rFonts w:ascii="Segoe UI" w:hAnsi="Segoe UI" w:cs="Segoe UI"/>
      <w:sz w:val="18"/>
      <w:szCs w:val="18"/>
    </w:rPr>
  </w:style>
  <w:style w:type="character" w:styleId="Hyperlink">
    <w:name w:val="Hyperlink"/>
    <w:basedOn w:val="DefaultParagraphFont"/>
    <w:uiPriority w:val="99"/>
    <w:unhideWhenUsed/>
    <w:rsid w:val="008F02BA"/>
    <w:rPr>
      <w:color w:val="0563C1" w:themeColor="hyperlink"/>
      <w:u w:val="single"/>
    </w:rPr>
  </w:style>
  <w:style w:type="paragraph" w:styleId="Header">
    <w:name w:val="header"/>
    <w:basedOn w:val="Normal"/>
    <w:link w:val="HeaderChar"/>
    <w:uiPriority w:val="99"/>
    <w:unhideWhenUsed/>
    <w:rsid w:val="00121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A4A"/>
  </w:style>
  <w:style w:type="paragraph" w:styleId="Footer">
    <w:name w:val="footer"/>
    <w:basedOn w:val="Normal"/>
    <w:link w:val="FooterChar"/>
    <w:uiPriority w:val="99"/>
    <w:unhideWhenUsed/>
    <w:rsid w:val="00121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A4A"/>
  </w:style>
  <w:style w:type="character" w:customStyle="1" w:styleId="Heading1Char">
    <w:name w:val="Heading 1 Char"/>
    <w:basedOn w:val="DefaultParagraphFont"/>
    <w:link w:val="Heading1"/>
    <w:rsid w:val="003D226E"/>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3D226E"/>
    <w:rPr>
      <w:rFonts w:ascii="Times New Roman" w:eastAsia="Times New Roman" w:hAnsi="Times New Roman" w:cs="Times New Roman"/>
      <w:b/>
      <w:snapToGrid w:val="0"/>
      <w:kern w:val="28"/>
      <w:szCs w:val="20"/>
    </w:rPr>
  </w:style>
  <w:style w:type="character" w:customStyle="1" w:styleId="Heading3Char">
    <w:name w:val="Heading 3 Char"/>
    <w:aliases w:val="Heading 3 Char Char Char"/>
    <w:basedOn w:val="DefaultParagraphFont"/>
    <w:link w:val="Heading3"/>
    <w:rsid w:val="003D226E"/>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3D226E"/>
    <w:rPr>
      <w:rFonts w:ascii="Times New Roman" w:eastAsia="Times New Roman" w:hAnsi="Times New Roman" w:cs="Times New Roman"/>
      <w:b/>
      <w:snapToGrid w:val="0"/>
      <w:kern w:val="28"/>
      <w:szCs w:val="20"/>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1 Char,Heading 5 Char2 Char"/>
    <w:basedOn w:val="DefaultParagraphFont"/>
    <w:link w:val="Heading5"/>
    <w:rsid w:val="003D226E"/>
    <w:rPr>
      <w:rFonts w:ascii="Times New Roman" w:eastAsia="Times New Roman" w:hAnsi="Times New Roman" w:cs="Times New Roman"/>
      <w:b/>
      <w:snapToGrid w:val="0"/>
      <w:kern w:val="28"/>
      <w:szCs w:val="20"/>
    </w:rPr>
  </w:style>
  <w:style w:type="character" w:customStyle="1" w:styleId="Heading6Char">
    <w:name w:val="Heading 6 Char"/>
    <w:aliases w:val="Heading 6 Char Char Char Char,Heading 6 Char Char Char1,Heading 6 Char Char1 Char,Heading 6 Char1 Char Char,Heading 6 Char1 Char1,Heading 6 Char2 Char,h6 Char"/>
    <w:basedOn w:val="DefaultParagraphFont"/>
    <w:link w:val="Heading6"/>
    <w:rsid w:val="003D226E"/>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3D226E"/>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3D226E"/>
    <w:rPr>
      <w:rFonts w:ascii="Times New Roman" w:eastAsia="Times New Roman" w:hAnsi="Times New Roman" w:cs="Times New Roman"/>
      <w:b/>
      <w:snapToGrid w:val="0"/>
      <w:kern w:val="28"/>
      <w:szCs w:val="20"/>
    </w:rPr>
  </w:style>
  <w:style w:type="character" w:customStyle="1" w:styleId="Heading9Char">
    <w:name w:val="Heading 9 Char"/>
    <w:aliases w:val="9 Char,Heading 9.table Char,Titre 9 Char,Topic Char,t Char,table Char"/>
    <w:basedOn w:val="DefaultParagraphFont"/>
    <w:link w:val="Heading9"/>
    <w:rsid w:val="003D226E"/>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3D226E"/>
    <w:pPr>
      <w:widowControl w:val="0"/>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basedOn w:val="DefaultParagraphFont"/>
    <w:link w:val="ParaNum"/>
    <w:rsid w:val="003D226E"/>
    <w:rPr>
      <w:rFonts w:ascii="Times New Roman" w:eastAsia="Times New Roman" w:hAnsi="Times New Roman" w:cs="Times New Roman"/>
      <w:snapToGrid w:val="0"/>
      <w:kern w:val="28"/>
      <w:szCs w:val="20"/>
    </w:rPr>
  </w:style>
  <w:style w:type="character" w:styleId="CommentReference">
    <w:name w:val="annotation reference"/>
    <w:basedOn w:val="DefaultParagraphFont"/>
    <w:semiHidden/>
    <w:unhideWhenUsed/>
    <w:rsid w:val="003D226E"/>
    <w:rPr>
      <w:sz w:val="16"/>
      <w:szCs w:val="16"/>
    </w:rPr>
  </w:style>
  <w:style w:type="paragraph" w:styleId="CommentText">
    <w:name w:val="annotation text"/>
    <w:basedOn w:val="Normal"/>
    <w:link w:val="CommentTextChar"/>
    <w:semiHidden/>
    <w:unhideWhenUsed/>
    <w:rsid w:val="003D226E"/>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CommentTextChar">
    <w:name w:val="Comment Text Char"/>
    <w:basedOn w:val="DefaultParagraphFont"/>
    <w:link w:val="CommentText"/>
    <w:semiHidden/>
    <w:rsid w:val="003D226E"/>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013982"/>
    <w:pPr>
      <w:widowControl/>
      <w:spacing w:after="160"/>
    </w:pPr>
    <w:rPr>
      <w:rFonts w:asciiTheme="minorHAnsi" w:eastAsiaTheme="minorHAnsi" w:hAnsiTheme="minorHAnsi" w:cstheme="minorBidi"/>
      <w:b/>
      <w:bCs/>
      <w:snapToGrid/>
      <w:kern w:val="0"/>
    </w:rPr>
  </w:style>
  <w:style w:type="character" w:customStyle="1" w:styleId="CommentSubjectChar">
    <w:name w:val="Comment Subject Char"/>
    <w:basedOn w:val="CommentTextChar"/>
    <w:link w:val="CommentSubject"/>
    <w:uiPriority w:val="99"/>
    <w:semiHidden/>
    <w:rsid w:val="00013982"/>
    <w:rPr>
      <w:rFonts w:ascii="Times New Roman" w:eastAsia="Times New Roman" w:hAnsi="Times New Roman" w:cs="Times New Roman"/>
      <w:b/>
      <w:bCs/>
      <w:snapToGrid/>
      <w:kern w:val="28"/>
      <w:sz w:val="20"/>
      <w:szCs w:val="20"/>
    </w:rPr>
  </w:style>
  <w:style w:type="paragraph" w:customStyle="1" w:styleId="ParaNumCharChar">
    <w:name w:val="ParaNum Char Char"/>
    <w:basedOn w:val="Normal"/>
    <w:link w:val="ParaNumCharCharChar1"/>
    <w:rsid w:val="00701319"/>
    <w:pPr>
      <w:widowControl w:val="0"/>
      <w:tabs>
        <w:tab w:val="num" w:pos="1080"/>
        <w:tab w:val="left" w:pos="1440"/>
      </w:tabs>
      <w:spacing w:after="220" w:line="240" w:lineRule="auto"/>
      <w:ind w:firstLine="720"/>
      <w:jc w:val="both"/>
    </w:pPr>
    <w:rPr>
      <w:rFonts w:ascii="Times New Roman" w:eastAsia="Times New Roman" w:hAnsi="Times New Roman" w:cs="Times New Roman"/>
      <w:snapToGrid w:val="0"/>
      <w:kern w:val="28"/>
      <w:szCs w:val="20"/>
    </w:rPr>
  </w:style>
  <w:style w:type="character" w:customStyle="1" w:styleId="ParaNumCharCharChar1">
    <w:name w:val="ParaNum Char Char Char1"/>
    <w:basedOn w:val="DefaultParagraphFont"/>
    <w:link w:val="ParaNumCharChar"/>
    <w:rsid w:val="00701319"/>
    <w:rPr>
      <w:rFonts w:ascii="Times New Roman" w:eastAsia="Times New Roman" w:hAnsi="Times New Roman" w:cs="Times New Roman"/>
      <w:snapToGrid w:val="0"/>
      <w:kern w:val="28"/>
      <w:szCs w:val="20"/>
    </w:rPr>
  </w:style>
  <w:style w:type="paragraph" w:styleId="TOCHeading">
    <w:name w:val="TOC Heading"/>
    <w:basedOn w:val="Heading1"/>
    <w:next w:val="Normal"/>
    <w:uiPriority w:val="39"/>
    <w:unhideWhenUsed/>
    <w:qFormat/>
    <w:rsid w:val="008D4AA5"/>
    <w:pPr>
      <w:keepLines/>
      <w:widowControl/>
      <w:numPr>
        <w:numId w:val="0"/>
      </w:numPr>
      <w:tabs>
        <w:tab w:val="left" w:pos="720"/>
      </w:tabs>
      <w:suppressAutoHyphens w:val="0"/>
      <w:spacing w:before="240" w:after="0" w:line="259" w:lineRule="auto"/>
      <w:outlineLvl w:val="9"/>
    </w:pPr>
    <w:rPr>
      <w:rFonts w:asciiTheme="majorHAnsi" w:eastAsiaTheme="majorEastAsia" w:hAnsiTheme="majorHAnsi" w:cstheme="majorBidi"/>
      <w:b w:val="0"/>
      <w:caps w:val="0"/>
      <w:snapToGrid/>
      <w:color w:val="2E74B5" w:themeColor="accent1" w:themeShade="BF"/>
      <w:kern w:val="0"/>
      <w:sz w:val="32"/>
      <w:szCs w:val="32"/>
    </w:rPr>
  </w:style>
  <w:style w:type="paragraph" w:styleId="TOC2">
    <w:name w:val="toc 2"/>
    <w:basedOn w:val="Normal"/>
    <w:next w:val="Normal"/>
    <w:autoRedefine/>
    <w:uiPriority w:val="39"/>
    <w:unhideWhenUsed/>
    <w:rsid w:val="008D4AA5"/>
    <w:pPr>
      <w:spacing w:after="100"/>
      <w:ind w:left="220"/>
    </w:pPr>
  </w:style>
  <w:style w:type="paragraph" w:styleId="TOC1">
    <w:name w:val="toc 1"/>
    <w:basedOn w:val="Normal"/>
    <w:next w:val="Normal"/>
    <w:autoRedefine/>
    <w:uiPriority w:val="39"/>
    <w:unhideWhenUsed/>
    <w:rsid w:val="008D4AA5"/>
    <w:pPr>
      <w:spacing w:after="100"/>
    </w:pPr>
    <w:rPr>
      <w:rFonts w:eastAsiaTheme="minorEastAsia" w:cs="Times New Roman"/>
    </w:rPr>
  </w:style>
  <w:style w:type="paragraph" w:styleId="TOC3">
    <w:name w:val="toc 3"/>
    <w:basedOn w:val="Normal"/>
    <w:next w:val="Normal"/>
    <w:autoRedefine/>
    <w:uiPriority w:val="39"/>
    <w:unhideWhenUsed/>
    <w:rsid w:val="008D4AA5"/>
    <w:pPr>
      <w:spacing w:after="100"/>
      <w:ind w:left="440"/>
    </w:pPr>
    <w:rPr>
      <w:rFonts w:eastAsiaTheme="minorEastAsia" w:cs="Times New Roman"/>
    </w:rPr>
  </w:style>
  <w:style w:type="character" w:customStyle="1" w:styleId="apple-converted-space">
    <w:name w:val="apple-converted-space"/>
    <w:basedOn w:val="DefaultParagraphFont"/>
    <w:rsid w:val="002146E0"/>
  </w:style>
  <w:style w:type="paragraph" w:styleId="NoSpacing">
    <w:name w:val="No Spacing"/>
    <w:uiPriority w:val="1"/>
    <w:qFormat/>
    <w:rsid w:val="00D01F97"/>
    <w:pPr>
      <w:spacing w:after="0" w:line="240" w:lineRule="auto"/>
    </w:pPr>
  </w:style>
  <w:style w:type="character" w:customStyle="1" w:styleId="UnresolvedMention">
    <w:name w:val="Unresolved Mention"/>
    <w:basedOn w:val="DefaultParagraphFont"/>
    <w:uiPriority w:val="99"/>
    <w:semiHidden/>
    <w:unhideWhenUsed/>
    <w:rsid w:val="00D478B9"/>
    <w:rPr>
      <w:color w:val="605E5C"/>
      <w:shd w:val="clear" w:color="auto" w:fill="E1DFDD"/>
    </w:rPr>
  </w:style>
  <w:style w:type="character" w:styleId="FollowedHyperlink">
    <w:name w:val="FollowedHyperlink"/>
    <w:basedOn w:val="DefaultParagraphFont"/>
    <w:uiPriority w:val="99"/>
    <w:semiHidden/>
    <w:unhideWhenUsed/>
    <w:rsid w:val="00B40C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hyperlink" Target="https://docs.fcc.gov/public/attachments/FCC-18-133A1_Rcd.pdf" TargetMode="External" /><Relationship Id="rId8" Type="http://schemas.openxmlformats.org/officeDocument/2006/relationships/hyperlink" Target="https://www.govinfo.gov/content/pkg/FR-2018-10-15/pdf/2018-22234.pdf" TargetMode="External" /><Relationship Id="rId9" Type="http://schemas.openxmlformats.org/officeDocument/2006/relationships/header" Target="header3.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