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D7D09" w:rsidRPr="00EF2C5A" w:rsidP="006F53AE">
      <w:pPr>
        <w:pStyle w:val="Title"/>
        <w:outlineLvl w:val="0"/>
        <w:rPr>
          <w:szCs w:val="22"/>
        </w:rPr>
      </w:pPr>
      <w:r w:rsidRPr="00EF2C5A">
        <w:rPr>
          <w:szCs w:val="22"/>
        </w:rPr>
        <w:t>Before the</w:t>
      </w:r>
      <w:bookmarkStart w:id="0" w:name="_GoBack"/>
      <w:bookmarkEnd w:id="0"/>
    </w:p>
    <w:p w:rsidR="00AD7D09" w:rsidRPr="00142D97" w:rsidP="00AD7D09">
      <w:pPr>
        <w:pStyle w:val="Subtitle"/>
        <w:ind w:firstLine="0"/>
        <w:outlineLvl w:val="0"/>
      </w:pPr>
      <w:r w:rsidRPr="00142D97">
        <w:t>Federal Communications Commission</w:t>
      </w:r>
    </w:p>
    <w:p w:rsidR="00AD7D09" w:rsidRPr="00142D97" w:rsidP="00AD7D09">
      <w:pPr>
        <w:jc w:val="center"/>
        <w:outlineLvl w:val="0"/>
        <w:rPr>
          <w:b/>
        </w:rPr>
      </w:pPr>
      <w:r w:rsidRPr="00142D97">
        <w:rPr>
          <w:b/>
        </w:rPr>
        <w:t>Washington, D.C. 20554</w:t>
      </w:r>
    </w:p>
    <w:p w:rsidR="00AD7D09" w:rsidRPr="00142D97" w:rsidP="00AD7D09">
      <w:pPr>
        <w:tabs>
          <w:tab w:val="left" w:pos="-720"/>
        </w:tabs>
        <w:suppressAutoHyphens/>
        <w:spacing w:line="227" w:lineRule="auto"/>
        <w:rPr>
          <w:spacing w:val="-2"/>
        </w:rPr>
      </w:pPr>
    </w:p>
    <w:tbl>
      <w:tblPr>
        <w:tblW w:w="9439" w:type="dxa"/>
        <w:tblLayout w:type="fixed"/>
        <w:tblLook w:val="0000"/>
      </w:tblPr>
      <w:tblGrid>
        <w:gridCol w:w="4631"/>
        <w:gridCol w:w="621"/>
        <w:gridCol w:w="4187"/>
      </w:tblGrid>
      <w:tr w:rsidTr="004E3B6C">
        <w:tblPrEx>
          <w:tblW w:w="9439" w:type="dxa"/>
          <w:tblLayout w:type="fixed"/>
          <w:tblLook w:val="0000"/>
        </w:tblPrEx>
        <w:trPr>
          <w:trHeight w:val="5279"/>
        </w:trPr>
        <w:tc>
          <w:tcPr>
            <w:tcW w:w="4631" w:type="dxa"/>
          </w:tcPr>
          <w:p w:rsidR="00AD7D09" w:rsidRPr="00142D97" w:rsidP="00872D0C">
            <w:pPr>
              <w:pStyle w:val="TOAHeading"/>
              <w:tabs>
                <w:tab w:val="center" w:pos="4680"/>
                <w:tab w:val="clear" w:pos="9360"/>
              </w:tabs>
              <w:rPr>
                <w:spacing w:val="-2"/>
              </w:rPr>
            </w:pPr>
            <w:r w:rsidRPr="00142D97">
              <w:rPr>
                <w:spacing w:val="-2"/>
              </w:rPr>
              <w:t>In the Matter of</w:t>
            </w:r>
          </w:p>
          <w:p w:rsidR="00AD7D09" w:rsidRPr="00142D97" w:rsidP="00872D0C">
            <w:pPr>
              <w:pStyle w:val="TOAHeading"/>
              <w:tabs>
                <w:tab w:val="center" w:pos="4680"/>
                <w:tab w:val="clear" w:pos="9360"/>
              </w:tabs>
              <w:rPr>
                <w:spacing w:val="-2"/>
              </w:rPr>
            </w:pPr>
          </w:p>
          <w:p w:rsidR="00AD7D09" w:rsidRPr="00EF2C5A" w:rsidP="00872D0C">
            <w:pPr>
              <w:rPr>
                <w:szCs w:val="22"/>
              </w:rPr>
            </w:pPr>
            <w:r>
              <w:rPr>
                <w:szCs w:val="22"/>
              </w:rPr>
              <w:t>Birch</w:t>
            </w:r>
            <w:r w:rsidR="00EA5D90">
              <w:rPr>
                <w:szCs w:val="22"/>
              </w:rPr>
              <w:t xml:space="preserve"> Communications</w:t>
            </w:r>
          </w:p>
          <w:p w:rsidR="00AD7D09" w:rsidRPr="00142D97" w:rsidP="00872D0C">
            <w:pPr>
              <w:tabs>
                <w:tab w:val="center" w:pos="4680"/>
              </w:tabs>
              <w:suppressAutoHyphens/>
              <w:ind w:firstLine="720"/>
            </w:pPr>
          </w:p>
          <w:p w:rsidR="00AD7D09" w:rsidRPr="00142D97" w:rsidP="00872D0C">
            <w:pPr>
              <w:pStyle w:val="TOAHeading"/>
              <w:tabs>
                <w:tab w:val="center" w:pos="4680"/>
                <w:tab w:val="clear" w:pos="9360"/>
              </w:tabs>
            </w:pPr>
            <w:r w:rsidRPr="00142D97">
              <w:t xml:space="preserve">Complaints Regarding </w:t>
            </w:r>
          </w:p>
          <w:p w:rsidR="00AD7D09" w:rsidRPr="00142D97" w:rsidP="00872D0C">
            <w:pPr>
              <w:pStyle w:val="TOAHeading"/>
              <w:tabs>
                <w:tab w:val="center" w:pos="4680"/>
                <w:tab w:val="clear" w:pos="9360"/>
              </w:tabs>
            </w:pPr>
            <w:r w:rsidRPr="00142D97">
              <w:t>Unauthorized Change of</w:t>
            </w:r>
          </w:p>
          <w:p w:rsidR="00AD7D09" w:rsidRPr="00142D97" w:rsidP="00872D0C">
            <w:pPr>
              <w:pStyle w:val="TOAHeading"/>
              <w:tabs>
                <w:tab w:val="center" w:pos="4680"/>
                <w:tab w:val="clear" w:pos="9360"/>
              </w:tabs>
            </w:pPr>
            <w:r w:rsidRPr="00EF2C5A">
              <w:rPr>
                <w:szCs w:val="22"/>
              </w:rPr>
              <w:t>Subscribers’</w:t>
            </w:r>
            <w:r w:rsidRPr="00142D97">
              <w:t xml:space="preserve"> Telecommunications Carrier</w:t>
            </w:r>
          </w:p>
        </w:tc>
        <w:tc>
          <w:tcPr>
            <w:tcW w:w="621" w:type="dxa"/>
          </w:tcPr>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RPr="00142D97" w:rsidP="00872D0C">
            <w:pPr>
              <w:tabs>
                <w:tab w:val="center" w:pos="4680"/>
              </w:tabs>
              <w:suppressAutoHyphens/>
              <w:rPr>
                <w:b/>
                <w:spacing w:val="-2"/>
              </w:rPr>
            </w:pPr>
            <w:r w:rsidRPr="00142D97">
              <w:rPr>
                <w:b/>
                <w:spacing w:val="-2"/>
              </w:rPr>
              <w:t>)</w:t>
            </w:r>
          </w:p>
          <w:p w:rsidR="00AD7D09" w:rsidP="00872D0C">
            <w:pPr>
              <w:tabs>
                <w:tab w:val="center" w:pos="4680"/>
              </w:tabs>
              <w:suppressAutoHyphens/>
              <w:rPr>
                <w:b/>
                <w:spacing w:val="-2"/>
              </w:rPr>
            </w:pPr>
            <w:r w:rsidRPr="00142D97">
              <w:rPr>
                <w:b/>
                <w:spacing w:val="-2"/>
              </w:rPr>
              <w:t>)</w:t>
            </w:r>
          </w:p>
          <w:p w:rsidR="00AF660B" w:rsidP="00AF660B">
            <w:pPr>
              <w:tabs>
                <w:tab w:val="center" w:pos="4680"/>
              </w:tabs>
              <w:suppressAutoHyphens/>
              <w:rPr>
                <w:b/>
                <w:spacing w:val="-2"/>
              </w:rPr>
            </w:pPr>
            <w:r w:rsidRPr="00142D97">
              <w:rPr>
                <w:b/>
                <w:spacing w:val="-2"/>
              </w:rPr>
              <w:t>)</w:t>
            </w:r>
          </w:p>
          <w:p w:rsidR="00AF660B" w:rsidP="00AF660B">
            <w:pPr>
              <w:tabs>
                <w:tab w:val="center" w:pos="4680"/>
              </w:tabs>
              <w:suppressAutoHyphens/>
              <w:rPr>
                <w:b/>
                <w:spacing w:val="-2"/>
              </w:rPr>
            </w:pPr>
            <w:r w:rsidRPr="00142D97">
              <w:rPr>
                <w:b/>
                <w:spacing w:val="-2"/>
              </w:rPr>
              <w:t>)</w:t>
            </w:r>
          </w:p>
          <w:p w:rsidR="00AF660B" w:rsidP="00AF660B">
            <w:pPr>
              <w:tabs>
                <w:tab w:val="center" w:pos="4680"/>
              </w:tabs>
              <w:suppressAutoHyphens/>
              <w:rPr>
                <w:b/>
                <w:spacing w:val="-2"/>
              </w:rPr>
            </w:pPr>
            <w:r w:rsidRPr="00142D97">
              <w:rPr>
                <w:b/>
                <w:spacing w:val="-2"/>
              </w:rPr>
              <w:t>)</w:t>
            </w:r>
          </w:p>
          <w:p w:rsidR="00AF660B" w:rsidP="00AF660B">
            <w:pPr>
              <w:tabs>
                <w:tab w:val="center" w:pos="4680"/>
              </w:tabs>
              <w:suppressAutoHyphens/>
              <w:rPr>
                <w:b/>
                <w:spacing w:val="-2"/>
              </w:rPr>
            </w:pPr>
            <w:r w:rsidRPr="00142D97">
              <w:rPr>
                <w:b/>
                <w:spacing w:val="-2"/>
              </w:rPr>
              <w:t>)</w:t>
            </w:r>
          </w:p>
          <w:p w:rsidR="00AF660B" w:rsidP="00AF660B">
            <w:pPr>
              <w:tabs>
                <w:tab w:val="center" w:pos="4680"/>
              </w:tabs>
              <w:suppressAutoHyphens/>
              <w:rPr>
                <w:b/>
                <w:spacing w:val="-2"/>
              </w:rPr>
            </w:pPr>
            <w:r w:rsidRPr="00142D97">
              <w:rPr>
                <w:b/>
                <w:spacing w:val="-2"/>
              </w:rPr>
              <w:t>)</w:t>
            </w:r>
          </w:p>
          <w:p w:rsidR="00AF660B" w:rsidP="00AF660B">
            <w:pPr>
              <w:tabs>
                <w:tab w:val="center" w:pos="4680"/>
              </w:tabs>
              <w:suppressAutoHyphens/>
              <w:rPr>
                <w:b/>
                <w:spacing w:val="-2"/>
              </w:rPr>
            </w:pPr>
            <w:r w:rsidRPr="00142D97">
              <w:rPr>
                <w:b/>
                <w:spacing w:val="-2"/>
              </w:rPr>
              <w:t>)</w:t>
            </w:r>
          </w:p>
          <w:p w:rsidR="00AF660B" w:rsidP="00AF660B">
            <w:pPr>
              <w:tabs>
                <w:tab w:val="center" w:pos="4680"/>
              </w:tabs>
              <w:suppressAutoHyphens/>
              <w:rPr>
                <w:b/>
                <w:spacing w:val="-2"/>
              </w:rPr>
            </w:pPr>
            <w:r w:rsidRPr="00142D97">
              <w:rPr>
                <w:b/>
                <w:spacing w:val="-2"/>
              </w:rPr>
              <w:t>)</w:t>
            </w:r>
          </w:p>
          <w:p w:rsidR="00AF660B" w:rsidP="00AF660B">
            <w:pPr>
              <w:tabs>
                <w:tab w:val="center" w:pos="4680"/>
              </w:tabs>
              <w:suppressAutoHyphens/>
              <w:rPr>
                <w:b/>
                <w:spacing w:val="-2"/>
              </w:rPr>
            </w:pPr>
            <w:r w:rsidRPr="00142D97">
              <w:rPr>
                <w:b/>
                <w:spacing w:val="-2"/>
              </w:rPr>
              <w:t>)</w:t>
            </w:r>
          </w:p>
          <w:p w:rsidR="00AF660B" w:rsidP="00AF660B">
            <w:pPr>
              <w:tabs>
                <w:tab w:val="center" w:pos="4680"/>
              </w:tabs>
              <w:suppressAutoHyphens/>
              <w:rPr>
                <w:b/>
                <w:spacing w:val="-2"/>
              </w:rPr>
            </w:pPr>
            <w:r w:rsidRPr="00142D97">
              <w:rPr>
                <w:b/>
                <w:spacing w:val="-2"/>
              </w:rPr>
              <w:t>)</w:t>
            </w:r>
          </w:p>
          <w:p w:rsidR="00AF660B" w:rsidP="00AF660B">
            <w:pPr>
              <w:tabs>
                <w:tab w:val="center" w:pos="4680"/>
              </w:tabs>
              <w:suppressAutoHyphens/>
              <w:rPr>
                <w:b/>
                <w:spacing w:val="-2"/>
              </w:rPr>
            </w:pPr>
            <w:r w:rsidRPr="00142D97">
              <w:rPr>
                <w:b/>
                <w:spacing w:val="-2"/>
              </w:rPr>
              <w:t>)</w:t>
            </w:r>
          </w:p>
          <w:p w:rsidR="00AF660B" w:rsidP="00AF660B">
            <w:pPr>
              <w:tabs>
                <w:tab w:val="center" w:pos="4680"/>
              </w:tabs>
              <w:suppressAutoHyphens/>
              <w:rPr>
                <w:b/>
                <w:spacing w:val="-2"/>
              </w:rPr>
            </w:pPr>
            <w:r w:rsidRPr="00142D97">
              <w:rPr>
                <w:b/>
                <w:spacing w:val="-2"/>
              </w:rPr>
              <w:t>)</w:t>
            </w:r>
          </w:p>
          <w:p w:rsidR="00AD7D09" w:rsidRPr="003D1861" w:rsidP="00872D0C">
            <w:pPr>
              <w:tabs>
                <w:tab w:val="center" w:pos="4680"/>
              </w:tabs>
              <w:suppressAutoHyphens/>
              <w:rPr>
                <w:b/>
                <w:spacing w:val="-2"/>
              </w:rPr>
            </w:pPr>
            <w:r w:rsidRPr="00142D97">
              <w:rPr>
                <w:b/>
                <w:spacing w:val="-2"/>
              </w:rPr>
              <w:t>)</w:t>
            </w:r>
          </w:p>
        </w:tc>
        <w:tc>
          <w:tcPr>
            <w:tcW w:w="4187" w:type="dxa"/>
          </w:tcPr>
          <w:p w:rsidR="00AD7D09" w:rsidRPr="00142D97" w:rsidP="00872D0C">
            <w:pPr>
              <w:tabs>
                <w:tab w:val="center" w:pos="4680"/>
              </w:tabs>
              <w:suppressAutoHyphens/>
              <w:rPr>
                <w:spacing w:val="-2"/>
              </w:rPr>
            </w:pPr>
          </w:p>
          <w:p w:rsidR="00AD7D09" w:rsidRPr="00142D97" w:rsidP="00872D0C">
            <w:pPr>
              <w:tabs>
                <w:tab w:val="center" w:pos="4680"/>
              </w:tabs>
              <w:suppressAutoHyphens/>
              <w:rPr>
                <w:spacing w:val="-2"/>
              </w:rPr>
            </w:pPr>
          </w:p>
          <w:p w:rsidR="009C6799" w:rsidP="00AF660B">
            <w:pPr>
              <w:pStyle w:val="TOAHeading"/>
              <w:ind w:left="-30"/>
              <w:rPr>
                <w:szCs w:val="22"/>
              </w:rPr>
            </w:pPr>
            <w:r>
              <w:rPr>
                <w:szCs w:val="22"/>
              </w:rPr>
              <w:t>Complaint No</w:t>
            </w:r>
            <w:r w:rsidR="004F6A77">
              <w:rPr>
                <w:szCs w:val="22"/>
              </w:rPr>
              <w:t>s</w:t>
            </w:r>
            <w:r w:rsidRPr="00EF2C5A">
              <w:rPr>
                <w:szCs w:val="22"/>
              </w:rPr>
              <w:t>.</w:t>
            </w:r>
            <w:r w:rsidR="005F7CD1">
              <w:rPr>
                <w:szCs w:val="22"/>
              </w:rPr>
              <w:t xml:space="preserve"> </w:t>
            </w:r>
            <w:r w:rsidR="00AF660B">
              <w:rPr>
                <w:szCs w:val="22"/>
              </w:rPr>
              <w:t xml:space="preserve"> </w:t>
            </w:r>
            <w:r w:rsidR="009D0EA7">
              <w:rPr>
                <w:szCs w:val="22"/>
              </w:rPr>
              <w:t>1</w:t>
            </w:r>
            <w:r w:rsidR="007F0191">
              <w:rPr>
                <w:szCs w:val="22"/>
              </w:rPr>
              <w:t>78</w:t>
            </w:r>
            <w:r w:rsidR="00AF660B">
              <w:rPr>
                <w:szCs w:val="22"/>
              </w:rPr>
              <w:t>3212</w:t>
            </w:r>
          </w:p>
          <w:p w:rsidR="009D0EA7" w:rsidRPr="009D0EA7" w:rsidP="009D0EA7">
            <w:r>
              <w:t xml:space="preserve">                           </w:t>
            </w:r>
            <w:r w:rsidR="00AF660B">
              <w:t>1814253</w:t>
            </w:r>
          </w:p>
          <w:p w:rsidR="009D0EA7" w:rsidP="009D0EA7">
            <w:r>
              <w:t xml:space="preserve">                           1831324</w:t>
            </w:r>
          </w:p>
          <w:p w:rsidR="00AF660B" w:rsidP="009D0EA7">
            <w:r>
              <w:t xml:space="preserve">                           1858731</w:t>
            </w:r>
          </w:p>
          <w:p w:rsidR="00AF660B" w:rsidP="009D0EA7">
            <w:r>
              <w:t xml:space="preserve">                           1994982</w:t>
            </w:r>
          </w:p>
          <w:p w:rsidR="00AF660B" w:rsidP="009D0EA7">
            <w:r>
              <w:t xml:space="preserve">                           2252231</w:t>
            </w:r>
          </w:p>
          <w:p w:rsidR="00AF660B" w:rsidP="009D0EA7">
            <w:r>
              <w:t xml:space="preserve">                           2265852</w:t>
            </w:r>
          </w:p>
          <w:p w:rsidR="00AF660B" w:rsidP="009D0EA7">
            <w:r>
              <w:t xml:space="preserve">                           2288891</w:t>
            </w:r>
          </w:p>
          <w:p w:rsidR="00AF660B" w:rsidP="009D0EA7">
            <w:r>
              <w:t xml:space="preserve">                           2340098</w:t>
            </w:r>
          </w:p>
          <w:p w:rsidR="00AF660B" w:rsidP="009D0EA7">
            <w:r>
              <w:t xml:space="preserve">                           2373601</w:t>
            </w:r>
          </w:p>
          <w:p w:rsidR="00AF660B" w:rsidP="009D0EA7">
            <w:r>
              <w:t xml:space="preserve">                           2415426</w:t>
            </w:r>
          </w:p>
          <w:p w:rsidR="00AF660B" w:rsidP="009D0EA7">
            <w:r>
              <w:t xml:space="preserve">                           2429846</w:t>
            </w:r>
          </w:p>
          <w:p w:rsidR="00AF660B" w:rsidP="009D0EA7">
            <w:r>
              <w:t xml:space="preserve">                           2436968</w:t>
            </w:r>
          </w:p>
          <w:p w:rsidR="00AF660B" w:rsidP="009D0EA7">
            <w:r>
              <w:t xml:space="preserve">                           2440040</w:t>
            </w:r>
          </w:p>
          <w:p w:rsidR="00AF660B" w:rsidP="009D0EA7">
            <w:r>
              <w:t xml:space="preserve">                           2448643</w:t>
            </w:r>
          </w:p>
          <w:p w:rsidR="00AF660B" w:rsidP="009D0EA7">
            <w:r>
              <w:t xml:space="preserve">                           2547669</w:t>
            </w:r>
          </w:p>
          <w:p w:rsidR="00AF660B" w:rsidRPr="009D0EA7" w:rsidP="009D0EA7">
            <w:r>
              <w:t xml:space="preserve">                           2594345</w:t>
            </w:r>
          </w:p>
          <w:p w:rsidR="009C6799" w:rsidP="00CC3872">
            <w:pPr>
              <w:pStyle w:val="TOAHeading"/>
              <w:rPr>
                <w:szCs w:val="22"/>
              </w:rPr>
            </w:pPr>
            <w:r>
              <w:rPr>
                <w:szCs w:val="22"/>
              </w:rPr>
              <w:t xml:space="preserve">                         </w:t>
            </w:r>
          </w:p>
          <w:p w:rsidR="005F7CD1" w:rsidRPr="005F7CD1" w:rsidP="005F7CD1">
            <w:r>
              <w:t xml:space="preserve">                      </w:t>
            </w:r>
          </w:p>
        </w:tc>
      </w:tr>
    </w:tbl>
    <w:p w:rsidR="00AD7D09" w:rsidRPr="00142D97" w:rsidP="004E3B6C">
      <w:pPr>
        <w:jc w:val="center"/>
        <w:rPr>
          <w:b/>
        </w:rPr>
      </w:pPr>
      <w:r w:rsidRPr="00142D97">
        <w:rPr>
          <w:b/>
        </w:rPr>
        <w:t>ORDER</w:t>
      </w:r>
    </w:p>
    <w:p w:rsidR="00AD7D09" w:rsidRPr="00142D97" w:rsidP="00AD7D09">
      <w:pPr>
        <w:tabs>
          <w:tab w:val="left" w:pos="-720"/>
        </w:tabs>
        <w:suppressAutoHyphens/>
        <w:spacing w:line="227" w:lineRule="auto"/>
        <w:ind w:left="720"/>
        <w:rPr>
          <w:spacing w:val="-2"/>
        </w:rPr>
      </w:pPr>
    </w:p>
    <w:p w:rsidR="00AD7D09" w:rsidRPr="00142D97" w:rsidP="00AD7D09">
      <w:pPr>
        <w:tabs>
          <w:tab w:val="left" w:pos="0"/>
          <w:tab w:val="left" w:pos="5760"/>
        </w:tabs>
        <w:suppressAutoHyphens/>
        <w:spacing w:line="227" w:lineRule="auto"/>
        <w:jc w:val="left"/>
        <w:rPr>
          <w:spacing w:val="-2"/>
        </w:rPr>
      </w:pPr>
      <w:r w:rsidRPr="00142D97">
        <w:rPr>
          <w:b/>
          <w:spacing w:val="-2"/>
        </w:rPr>
        <w:t>Adopted:</w:t>
      </w:r>
      <w:r w:rsidR="00F068EC">
        <w:rPr>
          <w:b/>
          <w:spacing w:val="-2"/>
        </w:rPr>
        <w:t xml:space="preserve"> April 15</w:t>
      </w:r>
      <w:r w:rsidRPr="00142D97">
        <w:rPr>
          <w:b/>
          <w:spacing w:val="-2"/>
        </w:rPr>
        <w:t>, 201</w:t>
      </w:r>
      <w:r w:rsidR="009D0EA7">
        <w:rPr>
          <w:b/>
          <w:spacing w:val="-2"/>
        </w:rPr>
        <w:t>9</w:t>
      </w:r>
      <w:r w:rsidRPr="00142D97">
        <w:rPr>
          <w:b/>
          <w:spacing w:val="-2"/>
        </w:rPr>
        <w:tab/>
        <w:t xml:space="preserve">Released: </w:t>
      </w:r>
      <w:r w:rsidR="00F068EC">
        <w:rPr>
          <w:b/>
          <w:spacing w:val="-2"/>
        </w:rPr>
        <w:t>April 15</w:t>
      </w:r>
      <w:r w:rsidRPr="00142D97">
        <w:rPr>
          <w:b/>
          <w:spacing w:val="-2"/>
        </w:rPr>
        <w:t>, 201</w:t>
      </w:r>
      <w:r w:rsidR="009D0EA7">
        <w:rPr>
          <w:b/>
          <w:spacing w:val="-2"/>
        </w:rPr>
        <w:t>9</w:t>
      </w:r>
    </w:p>
    <w:p w:rsidR="00AD7D09" w:rsidRPr="00142D97" w:rsidP="00AD7D09"/>
    <w:p w:rsidR="00AD7D09" w:rsidRPr="00142D97" w:rsidP="00AD7D09">
      <w:r w:rsidRPr="00142D97">
        <w:t xml:space="preserve">By the Deputy Chief, Consumer Policy Division, Consumer </w:t>
      </w:r>
      <w:r w:rsidR="008403C5">
        <w:t>and</w:t>
      </w:r>
      <w:r w:rsidRPr="00142D97">
        <w:t xml:space="preserve"> Governmental Affairs Bureau:</w:t>
      </w:r>
    </w:p>
    <w:p w:rsidR="00AD7D09" w:rsidRPr="00142D97" w:rsidP="00AD7D09">
      <w:pPr>
        <w:tabs>
          <w:tab w:val="left" w:pos="432"/>
        </w:tabs>
      </w:pPr>
    </w:p>
    <w:p w:rsidR="009E3DF7" w:rsidP="009E3DF7">
      <w:pPr>
        <w:numPr>
          <w:ilvl w:val="0"/>
          <w:numId w:val="7"/>
        </w:numPr>
        <w:tabs>
          <w:tab w:val="num" w:pos="0"/>
          <w:tab w:val="clear" w:pos="1440"/>
        </w:tabs>
        <w:ind w:left="0" w:firstLine="720"/>
        <w:jc w:val="left"/>
      </w:pPr>
      <w:r w:rsidRPr="00142D97">
        <w:t xml:space="preserve">In this Order, we consider </w:t>
      </w:r>
      <w:r>
        <w:t xml:space="preserve">the </w:t>
      </w:r>
      <w:r w:rsidRPr="00142D97">
        <w:t>complaint</w:t>
      </w:r>
      <w:r w:rsidR="000E7B25">
        <w:t>s</w:t>
      </w:r>
      <w:r>
        <w:rPr>
          <w:rStyle w:val="FootnoteReference"/>
          <w:szCs w:val="22"/>
        </w:rPr>
        <w:footnoteReference w:id="3"/>
      </w:r>
      <w:r w:rsidRPr="00142D97">
        <w:t xml:space="preserve"> alleging that</w:t>
      </w:r>
      <w:r>
        <w:t xml:space="preserve"> </w:t>
      </w:r>
      <w:r w:rsidR="009D0EA7">
        <w:t>Birch Communications (Birch)</w:t>
      </w:r>
      <w:r w:rsidRPr="00142D97">
        <w:t xml:space="preserve"> </w:t>
      </w:r>
      <w:r>
        <w:t>changed Complainants</w:t>
      </w:r>
      <w:r w:rsidR="000E7B25">
        <w:t>’</w:t>
      </w:r>
      <w:r w:rsidRPr="00142D97">
        <w:t xml:space="preserve"> telecommunications service provider</w:t>
      </w:r>
      <w:r w:rsidR="000E7B25">
        <w:t>s</w:t>
      </w:r>
      <w:r w:rsidRPr="00142D97">
        <w:t xml:space="preserve"> without obtaining authorization and verification from Complainant</w:t>
      </w:r>
      <w:r w:rsidR="000E7B25">
        <w:t>s</w:t>
      </w:r>
      <w:r w:rsidRPr="00142D97">
        <w:t xml:space="preserve"> in violation of the Commission’s rules.</w:t>
      </w:r>
      <w:r>
        <w:rPr>
          <w:rStyle w:val="FootnoteReference"/>
        </w:rPr>
        <w:footnoteReference w:id="4"/>
      </w:r>
      <w:r w:rsidRPr="00142D97">
        <w:t xml:space="preserve">  We conclude that </w:t>
      </w:r>
      <w:r w:rsidR="009D0EA7">
        <w:t>Birch</w:t>
      </w:r>
      <w:r w:rsidR="00AF660B">
        <w:t xml:space="preserve"> has responded fully to the Complainants’ complaints and has </w:t>
      </w:r>
      <w:r w:rsidR="00AF660B">
        <w:t>taken action</w:t>
      </w:r>
      <w:r w:rsidR="00AF660B">
        <w:t xml:space="preserve"> to resolve the complaints.</w:t>
      </w:r>
    </w:p>
    <w:p w:rsidR="009E3DF7" w:rsidP="009E3DF7">
      <w:pPr>
        <w:jc w:val="left"/>
      </w:pPr>
    </w:p>
    <w:p w:rsidR="008B6AE4" w:rsidP="008B6AE4">
      <w:pPr>
        <w:numPr>
          <w:ilvl w:val="0"/>
          <w:numId w:val="7"/>
        </w:numPr>
        <w:tabs>
          <w:tab w:val="num" w:pos="0"/>
          <w:tab w:val="clear" w:pos="1440"/>
        </w:tabs>
        <w:ind w:left="0" w:firstLine="720"/>
        <w:jc w:val="left"/>
      </w:pPr>
      <w:r w:rsidRPr="00142D97">
        <w:t>Section 258 of the Communications Act of 1934 (</w:t>
      </w:r>
      <w:r w:rsidR="009E3DF7">
        <w:t xml:space="preserve">the </w:t>
      </w:r>
      <w:r w:rsidRPr="00142D97">
        <w:t>Act), as amended</w:t>
      </w:r>
      <w:r w:rsidR="009E3DF7">
        <w:t xml:space="preserve">, </w:t>
      </w:r>
      <w:r w:rsidRPr="00142D97">
        <w:t>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6"/>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 xml:space="preserve">independent third party to verify the subscriber's </w:t>
      </w:r>
      <w:r w:rsidRPr="00142D97">
        <w:t>order.</w:t>
      </w:r>
      <w:r>
        <w:rPr>
          <w:rStyle w:val="FootnoteReference"/>
        </w:rPr>
        <w:footnoteReference w:id="7"/>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rsidRPr="00142D97">
        <w:t xml:space="preserve"> </w:t>
      </w:r>
    </w:p>
    <w:p w:rsidR="008B6AE4" w:rsidP="008B6AE4">
      <w:pPr>
        <w:jc w:val="left"/>
      </w:pPr>
    </w:p>
    <w:p w:rsidR="008B6AE4" w:rsidP="008B6AE4">
      <w:pPr>
        <w:numPr>
          <w:ilvl w:val="0"/>
          <w:numId w:val="7"/>
        </w:numPr>
        <w:tabs>
          <w:tab w:val="num" w:pos="0"/>
          <w:tab w:val="clear" w:pos="1440"/>
        </w:tabs>
        <w:ind w:left="0" w:firstLine="720"/>
        <w:jc w:val="left"/>
      </w:pPr>
      <w:r w:rsidRPr="00142D97">
        <w:t xml:space="preserve">We received </w:t>
      </w:r>
      <w:r>
        <w:t>Complainants</w:t>
      </w:r>
      <w:r w:rsidR="000E7B25">
        <w:t>’</w:t>
      </w:r>
      <w:r w:rsidRPr="00142D97">
        <w:t xml:space="preserve"> complaint</w:t>
      </w:r>
      <w:r w:rsidR="000E7B25">
        <w:t>s</w:t>
      </w:r>
      <w:r w:rsidRPr="00142D97">
        <w:t xml:space="preserve"> alleging that </w:t>
      </w:r>
      <w:r w:rsidR="008058B5">
        <w:t xml:space="preserve">Birch had changed </w:t>
      </w:r>
      <w:r w:rsidRPr="00142D97">
        <w:t>Complainant</w:t>
      </w:r>
      <w:r>
        <w:t>s</w:t>
      </w:r>
      <w:r w:rsidR="000E7B25">
        <w:t>’</w:t>
      </w:r>
      <w:r w:rsidRPr="00142D97">
        <w:t xml:space="preserve"> tele</w:t>
      </w:r>
      <w:r>
        <w:t>communications service provider</w:t>
      </w:r>
      <w:r w:rsidR="000E7B25">
        <w:t>s</w:t>
      </w:r>
      <w:r w:rsidRPr="00142D97">
        <w:t xml:space="preserve"> </w:t>
      </w:r>
      <w:r>
        <w:t>without Complainants</w:t>
      </w:r>
      <w:r w:rsidR="000E7B25">
        <w:t>’</w:t>
      </w:r>
      <w:r w:rsidRPr="00142D97">
        <w:t xml:space="preserve"> authorization.</w:t>
      </w:r>
      <w:r>
        <w:rPr>
          <w:rStyle w:val="FootnoteReference"/>
          <w:szCs w:val="22"/>
        </w:rPr>
        <w:footnoteReference w:id="9"/>
      </w:r>
      <w:r w:rsidRPr="00142D97">
        <w:t xml:space="preserve">  Pursuant to Sections 1.719</w:t>
      </w:r>
      <w:r>
        <w:t xml:space="preserve"> </w:t>
      </w:r>
      <w:r w:rsidRPr="00142D97">
        <w:t xml:space="preserve">and 64.1150 of our rules, we notified </w:t>
      </w:r>
      <w:r w:rsidR="009D0EA7">
        <w:t>Birch</w:t>
      </w:r>
      <w:r>
        <w:t xml:space="preserve"> of the complaint</w:t>
      </w:r>
      <w:r w:rsidR="000E7B25">
        <w:t>s</w:t>
      </w:r>
      <w:r w:rsidRPr="00142D97">
        <w:t>.</w:t>
      </w:r>
      <w:r>
        <w:rPr>
          <w:rStyle w:val="FootnoteReference"/>
        </w:rPr>
        <w:footnoteReference w:id="10"/>
      </w:r>
      <w:r w:rsidRPr="00142D97">
        <w:t xml:space="preserve">  </w:t>
      </w:r>
      <w:r w:rsidR="007D7D61">
        <w:t xml:space="preserve">Based on the information provided by Birch, it appears that </w:t>
      </w:r>
      <w:r w:rsidR="009D0EA7">
        <w:t>Birch</w:t>
      </w:r>
      <w:r>
        <w:t xml:space="preserve"> </w:t>
      </w:r>
      <w:r w:rsidR="00AF660B">
        <w:t>has fully absolved Complainants of all charges assessed by Birch in a manner consistent with the Commission’s liability rules.</w:t>
      </w:r>
      <w:r>
        <w:rPr>
          <w:rStyle w:val="FootnoteReference"/>
        </w:rPr>
        <w:footnoteReference w:id="11"/>
      </w:r>
      <w:r w:rsidR="00FE21D9">
        <w:t xml:space="preserve">  </w:t>
      </w:r>
      <w:r w:rsidR="007D7D61">
        <w:t>W</w:t>
      </w:r>
      <w:r w:rsidR="00FE21D9">
        <w:t>e therefore find that the complaints referenced herein have been resolved.</w:t>
      </w:r>
    </w:p>
    <w:p w:rsidR="008B6AE4" w:rsidP="008B6AE4">
      <w:pPr>
        <w:pStyle w:val="ListParagraph"/>
      </w:pPr>
    </w:p>
    <w:p w:rsidR="008B6AE4" w:rsidP="008B6AE4">
      <w:pPr>
        <w:numPr>
          <w:ilvl w:val="0"/>
          <w:numId w:val="7"/>
        </w:numPr>
        <w:tabs>
          <w:tab w:val="num" w:pos="0"/>
          <w:tab w:val="clear" w:pos="1440"/>
        </w:tabs>
        <w:ind w:left="0" w:firstLine="720"/>
        <w:jc w:val="left"/>
      </w:pPr>
      <w:r w:rsidRPr="00142D97">
        <w:t>Accordingly, IT IS ORDERED that, pursuant to Section 258 of the Communications Act of 1934, as amended, 47 U.S.C. § 258, and Sections 0.141, 0.361 and 1.719 of the Commission’s rules, 47 C</w:t>
      </w:r>
      <w:r>
        <w:t>F</w:t>
      </w:r>
      <w:r w:rsidRPr="00142D97">
        <w:t>R §§ 0.1</w:t>
      </w:r>
      <w:r>
        <w:t>41, 0.361, 1.719, the complaint</w:t>
      </w:r>
      <w:r w:rsidR="00364ABD">
        <w:t>s</w:t>
      </w:r>
      <w:r w:rsidRPr="00142D97">
        <w:t xml:space="preserve"> </w:t>
      </w:r>
      <w:r w:rsidR="00F0517A">
        <w:t xml:space="preserve">filed </w:t>
      </w:r>
      <w:r w:rsidRPr="00142D97">
        <w:t xml:space="preserve">against </w:t>
      </w:r>
      <w:r w:rsidR="009D0EA7">
        <w:t>Birch</w:t>
      </w:r>
      <w:r w:rsidRPr="00142D97">
        <w:t xml:space="preserve"> Communications</w:t>
      </w:r>
      <w:r>
        <w:t xml:space="preserve">, </w:t>
      </w:r>
      <w:r w:rsidR="00364ABD">
        <w:t>ARE</w:t>
      </w:r>
      <w:r>
        <w:t xml:space="preserve"> </w:t>
      </w:r>
      <w:r w:rsidR="00FE21D9">
        <w:t>RESOLVED</w:t>
      </w:r>
      <w:r w:rsidRPr="00142D97">
        <w:t>.</w:t>
      </w:r>
    </w:p>
    <w:p w:rsidR="008B6AE4" w:rsidP="008B6AE4">
      <w:pPr>
        <w:pStyle w:val="ListParagraph"/>
      </w:pPr>
    </w:p>
    <w:p w:rsidR="00AD7D09" w:rsidRPr="00142D97" w:rsidP="008B6AE4">
      <w:pPr>
        <w:numPr>
          <w:ilvl w:val="0"/>
          <w:numId w:val="7"/>
        </w:numPr>
        <w:tabs>
          <w:tab w:val="num" w:pos="0"/>
          <w:tab w:val="clear" w:pos="1440"/>
        </w:tabs>
        <w:ind w:left="0" w:firstLine="720"/>
        <w:jc w:val="left"/>
      </w:pPr>
      <w:r>
        <w:t>IT IS FURTHER ORDERED that this Order is effective upon release.</w:t>
      </w:r>
    </w:p>
    <w:p w:rsidR="00AD7D09" w:rsidP="00AD7D09">
      <w:pPr>
        <w:ind w:right="270"/>
      </w:pPr>
      <w:r w:rsidRPr="00142D97">
        <w:tab/>
      </w:r>
      <w:r w:rsidRPr="00142D97">
        <w:tab/>
      </w:r>
    </w:p>
    <w:p w:rsidR="00AD7D09" w:rsidRPr="00142D97" w:rsidP="00AD7D09">
      <w:pPr>
        <w:ind w:right="270"/>
      </w:pPr>
    </w:p>
    <w:p w:rsidR="00AD7D09" w:rsidP="00B354E1">
      <w:pPr>
        <w:ind w:left="4320" w:right="270" w:firstLine="720"/>
        <w:jc w:val="center"/>
      </w:pPr>
      <w:r>
        <w:rPr>
          <w:noProof/>
          <w:snapToGrid/>
        </w:rPr>
        <w:drawing>
          <wp:inline distT="0" distB="0" distL="0" distR="0">
            <wp:extent cx="2695951" cy="140037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575186" name="My Signature.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2695951" cy="1400370"/>
                    </a:xfrm>
                    <a:prstGeom prst="rect">
                      <a:avLst/>
                    </a:prstGeom>
                  </pic:spPr>
                </pic:pic>
              </a:graphicData>
            </a:graphic>
          </wp:inline>
        </w:drawing>
      </w:r>
    </w:p>
    <w:p w:rsidR="00DC7C27" w:rsidP="00AD7D09">
      <w:pPr>
        <w:ind w:right="270"/>
        <w:jc w:val="center"/>
      </w:pPr>
    </w:p>
    <w:p w:rsidR="00DC7C27" w:rsidP="00AD7D09">
      <w:pPr>
        <w:ind w:right="270"/>
        <w:jc w:val="center"/>
      </w:pPr>
    </w:p>
    <w:p w:rsidR="00DC7C27" w:rsidP="00AD7D09">
      <w:pPr>
        <w:ind w:right="270"/>
        <w:jc w:val="center"/>
      </w:pPr>
    </w:p>
    <w:p w:rsidR="00B84AD6" w:rsidP="001F2988">
      <w:pPr>
        <w:ind w:right="270"/>
        <w:jc w:val="center"/>
        <w:rPr>
          <w:b/>
          <w:szCs w:val="22"/>
        </w:rPr>
      </w:pPr>
    </w:p>
    <w:p w:rsidR="001F2988" w:rsidRPr="00DC7C27" w:rsidP="001F2988">
      <w:pPr>
        <w:ind w:right="270"/>
        <w:jc w:val="center"/>
        <w:rPr>
          <w:b/>
          <w:szCs w:val="22"/>
        </w:rPr>
      </w:pPr>
      <w:r w:rsidRPr="00DC7C27">
        <w:rPr>
          <w:b/>
          <w:szCs w:val="22"/>
        </w:rPr>
        <w:t xml:space="preserve">APPENDIX </w:t>
      </w:r>
    </w:p>
    <w:tbl>
      <w:tblPr>
        <w:tblW w:w="0" w:type="auto"/>
        <w:jc w:val="center"/>
        <w:tblCellMar>
          <w:left w:w="115" w:type="dxa"/>
          <w:right w:w="115" w:type="dxa"/>
        </w:tblCellMar>
        <w:tblLook w:val="00A0"/>
      </w:tblPr>
      <w:tblGrid>
        <w:gridCol w:w="2191"/>
        <w:gridCol w:w="2463"/>
        <w:gridCol w:w="2504"/>
      </w:tblGrid>
      <w:tr w:rsidTr="005914F9">
        <w:tblPrEx>
          <w:tblW w:w="0" w:type="auto"/>
          <w:jc w:val="center"/>
          <w:tblCellMar>
            <w:left w:w="115" w:type="dxa"/>
            <w:right w:w="115" w:type="dxa"/>
          </w:tblCellMar>
          <w:tblLook w:val="00A0"/>
        </w:tblPrEx>
        <w:trPr>
          <w:trHeight w:val="1050"/>
          <w:jc w:val="center"/>
        </w:trPr>
        <w:tc>
          <w:tcPr>
            <w:tcW w:w="2191" w:type="dxa"/>
            <w:shd w:val="clear" w:color="auto" w:fill="FFFFFF"/>
          </w:tcPr>
          <w:p w:rsidR="001F2988" w:rsidRPr="006A6321" w:rsidP="005914F9">
            <w:pPr>
              <w:widowControl/>
              <w:tabs>
                <w:tab w:val="left" w:pos="720"/>
                <w:tab w:val="left" w:pos="1440"/>
              </w:tabs>
              <w:spacing w:after="200"/>
              <w:ind w:right="144"/>
              <w:jc w:val="left"/>
              <w:rPr>
                <w:snapToGrid/>
                <w:color w:val="000000"/>
                <w:kern w:val="0"/>
                <w:szCs w:val="22"/>
                <w:u w:val="single"/>
              </w:rPr>
            </w:pPr>
          </w:p>
          <w:p w:rsidR="001F2988" w:rsidRPr="006A6321" w:rsidP="005914F9">
            <w:pPr>
              <w:widowControl/>
              <w:tabs>
                <w:tab w:val="left" w:pos="720"/>
                <w:tab w:val="left" w:pos="1440"/>
              </w:tabs>
              <w:spacing w:after="200"/>
              <w:ind w:right="144"/>
              <w:jc w:val="left"/>
              <w:rPr>
                <w:snapToGrid/>
                <w:color w:val="000000"/>
                <w:kern w:val="0"/>
                <w:szCs w:val="22"/>
                <w:u w:val="single"/>
              </w:rPr>
            </w:pPr>
            <w:r w:rsidRPr="006A6321">
              <w:rPr>
                <w:snapToGrid/>
                <w:color w:val="000000"/>
                <w:kern w:val="0"/>
                <w:szCs w:val="22"/>
                <w:u w:val="single"/>
              </w:rPr>
              <w:t>COMPLAINT NUMBER</w:t>
            </w:r>
          </w:p>
        </w:tc>
        <w:tc>
          <w:tcPr>
            <w:tcW w:w="2463" w:type="dxa"/>
          </w:tcPr>
          <w:p w:rsidR="001F2988" w:rsidRPr="006A6321" w:rsidP="005914F9">
            <w:pPr>
              <w:widowControl/>
              <w:tabs>
                <w:tab w:val="left" w:pos="720"/>
                <w:tab w:val="left" w:pos="1440"/>
              </w:tabs>
              <w:spacing w:after="200"/>
              <w:ind w:right="144"/>
              <w:jc w:val="left"/>
              <w:rPr>
                <w:snapToGrid/>
                <w:color w:val="FFFFFF"/>
                <w:kern w:val="0"/>
                <w:szCs w:val="22"/>
                <w:u w:val="single"/>
              </w:rPr>
            </w:pPr>
          </w:p>
          <w:p w:rsidR="001F2988" w:rsidRPr="006A6321" w:rsidP="005914F9">
            <w:pPr>
              <w:widowControl/>
              <w:tabs>
                <w:tab w:val="left" w:pos="720"/>
                <w:tab w:val="left" w:pos="1440"/>
              </w:tabs>
              <w:spacing w:after="200"/>
              <w:ind w:right="144"/>
              <w:jc w:val="left"/>
              <w:rPr>
                <w:snapToGrid/>
                <w:color w:val="000000"/>
                <w:kern w:val="0"/>
                <w:szCs w:val="22"/>
                <w:u w:val="single"/>
              </w:rPr>
            </w:pPr>
            <w:r w:rsidRPr="006A6321">
              <w:rPr>
                <w:snapToGrid/>
                <w:color w:val="000000"/>
                <w:kern w:val="0"/>
                <w:szCs w:val="22"/>
                <w:u w:val="single"/>
              </w:rPr>
              <w:t>DATE OF COMPLAINT</w:t>
            </w:r>
          </w:p>
        </w:tc>
        <w:tc>
          <w:tcPr>
            <w:tcW w:w="2504" w:type="dxa"/>
          </w:tcPr>
          <w:p w:rsidR="001F2988" w:rsidRPr="006A6321" w:rsidP="005914F9">
            <w:pPr>
              <w:widowControl/>
              <w:tabs>
                <w:tab w:val="left" w:pos="720"/>
                <w:tab w:val="left" w:pos="1440"/>
              </w:tabs>
              <w:spacing w:after="200"/>
              <w:ind w:right="144"/>
              <w:jc w:val="left"/>
              <w:rPr>
                <w:snapToGrid/>
                <w:color w:val="FFFFFF"/>
                <w:kern w:val="0"/>
                <w:szCs w:val="22"/>
                <w:u w:val="single"/>
              </w:rPr>
            </w:pPr>
          </w:p>
          <w:p w:rsidR="001F2988" w:rsidRPr="006A6321" w:rsidP="005914F9">
            <w:pPr>
              <w:widowControl/>
              <w:tabs>
                <w:tab w:val="left" w:pos="720"/>
                <w:tab w:val="left" w:pos="1440"/>
              </w:tabs>
              <w:spacing w:after="200"/>
              <w:ind w:right="144"/>
              <w:jc w:val="left"/>
              <w:rPr>
                <w:snapToGrid/>
                <w:color w:val="000000"/>
                <w:kern w:val="0"/>
                <w:szCs w:val="22"/>
                <w:u w:val="single"/>
              </w:rPr>
            </w:pPr>
            <w:r w:rsidRPr="006A6321">
              <w:rPr>
                <w:snapToGrid/>
                <w:color w:val="000000"/>
                <w:kern w:val="0"/>
                <w:szCs w:val="22"/>
                <w:u w:val="single"/>
              </w:rPr>
              <w:t xml:space="preserve">DATE </w:t>
            </w:r>
            <w:r w:rsidRPr="006A6321">
              <w:rPr>
                <w:snapToGrid/>
                <w:color w:val="000000"/>
                <w:kern w:val="0"/>
                <w:szCs w:val="22"/>
                <w:u w:val="single"/>
              </w:rPr>
              <w:t xml:space="preserve">OF  </w:t>
            </w:r>
            <w:r w:rsidRPr="006A6321" w:rsidR="00F0517A">
              <w:rPr>
                <w:snapToGrid/>
                <w:color w:val="000000"/>
                <w:kern w:val="0"/>
                <w:szCs w:val="22"/>
                <w:u w:val="single"/>
              </w:rPr>
              <w:t>RESPONSE</w:t>
            </w:r>
          </w:p>
        </w:tc>
      </w:tr>
      <w:tr w:rsidTr="005914F9">
        <w:tblPrEx>
          <w:tblW w:w="0" w:type="auto"/>
          <w:jc w:val="center"/>
          <w:tblCellMar>
            <w:left w:w="115" w:type="dxa"/>
            <w:right w:w="115" w:type="dxa"/>
          </w:tblCellMar>
          <w:tblLook w:val="00A0"/>
        </w:tblPrEx>
        <w:trPr>
          <w:trHeight w:val="3600"/>
          <w:jc w:val="center"/>
        </w:trPr>
        <w:tc>
          <w:tcPr>
            <w:tcW w:w="2191" w:type="dxa"/>
          </w:tcPr>
          <w:p w:rsidR="006A6321" w:rsidRPr="006A6321" w:rsidP="006A6321">
            <w:pPr>
              <w:pStyle w:val="TOAHeading"/>
              <w:ind w:left="-30"/>
              <w:rPr>
                <w:szCs w:val="22"/>
              </w:rPr>
            </w:pPr>
            <w:r w:rsidRPr="006A6321">
              <w:rPr>
                <w:szCs w:val="22"/>
              </w:rPr>
              <w:t>1783212</w:t>
            </w:r>
          </w:p>
          <w:p w:rsidR="006A6321" w:rsidRPr="006A6321" w:rsidP="006A6321">
            <w:pPr>
              <w:rPr>
                <w:szCs w:val="22"/>
              </w:rPr>
            </w:pPr>
            <w:r w:rsidRPr="006A6321">
              <w:rPr>
                <w:szCs w:val="22"/>
              </w:rPr>
              <w:t xml:space="preserve">                           1814253</w:t>
            </w:r>
          </w:p>
          <w:p w:rsidR="006A6321" w:rsidRPr="006A6321" w:rsidP="006A6321">
            <w:pPr>
              <w:rPr>
                <w:szCs w:val="22"/>
              </w:rPr>
            </w:pPr>
            <w:r w:rsidRPr="006A6321">
              <w:rPr>
                <w:szCs w:val="22"/>
              </w:rPr>
              <w:t xml:space="preserve">                           1831324</w:t>
            </w:r>
          </w:p>
          <w:p w:rsidR="006A6321" w:rsidRPr="006A6321" w:rsidP="006A6321">
            <w:pPr>
              <w:rPr>
                <w:szCs w:val="22"/>
              </w:rPr>
            </w:pPr>
            <w:r w:rsidRPr="006A6321">
              <w:rPr>
                <w:szCs w:val="22"/>
              </w:rPr>
              <w:t xml:space="preserve">                           1858731</w:t>
            </w:r>
          </w:p>
          <w:p w:rsidR="006A6321" w:rsidRPr="006A6321" w:rsidP="006A6321">
            <w:pPr>
              <w:rPr>
                <w:szCs w:val="22"/>
              </w:rPr>
            </w:pPr>
            <w:r w:rsidRPr="006A6321">
              <w:rPr>
                <w:szCs w:val="22"/>
              </w:rPr>
              <w:t xml:space="preserve">                           1994982</w:t>
            </w:r>
          </w:p>
          <w:p w:rsidR="006A6321" w:rsidRPr="006A6321" w:rsidP="006A6321">
            <w:pPr>
              <w:rPr>
                <w:szCs w:val="22"/>
              </w:rPr>
            </w:pPr>
            <w:r w:rsidRPr="006A6321">
              <w:rPr>
                <w:szCs w:val="22"/>
              </w:rPr>
              <w:t xml:space="preserve">                           2252231</w:t>
            </w:r>
          </w:p>
          <w:p w:rsidR="006A6321" w:rsidRPr="006A6321" w:rsidP="006A6321">
            <w:pPr>
              <w:rPr>
                <w:szCs w:val="22"/>
              </w:rPr>
            </w:pPr>
            <w:r w:rsidRPr="006A6321">
              <w:rPr>
                <w:szCs w:val="22"/>
              </w:rPr>
              <w:t xml:space="preserve">                           2265852</w:t>
            </w:r>
          </w:p>
          <w:p w:rsidR="006A6321" w:rsidRPr="006A6321" w:rsidP="006A6321">
            <w:pPr>
              <w:rPr>
                <w:szCs w:val="22"/>
              </w:rPr>
            </w:pPr>
            <w:r w:rsidRPr="006A6321">
              <w:rPr>
                <w:szCs w:val="22"/>
              </w:rPr>
              <w:t xml:space="preserve">                           2288891</w:t>
            </w:r>
          </w:p>
          <w:p w:rsidR="006A6321" w:rsidRPr="006A6321" w:rsidP="006A6321">
            <w:pPr>
              <w:rPr>
                <w:szCs w:val="22"/>
              </w:rPr>
            </w:pPr>
            <w:r w:rsidRPr="006A6321">
              <w:rPr>
                <w:szCs w:val="22"/>
              </w:rPr>
              <w:t xml:space="preserve">                           2340098</w:t>
            </w:r>
          </w:p>
          <w:p w:rsidR="006A6321" w:rsidRPr="006A6321" w:rsidP="006A6321">
            <w:pPr>
              <w:rPr>
                <w:szCs w:val="22"/>
              </w:rPr>
            </w:pPr>
            <w:r w:rsidRPr="006A6321">
              <w:rPr>
                <w:szCs w:val="22"/>
              </w:rPr>
              <w:t xml:space="preserve">                           2373601</w:t>
            </w:r>
          </w:p>
          <w:p w:rsidR="006A6321" w:rsidRPr="006A6321" w:rsidP="006A6321">
            <w:pPr>
              <w:rPr>
                <w:szCs w:val="22"/>
              </w:rPr>
            </w:pPr>
            <w:r w:rsidRPr="006A6321">
              <w:rPr>
                <w:szCs w:val="22"/>
              </w:rPr>
              <w:t xml:space="preserve">                           2415426</w:t>
            </w:r>
          </w:p>
          <w:p w:rsidR="006A6321" w:rsidRPr="006A6321" w:rsidP="006A6321">
            <w:pPr>
              <w:rPr>
                <w:szCs w:val="22"/>
              </w:rPr>
            </w:pPr>
            <w:r w:rsidRPr="006A6321">
              <w:rPr>
                <w:szCs w:val="22"/>
              </w:rPr>
              <w:t xml:space="preserve">                           2429846</w:t>
            </w:r>
          </w:p>
          <w:p w:rsidR="006A6321" w:rsidRPr="006A6321" w:rsidP="006A6321">
            <w:pPr>
              <w:rPr>
                <w:szCs w:val="22"/>
              </w:rPr>
            </w:pPr>
            <w:r w:rsidRPr="006A6321">
              <w:rPr>
                <w:szCs w:val="22"/>
              </w:rPr>
              <w:t xml:space="preserve">                           2436968</w:t>
            </w:r>
          </w:p>
          <w:p w:rsidR="006A6321" w:rsidRPr="006A6321" w:rsidP="006A6321">
            <w:pPr>
              <w:rPr>
                <w:szCs w:val="22"/>
              </w:rPr>
            </w:pPr>
            <w:r w:rsidRPr="006A6321">
              <w:rPr>
                <w:szCs w:val="22"/>
              </w:rPr>
              <w:t xml:space="preserve">                           2440040</w:t>
            </w:r>
          </w:p>
          <w:p w:rsidR="006A6321" w:rsidRPr="006A6321" w:rsidP="006A6321">
            <w:pPr>
              <w:rPr>
                <w:szCs w:val="22"/>
              </w:rPr>
            </w:pPr>
            <w:r w:rsidRPr="006A6321">
              <w:rPr>
                <w:szCs w:val="22"/>
              </w:rPr>
              <w:t xml:space="preserve">                           2448643</w:t>
            </w:r>
          </w:p>
          <w:p w:rsidR="006A6321" w:rsidRPr="006A6321" w:rsidP="006A6321">
            <w:pPr>
              <w:rPr>
                <w:szCs w:val="22"/>
              </w:rPr>
            </w:pPr>
            <w:r w:rsidRPr="006A6321">
              <w:rPr>
                <w:szCs w:val="22"/>
              </w:rPr>
              <w:t xml:space="preserve">                           2547669</w:t>
            </w:r>
          </w:p>
          <w:p w:rsidR="006A6321" w:rsidRPr="006A6321" w:rsidP="006A6321">
            <w:pPr>
              <w:rPr>
                <w:szCs w:val="22"/>
              </w:rPr>
            </w:pPr>
            <w:r w:rsidRPr="006A6321">
              <w:rPr>
                <w:szCs w:val="22"/>
              </w:rPr>
              <w:t xml:space="preserve">                           2594345</w:t>
            </w:r>
          </w:p>
          <w:p w:rsidR="00F0517A" w:rsidRPr="006A6321" w:rsidP="005914F9">
            <w:pPr>
              <w:tabs>
                <w:tab w:val="right" w:pos="9360"/>
              </w:tabs>
              <w:suppressAutoHyphens/>
              <w:rPr>
                <w:snapToGrid/>
                <w:kern w:val="0"/>
                <w:szCs w:val="22"/>
              </w:rPr>
            </w:pPr>
          </w:p>
        </w:tc>
        <w:tc>
          <w:tcPr>
            <w:tcW w:w="2463" w:type="dxa"/>
          </w:tcPr>
          <w:p w:rsidR="00270675" w:rsidRPr="006A6321" w:rsidP="006D4890">
            <w:pPr>
              <w:widowControl/>
              <w:tabs>
                <w:tab w:val="left" w:pos="720"/>
                <w:tab w:val="left" w:pos="1440"/>
              </w:tabs>
              <w:jc w:val="left"/>
              <w:rPr>
                <w:snapToGrid/>
                <w:kern w:val="0"/>
                <w:szCs w:val="22"/>
              </w:rPr>
            </w:pPr>
            <w:r w:rsidRPr="006A6321">
              <w:rPr>
                <w:snapToGrid/>
                <w:kern w:val="0"/>
                <w:szCs w:val="22"/>
              </w:rPr>
              <w:t>July 17</w:t>
            </w:r>
            <w:r w:rsidRPr="006A6321" w:rsidR="00F0517A">
              <w:rPr>
                <w:snapToGrid/>
                <w:kern w:val="0"/>
                <w:szCs w:val="22"/>
              </w:rPr>
              <w:t>, 2017</w:t>
            </w:r>
          </w:p>
          <w:p w:rsidR="006A6321" w:rsidRPr="006A6321" w:rsidP="006D4890">
            <w:pPr>
              <w:widowControl/>
              <w:tabs>
                <w:tab w:val="left" w:pos="720"/>
                <w:tab w:val="left" w:pos="1440"/>
              </w:tabs>
              <w:jc w:val="left"/>
              <w:rPr>
                <w:snapToGrid/>
                <w:kern w:val="0"/>
                <w:szCs w:val="22"/>
              </w:rPr>
            </w:pPr>
          </w:p>
          <w:p w:rsidR="006A6321" w:rsidRPr="006A6321" w:rsidP="006D4890">
            <w:pPr>
              <w:widowControl/>
              <w:tabs>
                <w:tab w:val="left" w:pos="720"/>
                <w:tab w:val="left" w:pos="1440"/>
              </w:tabs>
              <w:jc w:val="left"/>
              <w:rPr>
                <w:snapToGrid/>
                <w:kern w:val="0"/>
                <w:szCs w:val="22"/>
              </w:rPr>
            </w:pPr>
            <w:r w:rsidRPr="006A6321">
              <w:rPr>
                <w:snapToGrid/>
                <w:kern w:val="0"/>
                <w:szCs w:val="22"/>
              </w:rPr>
              <w:t>July 31, 2017</w:t>
            </w:r>
          </w:p>
          <w:p w:rsidR="006A6321" w:rsidRPr="006A6321" w:rsidP="006D4890">
            <w:pPr>
              <w:widowControl/>
              <w:tabs>
                <w:tab w:val="left" w:pos="720"/>
                <w:tab w:val="left" w:pos="1440"/>
              </w:tabs>
              <w:jc w:val="left"/>
              <w:rPr>
                <w:snapToGrid/>
                <w:kern w:val="0"/>
                <w:szCs w:val="22"/>
              </w:rPr>
            </w:pPr>
          </w:p>
          <w:p w:rsidR="006A6321" w:rsidRPr="006A6321" w:rsidP="006D4890">
            <w:pPr>
              <w:widowControl/>
              <w:tabs>
                <w:tab w:val="left" w:pos="720"/>
                <w:tab w:val="left" w:pos="1440"/>
              </w:tabs>
              <w:jc w:val="left"/>
              <w:rPr>
                <w:snapToGrid/>
                <w:kern w:val="0"/>
                <w:szCs w:val="22"/>
              </w:rPr>
            </w:pPr>
            <w:r w:rsidRPr="006A6321">
              <w:rPr>
                <w:snapToGrid/>
                <w:kern w:val="0"/>
                <w:szCs w:val="22"/>
              </w:rPr>
              <w:t>August 7, 2017</w:t>
            </w:r>
          </w:p>
          <w:p w:rsidR="006A6321" w:rsidRPr="006A6321" w:rsidP="006D4890">
            <w:pPr>
              <w:widowControl/>
              <w:tabs>
                <w:tab w:val="left" w:pos="720"/>
                <w:tab w:val="left" w:pos="1440"/>
              </w:tabs>
              <w:jc w:val="left"/>
              <w:rPr>
                <w:snapToGrid/>
                <w:kern w:val="0"/>
                <w:szCs w:val="22"/>
              </w:rPr>
            </w:pPr>
          </w:p>
          <w:p w:rsidR="006A6321" w:rsidRPr="006A6321" w:rsidP="006D4890">
            <w:pPr>
              <w:widowControl/>
              <w:tabs>
                <w:tab w:val="left" w:pos="720"/>
                <w:tab w:val="left" w:pos="1440"/>
              </w:tabs>
              <w:jc w:val="left"/>
              <w:rPr>
                <w:snapToGrid/>
                <w:kern w:val="0"/>
                <w:szCs w:val="22"/>
              </w:rPr>
            </w:pPr>
            <w:r w:rsidRPr="006A6321">
              <w:rPr>
                <w:snapToGrid/>
                <w:kern w:val="0"/>
                <w:szCs w:val="22"/>
              </w:rPr>
              <w:t>August 17, 2017</w:t>
            </w:r>
          </w:p>
          <w:p w:rsidR="006A6321" w:rsidRPr="006A6321" w:rsidP="006A6321">
            <w:pPr>
              <w:widowControl/>
              <w:tabs>
                <w:tab w:val="left" w:pos="720"/>
                <w:tab w:val="left" w:pos="1440"/>
              </w:tabs>
              <w:ind w:firstLine="720"/>
              <w:jc w:val="left"/>
              <w:rPr>
                <w:snapToGrid/>
                <w:kern w:val="0"/>
                <w:szCs w:val="22"/>
              </w:rPr>
            </w:pPr>
          </w:p>
          <w:p w:rsidR="006A6321" w:rsidP="006D4890">
            <w:pPr>
              <w:widowControl/>
              <w:tabs>
                <w:tab w:val="left" w:pos="720"/>
                <w:tab w:val="left" w:pos="1440"/>
              </w:tabs>
              <w:jc w:val="left"/>
              <w:rPr>
                <w:snapToGrid/>
                <w:kern w:val="0"/>
                <w:szCs w:val="22"/>
              </w:rPr>
            </w:pPr>
            <w:r w:rsidRPr="006A6321">
              <w:rPr>
                <w:snapToGrid/>
                <w:kern w:val="0"/>
                <w:szCs w:val="22"/>
              </w:rPr>
              <w:t>October 19, 2017</w:t>
            </w:r>
          </w:p>
          <w:p w:rsidR="0038144E" w:rsidP="006D4890">
            <w:pPr>
              <w:widowControl/>
              <w:tabs>
                <w:tab w:val="left" w:pos="720"/>
                <w:tab w:val="left" w:pos="1440"/>
              </w:tabs>
              <w:jc w:val="left"/>
              <w:rPr>
                <w:snapToGrid/>
                <w:kern w:val="0"/>
                <w:szCs w:val="22"/>
              </w:rPr>
            </w:pPr>
          </w:p>
          <w:p w:rsidR="0038144E" w:rsidP="006D4890">
            <w:pPr>
              <w:widowControl/>
              <w:tabs>
                <w:tab w:val="left" w:pos="720"/>
                <w:tab w:val="left" w:pos="1440"/>
              </w:tabs>
              <w:jc w:val="left"/>
              <w:rPr>
                <w:snapToGrid/>
                <w:kern w:val="0"/>
                <w:szCs w:val="22"/>
              </w:rPr>
            </w:pPr>
            <w:r>
              <w:rPr>
                <w:snapToGrid/>
                <w:kern w:val="0"/>
                <w:szCs w:val="22"/>
              </w:rPr>
              <w:t>February 21, 2018</w:t>
            </w:r>
          </w:p>
          <w:p w:rsidR="0038144E" w:rsidP="006D4890">
            <w:pPr>
              <w:widowControl/>
              <w:tabs>
                <w:tab w:val="left" w:pos="720"/>
                <w:tab w:val="left" w:pos="1440"/>
              </w:tabs>
              <w:jc w:val="left"/>
              <w:rPr>
                <w:snapToGrid/>
                <w:kern w:val="0"/>
                <w:szCs w:val="22"/>
              </w:rPr>
            </w:pPr>
          </w:p>
          <w:p w:rsidR="0038144E" w:rsidP="006D4890">
            <w:pPr>
              <w:widowControl/>
              <w:tabs>
                <w:tab w:val="left" w:pos="720"/>
                <w:tab w:val="left" w:pos="1440"/>
              </w:tabs>
              <w:jc w:val="left"/>
              <w:rPr>
                <w:snapToGrid/>
                <w:kern w:val="0"/>
                <w:szCs w:val="22"/>
              </w:rPr>
            </w:pPr>
            <w:r>
              <w:rPr>
                <w:snapToGrid/>
                <w:kern w:val="0"/>
                <w:szCs w:val="22"/>
              </w:rPr>
              <w:t>February 26, 2018</w:t>
            </w:r>
          </w:p>
          <w:p w:rsidR="0038144E" w:rsidP="006D4890">
            <w:pPr>
              <w:widowControl/>
              <w:tabs>
                <w:tab w:val="left" w:pos="720"/>
                <w:tab w:val="left" w:pos="1440"/>
              </w:tabs>
              <w:jc w:val="left"/>
              <w:rPr>
                <w:snapToGrid/>
                <w:kern w:val="0"/>
                <w:szCs w:val="22"/>
              </w:rPr>
            </w:pPr>
          </w:p>
          <w:p w:rsidR="0038144E" w:rsidP="006D4890">
            <w:pPr>
              <w:widowControl/>
              <w:tabs>
                <w:tab w:val="left" w:pos="720"/>
                <w:tab w:val="left" w:pos="1440"/>
              </w:tabs>
              <w:jc w:val="left"/>
              <w:rPr>
                <w:snapToGrid/>
                <w:kern w:val="0"/>
                <w:szCs w:val="22"/>
              </w:rPr>
            </w:pPr>
            <w:r>
              <w:rPr>
                <w:snapToGrid/>
                <w:kern w:val="0"/>
                <w:szCs w:val="22"/>
              </w:rPr>
              <w:t>March 8, 2018</w:t>
            </w:r>
          </w:p>
          <w:p w:rsidR="0038144E" w:rsidP="006D4890">
            <w:pPr>
              <w:widowControl/>
              <w:tabs>
                <w:tab w:val="left" w:pos="720"/>
                <w:tab w:val="left" w:pos="1440"/>
              </w:tabs>
              <w:jc w:val="left"/>
              <w:rPr>
                <w:snapToGrid/>
                <w:kern w:val="0"/>
                <w:szCs w:val="22"/>
              </w:rPr>
            </w:pPr>
          </w:p>
          <w:p w:rsidR="0038144E" w:rsidP="006D4890">
            <w:pPr>
              <w:widowControl/>
              <w:tabs>
                <w:tab w:val="left" w:pos="720"/>
                <w:tab w:val="left" w:pos="1440"/>
              </w:tabs>
              <w:jc w:val="left"/>
              <w:rPr>
                <w:snapToGrid/>
                <w:kern w:val="0"/>
                <w:szCs w:val="22"/>
              </w:rPr>
            </w:pPr>
            <w:r>
              <w:rPr>
                <w:snapToGrid/>
                <w:kern w:val="0"/>
                <w:szCs w:val="22"/>
              </w:rPr>
              <w:t>March 30, 2018</w:t>
            </w:r>
          </w:p>
          <w:p w:rsidR="0038144E" w:rsidP="006D4890">
            <w:pPr>
              <w:widowControl/>
              <w:tabs>
                <w:tab w:val="left" w:pos="720"/>
                <w:tab w:val="left" w:pos="1440"/>
              </w:tabs>
              <w:jc w:val="left"/>
              <w:rPr>
                <w:snapToGrid/>
                <w:kern w:val="0"/>
                <w:szCs w:val="22"/>
              </w:rPr>
            </w:pPr>
          </w:p>
          <w:p w:rsidR="0038144E" w:rsidP="006D4890">
            <w:pPr>
              <w:widowControl/>
              <w:tabs>
                <w:tab w:val="left" w:pos="720"/>
                <w:tab w:val="left" w:pos="1440"/>
              </w:tabs>
              <w:jc w:val="left"/>
              <w:rPr>
                <w:snapToGrid/>
                <w:kern w:val="0"/>
                <w:szCs w:val="22"/>
              </w:rPr>
            </w:pPr>
            <w:r>
              <w:rPr>
                <w:snapToGrid/>
                <w:kern w:val="0"/>
                <w:szCs w:val="22"/>
              </w:rPr>
              <w:t>April 12, 2018</w:t>
            </w:r>
          </w:p>
          <w:p w:rsidR="0038144E" w:rsidP="006D4890">
            <w:pPr>
              <w:widowControl/>
              <w:tabs>
                <w:tab w:val="left" w:pos="720"/>
                <w:tab w:val="left" w:pos="1440"/>
              </w:tabs>
              <w:jc w:val="left"/>
              <w:rPr>
                <w:snapToGrid/>
                <w:kern w:val="0"/>
                <w:szCs w:val="22"/>
              </w:rPr>
            </w:pPr>
          </w:p>
          <w:p w:rsidR="0038144E" w:rsidP="006D4890">
            <w:pPr>
              <w:widowControl/>
              <w:tabs>
                <w:tab w:val="left" w:pos="720"/>
                <w:tab w:val="left" w:pos="1440"/>
              </w:tabs>
              <w:jc w:val="left"/>
              <w:rPr>
                <w:snapToGrid/>
                <w:kern w:val="0"/>
                <w:szCs w:val="22"/>
              </w:rPr>
            </w:pPr>
            <w:r>
              <w:rPr>
                <w:snapToGrid/>
                <w:kern w:val="0"/>
                <w:szCs w:val="22"/>
              </w:rPr>
              <w:t>April 30, 2018</w:t>
            </w:r>
          </w:p>
          <w:p w:rsidR="0038144E" w:rsidP="006D4890">
            <w:pPr>
              <w:widowControl/>
              <w:tabs>
                <w:tab w:val="left" w:pos="720"/>
                <w:tab w:val="left" w:pos="1440"/>
              </w:tabs>
              <w:jc w:val="left"/>
              <w:rPr>
                <w:snapToGrid/>
                <w:kern w:val="0"/>
                <w:szCs w:val="22"/>
              </w:rPr>
            </w:pPr>
          </w:p>
          <w:p w:rsidR="0038144E" w:rsidRPr="006A6321" w:rsidP="006D4890">
            <w:pPr>
              <w:widowControl/>
              <w:tabs>
                <w:tab w:val="left" w:pos="720"/>
                <w:tab w:val="left" w:pos="1440"/>
              </w:tabs>
              <w:jc w:val="left"/>
              <w:rPr>
                <w:snapToGrid/>
                <w:kern w:val="0"/>
                <w:szCs w:val="22"/>
              </w:rPr>
            </w:pPr>
            <w:r>
              <w:rPr>
                <w:snapToGrid/>
                <w:kern w:val="0"/>
                <w:szCs w:val="22"/>
              </w:rPr>
              <w:t>May 7, 2018</w:t>
            </w:r>
          </w:p>
          <w:p w:rsidR="00F0517A" w:rsidP="006D4890">
            <w:pPr>
              <w:widowControl/>
              <w:tabs>
                <w:tab w:val="left" w:pos="720"/>
                <w:tab w:val="left" w:pos="1440"/>
              </w:tabs>
              <w:jc w:val="left"/>
              <w:rPr>
                <w:snapToGrid/>
                <w:kern w:val="0"/>
                <w:szCs w:val="22"/>
              </w:rPr>
            </w:pPr>
          </w:p>
          <w:p w:rsidR="0038144E" w:rsidP="006D4890">
            <w:pPr>
              <w:widowControl/>
              <w:tabs>
                <w:tab w:val="left" w:pos="720"/>
                <w:tab w:val="left" w:pos="1440"/>
              </w:tabs>
              <w:jc w:val="left"/>
              <w:rPr>
                <w:snapToGrid/>
                <w:kern w:val="0"/>
                <w:szCs w:val="22"/>
              </w:rPr>
            </w:pPr>
            <w:r>
              <w:rPr>
                <w:snapToGrid/>
                <w:kern w:val="0"/>
                <w:szCs w:val="22"/>
              </w:rPr>
              <w:t>May 9, 2018</w:t>
            </w:r>
          </w:p>
          <w:p w:rsidR="0038144E" w:rsidP="006D4890">
            <w:pPr>
              <w:widowControl/>
              <w:tabs>
                <w:tab w:val="left" w:pos="720"/>
                <w:tab w:val="left" w:pos="1440"/>
              </w:tabs>
              <w:jc w:val="left"/>
              <w:rPr>
                <w:snapToGrid/>
                <w:kern w:val="0"/>
                <w:szCs w:val="22"/>
              </w:rPr>
            </w:pPr>
          </w:p>
          <w:p w:rsidR="0038144E" w:rsidP="006D4890">
            <w:pPr>
              <w:widowControl/>
              <w:tabs>
                <w:tab w:val="left" w:pos="720"/>
                <w:tab w:val="left" w:pos="1440"/>
              </w:tabs>
              <w:jc w:val="left"/>
              <w:rPr>
                <w:snapToGrid/>
                <w:kern w:val="0"/>
                <w:szCs w:val="22"/>
              </w:rPr>
            </w:pPr>
            <w:r>
              <w:rPr>
                <w:snapToGrid/>
                <w:kern w:val="0"/>
                <w:szCs w:val="22"/>
              </w:rPr>
              <w:t>May 10, 2018</w:t>
            </w:r>
          </w:p>
          <w:p w:rsidR="0038144E" w:rsidP="006D4890">
            <w:pPr>
              <w:widowControl/>
              <w:tabs>
                <w:tab w:val="left" w:pos="720"/>
                <w:tab w:val="left" w:pos="1440"/>
              </w:tabs>
              <w:jc w:val="left"/>
              <w:rPr>
                <w:snapToGrid/>
                <w:kern w:val="0"/>
                <w:szCs w:val="22"/>
              </w:rPr>
            </w:pPr>
          </w:p>
          <w:p w:rsidR="0038144E" w:rsidP="006D4890">
            <w:pPr>
              <w:widowControl/>
              <w:tabs>
                <w:tab w:val="left" w:pos="720"/>
                <w:tab w:val="left" w:pos="1440"/>
              </w:tabs>
              <w:jc w:val="left"/>
              <w:rPr>
                <w:snapToGrid/>
                <w:kern w:val="0"/>
                <w:szCs w:val="22"/>
              </w:rPr>
            </w:pPr>
            <w:r>
              <w:rPr>
                <w:snapToGrid/>
                <w:kern w:val="0"/>
                <w:szCs w:val="22"/>
              </w:rPr>
              <w:t>May 14, 2018</w:t>
            </w:r>
          </w:p>
          <w:p w:rsidR="0038144E" w:rsidP="006D4890">
            <w:pPr>
              <w:widowControl/>
              <w:tabs>
                <w:tab w:val="left" w:pos="720"/>
                <w:tab w:val="left" w:pos="1440"/>
              </w:tabs>
              <w:jc w:val="left"/>
              <w:rPr>
                <w:snapToGrid/>
                <w:kern w:val="0"/>
                <w:szCs w:val="22"/>
              </w:rPr>
            </w:pPr>
          </w:p>
          <w:p w:rsidR="0038144E" w:rsidP="006D4890">
            <w:pPr>
              <w:widowControl/>
              <w:tabs>
                <w:tab w:val="left" w:pos="720"/>
                <w:tab w:val="left" w:pos="1440"/>
              </w:tabs>
              <w:jc w:val="left"/>
              <w:rPr>
                <w:snapToGrid/>
                <w:kern w:val="0"/>
                <w:szCs w:val="22"/>
              </w:rPr>
            </w:pPr>
            <w:r>
              <w:rPr>
                <w:snapToGrid/>
                <w:kern w:val="0"/>
                <w:szCs w:val="22"/>
              </w:rPr>
              <w:t>June 6, 2018</w:t>
            </w:r>
          </w:p>
          <w:p w:rsidR="0038144E" w:rsidP="006D4890">
            <w:pPr>
              <w:widowControl/>
              <w:tabs>
                <w:tab w:val="left" w:pos="720"/>
                <w:tab w:val="left" w:pos="1440"/>
              </w:tabs>
              <w:jc w:val="left"/>
              <w:rPr>
                <w:snapToGrid/>
                <w:kern w:val="0"/>
                <w:szCs w:val="22"/>
              </w:rPr>
            </w:pPr>
          </w:p>
          <w:p w:rsidR="0038144E" w:rsidRPr="006A6321" w:rsidP="006D4890">
            <w:pPr>
              <w:widowControl/>
              <w:tabs>
                <w:tab w:val="left" w:pos="720"/>
                <w:tab w:val="left" w:pos="1440"/>
              </w:tabs>
              <w:jc w:val="left"/>
              <w:rPr>
                <w:snapToGrid/>
                <w:kern w:val="0"/>
                <w:szCs w:val="22"/>
              </w:rPr>
            </w:pPr>
            <w:r>
              <w:rPr>
                <w:snapToGrid/>
                <w:kern w:val="0"/>
                <w:szCs w:val="22"/>
              </w:rPr>
              <w:t>June 26, 2018</w:t>
            </w:r>
          </w:p>
        </w:tc>
        <w:tc>
          <w:tcPr>
            <w:tcW w:w="2504" w:type="dxa"/>
          </w:tcPr>
          <w:p w:rsidR="001F2988" w:rsidRPr="006A6321" w:rsidP="006D4890">
            <w:pPr>
              <w:widowControl/>
              <w:tabs>
                <w:tab w:val="left" w:pos="720"/>
                <w:tab w:val="left" w:pos="1440"/>
              </w:tabs>
              <w:rPr>
                <w:snapToGrid/>
                <w:kern w:val="0"/>
                <w:szCs w:val="22"/>
              </w:rPr>
            </w:pPr>
            <w:r w:rsidRPr="006A6321">
              <w:rPr>
                <w:snapToGrid/>
                <w:kern w:val="0"/>
                <w:szCs w:val="22"/>
              </w:rPr>
              <w:t>September 4</w:t>
            </w:r>
            <w:r w:rsidRPr="006A6321">
              <w:rPr>
                <w:snapToGrid/>
                <w:kern w:val="0"/>
                <w:szCs w:val="22"/>
              </w:rPr>
              <w:t>, 2017</w:t>
            </w:r>
          </w:p>
          <w:p w:rsidR="006A6321" w:rsidRPr="006A6321" w:rsidP="006D4890">
            <w:pPr>
              <w:widowControl/>
              <w:tabs>
                <w:tab w:val="left" w:pos="720"/>
                <w:tab w:val="left" w:pos="1440"/>
              </w:tabs>
              <w:rPr>
                <w:snapToGrid/>
                <w:kern w:val="0"/>
                <w:szCs w:val="22"/>
              </w:rPr>
            </w:pPr>
          </w:p>
          <w:p w:rsidR="006A6321" w:rsidRPr="006A6321" w:rsidP="006D4890">
            <w:pPr>
              <w:widowControl/>
              <w:tabs>
                <w:tab w:val="left" w:pos="720"/>
                <w:tab w:val="left" w:pos="1440"/>
              </w:tabs>
              <w:rPr>
                <w:snapToGrid/>
                <w:kern w:val="0"/>
                <w:szCs w:val="22"/>
              </w:rPr>
            </w:pPr>
            <w:r w:rsidRPr="006A6321">
              <w:rPr>
                <w:snapToGrid/>
                <w:kern w:val="0"/>
                <w:szCs w:val="22"/>
              </w:rPr>
              <w:t>September 4, 2017</w:t>
            </w:r>
          </w:p>
          <w:p w:rsidR="006A6321" w:rsidRPr="006A6321" w:rsidP="006D4890">
            <w:pPr>
              <w:widowControl/>
              <w:tabs>
                <w:tab w:val="left" w:pos="720"/>
                <w:tab w:val="left" w:pos="1440"/>
              </w:tabs>
              <w:rPr>
                <w:snapToGrid/>
                <w:kern w:val="0"/>
                <w:szCs w:val="22"/>
              </w:rPr>
            </w:pPr>
          </w:p>
          <w:p w:rsidR="006A6321" w:rsidRPr="006A6321" w:rsidP="006D4890">
            <w:pPr>
              <w:widowControl/>
              <w:tabs>
                <w:tab w:val="left" w:pos="720"/>
                <w:tab w:val="left" w:pos="1440"/>
              </w:tabs>
              <w:rPr>
                <w:snapToGrid/>
                <w:kern w:val="0"/>
                <w:szCs w:val="22"/>
              </w:rPr>
            </w:pPr>
            <w:r w:rsidRPr="006A6321">
              <w:rPr>
                <w:snapToGrid/>
                <w:kern w:val="0"/>
                <w:szCs w:val="22"/>
              </w:rPr>
              <w:t>September 7, 2017</w:t>
            </w:r>
          </w:p>
          <w:p w:rsidR="006A6321" w:rsidRPr="006A6321" w:rsidP="006D4890">
            <w:pPr>
              <w:widowControl/>
              <w:tabs>
                <w:tab w:val="left" w:pos="720"/>
                <w:tab w:val="left" w:pos="1440"/>
              </w:tabs>
              <w:rPr>
                <w:snapToGrid/>
                <w:kern w:val="0"/>
                <w:szCs w:val="22"/>
              </w:rPr>
            </w:pPr>
          </w:p>
          <w:p w:rsidR="006A6321" w:rsidRPr="006A6321" w:rsidP="006D4890">
            <w:pPr>
              <w:widowControl/>
              <w:tabs>
                <w:tab w:val="left" w:pos="720"/>
                <w:tab w:val="left" w:pos="1440"/>
              </w:tabs>
              <w:rPr>
                <w:snapToGrid/>
                <w:kern w:val="0"/>
                <w:szCs w:val="22"/>
              </w:rPr>
            </w:pPr>
            <w:r w:rsidRPr="006A6321">
              <w:rPr>
                <w:snapToGrid/>
                <w:kern w:val="0"/>
                <w:szCs w:val="22"/>
              </w:rPr>
              <w:t>September 20, 2017</w:t>
            </w:r>
          </w:p>
          <w:p w:rsidR="006A6321" w:rsidRPr="006A6321" w:rsidP="006D4890">
            <w:pPr>
              <w:widowControl/>
              <w:tabs>
                <w:tab w:val="left" w:pos="720"/>
                <w:tab w:val="left" w:pos="1440"/>
              </w:tabs>
              <w:rPr>
                <w:snapToGrid/>
                <w:kern w:val="0"/>
                <w:szCs w:val="22"/>
              </w:rPr>
            </w:pPr>
          </w:p>
          <w:p w:rsidR="006A6321" w:rsidP="006D4890">
            <w:pPr>
              <w:widowControl/>
              <w:tabs>
                <w:tab w:val="left" w:pos="720"/>
                <w:tab w:val="left" w:pos="1440"/>
              </w:tabs>
              <w:rPr>
                <w:snapToGrid/>
                <w:kern w:val="0"/>
                <w:szCs w:val="22"/>
              </w:rPr>
            </w:pPr>
            <w:r w:rsidRPr="006A6321">
              <w:rPr>
                <w:snapToGrid/>
                <w:kern w:val="0"/>
                <w:szCs w:val="22"/>
              </w:rPr>
              <w:t>November 29, 2017</w:t>
            </w:r>
          </w:p>
          <w:p w:rsidR="0038144E" w:rsidP="006D4890">
            <w:pPr>
              <w:widowControl/>
              <w:tabs>
                <w:tab w:val="left" w:pos="720"/>
                <w:tab w:val="left" w:pos="1440"/>
              </w:tabs>
              <w:rPr>
                <w:snapToGrid/>
                <w:kern w:val="0"/>
                <w:szCs w:val="22"/>
              </w:rPr>
            </w:pPr>
          </w:p>
          <w:p w:rsidR="0038144E" w:rsidRPr="006A6321" w:rsidP="006D4890">
            <w:pPr>
              <w:widowControl/>
              <w:tabs>
                <w:tab w:val="left" w:pos="720"/>
                <w:tab w:val="left" w:pos="1440"/>
              </w:tabs>
              <w:rPr>
                <w:snapToGrid/>
                <w:kern w:val="0"/>
                <w:szCs w:val="22"/>
              </w:rPr>
            </w:pPr>
            <w:r>
              <w:rPr>
                <w:snapToGrid/>
                <w:kern w:val="0"/>
                <w:szCs w:val="22"/>
              </w:rPr>
              <w:t>April 1, 2018</w:t>
            </w:r>
          </w:p>
          <w:p w:rsidR="001F2988" w:rsidP="006D4890">
            <w:pPr>
              <w:widowControl/>
              <w:tabs>
                <w:tab w:val="left" w:pos="720"/>
                <w:tab w:val="left" w:pos="1440"/>
              </w:tabs>
              <w:rPr>
                <w:snapToGrid/>
                <w:kern w:val="0"/>
                <w:szCs w:val="22"/>
              </w:rPr>
            </w:pPr>
          </w:p>
          <w:p w:rsidR="0038144E" w:rsidP="006D4890">
            <w:pPr>
              <w:widowControl/>
              <w:tabs>
                <w:tab w:val="left" w:pos="720"/>
                <w:tab w:val="left" w:pos="1440"/>
              </w:tabs>
              <w:rPr>
                <w:snapToGrid/>
                <w:kern w:val="0"/>
                <w:szCs w:val="22"/>
              </w:rPr>
            </w:pPr>
            <w:r>
              <w:rPr>
                <w:snapToGrid/>
                <w:kern w:val="0"/>
                <w:szCs w:val="22"/>
              </w:rPr>
              <w:t>April 1, 2018</w:t>
            </w:r>
          </w:p>
          <w:p w:rsidR="0038144E" w:rsidP="006D4890">
            <w:pPr>
              <w:widowControl/>
              <w:tabs>
                <w:tab w:val="left" w:pos="720"/>
                <w:tab w:val="left" w:pos="1440"/>
              </w:tabs>
              <w:rPr>
                <w:snapToGrid/>
                <w:kern w:val="0"/>
                <w:szCs w:val="22"/>
              </w:rPr>
            </w:pPr>
          </w:p>
          <w:p w:rsidR="0038144E" w:rsidP="006D4890">
            <w:pPr>
              <w:widowControl/>
              <w:tabs>
                <w:tab w:val="left" w:pos="720"/>
                <w:tab w:val="left" w:pos="1440"/>
              </w:tabs>
              <w:rPr>
                <w:snapToGrid/>
                <w:kern w:val="0"/>
                <w:szCs w:val="22"/>
              </w:rPr>
            </w:pPr>
            <w:r>
              <w:rPr>
                <w:snapToGrid/>
                <w:kern w:val="0"/>
                <w:szCs w:val="22"/>
              </w:rPr>
              <w:t>April 16, 2018</w:t>
            </w:r>
          </w:p>
          <w:p w:rsidR="0038144E" w:rsidP="006D4890">
            <w:pPr>
              <w:widowControl/>
              <w:tabs>
                <w:tab w:val="left" w:pos="720"/>
                <w:tab w:val="left" w:pos="1440"/>
              </w:tabs>
              <w:rPr>
                <w:snapToGrid/>
                <w:kern w:val="0"/>
                <w:szCs w:val="22"/>
              </w:rPr>
            </w:pPr>
          </w:p>
          <w:p w:rsidR="0038144E" w:rsidP="006D4890">
            <w:pPr>
              <w:widowControl/>
              <w:tabs>
                <w:tab w:val="left" w:pos="720"/>
                <w:tab w:val="left" w:pos="1440"/>
              </w:tabs>
              <w:rPr>
                <w:snapToGrid/>
                <w:kern w:val="0"/>
                <w:szCs w:val="22"/>
              </w:rPr>
            </w:pPr>
            <w:r>
              <w:rPr>
                <w:snapToGrid/>
                <w:kern w:val="0"/>
                <w:szCs w:val="22"/>
              </w:rPr>
              <w:t>May 14, 2018</w:t>
            </w:r>
          </w:p>
          <w:p w:rsidR="0038144E" w:rsidP="006D4890">
            <w:pPr>
              <w:widowControl/>
              <w:tabs>
                <w:tab w:val="left" w:pos="720"/>
                <w:tab w:val="left" w:pos="1440"/>
              </w:tabs>
              <w:rPr>
                <w:snapToGrid/>
                <w:kern w:val="0"/>
                <w:szCs w:val="22"/>
              </w:rPr>
            </w:pPr>
          </w:p>
          <w:p w:rsidR="0038144E" w:rsidP="006D4890">
            <w:pPr>
              <w:widowControl/>
              <w:tabs>
                <w:tab w:val="left" w:pos="720"/>
                <w:tab w:val="left" w:pos="1440"/>
              </w:tabs>
              <w:rPr>
                <w:snapToGrid/>
                <w:kern w:val="0"/>
                <w:szCs w:val="22"/>
              </w:rPr>
            </w:pPr>
            <w:r>
              <w:rPr>
                <w:snapToGrid/>
                <w:kern w:val="0"/>
                <w:szCs w:val="22"/>
              </w:rPr>
              <w:t>May 22, 2018</w:t>
            </w:r>
          </w:p>
          <w:p w:rsidR="0038144E" w:rsidP="006D4890">
            <w:pPr>
              <w:widowControl/>
              <w:tabs>
                <w:tab w:val="left" w:pos="720"/>
                <w:tab w:val="left" w:pos="1440"/>
              </w:tabs>
              <w:rPr>
                <w:snapToGrid/>
                <w:kern w:val="0"/>
                <w:szCs w:val="22"/>
              </w:rPr>
            </w:pPr>
          </w:p>
          <w:p w:rsidR="0038144E" w:rsidP="006D4890">
            <w:pPr>
              <w:widowControl/>
              <w:tabs>
                <w:tab w:val="left" w:pos="720"/>
                <w:tab w:val="left" w:pos="1440"/>
              </w:tabs>
              <w:rPr>
                <w:snapToGrid/>
                <w:kern w:val="0"/>
                <w:szCs w:val="22"/>
              </w:rPr>
            </w:pPr>
            <w:r>
              <w:rPr>
                <w:snapToGrid/>
                <w:kern w:val="0"/>
                <w:szCs w:val="22"/>
              </w:rPr>
              <w:t>June 4, 2018</w:t>
            </w:r>
          </w:p>
          <w:p w:rsidR="0038144E" w:rsidP="006D4890">
            <w:pPr>
              <w:widowControl/>
              <w:tabs>
                <w:tab w:val="left" w:pos="720"/>
                <w:tab w:val="left" w:pos="1440"/>
              </w:tabs>
              <w:rPr>
                <w:snapToGrid/>
                <w:kern w:val="0"/>
                <w:szCs w:val="22"/>
              </w:rPr>
            </w:pPr>
          </w:p>
          <w:p w:rsidR="0038144E" w:rsidRPr="006A6321" w:rsidP="006D4890">
            <w:pPr>
              <w:widowControl/>
              <w:tabs>
                <w:tab w:val="left" w:pos="720"/>
                <w:tab w:val="left" w:pos="1440"/>
              </w:tabs>
              <w:rPr>
                <w:snapToGrid/>
                <w:kern w:val="0"/>
                <w:szCs w:val="22"/>
              </w:rPr>
            </w:pPr>
            <w:r>
              <w:rPr>
                <w:snapToGrid/>
                <w:kern w:val="0"/>
                <w:szCs w:val="22"/>
              </w:rPr>
              <w:t>June 17, 2018</w:t>
            </w:r>
          </w:p>
          <w:p w:rsidR="00270675" w:rsidP="006D4890">
            <w:pPr>
              <w:widowControl/>
              <w:tabs>
                <w:tab w:val="left" w:pos="720"/>
                <w:tab w:val="left" w:pos="1440"/>
              </w:tabs>
              <w:jc w:val="left"/>
              <w:rPr>
                <w:snapToGrid/>
                <w:kern w:val="0"/>
                <w:szCs w:val="22"/>
              </w:rPr>
            </w:pPr>
          </w:p>
          <w:p w:rsidR="0038144E" w:rsidP="006D4890">
            <w:pPr>
              <w:widowControl/>
              <w:tabs>
                <w:tab w:val="left" w:pos="720"/>
                <w:tab w:val="left" w:pos="1440"/>
              </w:tabs>
              <w:jc w:val="left"/>
              <w:rPr>
                <w:snapToGrid/>
                <w:kern w:val="0"/>
                <w:szCs w:val="22"/>
              </w:rPr>
            </w:pPr>
            <w:r>
              <w:rPr>
                <w:snapToGrid/>
                <w:kern w:val="0"/>
                <w:szCs w:val="22"/>
              </w:rPr>
              <w:t>June 17, 2018</w:t>
            </w:r>
          </w:p>
          <w:p w:rsidR="0038144E" w:rsidP="006D4890">
            <w:pPr>
              <w:widowControl/>
              <w:tabs>
                <w:tab w:val="left" w:pos="720"/>
                <w:tab w:val="left" w:pos="1440"/>
              </w:tabs>
              <w:jc w:val="left"/>
              <w:rPr>
                <w:snapToGrid/>
                <w:kern w:val="0"/>
                <w:szCs w:val="22"/>
              </w:rPr>
            </w:pPr>
          </w:p>
          <w:p w:rsidR="0038144E" w:rsidP="006D4890">
            <w:pPr>
              <w:widowControl/>
              <w:tabs>
                <w:tab w:val="left" w:pos="720"/>
                <w:tab w:val="left" w:pos="1440"/>
              </w:tabs>
              <w:jc w:val="left"/>
              <w:rPr>
                <w:snapToGrid/>
                <w:kern w:val="0"/>
                <w:szCs w:val="22"/>
              </w:rPr>
            </w:pPr>
            <w:r>
              <w:rPr>
                <w:snapToGrid/>
                <w:kern w:val="0"/>
                <w:szCs w:val="22"/>
              </w:rPr>
              <w:t>June 16, 2018</w:t>
            </w:r>
          </w:p>
          <w:p w:rsidR="0038144E" w:rsidP="006D4890">
            <w:pPr>
              <w:widowControl/>
              <w:tabs>
                <w:tab w:val="left" w:pos="720"/>
                <w:tab w:val="left" w:pos="1440"/>
              </w:tabs>
              <w:jc w:val="left"/>
              <w:rPr>
                <w:snapToGrid/>
                <w:kern w:val="0"/>
                <w:szCs w:val="22"/>
              </w:rPr>
            </w:pPr>
          </w:p>
          <w:p w:rsidR="0038144E" w:rsidP="006D4890">
            <w:pPr>
              <w:widowControl/>
              <w:tabs>
                <w:tab w:val="left" w:pos="720"/>
                <w:tab w:val="left" w:pos="1440"/>
              </w:tabs>
              <w:jc w:val="left"/>
              <w:rPr>
                <w:snapToGrid/>
                <w:kern w:val="0"/>
                <w:szCs w:val="22"/>
              </w:rPr>
            </w:pPr>
            <w:r>
              <w:rPr>
                <w:snapToGrid/>
                <w:kern w:val="0"/>
                <w:szCs w:val="22"/>
              </w:rPr>
              <w:t>June 19, 2018</w:t>
            </w:r>
          </w:p>
          <w:p w:rsidR="0038144E" w:rsidP="006D4890">
            <w:pPr>
              <w:widowControl/>
              <w:tabs>
                <w:tab w:val="left" w:pos="720"/>
                <w:tab w:val="left" w:pos="1440"/>
              </w:tabs>
              <w:jc w:val="left"/>
              <w:rPr>
                <w:snapToGrid/>
                <w:kern w:val="0"/>
                <w:szCs w:val="22"/>
              </w:rPr>
            </w:pPr>
          </w:p>
          <w:p w:rsidR="0038144E" w:rsidP="006D4890">
            <w:pPr>
              <w:widowControl/>
              <w:tabs>
                <w:tab w:val="left" w:pos="720"/>
                <w:tab w:val="left" w:pos="1440"/>
              </w:tabs>
              <w:jc w:val="left"/>
              <w:rPr>
                <w:snapToGrid/>
                <w:kern w:val="0"/>
                <w:szCs w:val="22"/>
              </w:rPr>
            </w:pPr>
            <w:r>
              <w:rPr>
                <w:snapToGrid/>
                <w:kern w:val="0"/>
                <w:szCs w:val="22"/>
              </w:rPr>
              <w:t>July 24, 2018</w:t>
            </w:r>
          </w:p>
          <w:p w:rsidR="0038144E" w:rsidP="006D4890">
            <w:pPr>
              <w:widowControl/>
              <w:tabs>
                <w:tab w:val="left" w:pos="720"/>
                <w:tab w:val="left" w:pos="1440"/>
              </w:tabs>
              <w:jc w:val="left"/>
              <w:rPr>
                <w:snapToGrid/>
                <w:kern w:val="0"/>
                <w:szCs w:val="22"/>
              </w:rPr>
            </w:pPr>
          </w:p>
          <w:p w:rsidR="0038144E" w:rsidRPr="006A6321" w:rsidP="006D4890">
            <w:pPr>
              <w:widowControl/>
              <w:tabs>
                <w:tab w:val="left" w:pos="720"/>
                <w:tab w:val="left" w:pos="1440"/>
              </w:tabs>
              <w:jc w:val="left"/>
              <w:rPr>
                <w:snapToGrid/>
                <w:kern w:val="0"/>
                <w:szCs w:val="22"/>
              </w:rPr>
            </w:pPr>
            <w:r>
              <w:rPr>
                <w:snapToGrid/>
                <w:kern w:val="0"/>
                <w:szCs w:val="22"/>
              </w:rPr>
              <w:t>July 30, 2018</w:t>
            </w:r>
          </w:p>
        </w:tc>
      </w:tr>
    </w:tbl>
    <w:p w:rsidR="002C00E8" w:rsidRPr="006A6321" w:rsidP="001F2988">
      <w:pPr>
        <w:pStyle w:val="Heading1"/>
        <w:numPr>
          <w:ilvl w:val="0"/>
          <w:numId w:val="0"/>
        </w:numPr>
        <w:ind w:left="720"/>
        <w:jc w:val="center"/>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C525ED">
      <w:rPr>
        <w:noProof/>
      </w:rPr>
      <w:t>4</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4959">
      <w:r>
        <w:separator/>
      </w:r>
    </w:p>
  </w:footnote>
  <w:footnote w:type="continuationSeparator" w:id="1">
    <w:p w:rsidR="00344959" w:rsidP="00C721AC">
      <w:pPr>
        <w:spacing w:before="120"/>
        <w:rPr>
          <w:sz w:val="20"/>
        </w:rPr>
      </w:pPr>
      <w:r>
        <w:rPr>
          <w:sz w:val="20"/>
        </w:rPr>
        <w:t xml:space="preserve">(Continued from previous page)  </w:t>
      </w:r>
      <w:r>
        <w:rPr>
          <w:sz w:val="20"/>
        </w:rPr>
        <w:separator/>
      </w:r>
    </w:p>
  </w:footnote>
  <w:footnote w:type="continuationNotice" w:id="2">
    <w:p w:rsidR="00344959" w:rsidP="00A07D42">
      <w:pPr>
        <w:jc w:val="center"/>
        <w:rPr>
          <w:sz w:val="20"/>
        </w:rPr>
      </w:pPr>
    </w:p>
  </w:footnote>
  <w:footnote w:id="3">
    <w:p w:rsidR="00AD7D09" w:rsidRPr="000E7B25" w:rsidP="00AD7D09">
      <w:pPr>
        <w:pStyle w:val="FootnoteText"/>
      </w:pPr>
      <w:r>
        <w:rPr>
          <w:rStyle w:val="FootnoteReference"/>
        </w:rPr>
        <w:footnoteRef/>
      </w:r>
      <w:bookmarkStart w:id="1" w:name="_Hlk515530738"/>
      <w:r w:rsidR="00A8671C">
        <w:rPr>
          <w:i/>
        </w:rPr>
        <w:t xml:space="preserve"> </w:t>
      </w:r>
      <w:r w:rsidR="000E7B25">
        <w:rPr>
          <w:i/>
        </w:rPr>
        <w:t xml:space="preserve">See </w:t>
      </w:r>
      <w:r w:rsidR="000E7B25">
        <w:t>Appendix</w:t>
      </w:r>
      <w:bookmarkEnd w:id="1"/>
      <w:r w:rsidR="000E7B25">
        <w:t>.</w:t>
      </w:r>
    </w:p>
  </w:footnote>
  <w:footnote w:id="4">
    <w:p w:rsidR="00AD7D09" w:rsidP="00AD7D09">
      <w:pPr>
        <w:pStyle w:val="FootnoteText"/>
      </w:pPr>
      <w:r>
        <w:rPr>
          <w:rStyle w:val="FootnoteReference"/>
        </w:rPr>
        <w:footnoteRef/>
      </w:r>
      <w:r>
        <w:t xml:space="preserve"> </w:t>
      </w:r>
      <w:r>
        <w:rPr>
          <w:i/>
        </w:rPr>
        <w:t>See</w:t>
      </w:r>
      <w:r>
        <w:t xml:space="preserve"> 47 CFR §§ 64.1100 – 64.1190.</w:t>
      </w:r>
    </w:p>
  </w:footnote>
  <w:footnote w:id="5">
    <w:p w:rsidR="00AD7D09" w:rsidP="00AD7D09">
      <w:pPr>
        <w:pStyle w:val="FootnoteText"/>
      </w:pPr>
      <w:r>
        <w:rPr>
          <w:rStyle w:val="FootnoteReference"/>
        </w:rPr>
        <w:footnoteRef/>
      </w:r>
      <w:r>
        <w:t xml:space="preserve"> </w:t>
      </w:r>
      <w:r w:rsidR="0004337D">
        <w:t>47 U.S.C. § 258(a).</w:t>
      </w:r>
    </w:p>
  </w:footnote>
  <w:footnote w:id="6">
    <w:p w:rsidR="00AD7D09" w:rsidP="00AD7D09">
      <w:pPr>
        <w:pStyle w:val="FootnoteText"/>
        <w:tabs>
          <w:tab w:val="left" w:pos="0"/>
        </w:tabs>
      </w:pPr>
      <w:r>
        <w:rPr>
          <w:rStyle w:val="FootnoteReference"/>
        </w:rPr>
        <w:footnoteRef/>
      </w:r>
      <w:r>
        <w:t xml:space="preserve"> </w:t>
      </w:r>
      <w:r>
        <w:rPr>
          <w:i/>
        </w:rPr>
        <w:t>See</w:t>
      </w:r>
      <w:r>
        <w:t xml:space="preserve"> 47 CFR § 64.1120.</w:t>
      </w:r>
    </w:p>
  </w:footnote>
  <w:footnote w:id="7">
    <w:p w:rsidR="00AD7D09" w:rsidP="00AD7D09">
      <w:pPr>
        <w:pStyle w:val="FootnoteText"/>
        <w:tabs>
          <w:tab w:val="left" w:pos="0"/>
        </w:tabs>
      </w:pPr>
      <w:r>
        <w:rPr>
          <w:rStyle w:val="FootnoteReference"/>
        </w:rPr>
        <w:footnoteRef/>
      </w:r>
      <w:r>
        <w:rPr>
          <w:i/>
        </w:rPr>
        <w:t xml:space="preserve"> See</w:t>
      </w:r>
      <w:r>
        <w:t xml:space="preserve"> </w:t>
      </w:r>
      <w:r w:rsidRPr="00A8671C" w:rsidR="00A8671C">
        <w:rPr>
          <w:i/>
        </w:rPr>
        <w:t>id</w:t>
      </w:r>
      <w:r w:rsidR="00A8671C">
        <w:t>.</w:t>
      </w:r>
      <w:r>
        <w:t xml:space="preserve"> § 64.1120(c).  Section 64.1130 details the requirements for letter of agency form and content for written or electronically signed authorizations.  </w:t>
      </w:r>
      <w:r w:rsidRPr="009E3DF7" w:rsidR="009E3DF7">
        <w:rPr>
          <w:i/>
        </w:rPr>
        <w:t>Id.</w:t>
      </w:r>
      <w:r>
        <w:t xml:space="preserve"> § 64.1130.</w:t>
      </w:r>
    </w:p>
  </w:footnote>
  <w:footnote w:id="8">
    <w:p w:rsidR="00AD7D09" w:rsidRPr="00CF10D8" w:rsidP="00AD7D09">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sid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sidR="008403C5">
        <w:t xml:space="preserv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8403C5" w:rsidR="008403C5">
        <w:rPr>
          <w:i/>
        </w:rPr>
        <w:t>id.</w:t>
      </w:r>
      <w:r>
        <w:t xml:space="preserve"> §§ 64.1140, 64.1170.  </w:t>
      </w:r>
    </w:p>
  </w:footnote>
  <w:footnote w:id="9">
    <w:p w:rsidR="00AD7D09" w:rsidP="00AD7D09">
      <w:pPr>
        <w:pStyle w:val="FootnoteText"/>
      </w:pPr>
      <w:r>
        <w:rPr>
          <w:rStyle w:val="FootnoteReference"/>
        </w:rPr>
        <w:footnoteRef/>
      </w:r>
      <w:r w:rsidR="00364ABD">
        <w:rPr>
          <w:i/>
        </w:rPr>
        <w:t xml:space="preserve"> See </w:t>
      </w:r>
      <w:r w:rsidR="00364ABD">
        <w:t>Appendix</w:t>
      </w:r>
      <w:r>
        <w:t>.</w:t>
      </w:r>
    </w:p>
  </w:footnote>
  <w:footnote w:id="10">
    <w:p w:rsidR="001A4B00" w:rsidP="001A4B00">
      <w:pPr>
        <w:pStyle w:val="FootnoteText"/>
        <w:tabs>
          <w:tab w:val="left" w:pos="0"/>
        </w:tabs>
      </w:pPr>
      <w:r>
        <w:rPr>
          <w:rStyle w:val="FootnoteReference"/>
        </w:rPr>
        <w:footnoteRef/>
      </w:r>
      <w:r>
        <w:t xml:space="preserve"> 47 CFR § 1.719 (Commission procedure for informal complaints filed pursuant to Section 258 of the Act); </w:t>
      </w:r>
      <w:r w:rsidRPr="00470EAA">
        <w:rPr>
          <w:i/>
        </w:rPr>
        <w:t>id</w:t>
      </w:r>
      <w:r>
        <w:t>. § 64.1150 (procedures for resolution of unauthorized changes in preferred carrier).</w:t>
      </w:r>
    </w:p>
  </w:footnote>
  <w:footnote w:id="11">
    <w:p w:rsidR="00FE21D9" w:rsidRPr="00FE21D9">
      <w:pPr>
        <w:pStyle w:val="FootnoteText"/>
      </w:pPr>
      <w:r>
        <w:rPr>
          <w:rStyle w:val="FootnoteReference"/>
        </w:rPr>
        <w:footnoteRef/>
      </w:r>
      <w:r>
        <w:rPr>
          <w:i/>
        </w:rPr>
        <w:t xml:space="preserve"> </w:t>
      </w:r>
      <w:r w:rsidRPr="00E306C1" w:rsidR="00E306C1">
        <w:rPr>
          <w:i/>
        </w:rPr>
        <w:t>Id.</w:t>
      </w:r>
      <w:r>
        <w:t xml:space="preserve"> § 64.1160.  We note that </w:t>
      </w:r>
      <w:r w:rsidR="008262B8">
        <w:t>many of the</w:t>
      </w:r>
      <w:r>
        <w:t xml:space="preserve"> Complainants allege that </w:t>
      </w:r>
      <w:r w:rsidR="008262B8">
        <w:t>Birch’s</w:t>
      </w:r>
      <w:r>
        <w:t xml:space="preserve"> </w:t>
      </w:r>
      <w:r w:rsidR="008262B8">
        <w:t>telemarketer</w:t>
      </w:r>
      <w:r>
        <w:t xml:space="preserve"> misrepresented the nature of the transaction</w:t>
      </w:r>
      <w:r w:rsidR="008262B8">
        <w:t xml:space="preserve"> during the sales call</w:t>
      </w:r>
      <w:r>
        <w:t xml:space="preserve">.  </w:t>
      </w:r>
      <w:r w:rsidR="008262B8">
        <w:t xml:space="preserve">Under the Commission’s rules, upon </w:t>
      </w:r>
      <w:r w:rsidRPr="00DB2BE8" w:rsidR="008262B8">
        <w:t>a finding</w:t>
      </w:r>
      <w:r w:rsidR="008262B8">
        <w:t xml:space="preserve"> of</w:t>
      </w:r>
      <w:r w:rsidRPr="00DB2BE8" w:rsidR="008262B8">
        <w:t xml:space="preserve"> material misrepresentation </w:t>
      </w:r>
      <w:r w:rsidR="008262B8">
        <w:t>during</w:t>
      </w:r>
      <w:r w:rsidRPr="00DB2BE8" w:rsidR="008262B8">
        <w:t xml:space="preserve"> the sales call, the consumer</w:t>
      </w:r>
      <w:r w:rsidRPr="00DD1268" w:rsidR="008262B8">
        <w:t>’</w:t>
      </w:r>
      <w:r w:rsidRPr="00DB2BE8" w:rsidR="008262B8">
        <w:t xml:space="preserve">s authorization to change carriers will be deemed invalid even if the carrier has some evidence of consumer authorization of a switch, </w:t>
      </w:r>
      <w:r w:rsidRPr="00DB2BE8" w:rsidR="008262B8">
        <w:rPr>
          <w:i/>
        </w:rPr>
        <w:t>e.g.</w:t>
      </w:r>
      <w:r w:rsidRPr="00DB2BE8" w:rsidR="008262B8">
        <w:t xml:space="preserve">, a </w:t>
      </w:r>
      <w:r w:rsidR="008262B8">
        <w:t>third-party verification recording</w:t>
      </w:r>
      <w:r w:rsidRPr="00DB2BE8" w:rsidR="008262B8">
        <w:t>.</w:t>
      </w:r>
      <w:r w:rsidR="008262B8">
        <w:t xml:space="preserve">  </w:t>
      </w:r>
      <w:r w:rsidRPr="00E306C1" w:rsidR="008262B8">
        <w:rPr>
          <w:i/>
        </w:rPr>
        <w:t>Id</w:t>
      </w:r>
      <w:r w:rsidRPr="00E306C1" w:rsidR="00E306C1">
        <w:rPr>
          <w:i/>
        </w:rPr>
        <w:t>.</w:t>
      </w:r>
      <w:r w:rsidR="00E306C1">
        <w:t xml:space="preserve"> §</w:t>
      </w:r>
      <w:r w:rsidR="00A8671C">
        <w:t> </w:t>
      </w:r>
      <w:r w:rsidR="00E306C1">
        <w:t>64.</w:t>
      </w:r>
      <w:r w:rsidR="00536B8C">
        <w:t>1120(a)(1)(</w:t>
      </w:r>
      <w:r w:rsidR="00536B8C">
        <w:t>i</w:t>
      </w:r>
      <w:r w:rsidR="00536B8C">
        <w:t>)(A)</w:t>
      </w:r>
      <w:r w:rsidR="00263958">
        <w:t xml:space="preserve">; </w:t>
      </w:r>
      <w:r w:rsidRPr="00263958" w:rsidR="00263958">
        <w:rPr>
          <w:i/>
        </w:rPr>
        <w:t>see also</w:t>
      </w:r>
      <w:r w:rsidR="00263958">
        <w:t xml:space="preserve"> 47 U.S.C. § 201(b). </w:t>
      </w:r>
      <w:r w:rsidR="00E306C1">
        <w:t xml:space="preserve"> </w:t>
      </w:r>
      <w:r w:rsidR="008262B8">
        <w:t>W</w:t>
      </w:r>
      <w:r w:rsidR="00E306C1">
        <w:t>hile we find that Birch has resolved the complaints</w:t>
      </w:r>
      <w:r w:rsidR="003E72AC">
        <w:t xml:space="preserve"> here,</w:t>
      </w:r>
      <w:r w:rsidR="00E306C1">
        <w:t xml:space="preserve"> we</w:t>
      </w:r>
      <w:r w:rsidR="008262B8">
        <w:t xml:space="preserve"> </w:t>
      </w:r>
      <w:r w:rsidR="00E306C1">
        <w:t xml:space="preserve">nevertheless </w:t>
      </w:r>
      <w:r w:rsidR="008262B8">
        <w:t>will forward a copy of the record</w:t>
      </w:r>
      <w:r w:rsidR="00E306C1">
        <w:t xml:space="preserve"> in</w:t>
      </w:r>
      <w:r w:rsidR="008262B8">
        <w:t xml:space="preserve"> these proceedings to the Enforcement Bureau for further review.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B6A80">
      <w:t>DA 1</w:t>
    </w:r>
    <w:r w:rsidR="009D0EA7">
      <w:t>9</w:t>
    </w:r>
    <w:r w:rsidR="00EB6A80">
      <w:t>-</w:t>
    </w:r>
    <w:r w:rsidR="00710059">
      <w:t>288</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B6A80">
      <w:rPr>
        <w:spacing w:val="-2"/>
      </w:rPr>
      <w:t>DA 1</w:t>
    </w:r>
    <w:r w:rsidR="009D0EA7">
      <w:rPr>
        <w:spacing w:val="-2"/>
      </w:rPr>
      <w:t>9</w:t>
    </w:r>
    <w:r w:rsidR="00EB6A80">
      <w:rPr>
        <w:spacing w:val="-2"/>
      </w:rPr>
      <w:t xml:space="preserve"> -</w:t>
    </w:r>
    <w:r w:rsidR="00710059">
      <w:rPr>
        <w:spacing w:val="-2"/>
      </w:rPr>
      <w:t>288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D09"/>
    <w:rsid w:val="00015643"/>
    <w:rsid w:val="00036039"/>
    <w:rsid w:val="00037F90"/>
    <w:rsid w:val="0004337D"/>
    <w:rsid w:val="00053D66"/>
    <w:rsid w:val="000875BF"/>
    <w:rsid w:val="00096D8C"/>
    <w:rsid w:val="000C0B65"/>
    <w:rsid w:val="000E05FE"/>
    <w:rsid w:val="000E3D42"/>
    <w:rsid w:val="000E7B25"/>
    <w:rsid w:val="00116BAB"/>
    <w:rsid w:val="00122BD5"/>
    <w:rsid w:val="00126830"/>
    <w:rsid w:val="00133F79"/>
    <w:rsid w:val="00142D97"/>
    <w:rsid w:val="001637FB"/>
    <w:rsid w:val="00194A66"/>
    <w:rsid w:val="001A4B00"/>
    <w:rsid w:val="001D65A0"/>
    <w:rsid w:val="001D6BCF"/>
    <w:rsid w:val="001E01CA"/>
    <w:rsid w:val="001F2988"/>
    <w:rsid w:val="002062FD"/>
    <w:rsid w:val="00263958"/>
    <w:rsid w:val="00270675"/>
    <w:rsid w:val="00275CF5"/>
    <w:rsid w:val="0028301F"/>
    <w:rsid w:val="00285017"/>
    <w:rsid w:val="002A2D2E"/>
    <w:rsid w:val="002C00E8"/>
    <w:rsid w:val="00343749"/>
    <w:rsid w:val="00344959"/>
    <w:rsid w:val="00364ABD"/>
    <w:rsid w:val="003660ED"/>
    <w:rsid w:val="0038144E"/>
    <w:rsid w:val="003B0550"/>
    <w:rsid w:val="003B694F"/>
    <w:rsid w:val="003D1861"/>
    <w:rsid w:val="003E72AC"/>
    <w:rsid w:val="003E731D"/>
    <w:rsid w:val="003F171C"/>
    <w:rsid w:val="00412FC5"/>
    <w:rsid w:val="00422276"/>
    <w:rsid w:val="004242F1"/>
    <w:rsid w:val="00445A00"/>
    <w:rsid w:val="00451B0F"/>
    <w:rsid w:val="00470EAA"/>
    <w:rsid w:val="00472834"/>
    <w:rsid w:val="00497E26"/>
    <w:rsid w:val="004C2EE3"/>
    <w:rsid w:val="004C50AC"/>
    <w:rsid w:val="004D6B10"/>
    <w:rsid w:val="004E3B6C"/>
    <w:rsid w:val="004E4A22"/>
    <w:rsid w:val="004F5F6F"/>
    <w:rsid w:val="004F6A77"/>
    <w:rsid w:val="00511968"/>
    <w:rsid w:val="00536B8C"/>
    <w:rsid w:val="0055614C"/>
    <w:rsid w:val="005914F9"/>
    <w:rsid w:val="005E14C2"/>
    <w:rsid w:val="005F7CD1"/>
    <w:rsid w:val="00607BA5"/>
    <w:rsid w:val="0061180A"/>
    <w:rsid w:val="00626EB6"/>
    <w:rsid w:val="00655D03"/>
    <w:rsid w:val="00674429"/>
    <w:rsid w:val="00683388"/>
    <w:rsid w:val="00683F84"/>
    <w:rsid w:val="006A6321"/>
    <w:rsid w:val="006A6A81"/>
    <w:rsid w:val="006D4890"/>
    <w:rsid w:val="006F53AE"/>
    <w:rsid w:val="006F7393"/>
    <w:rsid w:val="0070224F"/>
    <w:rsid w:val="00710059"/>
    <w:rsid w:val="007115F7"/>
    <w:rsid w:val="00745242"/>
    <w:rsid w:val="00785689"/>
    <w:rsid w:val="0079754B"/>
    <w:rsid w:val="007A1E6D"/>
    <w:rsid w:val="007A3F1A"/>
    <w:rsid w:val="007B0EB2"/>
    <w:rsid w:val="007D7D61"/>
    <w:rsid w:val="007E4FB0"/>
    <w:rsid w:val="007F0191"/>
    <w:rsid w:val="008058B5"/>
    <w:rsid w:val="00810B6F"/>
    <w:rsid w:val="00822CE0"/>
    <w:rsid w:val="008262B8"/>
    <w:rsid w:val="00827885"/>
    <w:rsid w:val="008403C5"/>
    <w:rsid w:val="00841AB1"/>
    <w:rsid w:val="00872D0C"/>
    <w:rsid w:val="008B6AE4"/>
    <w:rsid w:val="008C68F1"/>
    <w:rsid w:val="008D509D"/>
    <w:rsid w:val="00921803"/>
    <w:rsid w:val="00926503"/>
    <w:rsid w:val="009726D8"/>
    <w:rsid w:val="009C6799"/>
    <w:rsid w:val="009D0EA7"/>
    <w:rsid w:val="009E3DF7"/>
    <w:rsid w:val="009F4A11"/>
    <w:rsid w:val="009F76DB"/>
    <w:rsid w:val="00A07D42"/>
    <w:rsid w:val="00A32C3B"/>
    <w:rsid w:val="00A45F4F"/>
    <w:rsid w:val="00A600A9"/>
    <w:rsid w:val="00A8671C"/>
    <w:rsid w:val="00AA55B7"/>
    <w:rsid w:val="00AA5B9E"/>
    <w:rsid w:val="00AB2407"/>
    <w:rsid w:val="00AB53DF"/>
    <w:rsid w:val="00AD7D09"/>
    <w:rsid w:val="00AE4B87"/>
    <w:rsid w:val="00AF660B"/>
    <w:rsid w:val="00B07E5C"/>
    <w:rsid w:val="00B354E1"/>
    <w:rsid w:val="00B811F7"/>
    <w:rsid w:val="00B84AD6"/>
    <w:rsid w:val="00BA5DC6"/>
    <w:rsid w:val="00BA6196"/>
    <w:rsid w:val="00BC6D8C"/>
    <w:rsid w:val="00C34006"/>
    <w:rsid w:val="00C426B1"/>
    <w:rsid w:val="00C525ED"/>
    <w:rsid w:val="00C66160"/>
    <w:rsid w:val="00C721AC"/>
    <w:rsid w:val="00C90D6A"/>
    <w:rsid w:val="00CA247E"/>
    <w:rsid w:val="00CC3872"/>
    <w:rsid w:val="00CC72B6"/>
    <w:rsid w:val="00CF10D8"/>
    <w:rsid w:val="00D0218D"/>
    <w:rsid w:val="00D25FB5"/>
    <w:rsid w:val="00D44223"/>
    <w:rsid w:val="00D566B6"/>
    <w:rsid w:val="00DA0670"/>
    <w:rsid w:val="00DA2529"/>
    <w:rsid w:val="00DB130A"/>
    <w:rsid w:val="00DB2BE8"/>
    <w:rsid w:val="00DB2EBB"/>
    <w:rsid w:val="00DC10A1"/>
    <w:rsid w:val="00DC655F"/>
    <w:rsid w:val="00DC7C27"/>
    <w:rsid w:val="00DD0B59"/>
    <w:rsid w:val="00DD1268"/>
    <w:rsid w:val="00DD2988"/>
    <w:rsid w:val="00DD7EBD"/>
    <w:rsid w:val="00DF62B6"/>
    <w:rsid w:val="00E07225"/>
    <w:rsid w:val="00E306C1"/>
    <w:rsid w:val="00E5409F"/>
    <w:rsid w:val="00EA5D90"/>
    <w:rsid w:val="00EB0B3C"/>
    <w:rsid w:val="00EB6A80"/>
    <w:rsid w:val="00ED0DB7"/>
    <w:rsid w:val="00EE6488"/>
    <w:rsid w:val="00EF2C5A"/>
    <w:rsid w:val="00F021FA"/>
    <w:rsid w:val="00F0517A"/>
    <w:rsid w:val="00F068EC"/>
    <w:rsid w:val="00F62E97"/>
    <w:rsid w:val="00F64209"/>
    <w:rsid w:val="00F93BF5"/>
    <w:rsid w:val="00FA5B27"/>
    <w:rsid w:val="00FB6032"/>
    <w:rsid w:val="00FE21D9"/>
    <w:rsid w:val="00FE4EFA"/>
    <w:rsid w:val="00FE65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A023DD3-E6A2-4D26-9136-307E7D75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D09"/>
    <w:pPr>
      <w:widowControl w:val="0"/>
      <w:jc w:val="both"/>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Title">
    <w:name w:val="Title"/>
    <w:basedOn w:val="Normal"/>
    <w:link w:val="TitleChar"/>
    <w:qFormat/>
    <w:rsid w:val="00AD7D09"/>
    <w:pPr>
      <w:jc w:val="center"/>
    </w:pPr>
    <w:rPr>
      <w:b/>
    </w:rPr>
  </w:style>
  <w:style w:type="character" w:customStyle="1" w:styleId="TitleChar">
    <w:name w:val="Title Char"/>
    <w:link w:val="Title"/>
    <w:rsid w:val="00AD7D09"/>
    <w:rPr>
      <w:b/>
      <w:snapToGrid w:val="0"/>
      <w:kern w:val="28"/>
      <w:sz w:val="22"/>
    </w:rPr>
  </w:style>
  <w:style w:type="paragraph" w:styleId="Subtitle">
    <w:name w:val="Subtitle"/>
    <w:basedOn w:val="Normal"/>
    <w:link w:val="SubtitleChar"/>
    <w:qFormat/>
    <w:rsid w:val="00AD7D09"/>
    <w:pPr>
      <w:ind w:firstLine="720"/>
      <w:jc w:val="center"/>
    </w:pPr>
    <w:rPr>
      <w:b/>
    </w:rPr>
  </w:style>
  <w:style w:type="character" w:customStyle="1" w:styleId="SubtitleChar">
    <w:name w:val="Subtitle Char"/>
    <w:link w:val="Subtitle"/>
    <w:rsid w:val="00AD7D09"/>
    <w:rPr>
      <w:b/>
      <w:snapToGrid w:val="0"/>
      <w:kern w:val="28"/>
      <w:sz w:val="22"/>
    </w:rPr>
  </w:style>
  <w:style w:type="paragraph" w:styleId="ListParagraph">
    <w:name w:val="List Paragraph"/>
    <w:basedOn w:val="Normal"/>
    <w:uiPriority w:val="34"/>
    <w:qFormat/>
    <w:rsid w:val="00AD7D09"/>
    <w:pPr>
      <w:ind w:left="720"/>
    </w:pPr>
  </w:style>
  <w:style w:type="paragraph" w:styleId="BalloonText">
    <w:name w:val="Balloon Text"/>
    <w:basedOn w:val="Normal"/>
    <w:link w:val="BalloonTextChar"/>
    <w:rsid w:val="00053D66"/>
    <w:rPr>
      <w:rFonts w:ascii="Segoe UI" w:hAnsi="Segoe UI" w:cs="Segoe UI"/>
      <w:sz w:val="18"/>
      <w:szCs w:val="18"/>
    </w:rPr>
  </w:style>
  <w:style w:type="character" w:customStyle="1" w:styleId="BalloonTextChar">
    <w:name w:val="Balloon Text Char"/>
    <w:link w:val="BalloonText"/>
    <w:rsid w:val="00053D6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