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B4B01" w:rsidRPr="00ED5746" w:rsidP="004B4B01">
      <w:pPr>
        <w:jc w:val="center"/>
        <w:rPr>
          <w:b/>
        </w:rPr>
      </w:pPr>
      <w:r w:rsidRPr="00ED5746">
        <w:rPr>
          <w:rFonts w:ascii="Times New Roman Bold" w:hAnsi="Times New Roman Bold"/>
          <w:b/>
          <w:kern w:val="0"/>
          <w:szCs w:val="22"/>
        </w:rPr>
        <w:t>Before</w:t>
      </w:r>
      <w:r w:rsidRPr="00ED5746">
        <w:rPr>
          <w:b/>
        </w:rPr>
        <w:t xml:space="preserve"> the</w:t>
      </w:r>
    </w:p>
    <w:p w:rsidR="004B4B01" w:rsidRPr="00ED5746" w:rsidP="004B4B01">
      <w:pPr>
        <w:pStyle w:val="StyleBoldCentered"/>
      </w:pPr>
      <w:r w:rsidRPr="00ED5746">
        <w:t>F</w:t>
      </w:r>
      <w:r w:rsidRPr="00ED5746">
        <w:rPr>
          <w:caps w:val="0"/>
        </w:rPr>
        <w:t>ederal Communications Commission</w:t>
      </w:r>
    </w:p>
    <w:p w:rsidR="004B4B01" w:rsidRPr="00ED5746" w:rsidP="004B4B01">
      <w:pPr>
        <w:pStyle w:val="StyleBoldCentered"/>
      </w:pPr>
      <w:r w:rsidRPr="00ED5746">
        <w:rPr>
          <w:caps w:val="0"/>
        </w:rPr>
        <w:t>Washington, DC 20554</w:t>
      </w:r>
    </w:p>
    <w:p w:rsidR="004B4B01" w:rsidRPr="00ED5746" w:rsidP="004B4B01"/>
    <w:tbl>
      <w:tblPr>
        <w:tblW w:w="0" w:type="auto"/>
        <w:tblLayout w:type="fixed"/>
        <w:tblLook w:val="0000"/>
      </w:tblPr>
      <w:tblGrid>
        <w:gridCol w:w="4698"/>
        <w:gridCol w:w="630"/>
        <w:gridCol w:w="4248"/>
      </w:tblGrid>
      <w:tr w:rsidTr="00B950EE">
        <w:tblPrEx>
          <w:tblW w:w="0" w:type="auto"/>
          <w:tblLayout w:type="fixed"/>
          <w:tblLook w:val="0000"/>
        </w:tblPrEx>
        <w:tc>
          <w:tcPr>
            <w:tcW w:w="4698" w:type="dxa"/>
          </w:tcPr>
          <w:p w:rsidR="004B4B01" w:rsidRPr="00D84548" w:rsidP="00B950EE">
            <w:pPr>
              <w:tabs>
                <w:tab w:val="center" w:pos="4680"/>
              </w:tabs>
              <w:suppressAutoHyphens/>
              <w:rPr>
                <w:spacing w:val="-2"/>
              </w:rPr>
            </w:pPr>
            <w:r w:rsidRPr="00ED5746">
              <w:rPr>
                <w:spacing w:val="-2"/>
              </w:rPr>
              <w:t>In the Matter of</w:t>
            </w:r>
          </w:p>
          <w:p w:rsidR="004B4B01" w:rsidRPr="00D23E19" w:rsidP="00B950EE">
            <w:pPr>
              <w:tabs>
                <w:tab w:val="left" w:pos="360"/>
                <w:tab w:val="center" w:pos="4680"/>
                <w:tab w:val="right" w:leader="dot" w:pos="9360"/>
              </w:tabs>
              <w:suppressAutoHyphens/>
              <w:ind w:left="360" w:right="720" w:hanging="360"/>
              <w:rPr>
                <w:spacing w:val="-2"/>
              </w:rPr>
            </w:pPr>
          </w:p>
          <w:p w:rsidR="004B4B01" w:rsidRPr="0034732A" w:rsidP="00B950EE">
            <w:pPr>
              <w:autoSpaceDE w:val="0"/>
              <w:autoSpaceDN w:val="0"/>
              <w:adjustRightInd w:val="0"/>
              <w:rPr>
                <w:szCs w:val="22"/>
              </w:rPr>
            </w:pPr>
            <w:r w:rsidRPr="0034732A">
              <w:rPr>
                <w:szCs w:val="22"/>
              </w:rPr>
              <w:t>ASL Services Holdings, LLC</w:t>
            </w:r>
          </w:p>
          <w:p w:rsidR="004B4B01" w:rsidRPr="0034732A" w:rsidP="00B950EE">
            <w:pPr>
              <w:autoSpaceDE w:val="0"/>
              <w:autoSpaceDN w:val="0"/>
              <w:adjustRightInd w:val="0"/>
              <w:rPr>
                <w:szCs w:val="22"/>
              </w:rPr>
            </w:pPr>
            <w:r w:rsidRPr="0034732A">
              <w:rPr>
                <w:szCs w:val="22"/>
              </w:rPr>
              <w:t>dba GlobalVRS</w:t>
            </w:r>
          </w:p>
          <w:p w:rsidR="004B4B01" w:rsidRPr="00D84548" w:rsidP="00B950EE">
            <w:pPr>
              <w:autoSpaceDE w:val="0"/>
              <w:autoSpaceDN w:val="0"/>
              <w:adjustRightInd w:val="0"/>
            </w:pPr>
          </w:p>
        </w:tc>
        <w:tc>
          <w:tcPr>
            <w:tcW w:w="630" w:type="dxa"/>
          </w:tcPr>
          <w:p w:rsidR="004B4B01" w:rsidRPr="00D84548"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r w:rsidRPr="00D84548">
              <w:rPr>
                <w:b/>
                <w:spacing w:val="-2"/>
              </w:rPr>
              <w:t>)</w:t>
            </w:r>
          </w:p>
          <w:p w:rsidR="004B4B01" w:rsidRPr="00D23E19" w:rsidP="00B950EE">
            <w:pPr>
              <w:tabs>
                <w:tab w:val="center" w:pos="4680"/>
              </w:tabs>
              <w:suppressAutoHyphens/>
              <w:rPr>
                <w:b/>
                <w:spacing w:val="-2"/>
              </w:rPr>
            </w:pPr>
          </w:p>
        </w:tc>
        <w:tc>
          <w:tcPr>
            <w:tcW w:w="4248" w:type="dxa"/>
          </w:tcPr>
          <w:p w:rsidR="004B4B01" w:rsidP="00B950EE">
            <w:pPr>
              <w:tabs>
                <w:tab w:val="center" w:pos="4680"/>
              </w:tabs>
              <w:suppressAutoHyphens/>
              <w:ind w:left="432"/>
              <w:rPr>
                <w:spacing w:val="-2"/>
                <w:szCs w:val="22"/>
              </w:rPr>
            </w:pPr>
          </w:p>
          <w:p w:rsidR="004B4B01" w:rsidP="00B950EE">
            <w:pPr>
              <w:tabs>
                <w:tab w:val="center" w:pos="4680"/>
              </w:tabs>
              <w:suppressAutoHyphens/>
              <w:ind w:left="432"/>
              <w:rPr>
                <w:spacing w:val="-2"/>
                <w:szCs w:val="22"/>
              </w:rPr>
            </w:pPr>
          </w:p>
          <w:p w:rsidR="004B4B01" w:rsidRPr="00D84548" w:rsidP="00B950EE">
            <w:pPr>
              <w:tabs>
                <w:tab w:val="center" w:pos="4680"/>
              </w:tabs>
              <w:suppressAutoHyphens/>
              <w:ind w:left="432"/>
              <w:rPr>
                <w:spacing w:val="-2"/>
                <w:szCs w:val="22"/>
              </w:rPr>
            </w:pPr>
            <w:r w:rsidRPr="00D84548">
              <w:rPr>
                <w:spacing w:val="-2"/>
                <w:szCs w:val="22"/>
              </w:rPr>
              <w:t xml:space="preserve">File No.:  </w:t>
            </w:r>
            <w:r w:rsidRPr="0034732A">
              <w:rPr>
                <w:spacing w:val="-2"/>
                <w:szCs w:val="22"/>
              </w:rPr>
              <w:t>EB-TCD-15-00020482</w:t>
            </w:r>
          </w:p>
          <w:p w:rsidR="001B451D" w:rsidP="00B950EE">
            <w:pPr>
              <w:tabs>
                <w:tab w:val="center" w:pos="4680"/>
              </w:tabs>
              <w:suppressAutoHyphens/>
              <w:ind w:left="432"/>
              <w:rPr>
                <w:spacing w:val="-2"/>
              </w:rPr>
            </w:pPr>
            <w:r>
              <w:rPr>
                <w:spacing w:val="-2"/>
                <w:szCs w:val="22"/>
              </w:rPr>
              <w:t xml:space="preserve">Acct. No.:  </w:t>
            </w:r>
            <w:r>
              <w:rPr>
                <w:spacing w:val="-2"/>
              </w:rPr>
              <w:t>201932170001</w:t>
            </w:r>
          </w:p>
          <w:p w:rsidR="004B4B01" w:rsidRPr="00D84548" w:rsidP="00B950EE">
            <w:pPr>
              <w:tabs>
                <w:tab w:val="center" w:pos="4680"/>
              </w:tabs>
              <w:suppressAutoHyphens/>
              <w:ind w:left="432"/>
              <w:rPr>
                <w:snapToGrid/>
                <w:spacing w:val="-2"/>
              </w:rPr>
            </w:pPr>
            <w:r w:rsidRPr="00D84548">
              <w:rPr>
                <w:szCs w:val="22"/>
              </w:rPr>
              <w:t xml:space="preserve">FRN:  </w:t>
            </w:r>
            <w:r w:rsidRPr="00E9064F" w:rsidR="00E9064F">
              <w:rPr>
                <w:bCs/>
              </w:rPr>
              <w:t>0021307194</w:t>
            </w:r>
          </w:p>
        </w:tc>
      </w:tr>
    </w:tbl>
    <w:p w:rsidR="004B4B01" w:rsidRPr="00D84548" w:rsidP="004B4B01">
      <w:pPr>
        <w:jc w:val="center"/>
        <w:outlineLvl w:val="0"/>
        <w:rPr>
          <w:b/>
          <w:szCs w:val="22"/>
        </w:rPr>
      </w:pPr>
      <w:r w:rsidRPr="00D84548">
        <w:rPr>
          <w:b/>
          <w:szCs w:val="22"/>
        </w:rPr>
        <w:t>ORDER</w:t>
      </w:r>
    </w:p>
    <w:p w:rsidR="004B4B01" w:rsidRPr="00D84548" w:rsidP="004B4B01">
      <w:pPr>
        <w:tabs>
          <w:tab w:val="left" w:pos="-720"/>
        </w:tabs>
        <w:suppressAutoHyphens/>
        <w:spacing w:line="227" w:lineRule="auto"/>
        <w:rPr>
          <w:spacing w:val="-2"/>
        </w:rPr>
      </w:pPr>
    </w:p>
    <w:p w:rsidR="004B4B01" w:rsidRPr="00D84548" w:rsidP="004B4B01">
      <w:pPr>
        <w:tabs>
          <w:tab w:val="left" w:pos="720"/>
          <w:tab w:val="right" w:pos="9360"/>
        </w:tabs>
        <w:suppressAutoHyphens/>
        <w:spacing w:line="227" w:lineRule="auto"/>
        <w:rPr>
          <w:spacing w:val="-2"/>
        </w:rPr>
      </w:pPr>
      <w:r w:rsidRPr="00D84548">
        <w:rPr>
          <w:b/>
          <w:spacing w:val="-2"/>
        </w:rPr>
        <w:t xml:space="preserve">Adopted:  </w:t>
      </w:r>
      <w:r w:rsidR="00633018">
        <w:rPr>
          <w:b/>
          <w:spacing w:val="-2"/>
        </w:rPr>
        <w:t>February 1, 2019</w:t>
      </w:r>
      <w:r w:rsidRPr="00D84548">
        <w:rPr>
          <w:b/>
          <w:spacing w:val="-2"/>
        </w:rPr>
        <w:tab/>
        <w:t xml:space="preserve">Released:  </w:t>
      </w:r>
      <w:r w:rsidR="00633018">
        <w:rPr>
          <w:b/>
          <w:spacing w:val="-2"/>
        </w:rPr>
        <w:t>February 1, 2019</w:t>
      </w:r>
    </w:p>
    <w:p w:rsidR="004B4B01" w:rsidRPr="00D84548" w:rsidP="004B4B01"/>
    <w:p w:rsidR="004B4B01" w:rsidRPr="00D84548" w:rsidP="004B4B01">
      <w:pPr>
        <w:rPr>
          <w:spacing w:val="-2"/>
        </w:rPr>
      </w:pPr>
      <w:r w:rsidRPr="00D84548">
        <w:rPr>
          <w:spacing w:val="-2"/>
          <w:szCs w:val="22"/>
        </w:rPr>
        <w:t>By the Chief, Enforcement Bureau:</w:t>
      </w:r>
    </w:p>
    <w:p w:rsidR="004B4B01" w:rsidRPr="00D84548" w:rsidP="004B4B01"/>
    <w:p w:rsidR="004B4B01" w:rsidRPr="00CD3A38" w:rsidP="004B4B01">
      <w:pPr>
        <w:pStyle w:val="ParaNum"/>
        <w:numPr>
          <w:ilvl w:val="0"/>
          <w:numId w:val="8"/>
        </w:numPr>
        <w:tabs>
          <w:tab w:val="clear" w:pos="1080"/>
        </w:tabs>
        <w:rPr>
          <w:color w:val="000000"/>
          <w:szCs w:val="22"/>
        </w:rPr>
      </w:pPr>
      <w:r w:rsidRPr="00D84548">
        <w:rPr>
          <w:szCs w:val="22"/>
        </w:rPr>
        <w:t xml:space="preserve">The Enforcement Bureau (Bureau) of the Federal Communications Commission has entered into a Consent Decree </w:t>
      </w:r>
      <w:r>
        <w:rPr>
          <w:szCs w:val="22"/>
        </w:rPr>
        <w:t xml:space="preserve">with </w:t>
      </w:r>
      <w:r w:rsidRPr="00ED78E9">
        <w:rPr>
          <w:szCs w:val="22"/>
        </w:rPr>
        <w:t xml:space="preserve">ASL Holdings, LLC dba GlobalVRS (Global or Company) </w:t>
      </w:r>
      <w:r>
        <w:rPr>
          <w:szCs w:val="22"/>
        </w:rPr>
        <w:t xml:space="preserve">to resolve pending enforcement matters involving Global.  </w:t>
      </w:r>
    </w:p>
    <w:p w:rsidR="004B4B01" w:rsidP="004B4B01">
      <w:pPr>
        <w:pStyle w:val="ParaNum"/>
        <w:numPr>
          <w:ilvl w:val="0"/>
          <w:numId w:val="8"/>
        </w:numPr>
        <w:tabs>
          <w:tab w:val="clear" w:pos="1080"/>
          <w:tab w:val="left" w:pos="1440"/>
        </w:tabs>
        <w:rPr>
          <w:szCs w:val="22"/>
        </w:rPr>
      </w:pPr>
      <w:r w:rsidRPr="00373F52">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 xml:space="preserve">Global’s </w:t>
      </w:r>
      <w:r w:rsidRPr="00373F52">
        <w:rPr>
          <w:szCs w:val="22"/>
        </w:rPr>
        <w:t xml:space="preserve">compliance with the Commission’s TRS Rules, </w:t>
      </w:r>
      <w:r>
        <w:rPr>
          <w:szCs w:val="22"/>
        </w:rPr>
        <w:t xml:space="preserve">including implementing a reasonable verification process, </w:t>
      </w:r>
      <w:r w:rsidRPr="00C03342">
        <w:rPr>
          <w:szCs w:val="22"/>
        </w:rPr>
        <w:t>maintain</w:t>
      </w:r>
      <w:r>
        <w:rPr>
          <w:szCs w:val="22"/>
        </w:rPr>
        <w:t>ing</w:t>
      </w:r>
      <w:r w:rsidRPr="00C03342">
        <w:rPr>
          <w:szCs w:val="22"/>
        </w:rPr>
        <w:t xml:space="preserve"> data supporting Requests for Reimbursement, </w:t>
      </w:r>
      <w:r>
        <w:rPr>
          <w:szCs w:val="22"/>
        </w:rPr>
        <w:t xml:space="preserve">and submitting accurate data to the TRS Fund Administrator, </w:t>
      </w:r>
      <w:r w:rsidRPr="00373F52">
        <w:rPr>
          <w:szCs w:val="22"/>
        </w:rPr>
        <w:t>Section 225 of the Communications Act of 1934, as amended (Act)</w:t>
      </w:r>
      <w:r>
        <w:rPr>
          <w:rStyle w:val="FootnoteReference"/>
          <w:szCs w:val="22"/>
        </w:rPr>
        <w:footnoteReference w:id="3"/>
      </w:r>
      <w:r w:rsidRPr="00373F52">
        <w:rPr>
          <w:szCs w:val="22"/>
        </w:rPr>
        <w:t xml:space="preserve">, and Sections 64.601 </w:t>
      </w:r>
      <w:r w:rsidRPr="00373F52">
        <w:rPr>
          <w:i/>
          <w:szCs w:val="22"/>
        </w:rPr>
        <w:t>et seq.</w:t>
      </w:r>
      <w:r w:rsidRPr="00373F52">
        <w:rPr>
          <w:szCs w:val="22"/>
        </w:rPr>
        <w:t xml:space="preserve"> of the Commission’s rules (Rules).</w:t>
      </w:r>
      <w:r>
        <w:rPr>
          <w:rStyle w:val="FootnoteReference"/>
          <w:szCs w:val="22"/>
        </w:rPr>
        <w:footnoteReference w:id="4"/>
      </w:r>
      <w:r>
        <w:rPr>
          <w:szCs w:val="22"/>
        </w:rPr>
        <w:t xml:space="preserve"> </w:t>
      </w:r>
    </w:p>
    <w:p w:rsidR="004B4B01" w:rsidRPr="006A480A" w:rsidP="004B4B01">
      <w:pPr>
        <w:pStyle w:val="ParaNum"/>
        <w:numPr>
          <w:ilvl w:val="0"/>
          <w:numId w:val="8"/>
        </w:numPr>
        <w:tabs>
          <w:tab w:val="left" w:pos="1440"/>
        </w:tabs>
        <w:rPr>
          <w:szCs w:val="22"/>
        </w:rPr>
      </w:pPr>
      <w:r w:rsidRPr="0090324E">
        <w:rPr>
          <w:szCs w:val="22"/>
        </w:rPr>
        <w:t xml:space="preserve">Our authority to adopt such a consent decree </w:t>
      </w:r>
      <w:r>
        <w:rPr>
          <w:szCs w:val="22"/>
        </w:rPr>
        <w:t>stems from our authority under S</w:t>
      </w:r>
      <w:r w:rsidRPr="0090324E">
        <w:rPr>
          <w:szCs w:val="22"/>
        </w:rPr>
        <w:t>ection 4(i) of the Communications Act to “perform any and all acts . . . and issue such orders</w:t>
      </w:r>
      <w:r>
        <w:rPr>
          <w:szCs w:val="22"/>
        </w:rPr>
        <w:t xml:space="preserve"> . . . </w:t>
      </w:r>
      <w:r w:rsidRPr="0090324E">
        <w:rPr>
          <w:szCs w:val="22"/>
        </w:rPr>
        <w:t>as may be necessary in the execution of [the Commission’s] functions.‎”</w:t>
      </w:r>
      <w:r>
        <w:rPr>
          <w:rStyle w:val="FootnoteReference"/>
          <w:szCs w:val="22"/>
        </w:rPr>
        <w:footnoteReference w:id="5"/>
      </w:r>
      <w:r>
        <w:rPr>
          <w:szCs w:val="22"/>
        </w:rPr>
        <w:t xml:space="preserve">  We</w:t>
      </w:r>
      <w:r w:rsidRPr="0090324E">
        <w:rPr>
          <w:szCs w:val="22"/>
        </w:rPr>
        <w:t xml:space="preserve"> affirmatively find it necessary to adopt a consent decree to execute our function of enforcing violations of the Co</w:t>
      </w:r>
      <w:r>
        <w:rPr>
          <w:szCs w:val="22"/>
        </w:rPr>
        <w:t xml:space="preserve">mmunications Act and our Rules.  We make clear that, as the resolution of a particular dispute with the consent of both parties, this </w:t>
      </w:r>
      <w:r w:rsidR="00420231">
        <w:rPr>
          <w:szCs w:val="22"/>
        </w:rPr>
        <w:t>C</w:t>
      </w:r>
      <w:r>
        <w:rPr>
          <w:szCs w:val="22"/>
        </w:rPr>
        <w:t xml:space="preserve">onsent </w:t>
      </w:r>
      <w:r w:rsidR="00604B2B">
        <w:rPr>
          <w:szCs w:val="22"/>
        </w:rPr>
        <w:t>D</w:t>
      </w:r>
      <w:r>
        <w:rPr>
          <w:szCs w:val="22"/>
        </w:rPr>
        <w:t>ecree has no precedential effect on third parties.</w:t>
      </w:r>
    </w:p>
    <w:p w:rsidR="004B4B01" w:rsidRPr="00C03342" w:rsidP="004B4B01">
      <w:pPr>
        <w:pStyle w:val="ParaNum"/>
        <w:numPr>
          <w:ilvl w:val="0"/>
          <w:numId w:val="8"/>
        </w:numPr>
        <w:tabs>
          <w:tab w:val="clear" w:pos="1080"/>
        </w:tabs>
        <w:rPr>
          <w:szCs w:val="22"/>
        </w:rPr>
      </w:pPr>
      <w:r w:rsidRPr="00C03342">
        <w:rPr>
          <w:szCs w:val="22"/>
        </w:rPr>
        <w:t xml:space="preserve"> In the absence of material new evidence relating to this matter, we do not set for hearing the question of</w:t>
      </w:r>
      <w:r>
        <w:rPr>
          <w:szCs w:val="22"/>
        </w:rPr>
        <w:t xml:space="preserve"> Global</w:t>
      </w:r>
      <w:r w:rsidRPr="00C03342">
        <w:rPr>
          <w:szCs w:val="22"/>
        </w:rPr>
        <w:t>’s basic qualifications to hold or obtain any Commission license or authorization.</w:t>
      </w:r>
      <w:r>
        <w:rPr>
          <w:rStyle w:val="FootnoteReference"/>
          <w:szCs w:val="22"/>
        </w:rPr>
        <w:footnoteReference w:id="6"/>
      </w:r>
    </w:p>
    <w:p w:rsidR="004B4B01" w:rsidRPr="00D84548" w:rsidP="004B4B01">
      <w:pPr>
        <w:pStyle w:val="ParaNum"/>
        <w:numPr>
          <w:ilvl w:val="0"/>
          <w:numId w:val="8"/>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the authority delegated by Sections 0.111 and 0.311 of the Rules,</w:t>
      </w:r>
      <w:r>
        <w:rPr>
          <w:rStyle w:val="FootnoteReference"/>
          <w:szCs w:val="22"/>
        </w:rPr>
        <w:footnoteReference w:id="7"/>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4B4B01" w:rsidRPr="00D84548" w:rsidP="000C3C3A">
      <w:pPr>
        <w:pStyle w:val="ParaNum"/>
        <w:pageBreakBefore/>
        <w:widowControl/>
        <w:numPr>
          <w:ilvl w:val="0"/>
          <w:numId w:val="8"/>
        </w:numPr>
        <w:tabs>
          <w:tab w:val="clear" w:pos="1080"/>
          <w:tab w:val="left" w:pos="1440"/>
        </w:tabs>
        <w:spacing w:after="0"/>
        <w:rPr>
          <w:b/>
        </w:rPr>
      </w:pPr>
      <w:r w:rsidRPr="00D84548">
        <w:rPr>
          <w:b/>
        </w:rPr>
        <w:t>IT IS FURTHER ORDERED</w:t>
      </w:r>
      <w:r w:rsidRPr="00D84548">
        <w:t xml:space="preserve"> that the above-captioned matter </w:t>
      </w:r>
      <w:r w:rsidRPr="00D84548">
        <w:rPr>
          <w:b/>
        </w:rPr>
        <w:t>IS TERMINATED</w:t>
      </w:r>
      <w:r w:rsidRPr="00D84548">
        <w:t>.</w:t>
      </w:r>
    </w:p>
    <w:p w:rsidR="004B4B01" w:rsidRPr="001A2776" w:rsidP="004B4B01">
      <w:pPr>
        <w:rPr>
          <w:szCs w:val="22"/>
        </w:rPr>
      </w:pPr>
      <w:r w:rsidRPr="00D84548">
        <w:rPr>
          <w:b/>
        </w:rPr>
        <w:t>IT IS FURTHER ORDERED</w:t>
      </w:r>
      <w:r w:rsidRPr="00D84548">
        <w:t xml:space="preserve"> that a copy of this Order and Consent Decree </w:t>
      </w:r>
      <w:r w:rsidRPr="00981F23">
        <w:rPr>
          <w:color w:val="000000" w:themeColor="text1"/>
          <w:szCs w:val="22"/>
        </w:rPr>
        <w:t>shall be sent by first class mail and certified mail, return receipt requested, to</w:t>
      </w:r>
      <w:r>
        <w:rPr>
          <w:color w:val="000000" w:themeColor="text1"/>
          <w:szCs w:val="22"/>
        </w:rPr>
        <w:t xml:space="preserve"> Angela Roth</w:t>
      </w:r>
      <w:r w:rsidRPr="00981F23">
        <w:rPr>
          <w:color w:val="000000" w:themeColor="text1"/>
          <w:szCs w:val="22"/>
        </w:rPr>
        <w:t>,</w:t>
      </w:r>
      <w:r w:rsidRPr="00F72287">
        <w:rPr>
          <w:spacing w:val="-2"/>
        </w:rPr>
        <w:t xml:space="preserve"> </w:t>
      </w:r>
      <w:r>
        <w:rPr>
          <w:spacing w:val="-2"/>
        </w:rPr>
        <w:t xml:space="preserve">Chief Executive Officer, ASL Services Holdings, LLC, dba GlobalVRS, </w:t>
      </w:r>
      <w:r w:rsidRPr="008C44C4">
        <w:rPr>
          <w:szCs w:val="22"/>
        </w:rPr>
        <w:t>3700 Commerce Blvd. Suite 216</w:t>
      </w:r>
      <w:r>
        <w:rPr>
          <w:szCs w:val="22"/>
        </w:rPr>
        <w:t>, Kissimmee, FL 34741.</w:t>
      </w:r>
    </w:p>
    <w:p w:rsidR="004B4B01" w:rsidP="004B4B01">
      <w:pPr>
        <w:pStyle w:val="ParaNum"/>
        <w:numPr>
          <w:ilvl w:val="0"/>
          <w:numId w:val="0"/>
        </w:numPr>
        <w:tabs>
          <w:tab w:val="left" w:pos="1440"/>
        </w:tabs>
        <w:spacing w:after="240"/>
        <w:ind w:left="720"/>
        <w:rPr>
          <w:b/>
        </w:rPr>
      </w:pPr>
    </w:p>
    <w:p w:rsidR="004B4B01" w:rsidRPr="00EF505E" w:rsidP="004B4B0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4B4B01" w:rsidRPr="00EF505E" w:rsidP="004B4B01">
      <w:pPr>
        <w:rPr>
          <w:szCs w:val="22"/>
          <w:lang w:val="fr-FR"/>
        </w:rPr>
      </w:pPr>
    </w:p>
    <w:p w:rsidR="004B4B01" w:rsidRPr="00EF505E" w:rsidP="004B4B01">
      <w:pPr>
        <w:rPr>
          <w:szCs w:val="22"/>
          <w:lang w:val="fr-FR"/>
        </w:rPr>
      </w:pPr>
    </w:p>
    <w:p w:rsidR="004B4B01" w:rsidRPr="00EF505E" w:rsidP="004B4B01">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4B4B01" w:rsidRPr="00EF505E" w:rsidP="004B4B01">
      <w:pPr>
        <w:outlineLvl w:val="0"/>
        <w:rPr>
          <w:szCs w:val="22"/>
          <w:lang w:val="fr-FR"/>
        </w:rPr>
      </w:pPr>
    </w:p>
    <w:p w:rsidR="004B4B01" w:rsidP="004B4B01">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Rosemary Harold</w:t>
      </w:r>
    </w:p>
    <w:p w:rsidR="004B4B01" w:rsidP="004B4B0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4B4B01" w:rsidP="004B4B01">
      <w:pPr>
        <w:ind w:left="2880" w:firstLine="720"/>
        <w:outlineLvl w:val="0"/>
        <w:rPr>
          <w:szCs w:val="22"/>
        </w:rPr>
      </w:pPr>
      <w:r>
        <w:rPr>
          <w:szCs w:val="22"/>
        </w:rPr>
        <w:t>Enforcement Bureau</w:t>
      </w:r>
    </w:p>
    <w:p w:rsidR="004B4B01" w:rsidRPr="008C4282" w:rsidP="004B4B01">
      <w:pPr>
        <w:rPr>
          <w:szCs w:val="22"/>
        </w:rPr>
      </w:pPr>
    </w:p>
    <w:p w:rsidR="004B4B01">
      <w:pPr>
        <w:widowControl/>
        <w:rPr>
          <w:rFonts w:ascii="Times New Roman Bold" w:eastAsia="Times New Roman Bold" w:hAnsi="Times New Roman Bold" w:cs="Times New Roman Bold"/>
          <w:b/>
          <w:bCs/>
        </w:rPr>
      </w:pPr>
      <w:r>
        <w:rPr>
          <w:rFonts w:ascii="Times New Roman Bold" w:eastAsia="Times New Roman Bold" w:hAnsi="Times New Roman Bold" w:cs="Times New Roman Bold"/>
          <w:b/>
          <w:bCs/>
        </w:rPr>
        <w:br w:type="page"/>
      </w:r>
    </w:p>
    <w:p w:rsidR="007443E8">
      <w:pPr>
        <w:jc w:val="center"/>
        <w:outlineLvl w:val="0"/>
        <w:rPr>
          <w:rFonts w:ascii="Times New Roman Bold" w:eastAsia="Times New Roman Bold" w:hAnsi="Times New Roman Bold" w:cs="Times New Roman Bold"/>
          <w:b/>
          <w:bCs/>
        </w:rPr>
        <w:sectPr w:rsidSect="004B4B01">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7443E8">
      <w:pPr>
        <w:jc w:val="center"/>
        <w:outlineLvl w:val="0"/>
        <w:rPr>
          <w:rFonts w:ascii="Times New Roman Bold" w:eastAsia="Times New Roman Bold" w:hAnsi="Times New Roman Bold" w:cs="Times New Roman Bold"/>
          <w:b/>
          <w:bCs/>
        </w:rPr>
      </w:pPr>
    </w:p>
    <w:p w:rsidR="00344584" w:rsidRPr="005A79A4">
      <w:pPr>
        <w:jc w:val="center"/>
        <w:outlineLvl w:val="0"/>
        <w:rPr>
          <w:rFonts w:ascii="Times New Roman Bold" w:eastAsia="Times New Roman Bold" w:hAnsi="Times New Roman Bold"/>
          <w:b/>
        </w:rPr>
      </w:pPr>
      <w:r w:rsidRPr="00846D8B">
        <w:rPr>
          <w:rFonts w:ascii="Times New Roman Bold" w:eastAsia="Times New Roman Bold" w:hAnsi="Times New Roman Bold" w:cs="Times New Roman Bold"/>
          <w:b/>
          <w:bCs/>
        </w:rPr>
        <w:t>Before</w:t>
      </w:r>
      <w:r w:rsidRPr="005A79A4">
        <w:rPr>
          <w:rFonts w:ascii="Times New Roman Bold" w:eastAsia="Times New Roman Bold" w:hAnsi="Times New Roman Bold"/>
          <w:b/>
        </w:rPr>
        <w:t xml:space="preserve"> the</w:t>
      </w:r>
    </w:p>
    <w:p w:rsidR="00344584" w:rsidRPr="00846D8B">
      <w:pPr>
        <w:jc w:val="center"/>
        <w:rPr>
          <w:rFonts w:ascii="Times New Roman Bold" w:eastAsia="Times New Roman Bold" w:hAnsi="Times New Roman Bold" w:cs="Times New Roman Bold"/>
          <w:b/>
          <w:bCs/>
          <w:caps/>
        </w:rPr>
      </w:pPr>
      <w:r w:rsidRPr="00846D8B">
        <w:rPr>
          <w:rFonts w:ascii="Times New Roman Bold" w:eastAsia="Times New Roman Bold" w:hAnsi="Times New Roman Bold" w:cs="Times New Roman Bold"/>
          <w:b/>
          <w:bCs/>
          <w:caps/>
        </w:rPr>
        <w:t>F</w:t>
      </w:r>
      <w:r w:rsidRPr="00846D8B">
        <w:rPr>
          <w:rFonts w:ascii="Times New Roman Bold" w:eastAsia="Times New Roman Bold" w:hAnsi="Times New Roman Bold" w:cs="Times New Roman Bold"/>
          <w:b/>
          <w:bCs/>
        </w:rPr>
        <w:t>ederal Communications Commission</w:t>
      </w:r>
    </w:p>
    <w:p w:rsidR="00344584" w:rsidRPr="00846D8B">
      <w:pPr>
        <w:jc w:val="center"/>
        <w:rPr>
          <w:rFonts w:ascii="Times New Roman Bold" w:eastAsia="Times New Roman Bold" w:hAnsi="Times New Roman Bold" w:cs="Times New Roman Bold"/>
          <w:b/>
          <w:bCs/>
          <w:caps/>
        </w:rPr>
      </w:pPr>
      <w:r w:rsidRPr="00846D8B">
        <w:rPr>
          <w:rFonts w:ascii="Times New Roman Bold" w:eastAsia="Times New Roman Bold" w:hAnsi="Times New Roman Bold" w:cs="Times New Roman Bold"/>
          <w:b/>
          <w:bCs/>
        </w:rPr>
        <w:t>Washington, DC 20554</w:t>
      </w:r>
    </w:p>
    <w:p w:rsidR="00344584" w:rsidRPr="00726C87" w:rsidP="00344584"/>
    <w:tbl>
      <w:tblPr>
        <w:tblW w:w="9576" w:type="dxa"/>
        <w:tblInd w:w="-90" w:type="dxa"/>
        <w:tblLayout w:type="fixed"/>
        <w:tblLook w:val="0000"/>
      </w:tblPr>
      <w:tblGrid>
        <w:gridCol w:w="4698"/>
        <w:gridCol w:w="630"/>
        <w:gridCol w:w="4248"/>
      </w:tblGrid>
      <w:tr w:rsidTr="00001EB9">
        <w:tblPrEx>
          <w:tblW w:w="9576" w:type="dxa"/>
          <w:tblInd w:w="-90" w:type="dxa"/>
          <w:tblLayout w:type="fixed"/>
          <w:tblLook w:val="0000"/>
        </w:tblPrEx>
        <w:tc>
          <w:tcPr>
            <w:tcW w:w="4698" w:type="dxa"/>
          </w:tcPr>
          <w:p w:rsidR="00344584" w:rsidRPr="00726C87" w:rsidP="00B17F96">
            <w:pPr>
              <w:tabs>
                <w:tab w:val="center" w:pos="4680"/>
              </w:tabs>
              <w:suppressAutoHyphens/>
              <w:rPr>
                <w:spacing w:val="-2"/>
              </w:rPr>
            </w:pPr>
            <w:r w:rsidRPr="00726C87">
              <w:rPr>
                <w:spacing w:val="-2"/>
              </w:rPr>
              <w:t>In the Matter of</w:t>
            </w:r>
          </w:p>
          <w:p w:rsidR="00344584" w:rsidRPr="00726C87" w:rsidP="00B17F96">
            <w:pPr>
              <w:tabs>
                <w:tab w:val="center" w:pos="4680"/>
              </w:tabs>
              <w:suppressAutoHyphens/>
              <w:rPr>
                <w:spacing w:val="-2"/>
              </w:rPr>
            </w:pPr>
          </w:p>
          <w:p w:rsidR="00344584" w:rsidP="00B17F96">
            <w:pPr>
              <w:tabs>
                <w:tab w:val="center" w:pos="4680"/>
              </w:tabs>
              <w:suppressAutoHyphens/>
              <w:rPr>
                <w:spacing w:val="-2"/>
              </w:rPr>
            </w:pPr>
            <w:bookmarkStart w:id="0" w:name="_Hlk517428811"/>
            <w:r>
              <w:rPr>
                <w:spacing w:val="-2"/>
              </w:rPr>
              <w:t>ASL Services Holdings, LLC</w:t>
            </w:r>
          </w:p>
          <w:p w:rsidR="00054352" w:rsidRPr="00726C87" w:rsidP="00B17F96">
            <w:pPr>
              <w:tabs>
                <w:tab w:val="center" w:pos="4680"/>
              </w:tabs>
              <w:suppressAutoHyphens/>
              <w:rPr>
                <w:spacing w:val="-2"/>
              </w:rPr>
            </w:pPr>
            <w:r>
              <w:rPr>
                <w:spacing w:val="-2"/>
              </w:rPr>
              <w:t>dba GlobalVRS</w:t>
            </w:r>
          </w:p>
          <w:bookmarkEnd w:id="0"/>
          <w:p w:rsidR="00344584" w:rsidRPr="00726C87" w:rsidP="00B17F96">
            <w:pPr>
              <w:tabs>
                <w:tab w:val="center" w:pos="4680"/>
              </w:tabs>
              <w:suppressAutoHyphens/>
              <w:rPr>
                <w:spacing w:val="-2"/>
              </w:rPr>
            </w:pPr>
          </w:p>
          <w:p w:rsidR="00344584" w:rsidRPr="00726C87" w:rsidP="00B17F96">
            <w:pPr>
              <w:tabs>
                <w:tab w:val="center" w:pos="4680"/>
              </w:tabs>
              <w:suppressAutoHyphens/>
              <w:rPr>
                <w:spacing w:val="-2"/>
              </w:rPr>
            </w:pPr>
          </w:p>
          <w:p w:rsidR="00344584" w:rsidRPr="00726C87" w:rsidP="00B17F96">
            <w:pPr>
              <w:tabs>
                <w:tab w:val="center" w:pos="4680"/>
              </w:tabs>
              <w:suppressAutoHyphens/>
              <w:rPr>
                <w:spacing w:val="-2"/>
              </w:rPr>
            </w:pPr>
          </w:p>
          <w:p w:rsidR="00344584" w:rsidRPr="00726C87" w:rsidP="00B17F96">
            <w:pPr>
              <w:tabs>
                <w:tab w:val="center" w:pos="4680"/>
              </w:tabs>
              <w:suppressAutoHyphens/>
              <w:rPr>
                <w:spacing w:val="-2"/>
              </w:rPr>
            </w:pPr>
          </w:p>
        </w:tc>
        <w:tc>
          <w:tcPr>
            <w:tcW w:w="630" w:type="dxa"/>
          </w:tcPr>
          <w:p w:rsidR="00344584" w:rsidRPr="00726C87" w:rsidP="00B17F96">
            <w:pPr>
              <w:tabs>
                <w:tab w:val="center" w:pos="4680"/>
              </w:tabs>
              <w:suppressAutoHyphens/>
              <w:rPr>
                <w:b/>
                <w:spacing w:val="-2"/>
              </w:rPr>
            </w:pPr>
            <w:r w:rsidRPr="00726C87">
              <w:rPr>
                <w:b/>
                <w:spacing w:val="-2"/>
              </w:rPr>
              <w:t>)</w:t>
            </w:r>
          </w:p>
          <w:p w:rsidR="00344584" w:rsidRPr="00726C87" w:rsidP="00B17F96">
            <w:pPr>
              <w:tabs>
                <w:tab w:val="center" w:pos="4680"/>
              </w:tabs>
              <w:suppressAutoHyphens/>
              <w:rPr>
                <w:b/>
                <w:spacing w:val="-2"/>
              </w:rPr>
            </w:pPr>
            <w:r w:rsidRPr="00726C87">
              <w:rPr>
                <w:b/>
                <w:spacing w:val="-2"/>
              </w:rPr>
              <w:t>)</w:t>
            </w:r>
          </w:p>
          <w:p w:rsidR="00344584" w:rsidRPr="00726C87" w:rsidP="00B17F96">
            <w:pPr>
              <w:tabs>
                <w:tab w:val="center" w:pos="4680"/>
              </w:tabs>
              <w:suppressAutoHyphens/>
              <w:rPr>
                <w:b/>
                <w:spacing w:val="-2"/>
              </w:rPr>
            </w:pPr>
            <w:r w:rsidRPr="00726C87">
              <w:rPr>
                <w:b/>
                <w:spacing w:val="-2"/>
              </w:rPr>
              <w:t>)</w:t>
            </w:r>
          </w:p>
          <w:p w:rsidR="00344584" w:rsidRPr="00726C87" w:rsidP="00B17F96">
            <w:pPr>
              <w:tabs>
                <w:tab w:val="center" w:pos="4680"/>
              </w:tabs>
              <w:suppressAutoHyphens/>
              <w:rPr>
                <w:b/>
                <w:spacing w:val="-2"/>
              </w:rPr>
            </w:pPr>
            <w:r w:rsidRPr="00726C87">
              <w:rPr>
                <w:b/>
                <w:spacing w:val="-2"/>
              </w:rPr>
              <w:t>)</w:t>
            </w:r>
          </w:p>
          <w:p w:rsidR="00344584" w:rsidRPr="00726C87" w:rsidP="00B17F96">
            <w:pPr>
              <w:tabs>
                <w:tab w:val="center" w:pos="4680"/>
              </w:tabs>
              <w:suppressAutoHyphens/>
              <w:rPr>
                <w:b/>
                <w:spacing w:val="-2"/>
              </w:rPr>
            </w:pPr>
            <w:r w:rsidRPr="00726C87">
              <w:rPr>
                <w:b/>
                <w:spacing w:val="-2"/>
              </w:rPr>
              <w:t>)</w:t>
            </w:r>
          </w:p>
          <w:p w:rsidR="00344584" w:rsidRPr="00054352" w:rsidP="00B17F96">
            <w:pPr>
              <w:tabs>
                <w:tab w:val="center" w:pos="4680"/>
              </w:tabs>
              <w:suppressAutoHyphens/>
              <w:rPr>
                <w:b/>
                <w:spacing w:val="-2"/>
              </w:rPr>
            </w:pPr>
            <w:r w:rsidRPr="00726C87">
              <w:rPr>
                <w:b/>
                <w:spacing w:val="-2"/>
              </w:rPr>
              <w:t>)</w:t>
            </w:r>
          </w:p>
        </w:tc>
        <w:tc>
          <w:tcPr>
            <w:tcW w:w="4248" w:type="dxa"/>
          </w:tcPr>
          <w:p w:rsidR="00344584" w:rsidRPr="00726C87" w:rsidP="00B17F96">
            <w:pPr>
              <w:tabs>
                <w:tab w:val="center" w:pos="4680"/>
              </w:tabs>
              <w:suppressAutoHyphens/>
              <w:rPr>
                <w:spacing w:val="-2"/>
              </w:rPr>
            </w:pPr>
          </w:p>
          <w:p w:rsidR="00054352" w:rsidP="00B17F96">
            <w:pPr>
              <w:tabs>
                <w:tab w:val="center" w:pos="4680"/>
              </w:tabs>
              <w:suppressAutoHyphens/>
              <w:rPr>
                <w:spacing w:val="-2"/>
              </w:rPr>
            </w:pPr>
          </w:p>
          <w:p w:rsidR="00344584" w:rsidRPr="00726C87" w:rsidP="00B17F96">
            <w:pPr>
              <w:tabs>
                <w:tab w:val="center" w:pos="4680"/>
              </w:tabs>
              <w:suppressAutoHyphens/>
              <w:rPr>
                <w:spacing w:val="-2"/>
              </w:rPr>
            </w:pPr>
            <w:r w:rsidRPr="00726C87">
              <w:rPr>
                <w:spacing w:val="-2"/>
              </w:rPr>
              <w:t>File No.:  EB-TCD-1</w:t>
            </w:r>
            <w:r w:rsidR="00054352">
              <w:rPr>
                <w:spacing w:val="-2"/>
              </w:rPr>
              <w:t>5</w:t>
            </w:r>
            <w:r w:rsidRPr="00726C87">
              <w:rPr>
                <w:spacing w:val="-2"/>
              </w:rPr>
              <w:t>-00</w:t>
            </w:r>
            <w:r w:rsidR="00054352">
              <w:rPr>
                <w:spacing w:val="-2"/>
              </w:rPr>
              <w:t>020482</w:t>
            </w:r>
          </w:p>
          <w:p w:rsidR="00344584" w:rsidRPr="00726C87" w:rsidP="00B17F96">
            <w:pPr>
              <w:tabs>
                <w:tab w:val="center" w:pos="4680"/>
              </w:tabs>
              <w:suppressAutoHyphens/>
              <w:rPr>
                <w:spacing w:val="-2"/>
              </w:rPr>
            </w:pPr>
            <w:r>
              <w:rPr>
                <w:spacing w:val="-2"/>
              </w:rPr>
              <w:t xml:space="preserve">Acct. No.:  </w:t>
            </w:r>
            <w:r w:rsidR="00B97418">
              <w:rPr>
                <w:spacing w:val="-2"/>
              </w:rPr>
              <w:t>201932170001</w:t>
            </w:r>
          </w:p>
          <w:p w:rsidR="00344584" w:rsidRPr="00726C87" w:rsidP="00B17F96">
            <w:pPr>
              <w:tabs>
                <w:tab w:val="center" w:pos="4680"/>
              </w:tabs>
              <w:suppressAutoHyphens/>
              <w:rPr>
                <w:spacing w:val="-2"/>
              </w:rPr>
            </w:pPr>
            <w:r>
              <w:rPr>
                <w:spacing w:val="-2"/>
              </w:rPr>
              <w:t xml:space="preserve">FRN:  </w:t>
            </w:r>
            <w:r w:rsidRPr="00E9064F" w:rsidR="00E9064F">
              <w:rPr>
                <w:bCs/>
              </w:rPr>
              <w:t>0021307194</w:t>
            </w:r>
          </w:p>
          <w:p w:rsidR="00344584" w:rsidRPr="00726C87" w:rsidP="00B17F96">
            <w:pPr>
              <w:tabs>
                <w:tab w:val="center" w:pos="4680"/>
              </w:tabs>
              <w:suppressAutoHyphens/>
              <w:rPr>
                <w:spacing w:val="-2"/>
              </w:rPr>
            </w:pPr>
          </w:p>
          <w:p w:rsidR="00344584" w:rsidRPr="00726C87" w:rsidP="00B17F96">
            <w:pPr>
              <w:tabs>
                <w:tab w:val="center" w:pos="4680"/>
              </w:tabs>
              <w:suppressAutoHyphens/>
              <w:rPr>
                <w:spacing w:val="-2"/>
              </w:rPr>
            </w:pPr>
          </w:p>
          <w:p w:rsidR="00344584" w:rsidRPr="00726C87" w:rsidP="00054352">
            <w:pPr>
              <w:tabs>
                <w:tab w:val="center" w:pos="4680"/>
              </w:tabs>
              <w:suppressAutoHyphens/>
              <w:rPr>
                <w:spacing w:val="-2"/>
              </w:rPr>
            </w:pPr>
          </w:p>
        </w:tc>
      </w:tr>
    </w:tbl>
    <w:p w:rsidR="00344584" w:rsidRPr="00726C87" w:rsidP="00344584">
      <w:pPr>
        <w:jc w:val="center"/>
        <w:rPr>
          <w:rFonts w:ascii="Times New Roman Bold" w:hAnsi="Times New Roman Bold"/>
          <w:b/>
          <w:bCs/>
          <w:caps/>
        </w:rPr>
      </w:pPr>
      <w:r w:rsidRPr="00726C87">
        <w:rPr>
          <w:rFonts w:ascii="Times New Roman Bold" w:hAnsi="Times New Roman Bold"/>
          <w:b/>
          <w:bCs/>
          <w:caps/>
        </w:rPr>
        <w:t>Consent Decree</w:t>
      </w:r>
    </w:p>
    <w:p w:rsidR="00344584" w:rsidRPr="00726C87" w:rsidP="00344584">
      <w:pPr>
        <w:tabs>
          <w:tab w:val="left" w:pos="-720"/>
        </w:tabs>
        <w:suppressAutoHyphens/>
        <w:spacing w:line="227" w:lineRule="auto"/>
        <w:rPr>
          <w:spacing w:val="-2"/>
        </w:rPr>
      </w:pPr>
    </w:p>
    <w:p w:rsidR="00344584" w:rsidRPr="00726C87" w:rsidP="00344584">
      <w:pPr>
        <w:pStyle w:val="ParaNum"/>
      </w:pPr>
      <w:r w:rsidRPr="00726C87">
        <w:t xml:space="preserve">The </w:t>
      </w:r>
      <w:r w:rsidR="00A44F7F">
        <w:t xml:space="preserve">Enforcement Bureau (Bureau) of the </w:t>
      </w:r>
      <w:r w:rsidRPr="00726C87">
        <w:t xml:space="preserve">Federal Communications Commission (Commission) and </w:t>
      </w:r>
      <w:r w:rsidR="00054352">
        <w:t>ASL Services Holdings, LLC, dba GlobalVRS (Global)</w:t>
      </w:r>
      <w:r w:rsidRPr="00726C87">
        <w:t xml:space="preserve">, hereby enter into this Consent Decree for the purpose of </w:t>
      </w:r>
      <w:r w:rsidR="00D10545">
        <w:t xml:space="preserve">terminating the Bureau’s investigation of </w:t>
      </w:r>
      <w:r w:rsidRPr="00726C87">
        <w:t>the above referenced matter.</w:t>
      </w:r>
    </w:p>
    <w:p w:rsidR="00344584" w:rsidRPr="00726C87" w:rsidP="00344584">
      <w:pPr>
        <w:pStyle w:val="Heading1"/>
      </w:pPr>
      <w:r w:rsidRPr="00726C87">
        <w:t>DEFINITIONS</w:t>
      </w:r>
    </w:p>
    <w:p w:rsidR="00344584" w:rsidRPr="00726C87" w:rsidP="00344584">
      <w:pPr>
        <w:pStyle w:val="ParaNum"/>
      </w:pPr>
      <w:r w:rsidRPr="00726C87">
        <w:t>For the purposes of this Consent Decree, the following definitions shall apply:</w:t>
      </w:r>
    </w:p>
    <w:p w:rsidR="00344584" w:rsidRPr="00726C87" w:rsidP="00344584">
      <w:pPr>
        <w:numPr>
          <w:ilvl w:val="0"/>
          <w:numId w:val="9"/>
        </w:numPr>
        <w:tabs>
          <w:tab w:val="left" w:pos="1440"/>
        </w:tabs>
        <w:spacing w:after="120"/>
      </w:pPr>
      <w:r w:rsidRPr="00726C87">
        <w:t>“Act”</w:t>
      </w:r>
      <w:r w:rsidRPr="00AB0AD5">
        <w:rPr>
          <w:color w:val="000000"/>
        </w:rPr>
        <w:t xml:space="preserve"> </w:t>
      </w:r>
      <w:r w:rsidRPr="00726C87">
        <w:t>means the Communications Act of 1934, as amended.</w:t>
      </w:r>
      <w:r>
        <w:rPr>
          <w:rStyle w:val="FootnoteReference"/>
        </w:rPr>
        <w:footnoteReference w:id="8"/>
      </w:r>
    </w:p>
    <w:p w:rsidR="00344584" w:rsidP="00344584">
      <w:pPr>
        <w:numPr>
          <w:ilvl w:val="0"/>
          <w:numId w:val="9"/>
        </w:numPr>
        <w:tabs>
          <w:tab w:val="left" w:pos="1440"/>
        </w:tabs>
        <w:spacing w:after="120"/>
      </w:pPr>
      <w:r w:rsidRPr="00726C87">
        <w:t xml:space="preserve">“Adopting Order” means </w:t>
      </w:r>
      <w:r w:rsidR="00FD7909">
        <w:t>the O</w:t>
      </w:r>
      <w:r w:rsidRPr="00726C87">
        <w:t xml:space="preserve">rder of the </w:t>
      </w:r>
      <w:r w:rsidR="00FD7909">
        <w:t xml:space="preserve">Bureau </w:t>
      </w:r>
      <w:r w:rsidRPr="00726C87">
        <w:t>adopting the terms of this Consent Decree without change, addition, deletion, or modification.</w:t>
      </w:r>
    </w:p>
    <w:p w:rsidR="00BA29CC" w:rsidP="00344584">
      <w:pPr>
        <w:numPr>
          <w:ilvl w:val="0"/>
          <w:numId w:val="9"/>
        </w:numPr>
        <w:tabs>
          <w:tab w:val="left" w:pos="1440"/>
        </w:tabs>
        <w:spacing w:after="120"/>
      </w:pPr>
      <w:r>
        <w:t xml:space="preserve">“Affiliate” </w:t>
      </w:r>
      <w:r w:rsidRPr="00726C87">
        <w:t xml:space="preserve">shall have the same meaning as the term is defined in 47 </w:t>
      </w:r>
      <w:r>
        <w:t xml:space="preserve">U.S.C. </w:t>
      </w:r>
      <w:r w:rsidRPr="00726C87">
        <w:t xml:space="preserve">§ </w:t>
      </w:r>
      <w:r>
        <w:t>153(1)</w:t>
      </w:r>
      <w:r w:rsidRPr="00726C87">
        <w:t>.</w:t>
      </w:r>
    </w:p>
    <w:p w:rsidR="004E3C05" w:rsidP="00EC0FCD">
      <w:pPr>
        <w:numPr>
          <w:ilvl w:val="0"/>
          <w:numId w:val="9"/>
        </w:numPr>
        <w:tabs>
          <w:tab w:val="left" w:pos="1440"/>
        </w:tabs>
        <w:spacing w:after="120"/>
      </w:pPr>
      <w:r>
        <w:t>“</w:t>
      </w:r>
      <w:r w:rsidRPr="004E3C05">
        <w:rPr>
          <w:bCs/>
        </w:rPr>
        <w:t>Annual Relay S</w:t>
      </w:r>
      <w:r w:rsidRPr="007D7D5A">
        <w:rPr>
          <w:bCs/>
        </w:rPr>
        <w:t>ervice Data R</w:t>
      </w:r>
      <w:r w:rsidRPr="001B452C">
        <w:rPr>
          <w:bCs/>
        </w:rPr>
        <w:t>equest Form</w:t>
      </w:r>
      <w:r>
        <w:t>” means the TR</w:t>
      </w:r>
      <w:r>
        <w:rPr>
          <w:rStyle w:val="st"/>
        </w:rPr>
        <w:t xml:space="preserve">S </w:t>
      </w:r>
      <w:r w:rsidR="005F2091">
        <w:rPr>
          <w:rStyle w:val="st"/>
        </w:rPr>
        <w:t>P</w:t>
      </w:r>
      <w:r>
        <w:rPr>
          <w:rStyle w:val="st"/>
        </w:rPr>
        <w:t xml:space="preserve">rovider </w:t>
      </w:r>
      <w:bookmarkStart w:id="1" w:name="_Hlk517082224"/>
      <w:r>
        <w:rPr>
          <w:rStyle w:val="st"/>
        </w:rPr>
        <w:t xml:space="preserve">annual cost data submissions to the </w:t>
      </w:r>
      <w:r w:rsidR="00357240">
        <w:rPr>
          <w:rStyle w:val="st"/>
        </w:rPr>
        <w:t xml:space="preserve">TRS </w:t>
      </w:r>
      <w:r w:rsidR="001E2F72">
        <w:rPr>
          <w:rStyle w:val="st"/>
        </w:rPr>
        <w:t>Fund Administrator</w:t>
      </w:r>
      <w:r>
        <w:rPr>
          <w:rStyle w:val="st"/>
        </w:rPr>
        <w:t>.</w:t>
      </w:r>
      <w:bookmarkEnd w:id="1"/>
      <w:r>
        <w:rPr>
          <w:rStyle w:val="FootnoteReference"/>
        </w:rPr>
        <w:footnoteReference w:id="9"/>
      </w:r>
      <w:r w:rsidR="001E3759">
        <w:rPr>
          <w:rStyle w:val="st"/>
        </w:rPr>
        <w:t xml:space="preserve">  </w:t>
      </w:r>
    </w:p>
    <w:p w:rsidR="00500270" w:rsidP="00EC0FCD">
      <w:pPr>
        <w:numPr>
          <w:ilvl w:val="0"/>
          <w:numId w:val="9"/>
        </w:numPr>
        <w:tabs>
          <w:tab w:val="left" w:pos="1440"/>
        </w:tabs>
        <w:spacing w:after="120"/>
      </w:pPr>
      <w:r w:rsidRPr="00D86CD7">
        <w:t>“ASL Companies” means American Sign Language Enterprises, LLC; its parent, subsidiaries, and successors in interest, including but not limited to ASL Services Holdings, LLC, dba GlobalVRS, American Sign Language Services Corporation; ASL Services Latino, Inc.; and Gracias VRS, LLC</w:t>
      </w:r>
      <w:r>
        <w:t>.</w:t>
      </w:r>
      <w:r w:rsidR="002724CE">
        <w:t xml:space="preserve"> </w:t>
      </w:r>
    </w:p>
    <w:p w:rsidR="00344584" w:rsidRPr="00726C87" w:rsidP="00EC0FCD">
      <w:pPr>
        <w:numPr>
          <w:ilvl w:val="0"/>
          <w:numId w:val="9"/>
        </w:numPr>
        <w:tabs>
          <w:tab w:val="left" w:pos="1440"/>
        </w:tabs>
        <w:spacing w:after="120"/>
      </w:pPr>
      <w:r w:rsidRPr="00726C87">
        <w:t>“Bureau” means the Enforcement Bureau of the Federal Communications Commission.</w:t>
      </w:r>
    </w:p>
    <w:p w:rsidR="00344584" w:rsidRPr="00726C87" w:rsidP="00EC0FCD">
      <w:pPr>
        <w:numPr>
          <w:ilvl w:val="0"/>
          <w:numId w:val="9"/>
        </w:numPr>
        <w:tabs>
          <w:tab w:val="left" w:pos="1440"/>
        </w:tabs>
        <w:spacing w:after="120"/>
      </w:pPr>
      <w:r w:rsidRPr="00726C87">
        <w:t xml:space="preserve">“Call Detail Records” or “CDRs” means the </w:t>
      </w:r>
      <w:r w:rsidRPr="00314174" w:rsidR="00314174">
        <w:t xml:space="preserve">specific data associated with each TRS call for which compensation is </w:t>
      </w:r>
      <w:r w:rsidR="00C65448">
        <w:t>sought</w:t>
      </w:r>
      <w:r w:rsidRPr="00726C87">
        <w:t>.</w:t>
      </w:r>
      <w:r>
        <w:rPr>
          <w:rStyle w:val="FootnoteReference"/>
        </w:rPr>
        <w:footnoteReference w:id="10"/>
      </w:r>
      <w:r w:rsidRPr="00726C87">
        <w:t xml:space="preserve">  </w:t>
      </w:r>
    </w:p>
    <w:p w:rsidR="00344584" w:rsidP="00EC0FCD">
      <w:pPr>
        <w:numPr>
          <w:ilvl w:val="0"/>
          <w:numId w:val="9"/>
        </w:numPr>
        <w:tabs>
          <w:tab w:val="left" w:pos="1440"/>
        </w:tabs>
        <w:spacing w:after="120"/>
      </w:pPr>
      <w:r w:rsidRPr="00726C87">
        <w:t>“Commission” and “FCC” mean the Federal Communications Commission and any or all of its bureaus and offices.</w:t>
      </w:r>
    </w:p>
    <w:p w:rsidR="005C1F2D" w:rsidRPr="00726C87" w:rsidP="00EC0FCD">
      <w:pPr>
        <w:numPr>
          <w:ilvl w:val="0"/>
          <w:numId w:val="9"/>
        </w:numPr>
        <w:tabs>
          <w:tab w:val="left" w:pos="1440"/>
        </w:tabs>
        <w:spacing w:after="120"/>
      </w:pPr>
      <w:r>
        <w:t>“</w:t>
      </w:r>
      <w:r>
        <w:t>C</w:t>
      </w:r>
      <w:r w:rsidRPr="00BE36C2">
        <w:t>ommunication</w:t>
      </w:r>
      <w:r>
        <w:t>s</w:t>
      </w:r>
      <w:r w:rsidRPr="00BE36C2">
        <w:t xml:space="preserve"> </w:t>
      </w:r>
      <w:r>
        <w:t>A</w:t>
      </w:r>
      <w:r w:rsidRPr="00BE36C2">
        <w:t>ssistants</w:t>
      </w:r>
      <w:r>
        <w:t>”</w:t>
      </w:r>
      <w:r>
        <w:t xml:space="preserve"> </w:t>
      </w:r>
      <w:r w:rsidR="001E2F72">
        <w:t xml:space="preserve">or “CAs” </w:t>
      </w:r>
      <w:r w:rsidRPr="00726C87">
        <w:t>shall have the same meaning as the term is defined in 47 CFR § 64.601(a)(1</w:t>
      </w:r>
      <w:r>
        <w:t>0</w:t>
      </w:r>
      <w:r w:rsidRPr="00726C87">
        <w:t xml:space="preserve">). </w:t>
      </w:r>
      <w:r w:rsidRPr="00726C87">
        <w:t xml:space="preserve"> </w:t>
      </w:r>
    </w:p>
    <w:p w:rsidR="00344584" w:rsidRPr="00726C87" w:rsidP="007D5986">
      <w:pPr>
        <w:pageBreakBefore/>
        <w:widowControl/>
        <w:numPr>
          <w:ilvl w:val="0"/>
          <w:numId w:val="9"/>
        </w:numPr>
        <w:tabs>
          <w:tab w:val="left" w:pos="1440"/>
        </w:tabs>
        <w:spacing w:after="120"/>
      </w:pPr>
      <w:r w:rsidRPr="00726C87">
        <w:t xml:space="preserve">“Communications Laws” means collectively, the Act, the Rules, and the published and promulgated orders and decisions of the Commission to which the </w:t>
      </w:r>
      <w:r w:rsidR="00125D18">
        <w:t>Company</w:t>
      </w:r>
      <w:r w:rsidRPr="00726C87">
        <w:t xml:space="preserve"> are subject by virtue of their business activities. </w:t>
      </w:r>
    </w:p>
    <w:p w:rsidR="00344584" w:rsidRPr="00726C87" w:rsidP="00EC0FCD">
      <w:pPr>
        <w:numPr>
          <w:ilvl w:val="0"/>
          <w:numId w:val="9"/>
        </w:numPr>
        <w:tabs>
          <w:tab w:val="left" w:pos="1440"/>
        </w:tabs>
        <w:spacing w:after="120"/>
      </w:pPr>
      <w:r w:rsidRPr="00726C87">
        <w:t xml:space="preserve">“Compliance Plan” means the compliance obligations, programs, and procedures described in this Consent Decree. </w:t>
      </w:r>
    </w:p>
    <w:p w:rsidR="00344584" w:rsidP="00EC0FCD">
      <w:pPr>
        <w:numPr>
          <w:ilvl w:val="0"/>
          <w:numId w:val="9"/>
        </w:numPr>
        <w:tabs>
          <w:tab w:val="left" w:pos="1440"/>
        </w:tabs>
        <w:spacing w:after="120"/>
      </w:pPr>
      <w:r w:rsidRPr="00415CDA">
        <w:t xml:space="preserve">“Covered Personnel” means all employees, independent contractors, subcontractors and agents </w:t>
      </w:r>
      <w:r w:rsidR="00AD66DB">
        <w:t>of the Company</w:t>
      </w:r>
      <w:r w:rsidRPr="00415CDA">
        <w:t xml:space="preserve"> who perform or directly supervise, oversee, or manage the performance of duties required to meet the Compan</w:t>
      </w:r>
      <w:r w:rsidR="00F838EF">
        <w:t>y’s</w:t>
      </w:r>
      <w:r w:rsidRPr="00415CDA">
        <w:t xml:space="preserve"> responsibilities under, and compliance with, this Consent Decree, the Communications Laws, and the TRS Rules</w:t>
      </w:r>
      <w:r>
        <w:t>.</w:t>
      </w:r>
    </w:p>
    <w:p w:rsidR="00F37620" w:rsidRPr="00415CDA" w:rsidP="00EC0FCD">
      <w:pPr>
        <w:numPr>
          <w:ilvl w:val="0"/>
          <w:numId w:val="9"/>
        </w:numPr>
        <w:tabs>
          <w:tab w:val="left" w:pos="1440"/>
        </w:tabs>
        <w:spacing w:after="120"/>
      </w:pPr>
      <w:r>
        <w:t xml:space="preserve">“Default Provider” shall </w:t>
      </w:r>
      <w:r w:rsidR="005A7614">
        <w:t>have the same meaning as the term is defined in 47 CFR § 64</w:t>
      </w:r>
      <w:r w:rsidR="00D76E92">
        <w:t>.</w:t>
      </w:r>
      <w:r w:rsidR="005A7614">
        <w:t>601(a)(11)</w:t>
      </w:r>
      <w:r w:rsidRPr="69AEA9D9" w:rsidR="005A7614">
        <w:rPr>
          <w:rFonts w:ascii="Arial" w:hAnsi="Arial" w:cs="Arial"/>
          <w:color w:val="000000"/>
          <w:sz w:val="20"/>
          <w:shd w:val="clear" w:color="auto" w:fill="FFFFFF"/>
        </w:rPr>
        <w:t>.</w:t>
      </w:r>
    </w:p>
    <w:p w:rsidR="00344584" w:rsidP="00EC0FCD">
      <w:pPr>
        <w:numPr>
          <w:ilvl w:val="0"/>
          <w:numId w:val="9"/>
        </w:numPr>
        <w:tabs>
          <w:tab w:val="left" w:pos="1440"/>
        </w:tabs>
        <w:spacing w:after="120"/>
      </w:pPr>
      <w:r w:rsidRPr="00726C87">
        <w:t xml:space="preserve">“Effective Date” means the date by which </w:t>
      </w:r>
      <w:r w:rsidR="007E11FD">
        <w:t>the Bureau and the Company sign th</w:t>
      </w:r>
      <w:r w:rsidR="00A973AC">
        <w:t>is</w:t>
      </w:r>
      <w:r w:rsidR="007E11FD">
        <w:t xml:space="preserve"> Consent Decree.</w:t>
      </w:r>
    </w:p>
    <w:p w:rsidR="009045FB" w:rsidP="00EC0FCD">
      <w:pPr>
        <w:numPr>
          <w:ilvl w:val="0"/>
          <w:numId w:val="9"/>
        </w:numPr>
        <w:tabs>
          <w:tab w:val="left" w:pos="1440"/>
        </w:tabs>
        <w:spacing w:after="120"/>
      </w:pPr>
      <w:r>
        <w:t xml:space="preserve">“Global” or </w:t>
      </w:r>
      <w:r w:rsidRPr="00726C87">
        <w:t>“Compan</w:t>
      </w:r>
      <w:r>
        <w:t>y</w:t>
      </w:r>
      <w:r w:rsidR="005B0BA2">
        <w:t>”</w:t>
      </w:r>
      <w:r w:rsidR="00EC0CA4">
        <w:t xml:space="preserve"> mean</w:t>
      </w:r>
      <w:r w:rsidR="005A7614">
        <w:t>s</w:t>
      </w:r>
      <w:r w:rsidR="00EC0CA4">
        <w:t xml:space="preserve"> </w:t>
      </w:r>
      <w:r w:rsidR="005B0BA2">
        <w:t xml:space="preserve">ASL Services Holdings, LLC, dba </w:t>
      </w:r>
      <w:r w:rsidR="002C0171">
        <w:t>GlobalVRS</w:t>
      </w:r>
      <w:r w:rsidR="004A089D">
        <w:t>.</w:t>
      </w:r>
    </w:p>
    <w:p w:rsidR="00CA1606" w:rsidRPr="00167571" w:rsidP="00EC0FCD">
      <w:pPr>
        <w:numPr>
          <w:ilvl w:val="0"/>
          <w:numId w:val="9"/>
        </w:numPr>
        <w:tabs>
          <w:tab w:val="left" w:pos="1440"/>
        </w:tabs>
        <w:spacing w:after="120"/>
      </w:pPr>
      <w:r w:rsidRPr="00FD1104">
        <w:t xml:space="preserve">“Global Numbers” </w:t>
      </w:r>
      <w:r w:rsidRPr="002A03D8">
        <w:t xml:space="preserve">means </w:t>
      </w:r>
      <w:r w:rsidRPr="00846D8B" w:rsidR="003D6C15">
        <w:t>Ten-digit Numbers and telephone numbers</w:t>
      </w:r>
      <w:r w:rsidR="005B09B1">
        <w:t xml:space="preserve"> (</w:t>
      </w:r>
      <w:r w:rsidRPr="00846D8B" w:rsidR="00EF3539">
        <w:t xml:space="preserve">regardless of the </w:t>
      </w:r>
      <w:r w:rsidRPr="00846D8B" w:rsidR="007E7150">
        <w:t>Default P</w:t>
      </w:r>
      <w:r w:rsidRPr="00846D8B" w:rsidR="00B0601B">
        <w:t xml:space="preserve">rovider or </w:t>
      </w:r>
      <w:r w:rsidRPr="00846D8B" w:rsidR="00EF3539">
        <w:t xml:space="preserve">carrier associated with the </w:t>
      </w:r>
      <w:r w:rsidRPr="00A928EB" w:rsidR="00EF3539">
        <w:t>numbers</w:t>
      </w:r>
      <w:r w:rsidR="005B09B1">
        <w:t>)</w:t>
      </w:r>
      <w:r w:rsidR="001B1595">
        <w:t xml:space="preserve"> </w:t>
      </w:r>
      <w:r w:rsidRPr="00846D8B" w:rsidR="003D6C15">
        <w:t>assigned to</w:t>
      </w:r>
      <w:r w:rsidRPr="00846D8B" w:rsidR="00B55D68">
        <w:t xml:space="preserve"> Global</w:t>
      </w:r>
      <w:r w:rsidRPr="00846D8B" w:rsidR="00AC6F63">
        <w:t xml:space="preserve"> and/or</w:t>
      </w:r>
      <w:r w:rsidRPr="00846D8B" w:rsidR="00B55D68">
        <w:t xml:space="preserve"> Global’s</w:t>
      </w:r>
      <w:r w:rsidRPr="00846D8B" w:rsidR="003D6C15">
        <w:t xml:space="preserve"> Covered Personnel</w:t>
      </w:r>
      <w:r w:rsidRPr="00846D8B" w:rsidR="00B55D68">
        <w:t xml:space="preserve"> </w:t>
      </w:r>
      <w:r w:rsidR="00E704FB">
        <w:t>which</w:t>
      </w:r>
      <w:r w:rsidRPr="00846D8B" w:rsidR="000B6480">
        <w:t xml:space="preserve"> are </w:t>
      </w:r>
      <w:r w:rsidRPr="00846D8B" w:rsidR="00B55D68">
        <w:t xml:space="preserve">used </w:t>
      </w:r>
      <w:r w:rsidRPr="00846D8B" w:rsidR="003D6C15">
        <w:t>to make or receive calls</w:t>
      </w:r>
      <w:r w:rsidRPr="00846D8B" w:rsidR="00FD4F3D">
        <w:t xml:space="preserve"> </w:t>
      </w:r>
      <w:r w:rsidR="008E535A">
        <w:t>that</w:t>
      </w:r>
      <w:r w:rsidRPr="00A928EB" w:rsidR="009D0D6D">
        <w:t xml:space="preserve"> are considered a business expense</w:t>
      </w:r>
      <w:r w:rsidRPr="00A928EB" w:rsidR="002A6057">
        <w:t>.</w:t>
      </w:r>
      <w:r w:rsidRPr="00A928EB" w:rsidR="00DA6793">
        <w:t xml:space="preserve">  </w:t>
      </w:r>
      <w:r w:rsidRPr="00A928EB" w:rsidR="00E34AF4">
        <w:rPr>
          <w:i/>
        </w:rPr>
        <w:t>See</w:t>
      </w:r>
      <w:r w:rsidRPr="00A928EB" w:rsidR="00E34AF4">
        <w:t xml:space="preserve"> </w:t>
      </w:r>
      <w:r w:rsidRPr="002A03D8" w:rsidR="00A311CB">
        <w:rPr>
          <w:i/>
        </w:rPr>
        <w:t>Structure</w:t>
      </w:r>
      <w:r w:rsidRPr="00D271D8" w:rsidR="00A311CB">
        <w:rPr>
          <w:i/>
        </w:rPr>
        <w:t xml:space="preserve"> and Practices of Video Relay Service Program</w:t>
      </w:r>
      <w:r w:rsidRPr="00AE302D" w:rsidR="00A311CB">
        <w:t>, Declaratory Ruling</w:t>
      </w:r>
      <w:r w:rsidRPr="00D271D8" w:rsidR="00A311CB">
        <w:t>, Order and Notice of Propos</w:t>
      </w:r>
      <w:r w:rsidR="00A311CB">
        <w:t>ed Rulemaking, 25 FCC Rcd 6012</w:t>
      </w:r>
      <w:r w:rsidRPr="00D271D8" w:rsidR="00A311CB">
        <w:t xml:space="preserve"> (2010)</w:t>
      </w:r>
      <w:r w:rsidRPr="00167571" w:rsidR="00AD66DB">
        <w:t>.</w:t>
      </w:r>
    </w:p>
    <w:p w:rsidR="00344584" w:rsidP="00EC0FCD">
      <w:pPr>
        <w:numPr>
          <w:ilvl w:val="0"/>
          <w:numId w:val="9"/>
        </w:numPr>
        <w:tabs>
          <w:tab w:val="left" w:pos="1440"/>
        </w:tabs>
        <w:spacing w:after="120"/>
      </w:pPr>
      <w:r>
        <w:t>“</w:t>
      </w:r>
      <w:r w:rsidRPr="00726C87">
        <w:t xml:space="preserve">Investigation” means the </w:t>
      </w:r>
      <w:r>
        <w:t>review</w:t>
      </w:r>
      <w:r w:rsidRPr="00726C87">
        <w:t xml:space="preserve"> </w:t>
      </w:r>
      <w:r w:rsidRPr="00726C87">
        <w:t xml:space="preserve">of </w:t>
      </w:r>
      <w:r>
        <w:t xml:space="preserve">Global’s </w:t>
      </w:r>
      <w:r w:rsidRPr="00726C87">
        <w:t xml:space="preserve">compliance with the TRS </w:t>
      </w:r>
      <w:r w:rsidRPr="00726C87" w:rsidR="00294245">
        <w:t>Rules</w:t>
      </w:r>
      <w:r w:rsidR="00294245">
        <w:t xml:space="preserve"> </w:t>
      </w:r>
      <w:r w:rsidRPr="00726C87" w:rsidR="00294245">
        <w:t>commenced</w:t>
      </w:r>
      <w:r w:rsidRPr="00726C87">
        <w:t xml:space="preserve"> by the Bureau in File No. EB-TCD-1</w:t>
      </w:r>
      <w:r w:rsidR="00F838EF">
        <w:t>5</w:t>
      </w:r>
      <w:r w:rsidRPr="00726C87">
        <w:t>-</w:t>
      </w:r>
      <w:r w:rsidRPr="00726C87" w:rsidR="00F838EF">
        <w:rPr>
          <w:spacing w:val="-2"/>
        </w:rPr>
        <w:t>00</w:t>
      </w:r>
      <w:r w:rsidR="00F838EF">
        <w:rPr>
          <w:spacing w:val="-2"/>
        </w:rPr>
        <w:t>020482</w:t>
      </w:r>
      <w:r w:rsidRPr="00726C87">
        <w:t xml:space="preserve">. </w:t>
      </w:r>
    </w:p>
    <w:p w:rsidR="00D71B44" w:rsidP="00791A41">
      <w:pPr>
        <w:numPr>
          <w:ilvl w:val="0"/>
          <w:numId w:val="9"/>
        </w:numPr>
        <w:tabs>
          <w:tab w:val="left" w:pos="1440"/>
        </w:tabs>
        <w:spacing w:after="120"/>
      </w:pPr>
      <w:r w:rsidRPr="00167571">
        <w:t>“Internal Call</w:t>
      </w:r>
      <w:r w:rsidRPr="00167571" w:rsidR="00E21517">
        <w:t xml:space="preserve"> Minute</w:t>
      </w:r>
      <w:r w:rsidRPr="00167571">
        <w:t>s</w:t>
      </w:r>
      <w:r w:rsidRPr="00167571" w:rsidR="008B509B">
        <w:t>” mean</w:t>
      </w:r>
      <w:r w:rsidRPr="00167571" w:rsidR="00A920E5">
        <w:t>s</w:t>
      </w:r>
      <w:r w:rsidRPr="00167571" w:rsidR="008B509B">
        <w:t xml:space="preserve"> </w:t>
      </w:r>
      <w:r w:rsidRPr="00167571" w:rsidR="00E21517">
        <w:t>minutes</w:t>
      </w:r>
      <w:r w:rsidRPr="00167571" w:rsidR="008B509B">
        <w:t xml:space="preserve"> </w:t>
      </w:r>
      <w:r w:rsidRPr="00167571" w:rsidR="00E21517">
        <w:t>reflect</w:t>
      </w:r>
      <w:r w:rsidRPr="00167571" w:rsidR="00AC6F63">
        <w:t>ing</w:t>
      </w:r>
      <w:r w:rsidRPr="00167571" w:rsidR="00E21517">
        <w:t xml:space="preserve"> calls that </w:t>
      </w:r>
      <w:r w:rsidRPr="00167571" w:rsidR="0021103E">
        <w:t xml:space="preserve">were </w:t>
      </w:r>
      <w:r w:rsidRPr="00167571" w:rsidR="008B509B">
        <w:t>made to</w:t>
      </w:r>
      <w:r w:rsidRPr="00167571" w:rsidR="00A920E5">
        <w:t xml:space="preserve"> or from</w:t>
      </w:r>
      <w:r w:rsidRPr="00167571" w:rsidR="00AD66DB">
        <w:t xml:space="preserve"> </w:t>
      </w:r>
      <w:r w:rsidRPr="00167571" w:rsidR="00A920E5">
        <w:t xml:space="preserve">a </w:t>
      </w:r>
      <w:r w:rsidRPr="00167571" w:rsidR="008B509B">
        <w:t>Global</w:t>
      </w:r>
      <w:r w:rsidRPr="00167571" w:rsidR="0021103E">
        <w:t xml:space="preserve"> </w:t>
      </w:r>
      <w:r w:rsidRPr="00167571" w:rsidR="00A920E5">
        <w:t>Number</w:t>
      </w:r>
      <w:r w:rsidRPr="00167571">
        <w:t>.</w:t>
      </w:r>
      <w:r w:rsidRPr="00D71B44">
        <w:t xml:space="preserve">  </w:t>
      </w:r>
    </w:p>
    <w:p w:rsidR="008964E5" w:rsidP="00EC0FCD">
      <w:pPr>
        <w:numPr>
          <w:ilvl w:val="0"/>
          <w:numId w:val="9"/>
        </w:numPr>
        <w:tabs>
          <w:tab w:val="left" w:pos="1440"/>
        </w:tabs>
        <w:spacing w:after="120"/>
      </w:pPr>
      <w:r>
        <w:t>“International IP Address” mean</w:t>
      </w:r>
      <w:r w:rsidR="005A7614">
        <w:t>s</w:t>
      </w:r>
      <w:r>
        <w:t xml:space="preserve"> an IP address that indicates that the individual initiating the call is located outside the United States.</w:t>
      </w:r>
    </w:p>
    <w:p w:rsidR="001C6512" w:rsidP="00EC0FCD">
      <w:pPr>
        <w:numPr>
          <w:ilvl w:val="0"/>
          <w:numId w:val="9"/>
        </w:numPr>
        <w:tabs>
          <w:tab w:val="left" w:pos="1440"/>
        </w:tabs>
        <w:spacing w:after="120"/>
      </w:pPr>
      <w:r w:rsidRPr="00726C87">
        <w:t>“Internet-based TRS” or “iTRS” shall have the same meaning as the term is defined in 47 CFR § 64.601(a)(1</w:t>
      </w:r>
      <w:r>
        <w:t>6</w:t>
      </w:r>
      <w:r w:rsidRPr="00726C87">
        <w:t xml:space="preserve">). </w:t>
      </w:r>
    </w:p>
    <w:p w:rsidR="00344584" w:rsidP="00EC0FCD">
      <w:pPr>
        <w:numPr>
          <w:ilvl w:val="0"/>
          <w:numId w:val="9"/>
        </w:numPr>
        <w:tabs>
          <w:tab w:val="left" w:pos="1440"/>
        </w:tabs>
        <w:spacing w:after="120"/>
      </w:pPr>
      <w:r w:rsidRPr="00726C87">
        <w:t>“</w:t>
      </w:r>
      <w:r w:rsidR="00906051">
        <w:t>Operating Procedures</w:t>
      </w:r>
      <w:r w:rsidRPr="00726C87">
        <w:t xml:space="preserve">” means the standard internal </w:t>
      </w:r>
      <w:r w:rsidR="00906051">
        <w:t>Operating Procedures</w:t>
      </w:r>
      <w:r w:rsidRPr="00726C87">
        <w:t xml:space="preserve"> and all compliance policies and procedures established by the Compan</w:t>
      </w:r>
      <w:r w:rsidR="00F838EF">
        <w:t>y</w:t>
      </w:r>
      <w:r w:rsidRPr="00726C87">
        <w:t xml:space="preserve"> to implement the Compliance Plan.</w:t>
      </w:r>
    </w:p>
    <w:p w:rsidR="00344584" w:rsidRPr="00726C87" w:rsidP="00EC0FCD">
      <w:pPr>
        <w:keepNext/>
        <w:numPr>
          <w:ilvl w:val="0"/>
          <w:numId w:val="9"/>
        </w:numPr>
        <w:tabs>
          <w:tab w:val="left" w:pos="1440"/>
        </w:tabs>
        <w:spacing w:after="120"/>
      </w:pPr>
      <w:r w:rsidRPr="00726C87">
        <w:t>“Parties” means the Compan</w:t>
      </w:r>
      <w:r w:rsidR="00F838EF">
        <w:t>y</w:t>
      </w:r>
      <w:r w:rsidRPr="00726C87">
        <w:t xml:space="preserve">, and the </w:t>
      </w:r>
      <w:r w:rsidR="009F6E42">
        <w:t>Bureau</w:t>
      </w:r>
      <w:r w:rsidRPr="00726C87">
        <w:t xml:space="preserve">, each of which is a “Party.” </w:t>
      </w:r>
    </w:p>
    <w:p w:rsidR="00344584" w:rsidP="00EC0FCD">
      <w:pPr>
        <w:numPr>
          <w:ilvl w:val="0"/>
          <w:numId w:val="9"/>
        </w:numPr>
        <w:tabs>
          <w:tab w:val="left" w:pos="1440"/>
        </w:tabs>
        <w:spacing w:after="120"/>
      </w:pPr>
      <w:r w:rsidRPr="00726C87">
        <w:t xml:space="preserve">“Person” shall have the same meaning as the term is defined in 47 U.S.C. § 153(39). </w:t>
      </w:r>
    </w:p>
    <w:p w:rsidR="00B91A82" w:rsidRPr="00FA5ED1" w:rsidP="00EC0FCD">
      <w:pPr>
        <w:numPr>
          <w:ilvl w:val="0"/>
          <w:numId w:val="9"/>
        </w:numPr>
        <w:tabs>
          <w:tab w:val="left" w:pos="1440"/>
        </w:tabs>
        <w:spacing w:after="120"/>
      </w:pPr>
      <w:r w:rsidRPr="00FA5ED1">
        <w:t>“Platform Provider” mean</w:t>
      </w:r>
      <w:r w:rsidR="005A7614">
        <w:t>s</w:t>
      </w:r>
      <w:r w:rsidRPr="00FA5ED1">
        <w:t xml:space="preserve"> the entity that provides Global with the hardware and/or software used to distribute incoming calls to </w:t>
      </w:r>
      <w:r w:rsidR="005C1F2D">
        <w:t>C</w:t>
      </w:r>
      <w:r w:rsidRPr="00FA5ED1">
        <w:t>ommunication</w:t>
      </w:r>
      <w:r w:rsidR="005C1F2D">
        <w:t>s</w:t>
      </w:r>
      <w:r w:rsidRPr="00FA5ED1">
        <w:t xml:space="preserve"> </w:t>
      </w:r>
      <w:r w:rsidR="005C1F2D">
        <w:t>A</w:t>
      </w:r>
      <w:r w:rsidRPr="00FA5ED1">
        <w:t xml:space="preserve">ssistants. </w:t>
      </w:r>
    </w:p>
    <w:p w:rsidR="00344584" w:rsidRPr="00726C87" w:rsidP="00EC0FCD">
      <w:pPr>
        <w:numPr>
          <w:ilvl w:val="0"/>
          <w:numId w:val="9"/>
        </w:numPr>
        <w:tabs>
          <w:tab w:val="left" w:pos="1440"/>
        </w:tabs>
        <w:spacing w:after="120"/>
      </w:pPr>
      <w:r w:rsidRPr="00726C87">
        <w:t>“Provider” mean</w:t>
      </w:r>
      <w:r w:rsidR="005A7614">
        <w:t>s</w:t>
      </w:r>
      <w:r w:rsidRPr="00726C87">
        <w:t xml:space="preserve"> </w:t>
      </w:r>
      <w:r w:rsidR="00004CB3">
        <w:t xml:space="preserve">an </w:t>
      </w:r>
      <w:r w:rsidRPr="00726C87">
        <w:t>entit</w:t>
      </w:r>
      <w:r w:rsidR="00004CB3">
        <w:t>y</w:t>
      </w:r>
      <w:r w:rsidRPr="00726C87">
        <w:t xml:space="preserve"> </w:t>
      </w:r>
      <w:r w:rsidR="00004CB3">
        <w:t>that is</w:t>
      </w:r>
      <w:r w:rsidRPr="00726C87">
        <w:t xml:space="preserve"> eligible to receive compensation from the TRS Fund for providing compensable TRS service.</w:t>
      </w:r>
    </w:p>
    <w:p w:rsidR="00344584" w:rsidP="00EC0FCD">
      <w:pPr>
        <w:numPr>
          <w:ilvl w:val="0"/>
          <w:numId w:val="9"/>
        </w:numPr>
        <w:tabs>
          <w:tab w:val="left" w:pos="1440"/>
        </w:tabs>
        <w:spacing w:after="120"/>
      </w:pPr>
      <w:r w:rsidRPr="00726C87">
        <w:t>“Registered Internet-based TRS User” or “Registered User” shall have the same meaning as is defined in 47 CFR § 64.601(a)(</w:t>
      </w:r>
      <w:r w:rsidR="0099517B">
        <w:t>30</w:t>
      </w:r>
      <w:r w:rsidRPr="00726C87">
        <w:t xml:space="preserve">). </w:t>
      </w:r>
    </w:p>
    <w:p w:rsidR="00344584" w:rsidP="007D5986">
      <w:pPr>
        <w:pageBreakBefore/>
        <w:widowControl/>
        <w:numPr>
          <w:ilvl w:val="0"/>
          <w:numId w:val="9"/>
        </w:numPr>
        <w:tabs>
          <w:tab w:val="left" w:pos="1440"/>
        </w:tabs>
        <w:spacing w:after="120"/>
      </w:pPr>
      <w:r w:rsidRPr="00726C87">
        <w:t>“Request for Reimbursement” mean</w:t>
      </w:r>
      <w:r w:rsidR="005A7614">
        <w:t>s</w:t>
      </w:r>
      <w:r w:rsidRPr="00726C87">
        <w:t xml:space="preserve"> the monthly submission TRS Providers make to the TRS Fund Administrator for reimbursements for the costs of handling TRS calls.</w:t>
      </w:r>
      <w:r>
        <w:rPr>
          <w:rStyle w:val="FootnoteReference"/>
        </w:rPr>
        <w:footnoteReference w:id="11"/>
      </w:r>
      <w:r w:rsidRPr="00726C87">
        <w:t xml:space="preserve">  </w:t>
      </w:r>
    </w:p>
    <w:p w:rsidR="00B81FD4" w:rsidRPr="00726C87" w:rsidP="00EC0FCD">
      <w:pPr>
        <w:numPr>
          <w:ilvl w:val="0"/>
          <w:numId w:val="9"/>
        </w:numPr>
        <w:tabs>
          <w:tab w:val="left" w:pos="1440"/>
        </w:tabs>
        <w:spacing w:after="120"/>
      </w:pPr>
      <w:r>
        <w:t xml:space="preserve">“Roth </w:t>
      </w:r>
      <w:r w:rsidR="00425CC2">
        <w:t>Affiliates</w:t>
      </w:r>
      <w:r>
        <w:t xml:space="preserve">" </w:t>
      </w:r>
      <w:r w:rsidR="00A127B3">
        <w:t>means en</w:t>
      </w:r>
      <w:r w:rsidR="00BB2C94">
        <w:t>tit</w:t>
      </w:r>
      <w:r w:rsidR="00A127B3">
        <w:t>i</w:t>
      </w:r>
      <w:r w:rsidR="00EE2C01">
        <w:t xml:space="preserve">es </w:t>
      </w:r>
      <w:r w:rsidR="00A127B3">
        <w:t>comprising the ASL Companies</w:t>
      </w:r>
      <w:r w:rsidR="00EE2C01">
        <w:t xml:space="preserve"> except the term excludes ASL Holdings, LLC dba GlobalVRS</w:t>
      </w:r>
      <w:r w:rsidR="00F57AF1">
        <w:t>.</w:t>
      </w:r>
    </w:p>
    <w:p w:rsidR="00344584" w:rsidP="00EC0FCD">
      <w:pPr>
        <w:numPr>
          <w:ilvl w:val="0"/>
          <w:numId w:val="9"/>
        </w:numPr>
        <w:tabs>
          <w:tab w:val="left" w:pos="1440"/>
        </w:tabs>
        <w:spacing w:after="120"/>
      </w:pPr>
      <w:bookmarkStart w:id="3" w:name="_Hlk531684650"/>
      <w:bookmarkStart w:id="4" w:name="_Hlk531684631"/>
      <w:r w:rsidRPr="00726C87">
        <w:t>“Rules” means the Commission’s regulation</w:t>
      </w:r>
      <w:r w:rsidR="0082035F">
        <w:t>(</w:t>
      </w:r>
      <w:r w:rsidRPr="00726C87">
        <w:t>s</w:t>
      </w:r>
      <w:r w:rsidR="0082035F">
        <w:t>)</w:t>
      </w:r>
      <w:r w:rsidRPr="00726C87">
        <w:t xml:space="preserve"> found in Title 47 of the Code of Federal Regulations</w:t>
      </w:r>
      <w:bookmarkEnd w:id="3"/>
      <w:r w:rsidRPr="00726C87">
        <w:t>.</w:t>
      </w:r>
    </w:p>
    <w:bookmarkEnd w:id="4"/>
    <w:p w:rsidR="007E20A7" w:rsidRPr="00726C87" w:rsidP="00EC0FCD">
      <w:pPr>
        <w:numPr>
          <w:ilvl w:val="0"/>
          <w:numId w:val="9"/>
        </w:numPr>
        <w:tabs>
          <w:tab w:val="left" w:pos="1440"/>
        </w:tabs>
        <w:spacing w:after="120"/>
      </w:pPr>
      <w:r>
        <w:t>“Self-Certification</w:t>
      </w:r>
      <w:r w:rsidR="007A0775">
        <w:t xml:space="preserve"> of Eligibility</w:t>
      </w:r>
      <w:r>
        <w:t>” or “Self-Certification” mean</w:t>
      </w:r>
      <w:r w:rsidR="005A7614">
        <w:t>s</w:t>
      </w:r>
      <w:r>
        <w:t xml:space="preserve"> a written attestation from a Registered User meeting the requirements of 47 CFR § 64.611(a)(3)(ii)-(iii).</w:t>
      </w:r>
    </w:p>
    <w:p w:rsidR="00344584" w:rsidRPr="00726C87" w:rsidP="00EC0FCD">
      <w:pPr>
        <w:numPr>
          <w:ilvl w:val="0"/>
          <w:numId w:val="9"/>
        </w:numPr>
        <w:tabs>
          <w:tab w:val="left" w:pos="1440"/>
        </w:tabs>
        <w:spacing w:after="120"/>
      </w:pPr>
      <w:r>
        <w:t xml:space="preserve"> </w:t>
      </w:r>
      <w:r w:rsidRPr="00726C87">
        <w:t>“Telecommunications Relay Service” or “TRS” shall have the same meaning as the term is defined in 47 CFR § 64.601(a)(3</w:t>
      </w:r>
      <w:r w:rsidR="00006B22">
        <w:t>5</w:t>
      </w:r>
      <w:r w:rsidRPr="00726C87">
        <w:t>).</w:t>
      </w:r>
    </w:p>
    <w:p w:rsidR="00344584" w:rsidRPr="00726C87" w:rsidP="00EC0FCD">
      <w:pPr>
        <w:numPr>
          <w:ilvl w:val="0"/>
          <w:numId w:val="9"/>
        </w:numPr>
        <w:tabs>
          <w:tab w:val="left" w:pos="1440"/>
        </w:tabs>
        <w:spacing w:after="120"/>
      </w:pPr>
      <w:r w:rsidRPr="00726C87">
        <w:t xml:space="preserve">“Ten-digit Number” or “TDN” </w:t>
      </w:r>
      <w:r w:rsidR="002127BA">
        <w:t>m</w:t>
      </w:r>
      <w:r w:rsidRPr="00726C87">
        <w:t>ean</w:t>
      </w:r>
      <w:r w:rsidR="002127BA">
        <w:t>s</w:t>
      </w:r>
      <w:r w:rsidRPr="00726C87">
        <w:t xml:space="preserve"> a geographically appropriate North American Numbering Plan number assigned to a Registered User of Video Relay Service. </w:t>
      </w:r>
    </w:p>
    <w:p w:rsidR="00344584" w:rsidRPr="00726C87" w:rsidP="00EF29E2">
      <w:pPr>
        <w:numPr>
          <w:ilvl w:val="0"/>
          <w:numId w:val="9"/>
        </w:numPr>
        <w:tabs>
          <w:tab w:val="left" w:pos="1440"/>
        </w:tabs>
        <w:spacing w:after="120"/>
      </w:pPr>
      <w:r w:rsidRPr="00726C87">
        <w:t>“TRS Fund” or “Fund” mean</w:t>
      </w:r>
      <w:r w:rsidR="002127BA">
        <w:t>s</w:t>
      </w:r>
      <w:r w:rsidRPr="00726C87">
        <w:t xml:space="preserve"> the fund used to compensate Providers for their reasonable costs of providing interstate relay service and Internet-based forms of TRS.</w:t>
      </w:r>
      <w:r>
        <w:rPr>
          <w:rStyle w:val="FootnoteReference"/>
        </w:rPr>
        <w:footnoteReference w:id="12"/>
      </w:r>
      <w:r w:rsidRPr="00726C87">
        <w:t xml:space="preserve"> </w:t>
      </w:r>
    </w:p>
    <w:p w:rsidR="00344584" w:rsidRPr="00726C87" w:rsidP="00EC0FCD">
      <w:pPr>
        <w:numPr>
          <w:ilvl w:val="0"/>
          <w:numId w:val="9"/>
        </w:numPr>
        <w:tabs>
          <w:tab w:val="left" w:pos="1440"/>
        </w:tabs>
        <w:spacing w:after="120"/>
      </w:pPr>
      <w:r w:rsidRPr="00726C87">
        <w:t>“TRS Fund Administrator”</w:t>
      </w:r>
      <w:r w:rsidR="008D7AEE">
        <w:t xml:space="preserve"> or “Administrator”</w:t>
      </w:r>
      <w:r w:rsidRPr="00726C87">
        <w:t xml:space="preserve"> mean</w:t>
      </w:r>
      <w:r w:rsidR="002127BA">
        <w:t>s</w:t>
      </w:r>
      <w:r w:rsidRPr="00726C87">
        <w:t xml:space="preserve"> the entity designated by the Commission to administer the TRS Fund.</w:t>
      </w:r>
      <w:r>
        <w:rPr>
          <w:rStyle w:val="FootnoteReference"/>
        </w:rPr>
        <w:footnoteReference w:id="13"/>
      </w:r>
      <w:r w:rsidRPr="00726C87">
        <w:t xml:space="preserve"> </w:t>
      </w:r>
    </w:p>
    <w:p w:rsidR="00344584" w:rsidRPr="00726C87" w:rsidP="00EC0FCD">
      <w:pPr>
        <w:numPr>
          <w:ilvl w:val="0"/>
          <w:numId w:val="9"/>
        </w:numPr>
        <w:tabs>
          <w:tab w:val="left" w:pos="1440"/>
        </w:tabs>
        <w:spacing w:after="120"/>
      </w:pPr>
      <w:r w:rsidRPr="00726C87">
        <w:t>“TRS Numbering Administrator” shall have the same meaning as the term is defined in 47 CFR § 64.601(a)(3</w:t>
      </w:r>
      <w:r w:rsidR="00006B22">
        <w:t>8</w:t>
      </w:r>
      <w:r w:rsidRPr="00726C87">
        <w:t xml:space="preserve">). </w:t>
      </w:r>
    </w:p>
    <w:p w:rsidR="00344584" w:rsidRPr="00726C87" w:rsidP="00EC0FCD">
      <w:pPr>
        <w:numPr>
          <w:ilvl w:val="0"/>
          <w:numId w:val="9"/>
        </w:numPr>
        <w:tabs>
          <w:tab w:val="left" w:pos="1440"/>
        </w:tabs>
        <w:spacing w:after="120"/>
      </w:pPr>
      <w:r w:rsidRPr="00726C87">
        <w:t>“TRS Numbering Directory” shall have the same meaning as the term is defined in 47 CFR § 64.601(a)(3</w:t>
      </w:r>
      <w:r w:rsidR="00006B22">
        <w:t>9</w:t>
      </w:r>
      <w:r w:rsidRPr="00726C87">
        <w:t>).</w:t>
      </w:r>
    </w:p>
    <w:p w:rsidR="00344584" w:rsidRPr="00726C87" w:rsidP="00EC0FCD">
      <w:pPr>
        <w:numPr>
          <w:ilvl w:val="0"/>
          <w:numId w:val="9"/>
        </w:numPr>
        <w:tabs>
          <w:tab w:val="left" w:pos="1440"/>
        </w:tabs>
        <w:spacing w:after="120"/>
      </w:pPr>
      <w:r w:rsidRPr="00726C87">
        <w:t xml:space="preserve">“TRS Rules” means the regulations set forth at 47 CFR §§ 64.601 through 64.636 and §§ 5101 through 5111, Commission orders implementing and interpreting 47 U.S.C. § 225 of the Act, and any other Rules and orders applicable to iTRS Providers.   </w:t>
      </w:r>
    </w:p>
    <w:p w:rsidR="00344584" w:rsidP="00EC0FCD">
      <w:pPr>
        <w:numPr>
          <w:ilvl w:val="0"/>
          <w:numId w:val="9"/>
        </w:numPr>
        <w:tabs>
          <w:tab w:val="left" w:pos="1440"/>
        </w:tabs>
        <w:spacing w:after="120"/>
      </w:pPr>
      <w:r w:rsidRPr="00726C87">
        <w:t>“TRS User Registration Database” or “TRS-URD” shall have the same meaning as the term is defined in 47 CFR § 64.601(a)(</w:t>
      </w:r>
      <w:r w:rsidR="00006B22">
        <w:t>40</w:t>
      </w:r>
      <w:r w:rsidRPr="00726C87">
        <w:t>).</w:t>
      </w:r>
    </w:p>
    <w:p w:rsidR="00520B5D" w:rsidP="00EC0FCD">
      <w:pPr>
        <w:numPr>
          <w:ilvl w:val="0"/>
          <w:numId w:val="9"/>
        </w:numPr>
        <w:tabs>
          <w:tab w:val="left" w:pos="1440"/>
        </w:tabs>
        <w:spacing w:after="120"/>
      </w:pPr>
      <w:r>
        <w:t xml:space="preserve">“TRS-URD </w:t>
      </w:r>
      <w:r w:rsidR="00A418B2">
        <w:t>A</w:t>
      </w:r>
      <w:r>
        <w:t>dministrator” mean</w:t>
      </w:r>
      <w:r w:rsidR="002127BA">
        <w:t>s</w:t>
      </w:r>
      <w:r>
        <w:t xml:space="preserve"> the administrator </w:t>
      </w:r>
      <w:r w:rsidRPr="00520B5D">
        <w:t>of th</w:t>
      </w:r>
      <w:r>
        <w:t>e TRS User Registration Database.</w:t>
      </w:r>
      <w:r>
        <w:rPr>
          <w:rStyle w:val="FootnoteReference"/>
        </w:rPr>
        <w:footnoteReference w:id="14"/>
      </w:r>
      <w:r>
        <w:t xml:space="preserve"> </w:t>
      </w:r>
    </w:p>
    <w:p w:rsidR="000F3E7F" w:rsidRPr="00726C87" w:rsidP="00EC0FCD">
      <w:pPr>
        <w:numPr>
          <w:ilvl w:val="0"/>
          <w:numId w:val="9"/>
        </w:numPr>
        <w:tabs>
          <w:tab w:val="left" w:pos="1440"/>
        </w:tabs>
        <w:spacing w:after="120"/>
      </w:pPr>
      <w:r>
        <w:t>“Unverified User” mean</w:t>
      </w:r>
      <w:r w:rsidR="002127BA">
        <w:t>s</w:t>
      </w:r>
      <w:r>
        <w:t xml:space="preserve"> a </w:t>
      </w:r>
      <w:r w:rsidR="002312AA">
        <w:t>Registered U</w:t>
      </w:r>
      <w:r>
        <w:t xml:space="preserve">ser </w:t>
      </w:r>
      <w:r w:rsidR="002312AA">
        <w:t>who</w:t>
      </w:r>
      <w:r w:rsidR="005A0079">
        <w:t xml:space="preserve">se </w:t>
      </w:r>
      <w:r w:rsidR="00A714F9">
        <w:t xml:space="preserve">Default </w:t>
      </w:r>
      <w:r w:rsidR="005A0079">
        <w:t xml:space="preserve">Provider has not collected the user’s Self-Certification of Eligibility and/or </w:t>
      </w:r>
      <w:r>
        <w:t>whose name and</w:t>
      </w:r>
      <w:r w:rsidR="005A0079">
        <w:t xml:space="preserve"> mailing</w:t>
      </w:r>
      <w:r>
        <w:t xml:space="preserve"> address have not been verified through a reasonable verification process</w:t>
      </w:r>
      <w:r w:rsidR="005A0079">
        <w:t>.</w:t>
      </w:r>
      <w:r w:rsidR="002312AA">
        <w:t xml:space="preserve">  </w:t>
      </w:r>
    </w:p>
    <w:p w:rsidR="00344584" w:rsidRPr="00726C87" w:rsidP="00EC0FCD">
      <w:pPr>
        <w:numPr>
          <w:ilvl w:val="0"/>
          <w:numId w:val="9"/>
        </w:numPr>
        <w:tabs>
          <w:tab w:val="left" w:pos="1440"/>
        </w:tabs>
        <w:spacing w:after="120"/>
      </w:pPr>
      <w:r w:rsidRPr="00726C87">
        <w:t>“User Account” mean</w:t>
      </w:r>
      <w:r w:rsidR="00F51F1B">
        <w:t>s</w:t>
      </w:r>
      <w:r w:rsidRPr="00726C87">
        <w:t xml:space="preserve"> information collected and maintained about a Registered User by a Default Provider, including, but not limited to, a Registered User’s name, mailing address, assigned </w:t>
      </w:r>
      <w:r w:rsidR="00A973AC">
        <w:t>TDN</w:t>
      </w:r>
      <w:r w:rsidRPr="00726C87">
        <w:t xml:space="preserve">, IP address, </w:t>
      </w:r>
      <w:r w:rsidR="00A714F9">
        <w:t>P</w:t>
      </w:r>
      <w:r w:rsidRPr="00726C87">
        <w:t xml:space="preserve">rovider generated account number, e-mail address, and password. </w:t>
      </w:r>
    </w:p>
    <w:p w:rsidR="00344584" w:rsidRPr="00726C87" w:rsidP="00EC0FCD">
      <w:pPr>
        <w:numPr>
          <w:ilvl w:val="0"/>
          <w:numId w:val="9"/>
        </w:numPr>
        <w:tabs>
          <w:tab w:val="left" w:pos="1440"/>
        </w:tabs>
        <w:spacing w:after="120"/>
      </w:pPr>
      <w:r w:rsidRPr="00726C87">
        <w:t>“Video Relay Service” or “VRS” shall have the same meaning as the term is defined in 47 CFR § 64.601(a)(4</w:t>
      </w:r>
      <w:r w:rsidR="00006B22">
        <w:t>3</w:t>
      </w:r>
      <w:r w:rsidRPr="00726C87">
        <w:t>).</w:t>
      </w:r>
    </w:p>
    <w:p w:rsidR="00344584" w:rsidRPr="00726C87" w:rsidP="00344584">
      <w:pPr>
        <w:pStyle w:val="Heading1"/>
      </w:pPr>
      <w:r w:rsidRPr="00726C87">
        <w:t>BACKGROUND</w:t>
      </w:r>
    </w:p>
    <w:p w:rsidR="00344584" w:rsidP="00370153">
      <w:pPr>
        <w:pStyle w:val="ParaNum"/>
      </w:pPr>
      <w:r w:rsidRPr="00726C87">
        <w:t xml:space="preserve">Internet-based TRS (iTRS) allows </w:t>
      </w:r>
      <w:r w:rsidR="0059386E">
        <w:t>people who have</w:t>
      </w:r>
      <w:r w:rsidRPr="00726C87">
        <w:t xml:space="preserve"> a hearing or speech disability to communicate with hearing persons via a </w:t>
      </w:r>
      <w:r w:rsidR="00835DBF">
        <w:t>C</w:t>
      </w:r>
      <w:r w:rsidRPr="00726C87">
        <w:t xml:space="preserve">ommunications </w:t>
      </w:r>
      <w:r w:rsidR="00835DBF">
        <w:t>A</w:t>
      </w:r>
      <w:r w:rsidRPr="00726C87">
        <w:t>ssistant (CA)</w:t>
      </w:r>
      <w:r w:rsidR="00B8104D">
        <w:t>,</w:t>
      </w:r>
      <w:r w:rsidRPr="00726C87">
        <w:t xml:space="preserve"> using an Internet Protocol-enabled device via the Internet.</w:t>
      </w:r>
      <w:r>
        <w:rPr>
          <w:rStyle w:val="FootnoteReference"/>
        </w:rPr>
        <w:footnoteReference w:id="15"/>
      </w:r>
      <w:r w:rsidRPr="00726C87">
        <w:t xml:space="preserve">  There are currently three forms of iTRS—Video Relay Service (VRS), Internet Protocol Relay Service (IP Relay), and Internet Protocol Captioned Telephone Service (IP CTS).  To be compensated from the TRS Fund for the reasonable costs incurred in providing service to </w:t>
      </w:r>
      <w:r w:rsidR="0099517B">
        <w:t>Registered</w:t>
      </w:r>
      <w:r w:rsidRPr="00726C87">
        <w:t xml:space="preserve"> </w:t>
      </w:r>
      <w:r w:rsidR="0099517B">
        <w:t>U</w:t>
      </w:r>
      <w:r w:rsidRPr="00726C87">
        <w:t>sers, iTRS Providers must be certified by the Commission, provide iTRS in accordance with the TRS Rules, and submit “true and adequate data” to TRS Fund Administrator.</w:t>
      </w:r>
      <w:r>
        <w:rPr>
          <w:rStyle w:val="FootnoteReference"/>
        </w:rPr>
        <w:footnoteReference w:id="16"/>
      </w:r>
    </w:p>
    <w:p w:rsidR="00B2456E" w:rsidRPr="00714109" w:rsidP="00B2456E">
      <w:pPr>
        <w:pStyle w:val="ParaNum"/>
      </w:pPr>
      <w:r>
        <w:t xml:space="preserve">In </w:t>
      </w:r>
      <w:r w:rsidRPr="00714109">
        <w:t xml:space="preserve">the </w:t>
      </w:r>
      <w:r w:rsidRPr="00714109">
        <w:rPr>
          <w:i/>
        </w:rPr>
        <w:t>2010 VRS Declaratory Ruling</w:t>
      </w:r>
      <w:r w:rsidRPr="00714109">
        <w:t xml:space="preserve">, </w:t>
      </w:r>
      <w:r>
        <w:t>the Commission reiterated that VR</w:t>
      </w:r>
      <w:r w:rsidRPr="00714109">
        <w:t>S calls made by or to a VRS Provider's employee or the employee of a Provider's subcontractor, are a Provider business expense and are not eligible for compensation from the TRS Fund on a per-minute basis.</w:t>
      </w:r>
      <w:r>
        <w:rPr>
          <w:rStyle w:val="FootnoteReference"/>
          <w:sz w:val="22"/>
        </w:rPr>
        <w:footnoteReference w:id="17"/>
      </w:r>
      <w:r w:rsidRPr="00714109">
        <w:t xml:space="preserve">  Because Providers already are able to include the costs of providing telephone and telecommunications services for use by </w:t>
      </w:r>
      <w:r w:rsidR="00240A6C">
        <w:t>Covered Personnel</w:t>
      </w:r>
      <w:r w:rsidRPr="00714109">
        <w:t xml:space="preserve"> in their annual submissions to the TRS Fund Administrator,</w:t>
      </w:r>
      <w:r>
        <w:rPr>
          <w:rStyle w:val="FootnoteReference"/>
          <w:sz w:val="22"/>
        </w:rPr>
        <w:footnoteReference w:id="18"/>
      </w:r>
      <w:r w:rsidRPr="00714109">
        <w:t xml:space="preserve"> these costs are properly reflected in the VRS compensation rate</w:t>
      </w:r>
      <w:r w:rsidR="000116E7">
        <w:t>.</w:t>
      </w:r>
      <w:r>
        <w:rPr>
          <w:vertAlign w:val="superscript"/>
        </w:rPr>
        <w:footnoteReference w:id="19"/>
      </w:r>
      <w:r w:rsidRPr="00714109">
        <w:t xml:space="preserve"> </w:t>
      </w:r>
      <w:r w:rsidR="000116E7">
        <w:t xml:space="preserve"> </w:t>
      </w:r>
    </w:p>
    <w:p w:rsidR="00B12FDF">
      <w:pPr>
        <w:pStyle w:val="ParaNum"/>
      </w:pPr>
      <w:r>
        <w:t xml:space="preserve">In the </w:t>
      </w:r>
      <w:r w:rsidRPr="00FA5ED1">
        <w:rPr>
          <w:i/>
        </w:rPr>
        <w:t>First Internet-Based TRS Order</w:t>
      </w:r>
      <w:r>
        <w:t xml:space="preserve">, the Commission established </w:t>
      </w:r>
      <w:r w:rsidR="0008078E">
        <w:t xml:space="preserve">a ten-digit numbering system </w:t>
      </w:r>
      <w:r w:rsidR="00C14FD9">
        <w:t>that</w:t>
      </w:r>
      <w:r w:rsidR="0008078E">
        <w:t xml:space="preserve"> required </w:t>
      </w:r>
      <w:r w:rsidR="0099517B">
        <w:t>Registered Users</w:t>
      </w:r>
      <w:r w:rsidR="0008078E">
        <w:t xml:space="preserve"> to be assigned a telephone number </w:t>
      </w:r>
      <w:r w:rsidR="006524E1">
        <w:t xml:space="preserve">through which they could </w:t>
      </w:r>
      <w:r w:rsidR="0008078E">
        <w:t>be reached</w:t>
      </w:r>
      <w:r w:rsidR="006271BD">
        <w:t xml:space="preserve"> in a manner</w:t>
      </w:r>
      <w:r w:rsidR="0008078E">
        <w:t xml:space="preserve"> similar to callers without disabilities</w:t>
      </w:r>
      <w:r w:rsidR="00C65A84">
        <w:t>; this system also</w:t>
      </w:r>
      <w:r w:rsidRPr="002A2822" w:rsidR="002A2822">
        <w:t xml:space="preserve"> </w:t>
      </w:r>
      <w:r w:rsidR="002A2822">
        <w:t>eliminated the anonymity that allowed ineligible parties to use the system</w:t>
      </w:r>
      <w:r w:rsidR="0008078E">
        <w:t>.</w:t>
      </w:r>
      <w:r>
        <w:rPr>
          <w:rStyle w:val="FootnoteReference"/>
        </w:rPr>
        <w:footnoteReference w:id="20"/>
      </w:r>
      <w:r w:rsidR="0008078E">
        <w:t xml:space="preserve">  </w:t>
      </w:r>
      <w:r>
        <w:t>Since M</w:t>
      </w:r>
      <w:r w:rsidR="00C21279">
        <w:t xml:space="preserve">ay 2010, </w:t>
      </w:r>
      <w:r>
        <w:t>prior to providing service, i</w:t>
      </w:r>
      <w:r w:rsidR="00C21279">
        <w:t>TRS P</w:t>
      </w:r>
      <w:r w:rsidR="00081DE4">
        <w:t>roviders</w:t>
      </w:r>
      <w:r w:rsidR="00C21279">
        <w:t xml:space="preserve"> </w:t>
      </w:r>
      <w:r w:rsidR="006271BD">
        <w:t>have been</w:t>
      </w:r>
      <w:r w:rsidR="00C21279">
        <w:t xml:space="preserve"> required</w:t>
      </w:r>
      <w:r w:rsidR="00081DE4">
        <w:t xml:space="preserve"> to (i) register</w:t>
      </w:r>
      <w:r w:rsidR="0008078E">
        <w:t xml:space="preserve"> and collect certain information</w:t>
      </w:r>
      <w:r w:rsidR="006271BD">
        <w:t xml:space="preserve">, including a </w:t>
      </w:r>
      <w:r w:rsidR="00D05626">
        <w:t>S</w:t>
      </w:r>
      <w:r w:rsidR="006271BD">
        <w:t>elf-</w:t>
      </w:r>
      <w:r w:rsidR="00D05626">
        <w:t>C</w:t>
      </w:r>
      <w:r w:rsidR="006271BD">
        <w:t>ertification,</w:t>
      </w:r>
      <w:r w:rsidR="0008078E">
        <w:t xml:space="preserve"> from users</w:t>
      </w:r>
      <w:r w:rsidR="00081DE4">
        <w:t xml:space="preserve">, (ii) </w:t>
      </w:r>
      <w:r w:rsidR="006271BD">
        <w:t xml:space="preserve">verify the information users provided during registration; (iii) </w:t>
      </w:r>
      <w:r w:rsidR="00081DE4">
        <w:t xml:space="preserve">assign each </w:t>
      </w:r>
      <w:r w:rsidR="00751DA6">
        <w:t>Registered User</w:t>
      </w:r>
      <w:r w:rsidR="00081DE4">
        <w:t xml:space="preserve"> a </w:t>
      </w:r>
      <w:r w:rsidR="000331F3">
        <w:t>TDN</w:t>
      </w:r>
      <w:r w:rsidR="00081DE4">
        <w:t xml:space="preserve">, </w:t>
      </w:r>
      <w:r w:rsidR="001625F3">
        <w:t xml:space="preserve">and </w:t>
      </w:r>
      <w:r w:rsidR="00081DE4">
        <w:t>(i</w:t>
      </w:r>
      <w:r w:rsidR="006271BD">
        <w:t>v</w:t>
      </w:r>
      <w:r w:rsidR="00081DE4">
        <w:t xml:space="preserve">) fulfill all other requirements set forth in the </w:t>
      </w:r>
      <w:r w:rsidRPr="00FA5ED1" w:rsidR="00E42A37">
        <w:rPr>
          <w:i/>
        </w:rPr>
        <w:t>iTRS Orders</w:t>
      </w:r>
      <w:r w:rsidR="00E42A37">
        <w:t xml:space="preserve"> that</w:t>
      </w:r>
      <w:r w:rsidR="00081DE4">
        <w:t xml:space="preserve"> pertain to registered iTRS users</w:t>
      </w:r>
      <w:r w:rsidR="0037253F">
        <w:t>.</w:t>
      </w:r>
    </w:p>
    <w:p w:rsidR="00344584" w:rsidRPr="00726C87" w:rsidP="00FA5ED1">
      <w:pPr>
        <w:pStyle w:val="ParaNum"/>
      </w:pPr>
      <w:r w:rsidRPr="00726C87">
        <w:t>The Commission has taken additional steps to detect and prevent waste, fraud, and abuse</w:t>
      </w:r>
      <w:r w:rsidR="00D05626">
        <w:t xml:space="preserve"> associated with </w:t>
      </w:r>
      <w:r w:rsidRPr="00726C87">
        <w:t xml:space="preserve">the TRS Fund.  For example, </w:t>
      </w:r>
      <w:r w:rsidR="00A3528A">
        <w:t xml:space="preserve">in 2011, </w:t>
      </w:r>
      <w:r w:rsidR="00D34A76">
        <w:t xml:space="preserve">the Commission adopted a requirement that </w:t>
      </w:r>
      <w:r w:rsidR="00D34A76">
        <w:t xml:space="preserve">Providers must retain </w:t>
      </w:r>
      <w:r w:rsidR="00C65A84">
        <w:t xml:space="preserve">for at least five years </w:t>
      </w:r>
      <w:r w:rsidR="00D34A76">
        <w:t xml:space="preserve">all records that support their </w:t>
      </w:r>
      <w:r w:rsidR="00682548">
        <w:t>Requests</w:t>
      </w:r>
      <w:r w:rsidR="00D34A76">
        <w:t xml:space="preserve"> for </w:t>
      </w:r>
      <w:r w:rsidR="00682548">
        <w:t>R</w:t>
      </w:r>
      <w:r w:rsidR="00D34A76">
        <w:t>eimbursement.</w:t>
      </w:r>
      <w:r>
        <w:rPr>
          <w:rStyle w:val="FootnoteReference"/>
        </w:rPr>
        <w:footnoteReference w:id="21"/>
      </w:r>
      <w:r w:rsidR="00752833">
        <w:t xml:space="preserve">  I</w:t>
      </w:r>
      <w:r w:rsidR="00307943">
        <w:t>n 2013, t</w:t>
      </w:r>
      <w:r w:rsidRPr="00C67B19" w:rsidR="00C67B19">
        <w:t xml:space="preserve">he </w:t>
      </w:r>
      <w:r w:rsidR="00C67B19">
        <w:t xml:space="preserve">Commission established the </w:t>
      </w:r>
      <w:r w:rsidRPr="00C67B19" w:rsidR="00C67B19">
        <w:t xml:space="preserve">TRS-URD, a centralized system of records containing </w:t>
      </w:r>
      <w:r w:rsidR="00460729">
        <w:t>V</w:t>
      </w:r>
      <w:r w:rsidRPr="00C67B19" w:rsidR="00C67B19">
        <w:t xml:space="preserve">RS user registration data, to ensure accurate registration and verification of </w:t>
      </w:r>
      <w:r w:rsidR="00460729">
        <w:t>V</w:t>
      </w:r>
      <w:r w:rsidRPr="00C67B19" w:rsidR="00C67B19">
        <w:t>RS users.</w:t>
      </w:r>
      <w:r>
        <w:rPr>
          <w:vertAlign w:val="superscript"/>
        </w:rPr>
        <w:footnoteReference w:id="22"/>
      </w:r>
      <w:r w:rsidRPr="00C67B19" w:rsidR="00C67B19">
        <w:t xml:space="preserve">  </w:t>
      </w:r>
      <w:r w:rsidR="00D232E3">
        <w:t xml:space="preserve">The TRS-URD </w:t>
      </w:r>
      <w:r w:rsidR="004D54F4">
        <w:t>A</w:t>
      </w:r>
      <w:r w:rsidR="00D232E3">
        <w:t>dministrator began accepting data from Providers on December 29, 2017</w:t>
      </w:r>
      <w:r w:rsidR="00763A70">
        <w:t>,</w:t>
      </w:r>
      <w:r>
        <w:rPr>
          <w:rStyle w:val="FootnoteReference"/>
        </w:rPr>
        <w:footnoteReference w:id="23"/>
      </w:r>
      <w:r w:rsidR="00763A70">
        <w:t xml:space="preserve"> and allowed Providers several months to submit their </w:t>
      </w:r>
      <w:r w:rsidR="00520B5D">
        <w:t>Registered U</w:t>
      </w:r>
      <w:r w:rsidR="00763A70">
        <w:t>ser data.</w:t>
      </w:r>
      <w:r>
        <w:rPr>
          <w:rStyle w:val="FootnoteReference"/>
        </w:rPr>
        <w:footnoteReference w:id="24"/>
      </w:r>
      <w:r w:rsidR="00763A70">
        <w:t xml:space="preserve"> </w:t>
      </w:r>
      <w:r w:rsidR="00D232E3">
        <w:t xml:space="preserve"> </w:t>
      </w:r>
      <w:r w:rsidR="00763A70">
        <w:t xml:space="preserve">As of </w:t>
      </w:r>
      <w:r w:rsidR="00546C89">
        <w:t xml:space="preserve">April 30, </w:t>
      </w:r>
      <w:r w:rsidR="002927EE">
        <w:t>2018,</w:t>
      </w:r>
      <w:r w:rsidR="005B0C41">
        <w:t xml:space="preserve"> the TRS-URD </w:t>
      </w:r>
      <w:r w:rsidR="004D54F4">
        <w:t>A</w:t>
      </w:r>
      <w:r w:rsidR="005B0C41">
        <w:t xml:space="preserve">dministrator has been responsible for verifying the registration information for </w:t>
      </w:r>
      <w:r w:rsidR="00B13CC3">
        <w:t xml:space="preserve">VRS </w:t>
      </w:r>
      <w:r w:rsidR="005B0C41">
        <w:t>users.</w:t>
      </w:r>
      <w:r>
        <w:rPr>
          <w:rStyle w:val="FootnoteReference"/>
        </w:rPr>
        <w:footnoteReference w:id="25"/>
      </w:r>
      <w:r w:rsidR="005B0C41">
        <w:t xml:space="preserve"> </w:t>
      </w:r>
      <w:r w:rsidR="00011208">
        <w:t xml:space="preserve"> </w:t>
      </w:r>
    </w:p>
    <w:p w:rsidR="006052DD" w:rsidRPr="006052DD" w:rsidP="00731A1B">
      <w:pPr>
        <w:pStyle w:val="ParaNum"/>
      </w:pPr>
      <w:bookmarkStart w:id="7" w:name="_Ref517088346"/>
      <w:r>
        <w:t>T</w:t>
      </w:r>
      <w:r w:rsidRPr="006052DD">
        <w:t xml:space="preserve">he Commission </w:t>
      </w:r>
      <w:r w:rsidR="00650561">
        <w:t xml:space="preserve">also </w:t>
      </w:r>
      <w:r w:rsidRPr="006052DD">
        <w:t>require</w:t>
      </w:r>
      <w:r>
        <w:t>s</w:t>
      </w:r>
      <w:r w:rsidRPr="006052DD">
        <w:t xml:space="preserve"> VRS Providers to ensure </w:t>
      </w:r>
      <w:r w:rsidR="00C1707F">
        <w:t xml:space="preserve">interoperability and portability, i.e., </w:t>
      </w:r>
      <w:r w:rsidRPr="006052DD">
        <w:t>that their hardware and software is compatible with all other Providers</w:t>
      </w:r>
      <w:r w:rsidR="00C1707F">
        <w:t>.</w:t>
      </w:r>
      <w:r>
        <w:rPr>
          <w:rStyle w:val="FootnoteReference"/>
        </w:rPr>
        <w:footnoteReference w:id="26"/>
      </w:r>
      <w:r w:rsidRPr="006052DD">
        <w:t xml:space="preserve">  These requirements are intended (i) to allow VRS users to make and receive calls through any VRS </w:t>
      </w:r>
      <w:r w:rsidR="00C14FD9">
        <w:t>P</w:t>
      </w:r>
      <w:r w:rsidRPr="006052DD">
        <w:t xml:space="preserve">rovider, and to choose a different default </w:t>
      </w:r>
      <w:r w:rsidR="00C14FD9">
        <w:t>P</w:t>
      </w:r>
      <w:r w:rsidRPr="006052DD">
        <w:t xml:space="preserve">rovider, without changing the access technology used to place calls, and (ii) to ensure that VRS users can make point-to-point calls to all other VRS users, irrespective of the </w:t>
      </w:r>
      <w:r w:rsidR="00DC2B85">
        <w:t>D</w:t>
      </w:r>
      <w:r w:rsidRPr="006052DD" w:rsidR="00DC2B85">
        <w:t xml:space="preserve">efault </w:t>
      </w:r>
      <w:r w:rsidR="00DC2B85">
        <w:t>P</w:t>
      </w:r>
      <w:r w:rsidRPr="006052DD">
        <w:t>rovider of the calling and called party.</w:t>
      </w:r>
      <w:r>
        <w:rPr>
          <w:rStyle w:val="FootnoteReference"/>
        </w:rPr>
        <w:footnoteReference w:id="27"/>
      </w:r>
      <w:r w:rsidRPr="006052DD">
        <w:t xml:space="preserve">  </w:t>
      </w:r>
      <w:r w:rsidR="005262F3">
        <w:t xml:space="preserve">The Commission has engaged </w:t>
      </w:r>
      <w:r w:rsidR="00070CFA">
        <w:t>MITRE</w:t>
      </w:r>
      <w:r w:rsidR="005262F3">
        <w:t xml:space="preserve"> to conduct </w:t>
      </w:r>
      <w:r w:rsidR="00AD7FB0">
        <w:t xml:space="preserve">quarterly </w:t>
      </w:r>
      <w:r w:rsidR="005262F3">
        <w:t>testing to assess Provider compliance</w:t>
      </w:r>
      <w:r w:rsidR="00BD1720">
        <w:t xml:space="preserve"> with th</w:t>
      </w:r>
      <w:r w:rsidR="000A55AD">
        <w:t>ese</w:t>
      </w:r>
      <w:r w:rsidR="00BD1720">
        <w:t xml:space="preserve"> requirements</w:t>
      </w:r>
      <w:r w:rsidR="005262F3">
        <w:t>.</w:t>
      </w:r>
      <w:r>
        <w:rPr>
          <w:rStyle w:val="FootnoteReference"/>
        </w:rPr>
        <w:footnoteReference w:id="28"/>
      </w:r>
      <w:r w:rsidR="00070CFA">
        <w:t xml:space="preserve">  </w:t>
      </w:r>
    </w:p>
    <w:p w:rsidR="00045F9B" w:rsidP="00464093">
      <w:pPr>
        <w:pStyle w:val="ParaNum"/>
      </w:pPr>
      <w:r>
        <w:t xml:space="preserve">ASL Holdings, LLC dba </w:t>
      </w:r>
      <w:r w:rsidR="00810BF7">
        <w:t>Global</w:t>
      </w:r>
      <w:r>
        <w:t>VRS (Global or Company)</w:t>
      </w:r>
      <w:r w:rsidR="00810BF7">
        <w:t xml:space="preserve"> </w:t>
      </w:r>
      <w:r w:rsidRPr="00726C87" w:rsidR="00344584">
        <w:t>is a</w:t>
      </w:r>
      <w:r w:rsidR="001F7D9D">
        <w:t>n</w:t>
      </w:r>
      <w:r w:rsidRPr="00726C87" w:rsidR="00344584">
        <w:t xml:space="preserve"> </w:t>
      </w:r>
      <w:r w:rsidR="00820640">
        <w:t>iTRS</w:t>
      </w:r>
      <w:r w:rsidRPr="00726C87" w:rsidR="00820640">
        <w:t xml:space="preserve"> </w:t>
      </w:r>
      <w:r w:rsidR="00EF70A8">
        <w:t>P</w:t>
      </w:r>
      <w:r w:rsidRPr="00726C87" w:rsidR="00344584">
        <w:t xml:space="preserve">rovider based in </w:t>
      </w:r>
      <w:r w:rsidR="00810BF7">
        <w:t>Kissimmee, Florida</w:t>
      </w:r>
      <w:r w:rsidRPr="00726C87" w:rsidR="00344584">
        <w:t xml:space="preserve"> and</w:t>
      </w:r>
      <w:r w:rsidR="003E10FC">
        <w:t xml:space="preserve"> is conditionally</w:t>
      </w:r>
      <w:r w:rsidRPr="00726C87" w:rsidR="00344584">
        <w:t xml:space="preserve"> certified by the Commission to provide VRS.</w:t>
      </w:r>
      <w:r>
        <w:rPr>
          <w:rStyle w:val="FootnoteReference"/>
        </w:rPr>
        <w:footnoteReference w:id="29"/>
      </w:r>
      <w:r w:rsidRPr="00726C87" w:rsidR="00344584">
        <w:t xml:space="preserve">  </w:t>
      </w:r>
      <w:r w:rsidR="00DD3306">
        <w:t xml:space="preserve">The Bureau </w:t>
      </w:r>
      <w:r w:rsidR="0086543E">
        <w:t>issued a Letter of Inquiry (“LOI”) to Global in December 2015, requesting information on Global’</w:t>
      </w:r>
      <w:r w:rsidR="00574E4A">
        <w:t xml:space="preserve">s compliance with the </w:t>
      </w:r>
      <w:r w:rsidR="00D07D85">
        <w:t xml:space="preserve">TRS </w:t>
      </w:r>
      <w:r w:rsidR="00B162B4">
        <w:t>R</w:t>
      </w:r>
      <w:r w:rsidR="00574E4A">
        <w:t xml:space="preserve">ules, including </w:t>
      </w:r>
      <w:r w:rsidR="002F0410">
        <w:t>the Company’s</w:t>
      </w:r>
      <w:r w:rsidR="00574E4A">
        <w:t xml:space="preserve"> verification process.</w:t>
      </w:r>
      <w:r>
        <w:rPr>
          <w:rStyle w:val="FootnoteReference"/>
        </w:rPr>
        <w:footnoteReference w:id="30"/>
      </w:r>
      <w:r w:rsidR="00574E4A">
        <w:t xml:space="preserve">  </w:t>
      </w:r>
      <w:r w:rsidR="009D7419">
        <w:t xml:space="preserve">Global responded to the </w:t>
      </w:r>
      <w:r w:rsidR="009D7419">
        <w:t>LOI on January 29, 2016</w:t>
      </w:r>
      <w:r w:rsidR="00AA5ABB">
        <w:t>,</w:t>
      </w:r>
      <w:r w:rsidRPr="00AA5ABB" w:rsidR="00AA5ABB">
        <w:rPr>
          <w:rStyle w:val="FootnoteReference"/>
        </w:rPr>
        <w:t xml:space="preserve"> </w:t>
      </w:r>
      <w:r>
        <w:rPr>
          <w:rStyle w:val="FootnoteReference"/>
        </w:rPr>
        <w:footnoteReference w:id="31"/>
      </w:r>
      <w:r w:rsidR="009D7419">
        <w:t xml:space="preserve"> and submitted a supplemental response on February 2, 2017.</w:t>
      </w:r>
      <w:r>
        <w:rPr>
          <w:rStyle w:val="FootnoteReference"/>
        </w:rPr>
        <w:footnoteReference w:id="32"/>
      </w:r>
      <w:r w:rsidR="00AA5ABB">
        <w:t xml:space="preserve"> </w:t>
      </w:r>
      <w:r w:rsidR="008F7578">
        <w:t xml:space="preserve"> On July 28, 2017, </w:t>
      </w:r>
      <w:r w:rsidR="00D10C94">
        <w:t xml:space="preserve">the Bureau </w:t>
      </w:r>
      <w:r w:rsidR="008F7578">
        <w:t>sent a second LOI to</w:t>
      </w:r>
      <w:r w:rsidR="00D17CA2">
        <w:t xml:space="preserve"> Global</w:t>
      </w:r>
      <w:r w:rsidR="008F7578">
        <w:t>.</w:t>
      </w:r>
      <w:r>
        <w:rPr>
          <w:rStyle w:val="FootnoteReference"/>
        </w:rPr>
        <w:footnoteReference w:id="33"/>
      </w:r>
      <w:r w:rsidR="00AA5ABB">
        <w:t xml:space="preserve">  Global responded to the second LOI on August 27, 2017</w:t>
      </w:r>
      <w:r w:rsidR="00CD5BEF">
        <w:t>,</w:t>
      </w:r>
      <w:r>
        <w:rPr>
          <w:rStyle w:val="FootnoteReference"/>
        </w:rPr>
        <w:footnoteReference w:id="34"/>
      </w:r>
      <w:r w:rsidR="00CD5BEF">
        <w:t xml:space="preserve"> and provided additional information </w:t>
      </w:r>
      <w:r w:rsidR="0087599E">
        <w:t xml:space="preserve">on </w:t>
      </w:r>
      <w:r w:rsidR="00CD5BEF">
        <w:t>September 18, 2017.</w:t>
      </w:r>
      <w:r>
        <w:rPr>
          <w:rStyle w:val="FootnoteReference"/>
        </w:rPr>
        <w:footnoteReference w:id="35"/>
      </w:r>
      <w:r w:rsidR="00B43CDD">
        <w:t xml:space="preserve">  </w:t>
      </w:r>
      <w:r w:rsidR="00DD3306">
        <w:t xml:space="preserve">The Bureau </w:t>
      </w:r>
      <w:r w:rsidR="00B43CDD">
        <w:t>issued a third LOI on October 16, 2017.</w:t>
      </w:r>
      <w:r>
        <w:rPr>
          <w:rStyle w:val="FootnoteReference"/>
        </w:rPr>
        <w:footnoteReference w:id="36"/>
      </w:r>
      <w:r w:rsidR="00551826">
        <w:t xml:space="preserve">  Global responded to this LOI on </w:t>
      </w:r>
      <w:r w:rsidR="00D07D85">
        <w:t>October 31, 2017,</w:t>
      </w:r>
      <w:r>
        <w:rPr>
          <w:rStyle w:val="FootnoteReference"/>
        </w:rPr>
        <w:footnoteReference w:id="37"/>
      </w:r>
      <w:r w:rsidR="00D07D85">
        <w:t xml:space="preserve"> and provided additional information on </w:t>
      </w:r>
      <w:r w:rsidR="00551826">
        <w:t>November 3, 2017.</w:t>
      </w:r>
      <w:r>
        <w:rPr>
          <w:rStyle w:val="FootnoteReference"/>
        </w:rPr>
        <w:footnoteReference w:id="38"/>
      </w:r>
      <w:bookmarkEnd w:id="7"/>
      <w:r w:rsidR="00551826">
        <w:t xml:space="preserve">  </w:t>
      </w:r>
      <w:r w:rsidR="00D86CD7">
        <w:t xml:space="preserve"> </w:t>
      </w:r>
    </w:p>
    <w:p w:rsidR="00E14BD8" w:rsidP="00810BF7">
      <w:pPr>
        <w:pStyle w:val="ParaNum"/>
      </w:pPr>
      <w:bookmarkStart w:id="9" w:name="_Ref517878127"/>
      <w:bookmarkStart w:id="10" w:name="_Ref519256514"/>
      <w:r w:rsidRPr="007B13B8">
        <w:t xml:space="preserve">The </w:t>
      </w:r>
      <w:bookmarkStart w:id="11" w:name="_Ref517088377"/>
      <w:r w:rsidRPr="007B13B8">
        <w:t>Inves</w:t>
      </w:r>
      <w:r w:rsidRPr="007B13B8" w:rsidR="0086543E">
        <w:t xml:space="preserve">tigation identified numerous </w:t>
      </w:r>
      <w:r w:rsidRPr="007B13B8" w:rsidR="00C7094E">
        <w:t xml:space="preserve">Global </w:t>
      </w:r>
      <w:r w:rsidRPr="007B13B8" w:rsidR="0086543E">
        <w:t>violations, including fail</w:t>
      </w:r>
      <w:r w:rsidRPr="007B13B8" w:rsidR="0047279B">
        <w:t>ing</w:t>
      </w:r>
      <w:r w:rsidRPr="007B13B8" w:rsidR="0086543E">
        <w:t xml:space="preserve"> to </w:t>
      </w:r>
      <w:r w:rsidRPr="007B13B8" w:rsidR="002B70D1">
        <w:t>implement a reasonable verification process</w:t>
      </w:r>
      <w:r w:rsidRPr="007B13B8" w:rsidR="0057089C">
        <w:t>, fail</w:t>
      </w:r>
      <w:r w:rsidRPr="007B13B8" w:rsidR="00E64355">
        <w:t>ing</w:t>
      </w:r>
      <w:r w:rsidRPr="007B13B8" w:rsidR="0057089C">
        <w:t xml:space="preserve"> to collect self-certifications attesting to eligibility</w:t>
      </w:r>
      <w:r w:rsidRPr="007B13B8" w:rsidR="00C9294B">
        <w:t xml:space="preserve"> (Self-Certifications)</w:t>
      </w:r>
      <w:r w:rsidRPr="007B13B8" w:rsidR="00001EB9">
        <w:t xml:space="preserve"> for each Registered User</w:t>
      </w:r>
      <w:r w:rsidRPr="007B13B8" w:rsidR="0057089C">
        <w:t>, billing the TRS Fund for calls associated with VRS user</w:t>
      </w:r>
      <w:r w:rsidRPr="007B13B8" w:rsidR="00C9294B">
        <w:t>s</w:t>
      </w:r>
      <w:r w:rsidRPr="007B13B8" w:rsidR="007565EC">
        <w:t xml:space="preserve"> </w:t>
      </w:r>
      <w:r w:rsidRPr="0018697C" w:rsidR="007565EC">
        <w:t>that had not been verified in accordance with a reasonable verification process</w:t>
      </w:r>
      <w:r w:rsidRPr="0018697C" w:rsidR="00C9294B">
        <w:t>,</w:t>
      </w:r>
      <w:r w:rsidRPr="007B13B8" w:rsidR="00C9294B">
        <w:t xml:space="preserve"> submitting</w:t>
      </w:r>
      <w:r w:rsidRPr="007B13B8" w:rsidR="002F0410">
        <w:t xml:space="preserve"> inaccurate</w:t>
      </w:r>
      <w:r w:rsidRPr="007B13B8" w:rsidR="0086543E">
        <w:t xml:space="preserve"> </w:t>
      </w:r>
      <w:r w:rsidRPr="007B13B8" w:rsidR="003479F9">
        <w:t>annual cost data</w:t>
      </w:r>
      <w:r w:rsidRPr="007B13B8" w:rsidR="0086543E">
        <w:t xml:space="preserve"> to the </w:t>
      </w:r>
      <w:r w:rsidRPr="007B13B8" w:rsidR="00436ED1">
        <w:t xml:space="preserve">TRS </w:t>
      </w:r>
      <w:r w:rsidRPr="007B13B8" w:rsidR="0086543E">
        <w:t xml:space="preserve">Fund Administrator, </w:t>
      </w:r>
      <w:r w:rsidRPr="007B13B8">
        <w:t xml:space="preserve">and </w:t>
      </w:r>
      <w:r w:rsidRPr="007B13B8" w:rsidR="0086543E">
        <w:t>fail</w:t>
      </w:r>
      <w:r w:rsidRPr="007B13B8" w:rsidR="00C9294B">
        <w:t>ing</w:t>
      </w:r>
      <w:r w:rsidRPr="007B13B8" w:rsidR="0086543E">
        <w:t xml:space="preserve"> to maintain data supporting </w:t>
      </w:r>
      <w:r w:rsidRPr="007B13B8" w:rsidR="00682548">
        <w:t>Requests for R</w:t>
      </w:r>
      <w:r w:rsidRPr="007B13B8" w:rsidR="0086543E">
        <w:t>eimbursement</w:t>
      </w:r>
      <w:r w:rsidRPr="007B13B8" w:rsidR="00682548">
        <w:t>,</w:t>
      </w:r>
      <w:r w:rsidRPr="007B13B8" w:rsidR="0086543E">
        <w:t xml:space="preserve"> </w:t>
      </w:r>
      <w:r w:rsidRPr="007B13B8" w:rsidR="009A0DA7">
        <w:t>including</w:t>
      </w:r>
      <w:r w:rsidRPr="007B13B8" w:rsidR="00595213">
        <w:t xml:space="preserve"> </w:t>
      </w:r>
      <w:r w:rsidRPr="007B13B8" w:rsidR="00363B32">
        <w:t>S</w:t>
      </w:r>
      <w:r w:rsidRPr="007B13B8" w:rsidR="00595213">
        <w:t>elf-</w:t>
      </w:r>
      <w:r w:rsidRPr="007B13B8" w:rsidR="00363B32">
        <w:t>C</w:t>
      </w:r>
      <w:r w:rsidRPr="007B13B8" w:rsidR="00595213">
        <w:t>ertifications</w:t>
      </w:r>
      <w:r w:rsidR="009A0DA7">
        <w:t xml:space="preserve">. </w:t>
      </w:r>
      <w:r w:rsidR="000B0CD8">
        <w:t xml:space="preserve"> </w:t>
      </w:r>
      <w:bookmarkEnd w:id="9"/>
      <w:bookmarkEnd w:id="10"/>
    </w:p>
    <w:p w:rsidR="006052DD" w:rsidP="007D5986">
      <w:pPr>
        <w:pStyle w:val="ParaNum"/>
        <w:keepNext/>
        <w:widowControl/>
      </w:pPr>
      <w:r>
        <w:t xml:space="preserve">The Investigation also </w:t>
      </w:r>
      <w:r w:rsidR="003B02F3">
        <w:t>found</w:t>
      </w:r>
      <w:r>
        <w:t xml:space="preserve"> that </w:t>
      </w:r>
      <w:r w:rsidR="008B17F1">
        <w:t xml:space="preserve">VRS minutes were generated </w:t>
      </w:r>
      <w:r w:rsidR="00263D49">
        <w:t xml:space="preserve">through calls made to and on behalf of </w:t>
      </w:r>
      <w:r w:rsidR="000D5738">
        <w:t xml:space="preserve">Global and other </w:t>
      </w:r>
      <w:r w:rsidR="003F5A6D">
        <w:t>American Sign Language Enterprises, LLC</w:t>
      </w:r>
      <w:r w:rsidR="00263D49">
        <w:t xml:space="preserve"> affiliates</w:t>
      </w:r>
      <w:r w:rsidR="00DD3306">
        <w:t xml:space="preserve"> (</w:t>
      </w:r>
      <w:r w:rsidR="000D5738">
        <w:t xml:space="preserve">collectively, </w:t>
      </w:r>
      <w:r w:rsidR="00DD3306">
        <w:t>ASL Companies)</w:t>
      </w:r>
      <w:r w:rsidR="006F586F">
        <w:t xml:space="preserve"> through Global</w:t>
      </w:r>
      <w:r w:rsidR="00716060">
        <w:t>’s VRS</w:t>
      </w:r>
      <w:r w:rsidR="00DC0C91">
        <w:t>.</w:t>
      </w:r>
      <w:r>
        <w:rPr>
          <w:rStyle w:val="FootnoteReference"/>
        </w:rPr>
        <w:footnoteReference w:id="39"/>
      </w:r>
      <w:r w:rsidR="004E5959">
        <w:t xml:space="preserve"> </w:t>
      </w:r>
      <w:r w:rsidR="00DC0C91">
        <w:t xml:space="preserve"> </w:t>
      </w:r>
      <w:r w:rsidR="00A13598">
        <w:t>While</w:t>
      </w:r>
      <w:r w:rsidR="00E9264A">
        <w:t xml:space="preserve"> the </w:t>
      </w:r>
      <w:r w:rsidR="00A13598">
        <w:t>A</w:t>
      </w:r>
      <w:r w:rsidR="00DD3306">
        <w:t xml:space="preserve">SL Companies </w:t>
      </w:r>
      <w:r w:rsidR="00834CB6">
        <w:t xml:space="preserve">are </w:t>
      </w:r>
      <w:r w:rsidR="00E9264A">
        <w:t>structure</w:t>
      </w:r>
      <w:r w:rsidR="002B40D0">
        <w:t>d</w:t>
      </w:r>
      <w:r w:rsidR="00834CB6">
        <w:t xml:space="preserve"> as separate entities</w:t>
      </w:r>
      <w:r w:rsidRPr="0018697C" w:rsidR="00E9264A">
        <w:t>,</w:t>
      </w:r>
      <w:r w:rsidRPr="00FF7C71" w:rsidR="002B40D0">
        <w:t xml:space="preserve"> t</w:t>
      </w:r>
      <w:r w:rsidR="002B40D0">
        <w:t>he</w:t>
      </w:r>
      <w:r w:rsidR="001B0135">
        <w:t xml:space="preserve"> record reflec</w:t>
      </w:r>
      <w:r w:rsidR="00E70A61">
        <w:t>ts t</w:t>
      </w:r>
      <w:r w:rsidR="001B0135">
        <w:t>h</w:t>
      </w:r>
      <w:r w:rsidR="00E70A61">
        <w:t>at in key respects, th</w:t>
      </w:r>
      <w:r w:rsidR="001B0135">
        <w:t xml:space="preserve">e companies </w:t>
      </w:r>
      <w:r w:rsidR="00A36A06">
        <w:t>operated as a single entity</w:t>
      </w:r>
      <w:r w:rsidR="00E70A61">
        <w:t>--</w:t>
      </w:r>
      <w:r w:rsidR="00A36A06">
        <w:t>sharing</w:t>
      </w:r>
      <w:r w:rsidR="001B0135">
        <w:t xml:space="preserve"> </w:t>
      </w:r>
      <w:r w:rsidR="00A36A06">
        <w:t>mana</w:t>
      </w:r>
      <w:r w:rsidR="00E9264A">
        <w:t>gement</w:t>
      </w:r>
      <w:r w:rsidR="001B0135">
        <w:t xml:space="preserve"> team</w:t>
      </w:r>
      <w:r w:rsidR="00A36A06">
        <w:t>s</w:t>
      </w:r>
      <w:r w:rsidR="00FF7C71">
        <w:t xml:space="preserve">, </w:t>
      </w:r>
      <w:r w:rsidR="001B0135">
        <w:t>employees</w:t>
      </w:r>
      <w:r w:rsidR="00FF7C71">
        <w:t>, and expenses</w:t>
      </w:r>
      <w:r w:rsidR="00491D2E">
        <w:t>—</w:t>
      </w:r>
      <w:r w:rsidR="00E70A61">
        <w:t>with</w:t>
      </w:r>
      <w:r w:rsidRPr="00FF7C71" w:rsidR="00FF7C71">
        <w:t>out</w:t>
      </w:r>
      <w:r w:rsidR="00491D2E">
        <w:t xml:space="preserve"> clearly </w:t>
      </w:r>
      <w:r w:rsidR="00E70A61">
        <w:t xml:space="preserve">distinguishing or tracking all costs attributable to </w:t>
      </w:r>
      <w:r w:rsidR="00FF7C71">
        <w:t>the provision of V</w:t>
      </w:r>
      <w:r w:rsidRPr="00FF7C71" w:rsidR="00A36A06">
        <w:t>RS</w:t>
      </w:r>
      <w:r w:rsidRPr="00FF7C71" w:rsidR="00E9264A">
        <w:t>.</w:t>
      </w:r>
      <w:r>
        <w:rPr>
          <w:rStyle w:val="FootnoteReference"/>
        </w:rPr>
        <w:footnoteReference w:id="40"/>
      </w:r>
      <w:r w:rsidRPr="00FF7C71" w:rsidR="00E9264A">
        <w:t xml:space="preserve">  </w:t>
      </w:r>
      <w:r w:rsidRPr="00FF7C71" w:rsidR="007C4EBF">
        <w:t xml:space="preserve">Thus, </w:t>
      </w:r>
      <w:r w:rsidR="00AD67D4">
        <w:t xml:space="preserve">minutes associated with </w:t>
      </w:r>
      <w:r w:rsidRPr="00FF7C71" w:rsidR="007C4EBF">
        <w:t>c</w:t>
      </w:r>
      <w:r w:rsidRPr="00FF7C71" w:rsidR="00E9264A">
        <w:t>alls made</w:t>
      </w:r>
      <w:r w:rsidRPr="00FF7C71" w:rsidR="00834CB6">
        <w:t xml:space="preserve"> to the ASL Companies and calls made</w:t>
      </w:r>
      <w:r w:rsidRPr="00FF7C71" w:rsidR="00E9264A">
        <w:t xml:space="preserve"> by</w:t>
      </w:r>
      <w:r w:rsidR="00487114">
        <w:t xml:space="preserve"> personnel of the </w:t>
      </w:r>
      <w:r w:rsidR="001C17D3">
        <w:t xml:space="preserve">ASL Companies </w:t>
      </w:r>
      <w:r w:rsidR="009F5C33">
        <w:t xml:space="preserve">when using Global Numbers </w:t>
      </w:r>
      <w:r w:rsidR="00E9264A">
        <w:t xml:space="preserve">are non-reimbursable from the TRS Fund. </w:t>
      </w:r>
      <w:bookmarkStart w:id="12" w:name="_Ref517878163"/>
      <w:bookmarkStart w:id="13" w:name="_Hlk517786659"/>
      <w:bookmarkEnd w:id="11"/>
      <w:r w:rsidR="00A64452">
        <w:t xml:space="preserve"> </w:t>
      </w:r>
      <w:r w:rsidR="001E4663">
        <w:t>T</w:t>
      </w:r>
      <w:r w:rsidRPr="00A20E53" w:rsidR="00EF70A8">
        <w:t xml:space="preserve">he </w:t>
      </w:r>
      <w:r w:rsidR="00176E84">
        <w:t xml:space="preserve">TRS </w:t>
      </w:r>
      <w:r w:rsidRPr="00A20E53" w:rsidR="00EF70A8">
        <w:t xml:space="preserve">Fund Administrator has withheld </w:t>
      </w:r>
      <w:r w:rsidRPr="00B91A82" w:rsidR="009C50D1">
        <w:t>reimbursement</w:t>
      </w:r>
      <w:r w:rsidRPr="00B91A82" w:rsidR="00EF70A8">
        <w:t xml:space="preserve">s </w:t>
      </w:r>
      <w:r w:rsidR="00A64452">
        <w:t>of all Gl</w:t>
      </w:r>
      <w:r w:rsidR="00AD67D4">
        <w:t>obal minutes</w:t>
      </w:r>
      <w:r w:rsidR="00A62AC6">
        <w:t xml:space="preserve"> </w:t>
      </w:r>
      <w:r w:rsidRPr="00B91A82" w:rsidR="00EF70A8">
        <w:t xml:space="preserve">associated with </w:t>
      </w:r>
      <w:r w:rsidR="00DD3306">
        <w:t xml:space="preserve">Unverified Users and </w:t>
      </w:r>
      <w:r w:rsidR="00DD530F">
        <w:t>calls associated with the ASL Companies that were made using Global</w:t>
      </w:r>
      <w:r w:rsidR="00EF70A8">
        <w:t xml:space="preserve"> </w:t>
      </w:r>
      <w:r w:rsidR="00F43BE0">
        <w:t>Numbers</w:t>
      </w:r>
      <w:r w:rsidR="001E4663">
        <w:t xml:space="preserve"> fr</w:t>
      </w:r>
      <w:r w:rsidR="00FD16F4">
        <w:t>om</w:t>
      </w:r>
      <w:r w:rsidR="001E4663">
        <w:t xml:space="preserve"> August 2017 </w:t>
      </w:r>
      <w:r w:rsidR="001E4663">
        <w:t>through June 2018</w:t>
      </w:r>
      <w:r w:rsidR="000C0F44">
        <w:t>; the TRS Fund Administrator provided G</w:t>
      </w:r>
      <w:r w:rsidR="00973203">
        <w:t xml:space="preserve">lobal </w:t>
      </w:r>
      <w:r w:rsidR="000C0F44">
        <w:t xml:space="preserve">with written notice </w:t>
      </w:r>
      <w:r w:rsidR="00973203">
        <w:t>of the basis for such withholding</w:t>
      </w:r>
      <w:r w:rsidR="00E14FA8">
        <w:t>s</w:t>
      </w:r>
      <w:r w:rsidR="00E9144C">
        <w:t>.</w:t>
      </w:r>
      <w:r w:rsidR="00EF70A8">
        <w:t xml:space="preserve">  </w:t>
      </w:r>
      <w:r w:rsidR="00435F39">
        <w:t>Global has objected to these withholdings</w:t>
      </w:r>
      <w:r w:rsidR="0027260D">
        <w:t xml:space="preserve"> and disputed that it operated as a single entity</w:t>
      </w:r>
      <w:r w:rsidR="00176E84">
        <w:t>.</w:t>
      </w:r>
      <w:r>
        <w:rPr>
          <w:rStyle w:val="FootnoteReference"/>
        </w:rPr>
        <w:footnoteReference w:id="41"/>
      </w:r>
      <w:bookmarkEnd w:id="12"/>
      <w:r w:rsidR="00435F39">
        <w:t xml:space="preserve"> </w:t>
      </w:r>
      <w:r w:rsidR="007565EC">
        <w:t xml:space="preserve"> </w:t>
      </w:r>
    </w:p>
    <w:bookmarkEnd w:id="13"/>
    <w:p w:rsidR="000C7BB6" w:rsidP="00236F92">
      <w:pPr>
        <w:pStyle w:val="ParaNum"/>
        <w:keepLines/>
        <w:widowControl/>
      </w:pPr>
      <w:r>
        <w:t>Moreover, quarterly testing conducted since J</w:t>
      </w:r>
      <w:r>
        <w:t xml:space="preserve">une of 2017, has consistently found problems with Global’s interoperability, even </w:t>
      </w:r>
      <w:r w:rsidR="00D07F1D">
        <w:t xml:space="preserve">within </w:t>
      </w:r>
      <w:r>
        <w:t xml:space="preserve">Global’s own </w:t>
      </w:r>
      <w:r w:rsidR="00D07F1D">
        <w:t>network</w:t>
      </w:r>
      <w:r>
        <w:t xml:space="preserve">.  </w:t>
      </w:r>
      <w:r w:rsidR="008F1A97">
        <w:t xml:space="preserve">Despite having received negative test results </w:t>
      </w:r>
      <w:r w:rsidR="008847DB">
        <w:t>since the first testing</w:t>
      </w:r>
      <w:r>
        <w:t>,</w:t>
      </w:r>
      <w:r w:rsidR="008F1A97">
        <w:t xml:space="preserve"> Global continues to fail to meet</w:t>
      </w:r>
      <w:r>
        <w:t xml:space="preserve"> </w:t>
      </w:r>
      <w:r w:rsidR="008F1A97">
        <w:t>the interoperability requirements</w:t>
      </w:r>
      <w:r>
        <w:t xml:space="preserve">.  </w:t>
      </w:r>
      <w:r w:rsidR="008847DB">
        <w:t>Glo</w:t>
      </w:r>
      <w:r>
        <w:t xml:space="preserve">bal </w:t>
      </w:r>
      <w:r w:rsidR="008847DB">
        <w:t xml:space="preserve">argues </w:t>
      </w:r>
      <w:r>
        <w:t>th</w:t>
      </w:r>
      <w:r w:rsidR="008847DB">
        <w:t>e Company</w:t>
      </w:r>
      <w:r>
        <w:t xml:space="preserve"> </w:t>
      </w:r>
      <w:r w:rsidR="008847DB">
        <w:t xml:space="preserve">has </w:t>
      </w:r>
      <w:r>
        <w:t>obtained better results in conducting its own testing</w:t>
      </w:r>
      <w:r w:rsidR="008847DB">
        <w:t>.  However, it appear</w:t>
      </w:r>
      <w:r w:rsidR="00F55BA5">
        <w:t>s</w:t>
      </w:r>
      <w:r w:rsidR="008847DB">
        <w:t xml:space="preserve"> that the Company’s testing was conducted</w:t>
      </w:r>
      <w:r w:rsidR="00F55BA5">
        <w:t xml:space="preserve"> by placing calls</w:t>
      </w:r>
      <w:r w:rsidR="00091489">
        <w:t xml:space="preserve"> </w:t>
      </w:r>
      <w:r w:rsidR="00F55BA5">
        <w:t xml:space="preserve">in </w:t>
      </w:r>
      <w:r w:rsidR="00091489">
        <w:t xml:space="preserve">a </w:t>
      </w:r>
      <w:r>
        <w:t>test</w:t>
      </w:r>
      <w:r w:rsidR="00091489">
        <w:t xml:space="preserve"> environment</w:t>
      </w:r>
      <w:r w:rsidR="00150BA8">
        <w:t xml:space="preserve"> only</w:t>
      </w:r>
      <w:r>
        <w:t xml:space="preserve">.  </w:t>
      </w:r>
    </w:p>
    <w:p w:rsidR="000B0CD8" w:rsidP="000B0CD8">
      <w:pPr>
        <w:pStyle w:val="ParaNum"/>
      </w:pPr>
      <w:r w:rsidRPr="00726C87">
        <w:t xml:space="preserve">The </w:t>
      </w:r>
      <w:r w:rsidR="00A15BE4">
        <w:t>Bureau</w:t>
      </w:r>
      <w:r w:rsidRPr="00726C87">
        <w:t xml:space="preserve"> and </w:t>
      </w:r>
      <w:r>
        <w:t>Global</w:t>
      </w:r>
      <w:r w:rsidRPr="00726C87">
        <w:t xml:space="preserve"> negotiated the following terms and conditions of settlement and hereby enter into this Consent Decree as provided below.</w:t>
      </w:r>
      <w:r>
        <w:t xml:space="preserve">  </w:t>
      </w:r>
    </w:p>
    <w:p w:rsidR="00344584" w:rsidRPr="00726C87" w:rsidP="00344584">
      <w:pPr>
        <w:pStyle w:val="Heading1"/>
      </w:pPr>
      <w:bookmarkStart w:id="14" w:name="FN[FN18]"/>
      <w:bookmarkEnd w:id="14"/>
      <w:r w:rsidRPr="00726C87">
        <w:t>TERMS OF AGREEMENT</w:t>
      </w:r>
      <w:r w:rsidR="008B0E14">
        <w:t xml:space="preserve"> </w:t>
      </w:r>
    </w:p>
    <w:p w:rsidR="00344584" w:rsidRPr="00726C87" w:rsidP="00344584">
      <w:pPr>
        <w:pStyle w:val="ParaNum"/>
      </w:pPr>
      <w:r w:rsidRPr="00726C87">
        <w:rPr>
          <w:b/>
          <w:bCs/>
          <w:u w:val="single"/>
        </w:rPr>
        <w:t>Adopting Order</w:t>
      </w:r>
      <w:r w:rsidRPr="00726C87">
        <w:t xml:space="preserve">.  The provisions of this Consent Decree shall be incorporated by the </w:t>
      </w:r>
      <w:r w:rsidR="00A15BE4">
        <w:t>Bureau</w:t>
      </w:r>
      <w:r w:rsidRPr="00726C87">
        <w:t xml:space="preserve"> in an Adopting Order.</w:t>
      </w:r>
    </w:p>
    <w:p w:rsidR="00344584" w:rsidRPr="00726C87" w:rsidP="00344584">
      <w:pPr>
        <w:pStyle w:val="ParaNum"/>
      </w:pPr>
      <w:r w:rsidRPr="00726C87">
        <w:rPr>
          <w:b/>
          <w:bCs/>
          <w:u w:val="single"/>
        </w:rPr>
        <w:t>Jurisdiction</w:t>
      </w:r>
      <w:r w:rsidRPr="00726C87">
        <w:t xml:space="preserve">.  The </w:t>
      </w:r>
      <w:r w:rsidR="00125D18">
        <w:t>Company</w:t>
      </w:r>
      <w:r w:rsidRPr="00726C87">
        <w:t xml:space="preserve"> agree</w:t>
      </w:r>
      <w:r w:rsidR="00125D18">
        <w:t>s</w:t>
      </w:r>
      <w:r w:rsidRPr="00726C87">
        <w:t xml:space="preserve"> that the </w:t>
      </w:r>
      <w:r w:rsidR="009F6E42">
        <w:t>Bureau</w:t>
      </w:r>
      <w:r w:rsidRPr="00726C87">
        <w:t xml:space="preserve"> has jurisdiction over the matters contained in this Consent Decree</w:t>
      </w:r>
      <w:r w:rsidR="005E43A8">
        <w:t xml:space="preserve"> </w:t>
      </w:r>
      <w:r w:rsidRPr="00726C87">
        <w:t>and has the authority to enter into and adopt this Consent Decree.</w:t>
      </w:r>
    </w:p>
    <w:p w:rsidR="00344584" w:rsidRPr="00726C87" w:rsidP="00344584">
      <w:pPr>
        <w:pStyle w:val="ParaNum"/>
      </w:pPr>
      <w:r w:rsidRPr="00726C87">
        <w:rPr>
          <w:b/>
          <w:bCs/>
          <w:u w:val="single"/>
        </w:rPr>
        <w:t>Effective Date</w:t>
      </w:r>
      <w:r w:rsidRPr="00726C87">
        <w:t xml:space="preserve">.  The Parties agree that this Consent Decree shall become effective on the Effective Date.  As of the Effective Date, the Parties agree that this Consent Decree shall have the same force and effect as any other order of the Commission.  </w:t>
      </w:r>
    </w:p>
    <w:p w:rsidR="00344584" w:rsidRPr="00726C87" w:rsidP="00C252C0">
      <w:pPr>
        <w:pStyle w:val="ParaNum"/>
      </w:pPr>
      <w:bookmarkStart w:id="15" w:name="_Ref517088575"/>
      <w:bookmarkStart w:id="16" w:name="_Ref517262036"/>
      <w:r w:rsidRPr="00726C87">
        <w:rPr>
          <w:b/>
          <w:bCs/>
          <w:u w:val="single"/>
        </w:rPr>
        <w:t xml:space="preserve">Termination of </w:t>
      </w:r>
      <w:r w:rsidR="007329CD">
        <w:rPr>
          <w:b/>
          <w:bCs/>
          <w:u w:val="single"/>
        </w:rPr>
        <w:t>Global Matters</w:t>
      </w:r>
      <w:r w:rsidRPr="00726C87">
        <w:t>.  In express reliance on the representations</w:t>
      </w:r>
      <w:r w:rsidR="000C0F44">
        <w:t xml:space="preserve"> and warranties</w:t>
      </w:r>
      <w:r w:rsidRPr="00726C87">
        <w:t xml:space="preserve"> in this Consent Decree and to avoid further expenditure of public resources, the Commission agrees to terminate the Investigation.  In consideration for the termination of the Investigation, the </w:t>
      </w:r>
      <w:r>
        <w:t>Company</w:t>
      </w:r>
      <w:r w:rsidRPr="00726C87">
        <w:t xml:space="preserve"> agree</w:t>
      </w:r>
      <w:r>
        <w:t>s</w:t>
      </w:r>
      <w:r w:rsidRPr="00726C87">
        <w:t xml:space="preserve"> to the terms, conditions, and procedures contained herein.  The Parties have </w:t>
      </w:r>
      <w:r w:rsidRPr="00F61EC4">
        <w:t xml:space="preserve">agreed that this Consent Decree fully and finally resolves all </w:t>
      </w:r>
      <w:r w:rsidRPr="00F61EC4" w:rsidR="006B021D">
        <w:t xml:space="preserve">Global matters presently before the Commission.  </w:t>
      </w:r>
      <w:bookmarkEnd w:id="15"/>
      <w:bookmarkEnd w:id="16"/>
    </w:p>
    <w:p w:rsidR="00D83AAC" w:rsidP="00953162">
      <w:pPr>
        <w:pStyle w:val="ParaNum"/>
      </w:pPr>
      <w:bookmarkStart w:id="17" w:name="_Ref517683051"/>
      <w:r w:rsidRPr="00F61F7E">
        <w:t>Except for TRS reimbursements recovered through this agreement, nothing in the settlement prevents the TRS Fund Administrator or the Commission from recovering any monies the Company, the Commission, or TRS Fund Administrator determines were overpayments made to Global from the TRS Fund either before the Effective Date or during the term of this Consent Decree.</w:t>
      </w:r>
      <w:r>
        <w:rPr>
          <w:rStyle w:val="FootnoteReference"/>
        </w:rPr>
        <w:footnoteReference w:id="42"/>
      </w:r>
      <w:r w:rsidR="00C05F43">
        <w:t xml:space="preserve"> </w:t>
      </w:r>
    </w:p>
    <w:p w:rsidR="006C4B42" w:rsidRPr="005A79A4" w:rsidP="00EE16B8">
      <w:pPr>
        <w:pStyle w:val="ParaNum"/>
        <w:keepNext/>
        <w:widowControl/>
      </w:pPr>
      <w:r w:rsidRPr="00930545">
        <w:rPr>
          <w:b/>
          <w:u w:val="single"/>
        </w:rPr>
        <w:t>Representations and Warranties</w:t>
      </w:r>
      <w:r w:rsidRPr="00E750C9">
        <w:t xml:space="preserve">. </w:t>
      </w:r>
      <w:r w:rsidR="00346AF3">
        <w:t xml:space="preserve"> </w:t>
      </w:r>
      <w:r w:rsidR="00D45938">
        <w:t>Global r</w:t>
      </w:r>
      <w:r w:rsidRPr="00361258" w:rsidR="00361258">
        <w:t xml:space="preserve">epresents and warrants that it has agreed to relinquish any and all rights and claims to </w:t>
      </w:r>
      <w:r w:rsidRPr="00A8245D" w:rsidR="00A4139C">
        <w:t>$</w:t>
      </w:r>
      <w:r w:rsidRPr="00A8245D" w:rsidR="005E4FB3">
        <w:t>177,649.88</w:t>
      </w:r>
      <w:r w:rsidR="00445C53">
        <w:t xml:space="preserve"> </w:t>
      </w:r>
      <w:r w:rsidRPr="00361258" w:rsidR="00361258">
        <w:t xml:space="preserve">for </w:t>
      </w:r>
      <w:r w:rsidR="00097636">
        <w:t xml:space="preserve">VRS </w:t>
      </w:r>
      <w:r w:rsidR="00BE309C">
        <w:t>min</w:t>
      </w:r>
      <w:r w:rsidRPr="00361258" w:rsidR="00361258">
        <w:t xml:space="preserve">utes submitted to </w:t>
      </w:r>
      <w:r w:rsidR="0051542E">
        <w:t>t</w:t>
      </w:r>
      <w:r w:rsidR="006129B6">
        <w:t xml:space="preserve">he TRS Fund </w:t>
      </w:r>
      <w:r w:rsidR="002E418D">
        <w:t>A</w:t>
      </w:r>
      <w:r w:rsidR="006129B6">
        <w:t>d</w:t>
      </w:r>
      <w:r w:rsidR="00BB323B">
        <w:t>mi</w:t>
      </w:r>
      <w:r w:rsidRPr="00361258" w:rsidR="00361258">
        <w:t xml:space="preserve">nistrator </w:t>
      </w:r>
      <w:r w:rsidR="00BB323B">
        <w:t xml:space="preserve">as </w:t>
      </w:r>
      <w:r w:rsidRPr="00361258" w:rsidR="00361258">
        <w:t>described in paragraph</w:t>
      </w:r>
      <w:r w:rsidR="008F30E0">
        <w:t xml:space="preserve">s </w:t>
      </w:r>
      <w:r w:rsidRPr="003056A4" w:rsidR="00703B85">
        <w:t>9-11</w:t>
      </w:r>
      <w:r w:rsidRPr="00361258" w:rsidR="00361258">
        <w:t xml:space="preserve"> of this Consent Decre</w:t>
      </w:r>
      <w:r w:rsidR="005577C5">
        <w:t>e</w:t>
      </w:r>
      <w:r w:rsidRPr="00361258" w:rsidR="00361258">
        <w:t>.</w:t>
      </w:r>
      <w:r w:rsidR="00D149E0">
        <w:t xml:space="preserve"> </w:t>
      </w:r>
      <w:r w:rsidRPr="00E750C9">
        <w:t xml:space="preserve"> </w:t>
      </w:r>
      <w:bookmarkStart w:id="18" w:name="_Hlk526238644"/>
      <w:r w:rsidR="00BA4DC0">
        <w:t>The ASL Companies</w:t>
      </w:r>
      <w:r w:rsidR="00E5100B">
        <w:t xml:space="preserve"> </w:t>
      </w:r>
      <w:r w:rsidR="00D149E0">
        <w:t>also</w:t>
      </w:r>
      <w:r w:rsidRPr="00EC663F" w:rsidR="00EC663F">
        <w:t xml:space="preserve"> represent and warrant that </w:t>
      </w:r>
      <w:r w:rsidR="00BA4DC0">
        <w:t>they</w:t>
      </w:r>
      <w:r>
        <w:t xml:space="preserve"> will treat </w:t>
      </w:r>
      <w:r w:rsidRPr="00E750C9">
        <w:t>t</w:t>
      </w:r>
      <w:r>
        <w:t>he Settlement Amount set forth herein as a penalty within the meaning of Section 162(f) of the Internal Revenue Code.</w:t>
      </w:r>
      <w:bookmarkEnd w:id="18"/>
      <w:r>
        <w:rPr>
          <w:rStyle w:val="FootnoteReference"/>
        </w:rPr>
        <w:footnoteReference w:id="43"/>
      </w:r>
      <w:r>
        <w:t xml:space="preserve">  The </w:t>
      </w:r>
      <w:r w:rsidR="00BA4DC0">
        <w:t xml:space="preserve">ASL </w:t>
      </w:r>
      <w:r>
        <w:t>Compan</w:t>
      </w:r>
      <w:r w:rsidR="00BA4DC0">
        <w:t>ies</w:t>
      </w:r>
      <w:r>
        <w:t xml:space="preserve"> agree that </w:t>
      </w:r>
      <w:r w:rsidR="00BA4DC0">
        <w:t>they</w:t>
      </w:r>
      <w:r>
        <w:t xml:space="preserve"> will not treat any payment of the Settlement Amount described below in paragraph </w:t>
      </w:r>
      <w:r w:rsidR="004C767E">
        <w:t>28</w:t>
      </w:r>
      <w:r>
        <w:t xml:space="preserve"> as tax deductible for purposes of federal, state, or local law or include the expense as a business cost in annual cost submission</w:t>
      </w:r>
      <w:r w:rsidR="0037253F">
        <w:t>s</w:t>
      </w:r>
      <w:r>
        <w:t xml:space="preserve"> (i.e., the Annual Relay Service Data Request filing) to the TRS Fund Administrator.</w:t>
      </w:r>
      <w:r w:rsidR="00683541">
        <w:t xml:space="preserve"> </w:t>
      </w:r>
      <w:r w:rsidR="002C7B94">
        <w:t xml:space="preserve"> </w:t>
      </w:r>
      <w:r w:rsidR="00683541">
        <w:t xml:space="preserve"> </w:t>
      </w:r>
      <w:bookmarkStart w:id="19" w:name="_Hlk525555171"/>
      <w:bookmarkEnd w:id="17"/>
      <w:r w:rsidRPr="00C05F43" w:rsidR="00370153">
        <w:t xml:space="preserve"> </w:t>
      </w:r>
      <w:bookmarkEnd w:id="19"/>
    </w:p>
    <w:p w:rsidR="00AF307D" w:rsidRPr="00614803" w:rsidP="00363B32">
      <w:pPr>
        <w:pStyle w:val="ParaNum"/>
      </w:pPr>
      <w:bookmarkStart w:id="20" w:name="_Ref357521957"/>
      <w:r w:rsidRPr="00614803">
        <w:rPr>
          <w:b/>
          <w:u w:val="single"/>
        </w:rPr>
        <w:t>Waiver of Additional Notice for Subsequent Violations</w:t>
      </w:r>
      <w:r w:rsidRPr="00614803">
        <w:rPr>
          <w:b/>
        </w:rPr>
        <w:t xml:space="preserve">.  </w:t>
      </w:r>
      <w:r w:rsidRPr="00614803">
        <w:t xml:space="preserve">Global represents and warrants that the Company has received notice of violations set forth in paragraphs </w:t>
      </w:r>
      <w:r w:rsidRPr="003056A4" w:rsidR="00F6619C">
        <w:t>9-11</w:t>
      </w:r>
      <w:r w:rsidRPr="00614803">
        <w:t xml:space="preserve">.  Global </w:t>
      </w:r>
      <w:r w:rsidRPr="00614803">
        <w:t xml:space="preserve">acknowledges that pursuant to this </w:t>
      </w:r>
      <w:r w:rsidR="009F0090">
        <w:t>Consent Decree</w:t>
      </w:r>
      <w:r w:rsidRPr="00614803">
        <w:t xml:space="preserve">, it is obligated to establish compliance measures and take steps necessary to prevent such violations in the future.  </w:t>
      </w:r>
      <w:bookmarkStart w:id="21" w:name="_Hlk532836770"/>
      <w:r w:rsidRPr="00614803">
        <w:t>Therefore, in recognition of that obligation to take corrective action and prevent future violations, if the Commission notifies Global that the Company has</w:t>
      </w:r>
      <w:r w:rsidR="009E72C3">
        <w:t xml:space="preserve">, </w:t>
      </w:r>
      <w:r w:rsidR="00147CA7">
        <w:t>within twenty-four (24) months after the Eff</w:t>
      </w:r>
      <w:r w:rsidR="009E72C3">
        <w:t xml:space="preserve">ective Date, </w:t>
      </w:r>
      <w:r w:rsidRPr="00614803">
        <w:t xml:space="preserve">apparently committed additional violations of the type described in paragraphs </w:t>
      </w:r>
      <w:r w:rsidRPr="003056A4" w:rsidR="0055075E">
        <w:t>9-11</w:t>
      </w:r>
      <w:r w:rsidR="00406781">
        <w:t xml:space="preserve">, </w:t>
      </w:r>
      <w:r w:rsidRPr="00614803" w:rsidR="00542AE9">
        <w:t xml:space="preserve">which </w:t>
      </w:r>
      <w:r w:rsidR="005B3288">
        <w:t>a</w:t>
      </w:r>
      <w:r w:rsidRPr="00614803" w:rsidR="00542AE9">
        <w:t xml:space="preserve">re the subject of this </w:t>
      </w:r>
      <w:r w:rsidR="007A2EAF">
        <w:t>Consent Decree</w:t>
      </w:r>
      <w:r w:rsidRPr="00614803">
        <w:t xml:space="preserve">, </w:t>
      </w:r>
      <w:bookmarkEnd w:id="21"/>
      <w:r w:rsidRPr="00614803">
        <w:t>the Company waives any due process claims</w:t>
      </w:r>
      <w:r w:rsidR="008372F0">
        <w:t xml:space="preserve"> </w:t>
      </w:r>
      <w:r w:rsidR="001D1410">
        <w:t>and/</w:t>
      </w:r>
      <w:r w:rsidR="008372F0">
        <w:t>o</w:t>
      </w:r>
      <w:r w:rsidR="001D1410">
        <w:t>r claims of</w:t>
      </w:r>
      <w:r w:rsidR="008372F0">
        <w:t xml:space="preserve"> insufficient </w:t>
      </w:r>
      <w:r w:rsidR="001D1410">
        <w:t xml:space="preserve">process under </w:t>
      </w:r>
      <w:r w:rsidR="008372F0">
        <w:t xml:space="preserve">the Communications </w:t>
      </w:r>
      <w:r w:rsidR="00C47C15">
        <w:t>Laws</w:t>
      </w:r>
      <w:r w:rsidRPr="00614803">
        <w:t xml:space="preserve">, except that the Company shall have the opportunity to provide, within fifteen (15) calendar days after receiving the Commission’s notification, documentation to refute the finding of apparent violation(s).  </w:t>
      </w:r>
      <w:bookmarkStart w:id="22" w:name="_Hlk531610541"/>
      <w:r w:rsidRPr="00614803">
        <w:t xml:space="preserve">The Commission will review the submission and notify Global if the documentation submitted to refute the Commission’s finding(s) demonstrates compliance with the Communications Laws.  </w:t>
      </w:r>
      <w:bookmarkEnd w:id="22"/>
      <w:r w:rsidRPr="00614803">
        <w:t>Global acknowledges that if the Commission concludes that the Company has violated the Communications Laws, the Commission may suspend or revoke Global's certification without any further notice thirty (30) calendar days after the Commission so notifies the Company, and Global waives any right to challenge that process</w:t>
      </w:r>
      <w:r w:rsidR="005A4543">
        <w:t>, including the right to judicial review</w:t>
      </w:r>
      <w:r w:rsidR="002C6DFF">
        <w:t xml:space="preserve"> of the Commission’s determination</w:t>
      </w:r>
      <w:r w:rsidR="005A4543">
        <w:t>.</w:t>
      </w:r>
      <w:r w:rsidRPr="00614803" w:rsidR="00096C65">
        <w:t xml:space="preserve"> </w:t>
      </w:r>
    </w:p>
    <w:p w:rsidR="00344584" w:rsidP="00344584">
      <w:pPr>
        <w:pStyle w:val="ParaNum"/>
      </w:pPr>
      <w:r w:rsidRPr="00726C87">
        <w:rPr>
          <w:b/>
          <w:bCs/>
          <w:u w:val="single"/>
        </w:rPr>
        <w:t>Compliance Officer</w:t>
      </w:r>
      <w:r w:rsidRPr="00726C87">
        <w:t xml:space="preserve">.  </w:t>
      </w:r>
      <w:r w:rsidRPr="00916B24" w:rsidR="00916B24">
        <w:t xml:space="preserve">Within thirty (30) calendar days after the Effective Date, </w:t>
      </w:r>
      <w:r w:rsidR="008D0DC3">
        <w:t>Global</w:t>
      </w:r>
      <w:r w:rsidRPr="00916B24" w:rsidR="00916B24">
        <w:t xml:space="preserve"> shall designate a senior manager with the requisite managerial and organizational authority to serve as a Compliance Officer and to discharge the duties set forth below.  The person designated as the Compliance Officer shall be responsible for developing, implementing, and administering the Compliance Plan and ensuring that the Company complies with the terms and conditions of the Compliance Plan and the terms and conditions of this Consent Decree.  In addition to the general knowledge of the Communications Laws necessary to discharge his or her duties under this Consent Decree, the Compliance Officer shall have specific knowledge of the TRS </w:t>
      </w:r>
      <w:r w:rsidRPr="00C82313" w:rsidR="00916B24">
        <w:t>Rules</w:t>
      </w:r>
      <w:r w:rsidRPr="0018697C" w:rsidR="00C82313">
        <w:t>.</w:t>
      </w:r>
    </w:p>
    <w:p w:rsidR="00CF75BB" w:rsidRPr="00B0761B" w:rsidP="00CF75BB">
      <w:pPr>
        <w:pStyle w:val="ParaNum"/>
        <w:tabs>
          <w:tab w:val="num" w:pos="1260"/>
        </w:tabs>
      </w:pPr>
      <w:bookmarkStart w:id="23" w:name="_Ref517681316"/>
      <w:bookmarkStart w:id="24" w:name="_Ref471975700"/>
      <w:r w:rsidRPr="00CF75BB">
        <w:rPr>
          <w:b/>
          <w:bCs/>
          <w:u w:val="single"/>
        </w:rPr>
        <w:t>Compliance Plan</w:t>
      </w:r>
      <w:r w:rsidRPr="00726C87">
        <w:t xml:space="preserve">.  </w:t>
      </w:r>
      <w:r w:rsidR="00886E7C">
        <w:t xml:space="preserve">For purposes of settling the matters set forth herein, Global agrees that it shall, within the dates set out below, </w:t>
      </w:r>
      <w:r w:rsidR="00305928">
        <w:t xml:space="preserve">establish </w:t>
      </w:r>
      <w:r w:rsidR="00886E7C">
        <w:t xml:space="preserve">and implement a Compliance Plan designed to ensure future compliance with the Communications Laws and the terms and conditions of this Consent Decree. </w:t>
      </w:r>
      <w:r w:rsidR="00042BE0">
        <w:t xml:space="preserve"> The Compliance Plan shall, at minimum, i</w:t>
      </w:r>
      <w:r w:rsidR="009B1948">
        <w:t>mplement the following</w:t>
      </w:r>
      <w:r w:rsidR="00921B3D">
        <w:t xml:space="preserve"> procedures within the specified timeframes</w:t>
      </w:r>
      <w:r w:rsidR="00C0274F">
        <w:t>:</w:t>
      </w:r>
      <w:bookmarkEnd w:id="23"/>
    </w:p>
    <w:p w:rsidR="00340DD1" w:rsidRPr="00F838B1" w:rsidP="00BE5623">
      <w:pPr>
        <w:numPr>
          <w:ilvl w:val="0"/>
          <w:numId w:val="12"/>
        </w:numPr>
        <w:spacing w:after="120"/>
        <w:ind w:left="1890" w:hanging="450"/>
        <w:rPr>
          <w:b/>
          <w:u w:val="single"/>
        </w:rPr>
      </w:pPr>
      <w:r w:rsidRPr="000F60A4">
        <w:rPr>
          <w:b/>
        </w:rPr>
        <w:t>Application for Certification</w:t>
      </w:r>
      <w:r w:rsidRPr="000F60A4">
        <w:t>.</w:t>
      </w:r>
      <w:r>
        <w:t xml:space="preserve">  Within </w:t>
      </w:r>
      <w:r w:rsidR="00A01279">
        <w:t xml:space="preserve">sixty </w:t>
      </w:r>
      <w:r w:rsidRPr="00E52910">
        <w:t>(</w:t>
      </w:r>
      <w:r w:rsidRPr="00E52910" w:rsidR="00A01279">
        <w:t>6</w:t>
      </w:r>
      <w:r w:rsidRPr="00E52910">
        <w:t>0)</w:t>
      </w:r>
      <w:r>
        <w:t xml:space="preserve"> </w:t>
      </w:r>
      <w:r w:rsidRPr="00725B8E">
        <w:t xml:space="preserve">calendar days after the Effective Date, </w:t>
      </w:r>
      <w:r>
        <w:t>Global</w:t>
      </w:r>
      <w:r w:rsidRPr="00725B8E">
        <w:t xml:space="preserve"> shall</w:t>
      </w:r>
      <w:r>
        <w:t xml:space="preserve"> submit an updated application for certification to provide VRS to the </w:t>
      </w:r>
      <w:r w:rsidR="00423A10">
        <w:t>FCC</w:t>
      </w:r>
      <w:r>
        <w:t xml:space="preserve">.  </w:t>
      </w:r>
    </w:p>
    <w:p w:rsidR="00CF75BB" w:rsidRPr="00725B8E" w:rsidP="00565908">
      <w:pPr>
        <w:numPr>
          <w:ilvl w:val="0"/>
          <w:numId w:val="12"/>
        </w:numPr>
        <w:spacing w:after="120"/>
        <w:ind w:left="1886" w:hanging="446"/>
      </w:pPr>
      <w:r w:rsidRPr="00565908">
        <w:rPr>
          <w:b/>
        </w:rPr>
        <w:t>Operating Procedures</w:t>
      </w:r>
      <w:r w:rsidRPr="00B0761B">
        <w:t xml:space="preserve">.  </w:t>
      </w:r>
      <w:r w:rsidRPr="00725B8E">
        <w:t xml:space="preserve">Within </w:t>
      </w:r>
      <w:r w:rsidR="00784A1D">
        <w:t xml:space="preserve">sixty </w:t>
      </w:r>
      <w:r w:rsidRPr="00A8245D">
        <w:t>(</w:t>
      </w:r>
      <w:r w:rsidRPr="00A8245D" w:rsidR="003645C3">
        <w:t>60</w:t>
      </w:r>
      <w:r w:rsidRPr="00A8245D">
        <w:t>)</w:t>
      </w:r>
      <w:r w:rsidRPr="00725B8E">
        <w:t xml:space="preserve"> calendar days after the Effective Date, </w:t>
      </w:r>
      <w:r w:rsidR="008C386B">
        <w:t>Global</w:t>
      </w:r>
      <w:r w:rsidRPr="00725B8E">
        <w:t xml:space="preserve"> shall </w:t>
      </w:r>
      <w:r w:rsidR="00695B41">
        <w:t xml:space="preserve">begin to </w:t>
      </w:r>
      <w:r w:rsidRPr="00725B8E">
        <w:t>establish</w:t>
      </w:r>
      <w:r w:rsidR="00906806">
        <w:t xml:space="preserve"> and </w:t>
      </w:r>
      <w:r w:rsidR="00695B41">
        <w:t>use</w:t>
      </w:r>
      <w:r w:rsidRPr="00725B8E">
        <w:t xml:space="preserve"> Operating Procedures that all </w:t>
      </w:r>
      <w:r>
        <w:t>Covered Personnel</w:t>
      </w:r>
      <w:r w:rsidRPr="00725B8E">
        <w:t xml:space="preserve"> shall follow to help ensure </w:t>
      </w:r>
      <w:r w:rsidR="009610D4">
        <w:t>Global</w:t>
      </w:r>
      <w:r w:rsidRPr="00725B8E">
        <w:t xml:space="preserve">’s compliance with the TRS Rules and terms of this Consent Decree.  </w:t>
      </w:r>
      <w:r w:rsidR="009610D4">
        <w:t>Global</w:t>
      </w:r>
      <w:r w:rsidRPr="00725B8E">
        <w:t>’s Operating Procedures shall, at a minimum, include procedures and policies speci</w:t>
      </w:r>
      <w:r w:rsidR="004835E9">
        <w:t>fically designed to ensure that</w:t>
      </w:r>
      <w:r w:rsidRPr="00725B8E">
        <w:t xml:space="preserve"> operations and provision of TRS, including any aspect of TRS provided by independent contractors, subcontractors, or agents, comply with all TRS Rules applicable to </w:t>
      </w:r>
      <w:r w:rsidR="008C386B">
        <w:t>Global</w:t>
      </w:r>
      <w:r w:rsidRPr="00725B8E">
        <w:t xml:space="preserve"> </w:t>
      </w:r>
      <w:r>
        <w:t xml:space="preserve">as a </w:t>
      </w:r>
      <w:r w:rsidRPr="00725B8E">
        <w:t xml:space="preserve">certified </w:t>
      </w:r>
      <w:r>
        <w:t>TRS</w:t>
      </w:r>
      <w:r w:rsidRPr="00725B8E">
        <w:t xml:space="preserve"> </w:t>
      </w:r>
      <w:r w:rsidR="002609F0">
        <w:t>P</w:t>
      </w:r>
      <w:r w:rsidRPr="00725B8E" w:rsidR="002609F0">
        <w:t>rovide</w:t>
      </w:r>
      <w:r w:rsidR="002609F0">
        <w:t>r</w:t>
      </w:r>
      <w:r w:rsidRPr="00725B8E">
        <w:t xml:space="preserve">.  </w:t>
      </w:r>
      <w:r w:rsidR="002F5F79">
        <w:t xml:space="preserve">Global shall establish and use Operating </w:t>
      </w:r>
      <w:r w:rsidR="00466F8F">
        <w:t>P</w:t>
      </w:r>
      <w:r w:rsidR="002F5F79">
        <w:t>rocedures designed to:</w:t>
      </w:r>
    </w:p>
    <w:p w:rsidR="00671CC6" w:rsidP="00370153">
      <w:pPr>
        <w:numPr>
          <w:ilvl w:val="2"/>
          <w:numId w:val="12"/>
        </w:numPr>
        <w:spacing w:after="120"/>
        <w:ind w:left="2203" w:hanging="187"/>
      </w:pPr>
      <w:r w:rsidRPr="00370153">
        <w:t>document</w:t>
      </w:r>
      <w:r w:rsidRPr="00370153" w:rsidR="00E4234F">
        <w:t xml:space="preserve"> and maintain a record of all Covered Personnel assigned to perform any function associated with the provision of VRS</w:t>
      </w:r>
      <w:r w:rsidRPr="00370153" w:rsidR="00A53B64">
        <w:t xml:space="preserve"> and the </w:t>
      </w:r>
      <w:r w:rsidRPr="00370153" w:rsidR="00D90DDD">
        <w:t xml:space="preserve">title held by </w:t>
      </w:r>
      <w:r w:rsidRPr="00370153" w:rsidR="005C158C">
        <w:t>such</w:t>
      </w:r>
      <w:r w:rsidRPr="00370153" w:rsidR="00D90DDD">
        <w:t xml:space="preserve"> </w:t>
      </w:r>
      <w:r w:rsidRPr="00370153" w:rsidR="00A53B64">
        <w:t>Covered Personnel</w:t>
      </w:r>
      <w:r w:rsidRPr="00370153" w:rsidR="00845980">
        <w:t>;</w:t>
      </w:r>
    </w:p>
    <w:p w:rsidR="00DE5605" w:rsidRPr="00557DBA" w:rsidP="009827B6">
      <w:pPr>
        <w:pageBreakBefore/>
        <w:widowControl/>
        <w:numPr>
          <w:ilvl w:val="2"/>
          <w:numId w:val="12"/>
        </w:numPr>
        <w:spacing w:after="120"/>
        <w:ind w:left="2203" w:hanging="187"/>
      </w:pPr>
      <w:r>
        <w:t>document and maintain a record of all employees and contractors</w:t>
      </w:r>
      <w:r w:rsidRPr="00E86046" w:rsidR="00E86046">
        <w:t xml:space="preserve"> </w:t>
      </w:r>
      <w:r w:rsidR="00E86046">
        <w:t xml:space="preserve">of </w:t>
      </w:r>
      <w:r w:rsidR="00DD1B9B">
        <w:t>Global</w:t>
      </w:r>
      <w:r w:rsidRPr="00E86046" w:rsidR="00E86046">
        <w:t xml:space="preserve"> </w:t>
      </w:r>
      <w:r w:rsidR="00193D66">
        <w:t xml:space="preserve">and the Roth </w:t>
      </w:r>
      <w:r w:rsidR="009A6D63">
        <w:t xml:space="preserve">Affiliates </w:t>
      </w:r>
      <w:r w:rsidR="00E86046">
        <w:t>who</w:t>
      </w:r>
      <w:r>
        <w:t xml:space="preserve"> perform any function associated with the provision of </w:t>
      </w:r>
      <w:r w:rsidR="00C30367">
        <w:t>Global</w:t>
      </w:r>
      <w:r w:rsidR="00E31AB0">
        <w:t>’s</w:t>
      </w:r>
      <w:r w:rsidR="00C30367">
        <w:t xml:space="preserve"> </w:t>
      </w:r>
      <w:r>
        <w:t>VRS and the title held by such employees and contractors;</w:t>
      </w:r>
    </w:p>
    <w:p w:rsidR="00AD02B1" w:rsidRPr="00E4234F" w:rsidP="00BE5623">
      <w:pPr>
        <w:pStyle w:val="ListParagraph"/>
        <w:numPr>
          <w:ilvl w:val="2"/>
          <w:numId w:val="12"/>
        </w:numPr>
        <w:spacing w:after="120"/>
        <w:ind w:left="2203" w:hanging="187"/>
      </w:pPr>
      <w:r>
        <w:rPr>
          <w:bCs/>
        </w:rPr>
        <w:t xml:space="preserve">ensure the use of </w:t>
      </w:r>
      <w:r w:rsidR="00572578">
        <w:rPr>
          <w:bCs/>
        </w:rPr>
        <w:t>a</w:t>
      </w:r>
      <w:r>
        <w:t xml:space="preserve"> </w:t>
      </w:r>
      <w:r>
        <w:rPr>
          <w:bCs/>
        </w:rPr>
        <w:t xml:space="preserve">time reporting </w:t>
      </w:r>
      <w:r>
        <w:rPr>
          <w:bCs/>
        </w:rPr>
        <w:t xml:space="preserve">system </w:t>
      </w:r>
      <w:r w:rsidR="00717103">
        <w:rPr>
          <w:bCs/>
        </w:rPr>
        <w:t xml:space="preserve">which records </w:t>
      </w:r>
      <w:r w:rsidR="7ABA73A4">
        <w:t>the date(s)</w:t>
      </w:r>
      <w:r w:rsidR="0032113A">
        <w:rPr>
          <w:bCs/>
        </w:rPr>
        <w:t xml:space="preserve"> and </w:t>
      </w:r>
      <w:r w:rsidR="7ABA73A4">
        <w:t>time(s) worked</w:t>
      </w:r>
      <w:r w:rsidR="0032113A">
        <w:rPr>
          <w:bCs/>
        </w:rPr>
        <w:t xml:space="preserve"> </w:t>
      </w:r>
      <w:r w:rsidR="000A4CC9">
        <w:rPr>
          <w:bCs/>
        </w:rPr>
        <w:t>for</w:t>
      </w:r>
      <w:r w:rsidR="00021886">
        <w:rPr>
          <w:bCs/>
        </w:rPr>
        <w:t xml:space="preserve"> all personnel (</w:t>
      </w:r>
      <w:r w:rsidR="00D63392">
        <w:rPr>
          <w:bCs/>
        </w:rPr>
        <w:t xml:space="preserve">Global </w:t>
      </w:r>
      <w:r w:rsidR="009A3172">
        <w:rPr>
          <w:bCs/>
        </w:rPr>
        <w:t>C</w:t>
      </w:r>
      <w:r w:rsidR="000A4CC9">
        <w:rPr>
          <w:bCs/>
        </w:rPr>
        <w:t xml:space="preserve">overed </w:t>
      </w:r>
      <w:r w:rsidR="00C93932">
        <w:rPr>
          <w:bCs/>
        </w:rPr>
        <w:t xml:space="preserve">Personnel </w:t>
      </w:r>
      <w:r w:rsidR="00D63392">
        <w:rPr>
          <w:bCs/>
        </w:rPr>
        <w:t xml:space="preserve">and contractors, </w:t>
      </w:r>
      <w:r w:rsidR="00C93932">
        <w:rPr>
          <w:bCs/>
        </w:rPr>
        <w:t>and</w:t>
      </w:r>
      <w:r w:rsidR="00C30367">
        <w:rPr>
          <w:bCs/>
        </w:rPr>
        <w:t xml:space="preserve"> employees and contractors of </w:t>
      </w:r>
      <w:r w:rsidR="00D63392">
        <w:rPr>
          <w:bCs/>
        </w:rPr>
        <w:t xml:space="preserve">the Roth </w:t>
      </w:r>
      <w:r w:rsidR="009A6D63">
        <w:rPr>
          <w:bCs/>
        </w:rPr>
        <w:t>Affiliates</w:t>
      </w:r>
      <w:r w:rsidR="00484DA4">
        <w:rPr>
          <w:bCs/>
        </w:rPr>
        <w:t>)</w:t>
      </w:r>
      <w:r w:rsidR="00E31AB0">
        <w:rPr>
          <w:bCs/>
        </w:rPr>
        <w:t xml:space="preserve"> </w:t>
      </w:r>
      <w:r w:rsidR="7ABA73A4">
        <w:t>while performing</w:t>
      </w:r>
      <w:r w:rsidR="00C30367">
        <w:rPr>
          <w:bCs/>
        </w:rPr>
        <w:t xml:space="preserve"> any function associated with the provision of Global</w:t>
      </w:r>
      <w:r w:rsidR="00E31AB0">
        <w:rPr>
          <w:bCs/>
        </w:rPr>
        <w:t>’s</w:t>
      </w:r>
      <w:r w:rsidR="00C30367">
        <w:rPr>
          <w:bCs/>
        </w:rPr>
        <w:t xml:space="preserve"> VRS</w:t>
      </w:r>
      <w:r w:rsidR="0032113A">
        <w:rPr>
          <w:bCs/>
        </w:rPr>
        <w:t xml:space="preserve"> </w:t>
      </w:r>
      <w:r w:rsidR="000A4CC9">
        <w:rPr>
          <w:bCs/>
        </w:rPr>
        <w:t>to</w:t>
      </w:r>
      <w:r w:rsidR="007A5228">
        <w:rPr>
          <w:bCs/>
        </w:rPr>
        <w:t xml:space="preserve"> accurately record and </w:t>
      </w:r>
      <w:r>
        <w:rPr>
          <w:bCs/>
        </w:rPr>
        <w:t>re</w:t>
      </w:r>
      <w:r w:rsidR="00607D76">
        <w:rPr>
          <w:bCs/>
        </w:rPr>
        <w:t>port</w:t>
      </w:r>
      <w:r>
        <w:rPr>
          <w:bCs/>
        </w:rPr>
        <w:t xml:space="preserve"> </w:t>
      </w:r>
      <w:r w:rsidRPr="00FE2177">
        <w:t xml:space="preserve">time </w:t>
      </w:r>
      <w:r>
        <w:t xml:space="preserve">worked </w:t>
      </w:r>
      <w:r>
        <w:rPr>
          <w:bCs/>
        </w:rPr>
        <w:t xml:space="preserve">in </w:t>
      </w:r>
      <w:r>
        <w:t>the provision of VRS</w:t>
      </w:r>
      <w:r w:rsidR="00845980">
        <w:t>;</w:t>
      </w:r>
    </w:p>
    <w:p w:rsidR="00E4234F" w:rsidP="00BE5623">
      <w:pPr>
        <w:numPr>
          <w:ilvl w:val="2"/>
          <w:numId w:val="12"/>
        </w:numPr>
        <w:spacing w:after="120"/>
        <w:ind w:left="2203" w:hanging="187"/>
      </w:pPr>
      <w:r>
        <w:t xml:space="preserve">maintain </w:t>
      </w:r>
      <w:r w:rsidR="003B5C35">
        <w:t xml:space="preserve">an </w:t>
      </w:r>
      <w:r>
        <w:t>up</w:t>
      </w:r>
      <w:r w:rsidR="003B5C35">
        <w:t>-to-date</w:t>
      </w:r>
      <w:r>
        <w:t xml:space="preserve"> record of </w:t>
      </w:r>
      <w:r w:rsidR="006F3D47">
        <w:t xml:space="preserve">all </w:t>
      </w:r>
      <w:r w:rsidR="001829CE">
        <w:t>Global Numbers</w:t>
      </w:r>
      <w:r w:rsidR="00485BD6">
        <w:t>, including</w:t>
      </w:r>
      <w:r w:rsidR="00CB068A">
        <w:t xml:space="preserve"> the date</w:t>
      </w:r>
      <w:r w:rsidR="007A5228">
        <w:t>(s)</w:t>
      </w:r>
      <w:r w:rsidR="00CB068A">
        <w:t xml:space="preserve"> </w:t>
      </w:r>
      <w:r w:rsidR="00D341F0">
        <w:t>each</w:t>
      </w:r>
      <w:r w:rsidR="00CB068A">
        <w:t xml:space="preserve"> </w:t>
      </w:r>
      <w:r w:rsidR="00E23CFE">
        <w:t>TDN</w:t>
      </w:r>
      <w:r w:rsidR="00CB068A">
        <w:t xml:space="preserve"> started being used as a </w:t>
      </w:r>
      <w:r w:rsidR="00396DEC">
        <w:t>G</w:t>
      </w:r>
      <w:r w:rsidR="00CB068A">
        <w:t xml:space="preserve">lobal </w:t>
      </w:r>
      <w:r w:rsidR="00396DEC">
        <w:t>N</w:t>
      </w:r>
      <w:r w:rsidR="00CB068A">
        <w:t xml:space="preserve">umber and ceased to be used as a </w:t>
      </w:r>
      <w:r w:rsidR="00396DEC">
        <w:t>G</w:t>
      </w:r>
      <w:r w:rsidR="00CB068A">
        <w:t xml:space="preserve">lobal </w:t>
      </w:r>
      <w:r w:rsidR="00396DEC">
        <w:t>N</w:t>
      </w:r>
      <w:r w:rsidR="00CB068A">
        <w:t>umber</w:t>
      </w:r>
      <w:r w:rsidR="008D7028">
        <w:t>;</w:t>
      </w:r>
      <w:r w:rsidR="00CB068A">
        <w:t xml:space="preserve">  </w:t>
      </w:r>
      <w:r w:rsidR="00423A10">
        <w:t xml:space="preserve"> </w:t>
      </w:r>
    </w:p>
    <w:p w:rsidR="005D4FEB" w:rsidP="006B4CA0">
      <w:pPr>
        <w:numPr>
          <w:ilvl w:val="2"/>
          <w:numId w:val="12"/>
        </w:numPr>
        <w:spacing w:after="120"/>
      </w:pPr>
      <w:r w:rsidRPr="00632FAC">
        <w:t>ensure</w:t>
      </w:r>
      <w:r>
        <w:t xml:space="preserve"> that customer records are accurately recorded, </w:t>
      </w:r>
      <w:r w:rsidRPr="00632FAC">
        <w:rPr>
          <w:bCs/>
        </w:rPr>
        <w:t>maintained, and reproducible upon request of the Commission or TRS Fund Administrator</w:t>
      </w:r>
      <w:r w:rsidR="00845980">
        <w:rPr>
          <w:bCs/>
        </w:rPr>
        <w:t>;</w:t>
      </w:r>
      <w:r w:rsidRPr="00632FAC">
        <w:rPr>
          <w:bCs/>
        </w:rPr>
        <w:t xml:space="preserve">  </w:t>
      </w:r>
    </w:p>
    <w:p w:rsidR="00EF7343" w:rsidRPr="00EF7343" w:rsidP="00EF7343">
      <w:pPr>
        <w:numPr>
          <w:ilvl w:val="2"/>
          <w:numId w:val="12"/>
        </w:numPr>
        <w:spacing w:after="120"/>
      </w:pPr>
      <w:r>
        <w:t>ensure that Global’s current Registered Users are</w:t>
      </w:r>
      <w:r w:rsidR="00374D45">
        <w:t xml:space="preserve"> segmented</w:t>
      </w:r>
      <w:r>
        <w:t xml:space="preserve"> in the Company’s internal database</w:t>
      </w:r>
      <w:r w:rsidR="00D56B3E">
        <w:t>;</w:t>
      </w:r>
    </w:p>
    <w:p w:rsidR="000154ED" w:rsidP="006B4CA0">
      <w:pPr>
        <w:numPr>
          <w:ilvl w:val="2"/>
          <w:numId w:val="12"/>
        </w:numPr>
        <w:spacing w:after="120"/>
      </w:pPr>
      <w:r w:rsidRPr="00D06976">
        <w:t>ensure</w:t>
      </w:r>
      <w:r>
        <w:t xml:space="preserve"> Global maintains records of Registered Users seeking pre-authorization to use TRS while traveling outside the United States including</w:t>
      </w:r>
      <w:r w:rsidR="00E31AB0">
        <w:t>,</w:t>
      </w:r>
      <w:r>
        <w:t xml:space="preserve"> </w:t>
      </w:r>
      <w:r w:rsidR="00E31AB0">
        <w:t xml:space="preserve">but not limited to, </w:t>
      </w:r>
      <w:r>
        <w:t xml:space="preserve">any </w:t>
      </w:r>
      <w:r w:rsidR="00E31AB0">
        <w:t xml:space="preserve">documentation associated with the approval or denial of pre-authorization requests and </w:t>
      </w:r>
      <w:r>
        <w:t xml:space="preserve">extensions modifying </w:t>
      </w:r>
      <w:r w:rsidR="00E31AB0">
        <w:t xml:space="preserve">any approved </w:t>
      </w:r>
      <w:r>
        <w:t>pre-authorization</w:t>
      </w:r>
      <w:r w:rsidR="00E31AB0">
        <w:t xml:space="preserve"> request;</w:t>
      </w:r>
    </w:p>
    <w:p w:rsidR="00DF1EE8" w:rsidP="00BE5623">
      <w:pPr>
        <w:numPr>
          <w:ilvl w:val="2"/>
          <w:numId w:val="12"/>
        </w:numPr>
        <w:spacing w:after="120"/>
      </w:pPr>
      <w:r>
        <w:t xml:space="preserve">ensure that monthly </w:t>
      </w:r>
      <w:r w:rsidR="00363B32">
        <w:t>C</w:t>
      </w:r>
      <w:r>
        <w:t xml:space="preserve">all </w:t>
      </w:r>
      <w:r w:rsidR="00363B32">
        <w:t>Detail R</w:t>
      </w:r>
      <w:r>
        <w:t>ecords submitted to the TRS Fund Administrator</w:t>
      </w:r>
      <w:r w:rsidR="000F5EA2">
        <w:t xml:space="preserve"> have been reviewed to </w:t>
      </w:r>
      <w:r w:rsidR="00161856">
        <w:t>confirm</w:t>
      </w:r>
      <w:r w:rsidR="000F5EA2">
        <w:t xml:space="preserve"> that </w:t>
      </w:r>
      <w:r w:rsidR="00B91729">
        <w:t xml:space="preserve">minutes </w:t>
      </w:r>
      <w:r w:rsidR="000F5EA2">
        <w:t xml:space="preserve">are accurately </w:t>
      </w:r>
      <w:r w:rsidR="00A319B3">
        <w:t>identified</w:t>
      </w:r>
      <w:r w:rsidR="00505672">
        <w:t xml:space="preserve"> as compensable or non-compensable</w:t>
      </w:r>
      <w:r w:rsidR="00D56B3E">
        <w:t>;</w:t>
      </w:r>
    </w:p>
    <w:p w:rsidR="00974A74" w:rsidRPr="00974A74" w:rsidP="00BE5623">
      <w:pPr>
        <w:numPr>
          <w:ilvl w:val="2"/>
          <w:numId w:val="12"/>
        </w:numPr>
        <w:spacing w:after="120"/>
      </w:pPr>
      <w:r w:rsidRPr="00974A74">
        <w:t xml:space="preserve">ensure that Global’s </w:t>
      </w:r>
      <w:r w:rsidR="00363B32">
        <w:t xml:space="preserve">TRS Numbering Directory </w:t>
      </w:r>
      <w:r w:rsidRPr="00974A74">
        <w:t xml:space="preserve">entries are accurate and that </w:t>
      </w:r>
      <w:r w:rsidR="00BA2670">
        <w:t xml:space="preserve">TDNs that are assigned to </w:t>
      </w:r>
      <w:r w:rsidRPr="00974A74">
        <w:t xml:space="preserve">users who are no longer Global’s Registered Users are not listed in the </w:t>
      </w:r>
      <w:r w:rsidR="00363B32">
        <w:t>TRS Numbering Directory</w:t>
      </w:r>
      <w:r w:rsidRPr="00974A74">
        <w:t xml:space="preserve"> as being associated with the Company</w:t>
      </w:r>
      <w:r w:rsidR="00076358">
        <w:t>;</w:t>
      </w:r>
      <w:r w:rsidRPr="00974A74">
        <w:t xml:space="preserve"> </w:t>
      </w:r>
    </w:p>
    <w:bookmarkEnd w:id="24"/>
    <w:p w:rsidR="00F55AA6" w:rsidP="00515FBF">
      <w:pPr>
        <w:numPr>
          <w:ilvl w:val="2"/>
          <w:numId w:val="12"/>
        </w:numPr>
        <w:spacing w:after="120"/>
      </w:pPr>
      <w:r>
        <w:t xml:space="preserve">ensure that the Company has a </w:t>
      </w:r>
      <w:r w:rsidR="00E92DC5">
        <w:t xml:space="preserve">record </w:t>
      </w:r>
      <w:r>
        <w:t xml:space="preserve">of </w:t>
      </w:r>
      <w:r w:rsidR="00A355D0">
        <w:t xml:space="preserve">all time attributed to </w:t>
      </w:r>
      <w:r>
        <w:t>f</w:t>
      </w:r>
      <w:r w:rsidR="00A355D0">
        <w:t>unction</w:t>
      </w:r>
      <w:r>
        <w:t>s</w:t>
      </w:r>
      <w:r w:rsidR="00A355D0">
        <w:t xml:space="preserve"> </w:t>
      </w:r>
      <w:r w:rsidR="00DA6337">
        <w:t>associated with the provisio</w:t>
      </w:r>
      <w:r w:rsidR="00A83786">
        <w:t>n of</w:t>
      </w:r>
      <w:r w:rsidR="00DA6337">
        <w:t xml:space="preserve"> VRS</w:t>
      </w:r>
      <w:r w:rsidRPr="00124419" w:rsidR="00124419">
        <w:t xml:space="preserve"> </w:t>
      </w:r>
      <w:r w:rsidR="00367747">
        <w:t>and shall use such data in preparing its annual</w:t>
      </w:r>
      <w:r w:rsidRPr="0020132C" w:rsidR="005B53A4">
        <w:t> Relay Services Data Request </w:t>
      </w:r>
      <w:r w:rsidR="005B53A4">
        <w:t>(</w:t>
      </w:r>
      <w:r w:rsidR="00367747">
        <w:t>RSDR</w:t>
      </w:r>
      <w:r w:rsidR="005B53A4">
        <w:t>)</w:t>
      </w:r>
      <w:r w:rsidR="0020132C">
        <w:t xml:space="preserve"> </w:t>
      </w:r>
      <w:r w:rsidR="00367747">
        <w:t>filing</w:t>
      </w:r>
      <w:r w:rsidR="00076358">
        <w:t>;</w:t>
      </w:r>
      <w:r w:rsidR="00367747">
        <w:t xml:space="preserve">  </w:t>
      </w:r>
    </w:p>
    <w:p w:rsidR="00E039BE" w:rsidP="00515FBF">
      <w:pPr>
        <w:numPr>
          <w:ilvl w:val="2"/>
          <w:numId w:val="12"/>
        </w:numPr>
        <w:spacing w:after="120"/>
      </w:pPr>
      <w:r>
        <w:t xml:space="preserve">ensure that the Company has a means of documenting </w:t>
      </w:r>
      <w:r w:rsidR="00241C45">
        <w:t xml:space="preserve">all </w:t>
      </w:r>
      <w:r w:rsidR="00363B32">
        <w:t>allowed</w:t>
      </w:r>
      <w:r w:rsidR="004118CF">
        <w:t xml:space="preserve"> </w:t>
      </w:r>
      <w:r w:rsidR="004812D2">
        <w:t>costs spec</w:t>
      </w:r>
      <w:r w:rsidR="00D74FFF">
        <w:t>ifi</w:t>
      </w:r>
      <w:r w:rsidR="004812D2">
        <w:t xml:space="preserve">cally attributed to the </w:t>
      </w:r>
      <w:r w:rsidR="000D5A9D">
        <w:t xml:space="preserve">provision of </w:t>
      </w:r>
      <w:r w:rsidR="00217474">
        <w:t>T</w:t>
      </w:r>
      <w:r w:rsidR="000D5A9D">
        <w:t>RS</w:t>
      </w:r>
      <w:r w:rsidR="00076358">
        <w:t>;</w:t>
      </w:r>
    </w:p>
    <w:p w:rsidR="00B04326" w:rsidP="009D0068">
      <w:pPr>
        <w:numPr>
          <w:ilvl w:val="2"/>
          <w:numId w:val="12"/>
        </w:numPr>
        <w:spacing w:after="120"/>
      </w:pPr>
      <w:r>
        <w:t>maintain documentation relevant to Global’s compliance with the TRS Rules, e.g., cost data submitted in annual filings to the TRS Fund Administrator., and Self-Certifications used to attest to Registered Users’ certification of eligibility</w:t>
      </w:r>
      <w:r w:rsidR="00076358">
        <w:t>;</w:t>
      </w:r>
      <w:r>
        <w:t xml:space="preserve"> </w:t>
      </w:r>
      <w:r w:rsidR="007E645E">
        <w:t>and</w:t>
      </w:r>
    </w:p>
    <w:p w:rsidR="00304BCC" w:rsidP="00F91227">
      <w:pPr>
        <w:numPr>
          <w:ilvl w:val="2"/>
          <w:numId w:val="12"/>
        </w:numPr>
        <w:spacing w:after="120"/>
      </w:pPr>
      <w:r>
        <w:t xml:space="preserve">enable the Compliance Officer to maintain a record of any issues the Company experiences in complying with the TRS Rules.  </w:t>
      </w:r>
      <w:r w:rsidRPr="007F7502">
        <w:t>The</w:t>
      </w:r>
      <w:r w:rsidRPr="00E76C38">
        <w:t>se Operating</w:t>
      </w:r>
      <w:r w:rsidRPr="007F7502">
        <w:t xml:space="preserve"> Procedures will also enable the Company to retain records necessary for preparing the reports described in paragraph</w:t>
      </w:r>
      <w:r w:rsidR="004271BD">
        <w:t xml:space="preserve"> </w:t>
      </w:r>
      <w:r w:rsidR="004271BD">
        <w:fldChar w:fldCharType="begin"/>
      </w:r>
      <w:r w:rsidR="004271BD">
        <w:instrText xml:space="preserve"> REF _Ref518308552 \r \h </w:instrText>
      </w:r>
      <w:r w:rsidR="004271BD">
        <w:fldChar w:fldCharType="separate"/>
      </w:r>
      <w:r w:rsidR="00C56A5E">
        <w:t>24</w:t>
      </w:r>
      <w:r w:rsidR="004271BD">
        <w:fldChar w:fldCharType="end"/>
      </w:r>
      <w:r w:rsidR="00BA7945">
        <w:t xml:space="preserve"> </w:t>
      </w:r>
      <w:r w:rsidRPr="007F7502">
        <w:t>of this Consent Decree</w:t>
      </w:r>
      <w:r w:rsidR="00466F8F">
        <w:t>.</w:t>
      </w:r>
      <w:r w:rsidR="00C2521D">
        <w:t xml:space="preserve"> </w:t>
      </w:r>
      <w:r w:rsidR="005A6DC7">
        <w:t xml:space="preserve">  </w:t>
      </w:r>
    </w:p>
    <w:p w:rsidR="006C463A" w:rsidRPr="00BE5623" w:rsidP="00FF569F">
      <w:pPr>
        <w:numPr>
          <w:ilvl w:val="0"/>
          <w:numId w:val="12"/>
        </w:numPr>
        <w:spacing w:after="120"/>
        <w:ind w:left="1890" w:hanging="450"/>
      </w:pPr>
      <w:r>
        <w:rPr>
          <w:b/>
        </w:rPr>
        <w:t>Data Integrity</w:t>
      </w:r>
      <w:r w:rsidRPr="000F60A4">
        <w:t>.</w:t>
      </w:r>
      <w:r>
        <w:rPr>
          <w:b/>
        </w:rPr>
        <w:t xml:space="preserve"> </w:t>
      </w:r>
    </w:p>
    <w:p w:rsidR="00FF569F" w:rsidP="00BE5623">
      <w:pPr>
        <w:numPr>
          <w:ilvl w:val="2"/>
          <w:numId w:val="12"/>
        </w:numPr>
        <w:spacing w:after="120"/>
      </w:pPr>
      <w:r w:rsidRPr="00BE5623">
        <w:t xml:space="preserve">Global shall </w:t>
      </w:r>
      <w:r w:rsidR="00ED7C09">
        <w:t>conduct annual assessments</w:t>
      </w:r>
      <w:r w:rsidR="00812408">
        <w:t xml:space="preserve"> </w:t>
      </w:r>
      <w:r w:rsidR="009D35E1">
        <w:t>of internal processes that support submissions to the TRS Fund</w:t>
      </w:r>
      <w:r w:rsidR="00D104ED">
        <w:t xml:space="preserve"> Administrator and modify such processes as needed to improve the accuracy of annual and monthly submissions to the Administrator</w:t>
      </w:r>
      <w:r w:rsidR="00EA1F0C">
        <w:t>.</w:t>
      </w:r>
      <w:r w:rsidR="00812408">
        <w:t xml:space="preserve"> </w:t>
      </w:r>
    </w:p>
    <w:p w:rsidR="005922AD" w:rsidP="001637BE">
      <w:pPr>
        <w:pageBreakBefore/>
        <w:widowControl/>
        <w:numPr>
          <w:ilvl w:val="2"/>
          <w:numId w:val="12"/>
        </w:numPr>
        <w:spacing w:after="120"/>
        <w:ind w:left="2203" w:hanging="187"/>
      </w:pPr>
      <w:r w:rsidRPr="00D05E23">
        <w:t>Global</w:t>
      </w:r>
      <w:r>
        <w:rPr>
          <w:bCs/>
        </w:rPr>
        <w:t xml:space="preserve"> </w:t>
      </w:r>
      <w:r w:rsidR="00F53DDF">
        <w:rPr>
          <w:bCs/>
        </w:rPr>
        <w:t>shall</w:t>
      </w:r>
      <w:r>
        <w:rPr>
          <w:bCs/>
        </w:rPr>
        <w:t xml:space="preserve"> ensure</w:t>
      </w:r>
      <w:r w:rsidR="00DA365B">
        <w:rPr>
          <w:bCs/>
        </w:rPr>
        <w:t xml:space="preserve"> that </w:t>
      </w:r>
      <w:r w:rsidR="00342B0F">
        <w:rPr>
          <w:bCs/>
        </w:rPr>
        <w:t xml:space="preserve">before a CA places a call for a user, </w:t>
      </w:r>
      <w:r w:rsidR="00DA365B">
        <w:rPr>
          <w:bCs/>
        </w:rPr>
        <w:t xml:space="preserve">the Company has determined that the user is either a current Global Registered </w:t>
      </w:r>
      <w:r w:rsidR="00545910">
        <w:rPr>
          <w:bCs/>
        </w:rPr>
        <w:t>U</w:t>
      </w:r>
      <w:r w:rsidR="00DA365B">
        <w:rPr>
          <w:bCs/>
        </w:rPr>
        <w:t>ser or</w:t>
      </w:r>
      <w:r w:rsidR="00375EC5">
        <w:rPr>
          <w:bCs/>
        </w:rPr>
        <w:t xml:space="preserve"> is listed in </w:t>
      </w:r>
      <w:r w:rsidR="00EB0B8D">
        <w:rPr>
          <w:bCs/>
        </w:rPr>
        <w:t>the</w:t>
      </w:r>
      <w:r w:rsidR="006E0207">
        <w:rPr>
          <w:bCs/>
        </w:rPr>
        <w:t xml:space="preserve"> </w:t>
      </w:r>
      <w:r w:rsidR="00A37BA0">
        <w:rPr>
          <w:bCs/>
        </w:rPr>
        <w:t>TRS Numbering</w:t>
      </w:r>
      <w:r w:rsidR="006E0207">
        <w:rPr>
          <w:bCs/>
        </w:rPr>
        <w:t xml:space="preserve"> Directory </w:t>
      </w:r>
      <w:r w:rsidRPr="0047397E" w:rsidR="006E0207">
        <w:rPr>
          <w:bCs/>
        </w:rPr>
        <w:t xml:space="preserve">and </w:t>
      </w:r>
      <w:r w:rsidRPr="0047397E" w:rsidR="00375EC5">
        <w:rPr>
          <w:bCs/>
        </w:rPr>
        <w:t>TRS-URD</w:t>
      </w:r>
      <w:r w:rsidRPr="00BE5623" w:rsidR="00B62B6D">
        <w:t>.</w:t>
      </w:r>
    </w:p>
    <w:p w:rsidR="00880257" w:rsidP="005A79A4">
      <w:pPr>
        <w:numPr>
          <w:ilvl w:val="2"/>
          <w:numId w:val="12"/>
        </w:numPr>
        <w:spacing w:after="120"/>
      </w:pPr>
      <w:r>
        <w:t xml:space="preserve">Global shall maintain a list of all </w:t>
      </w:r>
      <w:r w:rsidR="00F61F7E">
        <w:t>Global Numbers</w:t>
      </w:r>
      <w:r w:rsidR="001D6938">
        <w:t xml:space="preserve">, including </w:t>
      </w:r>
      <w:r w:rsidR="00F61F7E">
        <w:t xml:space="preserve">those used for </w:t>
      </w:r>
      <w:r w:rsidR="001D6938">
        <w:t>test calls,</w:t>
      </w:r>
      <w:r>
        <w:t xml:space="preserve"> </w:t>
      </w:r>
      <w:r w:rsidR="007F49CF">
        <w:t>regardless of the carrier or Default Provider associated with the numbers,</w:t>
      </w:r>
      <w:r w:rsidR="003D0904">
        <w:t xml:space="preserve"> </w:t>
      </w:r>
      <w:r>
        <w:t xml:space="preserve">and submit this list to the </w:t>
      </w:r>
      <w:r w:rsidR="001D6938">
        <w:t xml:space="preserve">TRS </w:t>
      </w:r>
      <w:r>
        <w:t>Fund Administrator with each monthly Request for Reimbursement.</w:t>
      </w:r>
    </w:p>
    <w:p w:rsidR="00F61F7E" w:rsidP="00846D8B">
      <w:pPr>
        <w:numPr>
          <w:ilvl w:val="2"/>
          <w:numId w:val="12"/>
        </w:numPr>
        <w:spacing w:after="120"/>
      </w:pPr>
      <w:bookmarkStart w:id="25" w:name="_Ref526239476"/>
      <w:r>
        <w:t>Global shall</w:t>
      </w:r>
      <w:r w:rsidR="007B4DE9">
        <w:t xml:space="preserve"> collect</w:t>
      </w:r>
      <w:r w:rsidR="002A7CC5">
        <w:t xml:space="preserve"> </w:t>
      </w:r>
      <w:r>
        <w:t>a list of all telephone numbers and TDNs</w:t>
      </w:r>
      <w:r w:rsidR="002A7CC5">
        <w:t xml:space="preserve">, monthly, </w:t>
      </w:r>
      <w:r w:rsidR="00D94615">
        <w:t xml:space="preserve">that </w:t>
      </w:r>
      <w:r w:rsidR="009F1120">
        <w:t xml:space="preserve">the Roth </w:t>
      </w:r>
      <w:r w:rsidR="00C87B42">
        <w:t xml:space="preserve">Affiliates </w:t>
      </w:r>
      <w:r>
        <w:t>used for business purposes, regardless of the carrier</w:t>
      </w:r>
      <w:r w:rsidR="007B4DE9">
        <w:t xml:space="preserve"> or Default Provider of the numbers</w:t>
      </w:r>
      <w:r w:rsidR="00E8403E">
        <w:t>.  Global shall</w:t>
      </w:r>
      <w:r w:rsidR="007B4DE9">
        <w:t xml:space="preserve"> </w:t>
      </w:r>
      <w:r w:rsidR="00506464">
        <w:t>maintain the list</w:t>
      </w:r>
      <w:r w:rsidR="00355288">
        <w:t>s</w:t>
      </w:r>
      <w:r w:rsidR="00506464">
        <w:t xml:space="preserve"> for </w:t>
      </w:r>
      <w:r w:rsidR="00972AB2">
        <w:t xml:space="preserve">two (2) years and </w:t>
      </w:r>
      <w:r w:rsidR="007B4DE9">
        <w:t>provide the information to the Commission or TRS Fund Administrator upon request.</w:t>
      </w:r>
      <w:bookmarkEnd w:id="25"/>
      <w:r>
        <w:t xml:space="preserve"> </w:t>
      </w:r>
    </w:p>
    <w:p w:rsidR="00265741" w:rsidP="00846D8B">
      <w:pPr>
        <w:numPr>
          <w:ilvl w:val="2"/>
          <w:numId w:val="12"/>
        </w:numPr>
        <w:spacing w:after="120"/>
      </w:pPr>
      <w:r>
        <w:t xml:space="preserve">Global shall indicate on all CDRs those calls made </w:t>
      </w:r>
      <w:r w:rsidR="00607D76">
        <w:t xml:space="preserve">by or on </w:t>
      </w:r>
      <w:r>
        <w:t>behalf of a</w:t>
      </w:r>
      <w:r w:rsidR="00F56459">
        <w:t>ny</w:t>
      </w:r>
      <w:r>
        <w:t xml:space="preserve"> Roth Affiliate.  </w:t>
      </w:r>
    </w:p>
    <w:p w:rsidR="00443EDF" w:rsidRPr="00370153" w:rsidP="00370153">
      <w:pPr>
        <w:pStyle w:val="ListParagraph"/>
        <w:numPr>
          <w:ilvl w:val="2"/>
          <w:numId w:val="12"/>
        </w:numPr>
        <w:spacing w:after="120"/>
      </w:pPr>
      <w:r>
        <w:rPr>
          <w:rFonts w:eastAsia="Calibri"/>
        </w:rPr>
        <w:t xml:space="preserve">Within </w:t>
      </w:r>
      <w:r>
        <w:rPr>
          <w:bCs/>
        </w:rPr>
        <w:t xml:space="preserve">thirty (30) calendar days of the Effective Date, </w:t>
      </w:r>
      <w:r w:rsidRPr="00FE2177">
        <w:rPr>
          <w:bCs/>
        </w:rPr>
        <w:t xml:space="preserve">Global shall </w:t>
      </w:r>
      <w:r w:rsidRPr="00FE2177">
        <w:rPr>
          <w:bCs/>
        </w:rPr>
        <w:t>develop</w:t>
      </w:r>
      <w:r>
        <w:rPr>
          <w:bCs/>
        </w:rPr>
        <w:t xml:space="preserve"> and </w:t>
      </w:r>
      <w:r w:rsidRPr="00FE2177">
        <w:rPr>
          <w:bCs/>
        </w:rPr>
        <w:t>implement</w:t>
      </w:r>
      <w:r w:rsidRPr="00FE2177">
        <w:rPr>
          <w:bCs/>
        </w:rPr>
        <w:t xml:space="preserve"> </w:t>
      </w:r>
      <w:r>
        <w:rPr>
          <w:bCs/>
        </w:rPr>
        <w:t xml:space="preserve">new time reporting </w:t>
      </w:r>
      <w:r w:rsidRPr="00FE2177">
        <w:rPr>
          <w:bCs/>
        </w:rPr>
        <w:t>proce</w:t>
      </w:r>
      <w:r>
        <w:rPr>
          <w:bCs/>
        </w:rPr>
        <w:t>dure</w:t>
      </w:r>
      <w:r w:rsidRPr="00FE2177">
        <w:rPr>
          <w:bCs/>
        </w:rPr>
        <w:t xml:space="preserve">s to ensure that </w:t>
      </w:r>
      <w:r>
        <w:t>Covered Personnel report</w:t>
      </w:r>
      <w:r w:rsidRPr="00FE2177">
        <w:t xml:space="preserve"> time </w:t>
      </w:r>
      <w:r>
        <w:t xml:space="preserve">worked </w:t>
      </w:r>
      <w:r>
        <w:t>as a part of the provision of V</w:t>
      </w:r>
      <w:r>
        <w:t>RS</w:t>
      </w:r>
      <w:r>
        <w:t xml:space="preserve"> </w:t>
      </w:r>
      <w:r w:rsidRPr="00FE2177">
        <w:t>is reported in a</w:t>
      </w:r>
      <w:r>
        <w:t xml:space="preserve"> detailed, a</w:t>
      </w:r>
      <w:r w:rsidRPr="00FE2177">
        <w:t>ccurate and timely manner</w:t>
      </w:r>
      <w:r>
        <w:t>.</w:t>
      </w:r>
    </w:p>
    <w:p w:rsidR="00304378" w:rsidRPr="00C93EF7" w:rsidP="00F91227">
      <w:pPr>
        <w:numPr>
          <w:ilvl w:val="0"/>
          <w:numId w:val="12"/>
        </w:numPr>
        <w:spacing w:after="120"/>
        <w:ind w:left="1890" w:hanging="450"/>
      </w:pPr>
      <w:r w:rsidRPr="00F01735">
        <w:rPr>
          <w:b/>
        </w:rPr>
        <w:t>Platform Provider.</w:t>
      </w:r>
      <w:r w:rsidR="00370153">
        <w:t xml:space="preserve"> </w:t>
      </w:r>
    </w:p>
    <w:p w:rsidR="004C2893" w:rsidRPr="00BE5623" w:rsidP="00DA1323">
      <w:pPr>
        <w:pStyle w:val="ListParagraph"/>
        <w:numPr>
          <w:ilvl w:val="2"/>
          <w:numId w:val="12"/>
        </w:numPr>
        <w:spacing w:after="120"/>
        <w:rPr>
          <w:rFonts w:eastAsia="Calibri"/>
        </w:rPr>
      </w:pPr>
      <w:r w:rsidRPr="00BE5623">
        <w:rPr>
          <w:rFonts w:eastAsia="Calibri"/>
        </w:rPr>
        <w:t xml:space="preserve">Within thirty (30) calendar days, Global shall </w:t>
      </w:r>
      <w:r w:rsidRPr="005A6DC7" w:rsidR="005A6DC7">
        <w:t xml:space="preserve">prepare a detailed, step-by step </w:t>
      </w:r>
      <w:r w:rsidR="0087365D">
        <w:t xml:space="preserve">process </w:t>
      </w:r>
      <w:r w:rsidRPr="005A6DC7" w:rsidR="005A6DC7">
        <w:t>descri</w:t>
      </w:r>
      <w:r w:rsidR="0087365D">
        <w:t>bing</w:t>
      </w:r>
      <w:r w:rsidR="005A6DC7">
        <w:t xml:space="preserve"> </w:t>
      </w:r>
      <w:r w:rsidRPr="00BE5623">
        <w:rPr>
          <w:rFonts w:eastAsia="Calibri"/>
        </w:rPr>
        <w:t xml:space="preserve">how the Company’s </w:t>
      </w:r>
      <w:r w:rsidR="008964E5">
        <w:rPr>
          <w:rFonts w:eastAsia="Calibri"/>
        </w:rPr>
        <w:t>P</w:t>
      </w:r>
      <w:r w:rsidRPr="00BE5623">
        <w:rPr>
          <w:rFonts w:eastAsia="Calibri"/>
        </w:rPr>
        <w:t xml:space="preserve">latform </w:t>
      </w:r>
      <w:r w:rsidR="008964E5">
        <w:rPr>
          <w:rFonts w:eastAsia="Calibri"/>
        </w:rPr>
        <w:t>P</w:t>
      </w:r>
      <w:r w:rsidRPr="00BE5623">
        <w:rPr>
          <w:rFonts w:eastAsia="Calibri"/>
        </w:rPr>
        <w:t>rovider routes calls</w:t>
      </w:r>
      <w:r w:rsidR="002D0B46">
        <w:rPr>
          <w:rFonts w:eastAsia="Calibri"/>
        </w:rPr>
        <w:t>, including</w:t>
      </w:r>
      <w:r w:rsidR="007F2FFC">
        <w:rPr>
          <w:rFonts w:eastAsia="Calibri"/>
        </w:rPr>
        <w:t xml:space="preserve"> how the Platform Provider</w:t>
      </w:r>
      <w:r w:rsidR="00443EDF">
        <w:rPr>
          <w:rFonts w:eastAsia="Calibri"/>
        </w:rPr>
        <w:t>:</w:t>
      </w:r>
      <w:r w:rsidR="008D5458">
        <w:rPr>
          <w:rFonts w:eastAsia="Calibri"/>
        </w:rPr>
        <w:t xml:space="preserve"> </w:t>
      </w:r>
      <w:r w:rsidRPr="00DA1323" w:rsidR="00DA1323">
        <w:rPr>
          <w:rFonts w:eastAsia="Calibri"/>
        </w:rPr>
        <w:t xml:space="preserve">(1) </w:t>
      </w:r>
      <w:r w:rsidR="005821EE">
        <w:rPr>
          <w:rFonts w:eastAsia="Calibri"/>
        </w:rPr>
        <w:t xml:space="preserve">screens </w:t>
      </w:r>
      <w:r w:rsidRPr="00BE5623">
        <w:rPr>
          <w:rFonts w:eastAsia="Calibri"/>
        </w:rPr>
        <w:t xml:space="preserve">calls to determine if a call </w:t>
      </w:r>
      <w:r w:rsidR="007015E0">
        <w:rPr>
          <w:rFonts w:eastAsia="Calibri"/>
        </w:rPr>
        <w:t>originates</w:t>
      </w:r>
      <w:r w:rsidRPr="00BE5623">
        <w:rPr>
          <w:rFonts w:eastAsia="Calibri"/>
        </w:rPr>
        <w:t xml:space="preserve"> from an </w:t>
      </w:r>
      <w:r w:rsidR="00660716">
        <w:rPr>
          <w:rFonts w:eastAsia="Calibri"/>
        </w:rPr>
        <w:t>I</w:t>
      </w:r>
      <w:r w:rsidRPr="00BE5623" w:rsidR="00660716">
        <w:rPr>
          <w:rFonts w:eastAsia="Calibri"/>
        </w:rPr>
        <w:t xml:space="preserve">nternational </w:t>
      </w:r>
      <w:r w:rsidRPr="00BE5623">
        <w:rPr>
          <w:rFonts w:eastAsia="Calibri"/>
        </w:rPr>
        <w:t>IP address</w:t>
      </w:r>
      <w:r w:rsidR="00230448">
        <w:rPr>
          <w:rFonts w:eastAsia="Calibri"/>
        </w:rPr>
        <w:t>; and</w:t>
      </w:r>
      <w:r w:rsidR="005A6DC7">
        <w:rPr>
          <w:rFonts w:eastAsia="Calibri"/>
        </w:rPr>
        <w:t xml:space="preserve"> </w:t>
      </w:r>
      <w:bookmarkStart w:id="26" w:name="_Hlk517802221"/>
      <w:r w:rsidRPr="00DA1323" w:rsidR="00DA1323">
        <w:rPr>
          <w:rFonts w:eastAsia="Calibri"/>
        </w:rPr>
        <w:t xml:space="preserve">(2) </w:t>
      </w:r>
      <w:r w:rsidRPr="000F506F">
        <w:rPr>
          <w:rFonts w:eastAsia="Calibri"/>
        </w:rPr>
        <w:t>identif</w:t>
      </w:r>
      <w:r w:rsidR="002218BA">
        <w:rPr>
          <w:rFonts w:eastAsia="Calibri"/>
        </w:rPr>
        <w:t>ies</w:t>
      </w:r>
      <w:r w:rsidRPr="000F506F">
        <w:rPr>
          <w:rFonts w:eastAsia="Calibri"/>
        </w:rPr>
        <w:t xml:space="preserve"> calls originating from an international IP address, where the Registered User has been pre-approved for international calling pursuant to 47 CFR § 64.604(a)(7) and the VRS </w:t>
      </w:r>
      <w:r w:rsidRPr="00FA5ED1">
        <w:rPr>
          <w:rFonts w:eastAsia="Calibri"/>
          <w:i/>
        </w:rPr>
        <w:t>Fraud Order</w:t>
      </w:r>
      <w:r w:rsidRPr="000F506F">
        <w:rPr>
          <w:rFonts w:eastAsia="Calibri"/>
        </w:rPr>
        <w:t>, 26 FCC Rcd 5545, 5564, para.</w:t>
      </w:r>
      <w:r>
        <w:rPr>
          <w:rFonts w:eastAsia="Calibri"/>
        </w:rPr>
        <w:t xml:space="preserve"> </w:t>
      </w:r>
      <w:r w:rsidRPr="000F506F">
        <w:rPr>
          <w:rFonts w:eastAsia="Calibri"/>
        </w:rPr>
        <w:t>32 (2011).</w:t>
      </w:r>
    </w:p>
    <w:p w:rsidR="005C4AD0" w:rsidRPr="00FA5ED1" w:rsidP="006B64FF">
      <w:pPr>
        <w:numPr>
          <w:ilvl w:val="2"/>
          <w:numId w:val="12"/>
        </w:numPr>
        <w:spacing w:after="120"/>
        <w:rPr>
          <w:rFonts w:eastAsia="Calibri"/>
          <w:b/>
        </w:rPr>
      </w:pPr>
      <w:r>
        <w:rPr>
          <w:rFonts w:eastAsia="Calibri"/>
        </w:rPr>
        <w:t>Within thirty (30) calenda</w:t>
      </w:r>
      <w:r w:rsidR="00567201">
        <w:rPr>
          <w:rFonts w:eastAsia="Calibri"/>
        </w:rPr>
        <w:t>r</w:t>
      </w:r>
      <w:r>
        <w:rPr>
          <w:rFonts w:eastAsia="Calibri"/>
        </w:rPr>
        <w:t xml:space="preserve"> days, </w:t>
      </w:r>
      <w:r w:rsidR="005B7A97">
        <w:rPr>
          <w:rFonts w:eastAsia="Calibri"/>
        </w:rPr>
        <w:t xml:space="preserve">Global </w:t>
      </w:r>
      <w:r w:rsidR="00567201">
        <w:rPr>
          <w:rFonts w:eastAsia="Calibri"/>
        </w:rPr>
        <w:t xml:space="preserve">and its </w:t>
      </w:r>
      <w:r>
        <w:rPr>
          <w:rFonts w:eastAsia="Calibri"/>
        </w:rPr>
        <w:t xml:space="preserve">Platform Provider </w:t>
      </w:r>
      <w:r w:rsidR="00567201">
        <w:rPr>
          <w:rFonts w:eastAsia="Calibri"/>
        </w:rPr>
        <w:t>shall</w:t>
      </w:r>
      <w:r>
        <w:rPr>
          <w:rFonts w:eastAsia="Calibri"/>
        </w:rPr>
        <w:t xml:space="preserve"> </w:t>
      </w:r>
      <w:r w:rsidR="00567201">
        <w:rPr>
          <w:rFonts w:eastAsia="Calibri"/>
        </w:rPr>
        <w:t xml:space="preserve">each </w:t>
      </w:r>
      <w:r w:rsidR="005B7A97">
        <w:rPr>
          <w:rFonts w:eastAsia="Calibri"/>
        </w:rPr>
        <w:t xml:space="preserve">designate a contact person </w:t>
      </w:r>
      <w:r w:rsidR="006831EE">
        <w:rPr>
          <w:rFonts w:eastAsia="Calibri"/>
        </w:rPr>
        <w:t xml:space="preserve">or persons </w:t>
      </w:r>
      <w:r w:rsidR="00567201">
        <w:rPr>
          <w:rFonts w:eastAsia="Calibri"/>
        </w:rPr>
        <w:t>to be</w:t>
      </w:r>
      <w:r w:rsidR="005B7A97">
        <w:rPr>
          <w:rFonts w:eastAsia="Calibri"/>
        </w:rPr>
        <w:t xml:space="preserve"> available twenty-four (24) hours per day, seven (7) days per week for communications</w:t>
      </w:r>
      <w:r w:rsidR="00567201">
        <w:rPr>
          <w:rFonts w:eastAsia="Calibri"/>
        </w:rPr>
        <w:t xml:space="preserve"> to address any network/platform issues</w:t>
      </w:r>
      <w:r w:rsidR="00AE37F8">
        <w:rPr>
          <w:rFonts w:eastAsia="Calibri"/>
        </w:rPr>
        <w:t>.</w:t>
      </w:r>
    </w:p>
    <w:bookmarkEnd w:id="26"/>
    <w:p w:rsidR="000F506F" w:rsidRPr="003D409E">
      <w:pPr>
        <w:numPr>
          <w:ilvl w:val="2"/>
          <w:numId w:val="12"/>
        </w:numPr>
        <w:spacing w:after="120"/>
        <w:rPr>
          <w:rFonts w:eastAsia="Calibri"/>
          <w:b/>
        </w:rPr>
      </w:pPr>
      <w:r w:rsidRPr="0030204F">
        <w:rPr>
          <w:rFonts w:eastAsia="Calibri"/>
        </w:rPr>
        <w:t xml:space="preserve">Global shall </w:t>
      </w:r>
      <w:r w:rsidRPr="0030204F" w:rsidR="00E31172">
        <w:rPr>
          <w:rFonts w:eastAsia="Calibri"/>
        </w:rPr>
        <w:t xml:space="preserve">meet with its </w:t>
      </w:r>
      <w:r>
        <w:rPr>
          <w:rFonts w:eastAsia="Calibri"/>
        </w:rPr>
        <w:t>P</w:t>
      </w:r>
      <w:r w:rsidRPr="0030204F">
        <w:rPr>
          <w:rFonts w:eastAsia="Calibri"/>
        </w:rPr>
        <w:t xml:space="preserve">latform </w:t>
      </w:r>
      <w:r>
        <w:rPr>
          <w:rFonts w:eastAsia="Calibri"/>
        </w:rPr>
        <w:t>P</w:t>
      </w:r>
      <w:r w:rsidRPr="0030204F">
        <w:rPr>
          <w:rFonts w:eastAsia="Calibri"/>
        </w:rPr>
        <w:t xml:space="preserve">rovider </w:t>
      </w:r>
      <w:r w:rsidRPr="0030204F" w:rsidR="00E31172">
        <w:rPr>
          <w:rFonts w:eastAsia="Calibri"/>
        </w:rPr>
        <w:t xml:space="preserve">at least once every twelve </w:t>
      </w:r>
      <w:r w:rsidRPr="0030204F" w:rsidR="00280648">
        <w:rPr>
          <w:rFonts w:eastAsia="Calibri"/>
        </w:rPr>
        <w:t xml:space="preserve">(12) </w:t>
      </w:r>
      <w:r w:rsidRPr="0030204F" w:rsidR="00E31172">
        <w:rPr>
          <w:rFonts w:eastAsia="Calibri"/>
        </w:rPr>
        <w:t xml:space="preserve">months after the Effective Date </w:t>
      </w:r>
      <w:r w:rsidRPr="0030204F">
        <w:rPr>
          <w:rFonts w:eastAsia="Calibri"/>
        </w:rPr>
        <w:t xml:space="preserve">to discuss procedures, processes, and compliance with the terms of this </w:t>
      </w:r>
      <w:r>
        <w:rPr>
          <w:rFonts w:eastAsia="Calibri"/>
        </w:rPr>
        <w:t>C</w:t>
      </w:r>
      <w:r w:rsidRPr="0030204F">
        <w:rPr>
          <w:rFonts w:eastAsia="Calibri"/>
        </w:rPr>
        <w:t xml:space="preserve">onsent </w:t>
      </w:r>
      <w:r>
        <w:rPr>
          <w:rFonts w:eastAsia="Calibri"/>
        </w:rPr>
        <w:t>D</w:t>
      </w:r>
      <w:r w:rsidRPr="0030204F">
        <w:rPr>
          <w:rFonts w:eastAsia="Calibri"/>
        </w:rPr>
        <w:t xml:space="preserve">ecree. </w:t>
      </w:r>
    </w:p>
    <w:p w:rsidR="006B64FF" w:rsidRPr="00AD6E33" w:rsidP="00AD6E33">
      <w:pPr>
        <w:numPr>
          <w:ilvl w:val="0"/>
          <w:numId w:val="12"/>
        </w:numPr>
        <w:spacing w:after="120"/>
        <w:rPr>
          <w:rFonts w:eastAsia="Calibri"/>
          <w:b/>
        </w:rPr>
      </w:pPr>
      <w:bookmarkStart w:id="27" w:name="_Ref518373743"/>
      <w:bookmarkStart w:id="28" w:name="_Ref480798452"/>
      <w:r w:rsidRPr="00D343AE">
        <w:rPr>
          <w:rFonts w:eastAsia="Calibri"/>
          <w:b/>
        </w:rPr>
        <w:t>Document Retention</w:t>
      </w:r>
      <w:bookmarkStart w:id="29" w:name="_Ref480534542"/>
      <w:r w:rsidRPr="000F60A4" w:rsidR="00AD6E33">
        <w:rPr>
          <w:rFonts w:eastAsia="Calibri"/>
        </w:rPr>
        <w:t>.</w:t>
      </w:r>
      <w:bookmarkEnd w:id="27"/>
      <w:r w:rsidR="00AD6E33">
        <w:rPr>
          <w:rFonts w:eastAsia="Calibri"/>
          <w:b/>
        </w:rPr>
        <w:t xml:space="preserve">  </w:t>
      </w:r>
      <w:bookmarkEnd w:id="28"/>
      <w:bookmarkEnd w:id="29"/>
    </w:p>
    <w:p w:rsidR="009D0068" w:rsidRPr="00632FAC" w:rsidP="006B64FF">
      <w:pPr>
        <w:numPr>
          <w:ilvl w:val="2"/>
          <w:numId w:val="12"/>
        </w:numPr>
        <w:spacing w:after="120"/>
        <w:rPr>
          <w:rFonts w:eastAsia="Calibri"/>
          <w:b/>
        </w:rPr>
      </w:pPr>
      <w:r w:rsidRPr="00632FAC">
        <w:rPr>
          <w:bCs/>
        </w:rPr>
        <w:t xml:space="preserve">Global shall </w:t>
      </w:r>
      <w:r w:rsidRPr="00632FAC">
        <w:t xml:space="preserve">maintain the date of registration </w:t>
      </w:r>
      <w:r w:rsidR="001C7DC2">
        <w:t xml:space="preserve">and a </w:t>
      </w:r>
      <w:r w:rsidR="00E22218">
        <w:t xml:space="preserve">reproducible </w:t>
      </w:r>
      <w:r w:rsidR="001C7DC2">
        <w:t xml:space="preserve">copy of Self-Certifications </w:t>
      </w:r>
      <w:r w:rsidRPr="00632FAC">
        <w:t xml:space="preserve">for all Registered Users.  </w:t>
      </w:r>
    </w:p>
    <w:p w:rsidR="00663A5C" w:rsidRPr="00663A5C" w:rsidP="00663A5C">
      <w:pPr>
        <w:numPr>
          <w:ilvl w:val="2"/>
          <w:numId w:val="12"/>
        </w:numPr>
        <w:spacing w:after="120"/>
        <w:rPr>
          <w:rFonts w:eastAsia="Calibri"/>
        </w:rPr>
      </w:pPr>
      <w:bookmarkStart w:id="30" w:name="_Ref482347470"/>
      <w:bookmarkStart w:id="31" w:name="_Ref518373793"/>
      <w:r>
        <w:t xml:space="preserve">Within one hundred and eighty (180) calendar days, </w:t>
      </w:r>
      <w:bookmarkEnd w:id="30"/>
      <w:r w:rsidRPr="00217B0A" w:rsidR="00632FAC">
        <w:rPr>
          <w:rFonts w:eastAsia="Calibri"/>
        </w:rPr>
        <w:t xml:space="preserve">Global shall </w:t>
      </w:r>
      <w:r w:rsidR="00602E21">
        <w:rPr>
          <w:rFonts w:eastAsia="Calibri"/>
        </w:rPr>
        <w:t xml:space="preserve">create </w:t>
      </w:r>
      <w:r w:rsidRPr="005A79A4" w:rsidR="00550C4B">
        <w:t xml:space="preserve">a </w:t>
      </w:r>
      <w:r w:rsidRPr="005A6DC7" w:rsidR="00550C4B">
        <w:t>detailed,</w:t>
      </w:r>
      <w:r w:rsidRPr="005A79A4" w:rsidR="00550C4B">
        <w:t xml:space="preserve"> step</w:t>
      </w:r>
      <w:r w:rsidRPr="005A6DC7" w:rsidR="00550C4B">
        <w:t xml:space="preserve">-by step </w:t>
      </w:r>
      <w:r w:rsidR="00550C4B">
        <w:t>process</w:t>
      </w:r>
      <w:r w:rsidRPr="005A79A4" w:rsidR="00550C4B">
        <w:t xml:space="preserve"> </w:t>
      </w:r>
      <w:r w:rsidRPr="00217B0A" w:rsidR="00632FAC">
        <w:rPr>
          <w:rFonts w:eastAsia="Calibri"/>
        </w:rPr>
        <w:t xml:space="preserve">to ensure the maintenance of </w:t>
      </w:r>
      <w:r w:rsidR="00D1721F">
        <w:rPr>
          <w:rFonts w:eastAsia="Calibri"/>
        </w:rPr>
        <w:t>customer</w:t>
      </w:r>
      <w:r w:rsidRPr="00217B0A" w:rsidR="00632FAC">
        <w:rPr>
          <w:rFonts w:eastAsia="Calibri"/>
        </w:rPr>
        <w:t xml:space="preserve"> records.</w:t>
      </w:r>
      <w:bookmarkEnd w:id="31"/>
    </w:p>
    <w:p w:rsidR="0007600F" w:rsidRPr="00217B0A" w:rsidP="0010269B">
      <w:pPr>
        <w:numPr>
          <w:ilvl w:val="2"/>
          <w:numId w:val="12"/>
        </w:numPr>
        <w:spacing w:after="120"/>
        <w:rPr>
          <w:rFonts w:eastAsia="Calibri"/>
          <w:b/>
        </w:rPr>
      </w:pPr>
      <w:bookmarkStart w:id="32" w:name="_Ref517075626"/>
      <w:bookmarkStart w:id="33" w:name="_Ref480535838"/>
      <w:r>
        <w:t xml:space="preserve">Global shall </w:t>
      </w:r>
      <w:r w:rsidRPr="00FE2177">
        <w:t>maintain supporting documents and records</w:t>
      </w:r>
      <w:r>
        <w:t xml:space="preserve"> associated with Covered Personnel time reporting for at least three years</w:t>
      </w:r>
      <w:r w:rsidRPr="00FE2177">
        <w:t>.</w:t>
      </w:r>
    </w:p>
    <w:p w:rsidR="00A8593E" w:rsidP="007C4E69">
      <w:pPr>
        <w:numPr>
          <w:ilvl w:val="0"/>
          <w:numId w:val="12"/>
        </w:numPr>
        <w:spacing w:after="120"/>
      </w:pPr>
      <w:r w:rsidRPr="00D238AE">
        <w:rPr>
          <w:b/>
        </w:rPr>
        <w:t>Interoperability</w:t>
      </w:r>
      <w:r w:rsidRPr="0000077B">
        <w:t xml:space="preserve">.  </w:t>
      </w:r>
    </w:p>
    <w:p w:rsidR="00D64B80" w:rsidP="00056D4D">
      <w:pPr>
        <w:numPr>
          <w:ilvl w:val="2"/>
          <w:numId w:val="12"/>
        </w:numPr>
        <w:spacing w:after="120"/>
        <w:rPr>
          <w:bCs/>
        </w:rPr>
      </w:pPr>
      <w:bookmarkStart w:id="34" w:name="_Hlk518374429"/>
      <w:bookmarkStart w:id="35" w:name="_Hlk517807824"/>
      <w:r w:rsidRPr="00056D4D">
        <w:rPr>
          <w:bCs/>
        </w:rPr>
        <w:t xml:space="preserve">Within ninety (90) calendar days after the Effective Date, Global shall ensure interoperability throughout its own platform(s) as well as all other VRS </w:t>
      </w:r>
      <w:r w:rsidR="00F078AE">
        <w:rPr>
          <w:bCs/>
        </w:rPr>
        <w:t>P</w:t>
      </w:r>
      <w:r w:rsidRPr="00056D4D" w:rsidR="00F078AE">
        <w:rPr>
          <w:bCs/>
        </w:rPr>
        <w:t xml:space="preserve">roviders’ </w:t>
      </w:r>
      <w:r w:rsidRPr="00056D4D">
        <w:rPr>
          <w:bCs/>
        </w:rPr>
        <w:t xml:space="preserve">platforms.  </w:t>
      </w:r>
    </w:p>
    <w:p w:rsidR="00056D4D" w:rsidRPr="00056D4D" w:rsidP="001637BE">
      <w:pPr>
        <w:pageBreakBefore/>
        <w:widowControl/>
        <w:numPr>
          <w:ilvl w:val="2"/>
          <w:numId w:val="12"/>
        </w:numPr>
        <w:spacing w:after="120"/>
        <w:ind w:left="2203" w:hanging="187"/>
        <w:rPr>
          <w:bCs/>
        </w:rPr>
      </w:pPr>
      <w:r>
        <w:rPr>
          <w:bCs/>
        </w:rPr>
        <w:t>Global shall participate in i</w:t>
      </w:r>
      <w:r w:rsidRPr="00056D4D">
        <w:rPr>
          <w:bCs/>
        </w:rPr>
        <w:t xml:space="preserve">nteroperability testing </w:t>
      </w:r>
      <w:r>
        <w:rPr>
          <w:bCs/>
        </w:rPr>
        <w:t xml:space="preserve">that will </w:t>
      </w:r>
      <w:r w:rsidRPr="00056D4D">
        <w:rPr>
          <w:bCs/>
        </w:rPr>
        <w:t xml:space="preserve">be conducted </w:t>
      </w:r>
      <w:r>
        <w:rPr>
          <w:bCs/>
        </w:rPr>
        <w:t xml:space="preserve">no earlier than </w:t>
      </w:r>
      <w:r w:rsidR="007E602D">
        <w:rPr>
          <w:bCs/>
        </w:rPr>
        <w:t>45</w:t>
      </w:r>
      <w:r>
        <w:rPr>
          <w:bCs/>
        </w:rPr>
        <w:t xml:space="preserve"> calendar days after the Effective Date </w:t>
      </w:r>
      <w:r w:rsidRPr="00056D4D">
        <w:rPr>
          <w:bCs/>
        </w:rPr>
        <w:t>by a qualified independent entity selected by the Commission</w:t>
      </w:r>
      <w:r w:rsidR="00885338">
        <w:rPr>
          <w:bCs/>
        </w:rPr>
        <w:t xml:space="preserve"> using standards/parameters established in association with the Commission to determine whether </w:t>
      </w:r>
      <w:r w:rsidR="00FA5CD7">
        <w:rPr>
          <w:bCs/>
        </w:rPr>
        <w:t xml:space="preserve">Global passed </w:t>
      </w:r>
      <w:r w:rsidR="00885338">
        <w:rPr>
          <w:bCs/>
        </w:rPr>
        <w:t>such testing</w:t>
      </w:r>
      <w:r w:rsidRPr="00056D4D" w:rsidR="00885338">
        <w:rPr>
          <w:bCs/>
        </w:rPr>
        <w:t xml:space="preserve">.  </w:t>
      </w:r>
    </w:p>
    <w:p w:rsidR="00DF4D71" w:rsidRPr="00DF562C" w:rsidP="00FA5ED1">
      <w:pPr>
        <w:numPr>
          <w:ilvl w:val="0"/>
          <w:numId w:val="12"/>
        </w:numPr>
        <w:spacing w:after="120"/>
        <w:rPr>
          <w:b/>
        </w:rPr>
      </w:pPr>
      <w:bookmarkStart w:id="36" w:name="_Ref516818309"/>
      <w:bookmarkEnd w:id="32"/>
      <w:bookmarkEnd w:id="34"/>
      <w:bookmarkEnd w:id="35"/>
      <w:r w:rsidRPr="00DF562C">
        <w:rPr>
          <w:b/>
        </w:rPr>
        <w:t>Compliance Manual</w:t>
      </w:r>
      <w:bookmarkStart w:id="37" w:name="_Hlk518374468"/>
      <w:r w:rsidRPr="000F60A4">
        <w:t>.</w:t>
      </w:r>
      <w:r w:rsidRPr="00DF562C">
        <w:rPr>
          <w:b/>
        </w:rPr>
        <w:t xml:space="preserve"> </w:t>
      </w:r>
    </w:p>
    <w:p w:rsidR="00DF4D71" w:rsidRPr="003656A9" w:rsidP="005401B5">
      <w:pPr>
        <w:numPr>
          <w:ilvl w:val="2"/>
          <w:numId w:val="12"/>
        </w:numPr>
        <w:spacing w:after="120"/>
        <w:rPr>
          <w:b/>
        </w:rPr>
      </w:pPr>
      <w:bookmarkStart w:id="38" w:name="_Hlk518374499"/>
      <w:r w:rsidRPr="00613D34">
        <w:t xml:space="preserve">Within </w:t>
      </w:r>
      <w:r w:rsidR="00D9336C">
        <w:t>one</w:t>
      </w:r>
      <w:r w:rsidR="00A521A4">
        <w:t xml:space="preserve"> hundred and </w:t>
      </w:r>
      <w:bookmarkEnd w:id="38"/>
      <w:r w:rsidR="00D9336C">
        <w:t>eighty</w:t>
      </w:r>
      <w:r w:rsidR="00A84794">
        <w:t xml:space="preserve"> (</w:t>
      </w:r>
      <w:r w:rsidR="00D9336C">
        <w:t>180</w:t>
      </w:r>
      <w:r w:rsidR="00A84794">
        <w:t>) calendar</w:t>
      </w:r>
      <w:r>
        <w:t xml:space="preserve"> </w:t>
      </w:r>
      <w:bookmarkEnd w:id="37"/>
      <w:r w:rsidR="00CD21F8">
        <w:t>days</w:t>
      </w:r>
      <w:r>
        <w:t xml:space="preserve"> </w:t>
      </w:r>
      <w:r w:rsidRPr="00613D34">
        <w:t xml:space="preserve">after the Effective Date, the Compliance Officer shall develop and distribute a Compliance Manual to all Covered Personnel.  The Compliance Manual shall set forth the TRS Rules and explain the Operating Procedures that Covered Personnel shall follow to help ensure that </w:t>
      </w:r>
      <w:bookmarkStart w:id="39" w:name="_Hlk516818091"/>
      <w:r>
        <w:t>Global</w:t>
      </w:r>
      <w:r w:rsidRPr="00613D34">
        <w:t xml:space="preserve"> </w:t>
      </w:r>
      <w:bookmarkEnd w:id="39"/>
      <w:r w:rsidRPr="00613D34">
        <w:t xml:space="preserve">complies with </w:t>
      </w:r>
      <w:r>
        <w:t xml:space="preserve">the Rules </w:t>
      </w:r>
      <w:r w:rsidRPr="00613D34">
        <w:t>and th</w:t>
      </w:r>
      <w:r>
        <w:t>i</w:t>
      </w:r>
      <w:r w:rsidRPr="00613D34">
        <w:t xml:space="preserve">s Consent Decree. </w:t>
      </w:r>
    </w:p>
    <w:p w:rsidR="002F0B66" w:rsidRPr="002F0B66" w:rsidP="00FA5ED1">
      <w:pPr>
        <w:numPr>
          <w:ilvl w:val="2"/>
          <w:numId w:val="12"/>
        </w:numPr>
        <w:spacing w:after="120"/>
        <w:rPr>
          <w:b/>
        </w:rPr>
      </w:pPr>
      <w:r>
        <w:t>G</w:t>
      </w:r>
      <w:r>
        <w:t>lobal</w:t>
      </w:r>
      <w:r w:rsidRPr="00613D34">
        <w:t xml:space="preserve"> shall </w:t>
      </w:r>
      <w:r>
        <w:t xml:space="preserve">periodically, but at least annually, </w:t>
      </w:r>
      <w:r w:rsidRPr="00613D34">
        <w:t xml:space="preserve">review and revise the Compliance Manual as necessary to ensure that the information set forth therein remains current and accurate.  </w:t>
      </w:r>
      <w:r>
        <w:t>Global</w:t>
      </w:r>
      <w:r w:rsidRPr="00613D34">
        <w:t xml:space="preserve"> shall distribute any revisions to the Compliance Manual promptly to all Covered Personnel.</w:t>
      </w:r>
      <w:bookmarkEnd w:id="36"/>
    </w:p>
    <w:p w:rsidR="00B73CA5" w:rsidP="0010269B">
      <w:pPr>
        <w:numPr>
          <w:ilvl w:val="0"/>
          <w:numId w:val="12"/>
        </w:numPr>
        <w:spacing w:after="120"/>
        <w:rPr>
          <w:rFonts w:eastAsia="Calibri"/>
          <w:b/>
        </w:rPr>
      </w:pPr>
      <w:r w:rsidRPr="0010269B">
        <w:rPr>
          <w:rFonts w:eastAsia="Calibri"/>
          <w:b/>
        </w:rPr>
        <w:t>Compliance Training Program</w:t>
      </w:r>
      <w:r w:rsidRPr="000F60A4" w:rsidR="00AD6E33">
        <w:rPr>
          <w:rFonts w:eastAsia="Calibri"/>
        </w:rPr>
        <w:t>.</w:t>
      </w:r>
      <w:r w:rsidR="00AD6E33">
        <w:rPr>
          <w:rFonts w:eastAsia="Calibri"/>
          <w:b/>
        </w:rPr>
        <w:t xml:space="preserve">     </w:t>
      </w:r>
    </w:p>
    <w:p w:rsidR="00D37459" w:rsidP="00FA5ED1">
      <w:pPr>
        <w:numPr>
          <w:ilvl w:val="2"/>
          <w:numId w:val="12"/>
        </w:numPr>
        <w:spacing w:after="120"/>
        <w:ind w:left="2160"/>
        <w:rPr>
          <w:rFonts w:eastAsia="Calibri"/>
        </w:rPr>
      </w:pPr>
      <w:r w:rsidRPr="0000077B">
        <w:rPr>
          <w:bCs/>
        </w:rPr>
        <w:t xml:space="preserve">Within one hundred and eighty (180) calendar days after the Effective Date, Global shall </w:t>
      </w:r>
      <w:bookmarkStart w:id="40" w:name="_Hlk518311731"/>
      <w:r w:rsidR="00120428">
        <w:rPr>
          <w:bCs/>
        </w:rPr>
        <w:t>establish and use</w:t>
      </w:r>
      <w:r w:rsidRPr="0000077B" w:rsidR="00AD6E33">
        <w:rPr>
          <w:bCs/>
        </w:rPr>
        <w:t xml:space="preserve"> </w:t>
      </w:r>
      <w:bookmarkEnd w:id="40"/>
      <w:r w:rsidRPr="00726C87" w:rsidR="00AD6E33">
        <w:t>a new Compliance Training Program</w:t>
      </w:r>
      <w:r>
        <w:t xml:space="preserve"> for all Covered Personnel </w:t>
      </w:r>
      <w:r w:rsidRPr="00726C87" w:rsidR="00AD6E33">
        <w:t xml:space="preserve">to ensure compliance with the TRS Rules and this Consent </w:t>
      </w:r>
      <w:r w:rsidRPr="00710D68" w:rsidR="00AD6E33">
        <w:t>Decree.</w:t>
      </w:r>
      <w:bookmarkEnd w:id="33"/>
      <w:r w:rsidR="00A508E4">
        <w:t xml:space="preserve">  </w:t>
      </w:r>
      <w:r w:rsidR="00EF4EB3">
        <w:t>The Compliance Training Program should be tailored to specific</w:t>
      </w:r>
      <w:r w:rsidR="0078575E">
        <w:t xml:space="preserve"> Covered Personnel Roles.  Specifically, at a minimum, Global shall establish and implement </w:t>
      </w:r>
      <w:r w:rsidR="00D42EE8">
        <w:t>specialized training for managers, C</w:t>
      </w:r>
      <w:r w:rsidR="00DD35A9">
        <w:t xml:space="preserve">As, </w:t>
      </w:r>
      <w:r w:rsidR="00EC0710">
        <w:t>operat</w:t>
      </w:r>
      <w:r w:rsidR="00F61E78">
        <w:t>ional staff responsible for preparing submissions to the Administrator,</w:t>
      </w:r>
      <w:r w:rsidR="00DD35A9">
        <w:t xml:space="preserve"> and contractors.</w:t>
      </w:r>
    </w:p>
    <w:p w:rsidR="00217B0A" w:rsidP="00217B0A">
      <w:pPr>
        <w:numPr>
          <w:ilvl w:val="2"/>
          <w:numId w:val="12"/>
        </w:numPr>
        <w:spacing w:after="120"/>
        <w:rPr>
          <w:rFonts w:eastAsia="Calibri"/>
        </w:rPr>
      </w:pPr>
      <w:r>
        <w:rPr>
          <w:rFonts w:eastAsia="Calibri"/>
        </w:rPr>
        <w:t>Global shall train all Covered Personnel pursuant to the Compliance Training Program.</w:t>
      </w:r>
      <w:r w:rsidR="00135FDF">
        <w:rPr>
          <w:rFonts w:eastAsia="Calibri"/>
        </w:rPr>
        <w:t xml:space="preserve">  Compliance training shall be conducted for all managers before other Covered Personnel.</w:t>
      </w:r>
    </w:p>
    <w:p w:rsidR="00217B0A" w:rsidP="00217B0A">
      <w:pPr>
        <w:numPr>
          <w:ilvl w:val="2"/>
          <w:numId w:val="12"/>
        </w:numPr>
        <w:spacing w:after="120"/>
        <w:rPr>
          <w:rFonts w:eastAsia="Calibri"/>
        </w:rPr>
      </w:pPr>
      <w:r w:rsidRPr="00726C87">
        <w:rPr>
          <w:rFonts w:eastAsia="Calibri"/>
        </w:rPr>
        <w:t xml:space="preserve">Any person who becomes Covered Personnel of </w:t>
      </w:r>
      <w:r>
        <w:rPr>
          <w:rFonts w:eastAsia="Calibri"/>
        </w:rPr>
        <w:t xml:space="preserve">Global </w:t>
      </w:r>
      <w:r w:rsidRPr="00726C87">
        <w:rPr>
          <w:rFonts w:eastAsia="Calibri"/>
        </w:rPr>
        <w:t>at any time after the initial Compliance Training has been delivered shall be trained within thirty (30) calendar days after the date such person becomes Covered Personnel</w:t>
      </w:r>
      <w:r>
        <w:rPr>
          <w:rFonts w:eastAsia="Calibri"/>
        </w:rPr>
        <w:t>.</w:t>
      </w:r>
    </w:p>
    <w:p w:rsidR="007648FA" w:rsidRPr="0010269B" w:rsidP="007648FA">
      <w:pPr>
        <w:numPr>
          <w:ilvl w:val="0"/>
          <w:numId w:val="12"/>
        </w:numPr>
        <w:spacing w:after="120"/>
        <w:rPr>
          <w:rFonts w:eastAsia="Calibri"/>
          <w:b/>
        </w:rPr>
      </w:pPr>
      <w:bookmarkStart w:id="41" w:name="_Ref517346622"/>
      <w:bookmarkStart w:id="42" w:name="_Hlk518381152"/>
      <w:r w:rsidRPr="008B592A">
        <w:rPr>
          <w:b/>
          <w:bCs/>
        </w:rPr>
        <w:t>Additional Compliance Measures.</w:t>
      </w:r>
      <w:r w:rsidRPr="008B592A" w:rsidR="008B592A">
        <w:rPr>
          <w:bCs/>
        </w:rPr>
        <w:t xml:space="preserve"> </w:t>
      </w:r>
      <w:r w:rsidR="008B592A">
        <w:rPr>
          <w:bCs/>
        </w:rPr>
        <w:t xml:space="preserve">  </w:t>
      </w:r>
      <w:bookmarkEnd w:id="41"/>
    </w:p>
    <w:p w:rsidR="006801D5" w:rsidRPr="006801D5" w:rsidP="00DE073F">
      <w:pPr>
        <w:numPr>
          <w:ilvl w:val="0"/>
          <w:numId w:val="19"/>
        </w:numPr>
        <w:spacing w:after="120"/>
        <w:rPr>
          <w:rFonts w:eastAsia="Calibri"/>
          <w:b/>
        </w:rPr>
      </w:pPr>
      <w:bookmarkStart w:id="43" w:name="_Hlk518381517"/>
      <w:bookmarkStart w:id="44" w:name="_Ref519256085"/>
      <w:bookmarkEnd w:id="42"/>
      <w:r>
        <w:t>Global shall document all Operating Procedures within one hundred and twenty (120) calendar days after the Effective Date and thereafter, review such Operating Procedures on an annual basis and modify as necessary</w:t>
      </w:r>
    </w:p>
    <w:p w:rsidR="00656870" w:rsidRPr="00656870" w:rsidP="00DE073F">
      <w:pPr>
        <w:numPr>
          <w:ilvl w:val="0"/>
          <w:numId w:val="19"/>
        </w:numPr>
        <w:spacing w:after="120"/>
        <w:rPr>
          <w:rFonts w:eastAsia="Calibri"/>
          <w:b/>
        </w:rPr>
      </w:pPr>
      <w:r>
        <w:t xml:space="preserve">Within one hundred and twenty </w:t>
      </w:r>
      <w:bookmarkEnd w:id="43"/>
      <w:r>
        <w:t xml:space="preserve">(120) calendar days of the Effective Date, </w:t>
      </w:r>
      <w:r w:rsidR="00DE073F">
        <w:t xml:space="preserve">Global </w:t>
      </w:r>
      <w:r w:rsidRPr="003C2012" w:rsidR="00DE073F">
        <w:t xml:space="preserve">shall </w:t>
      </w:r>
      <w:r w:rsidR="00120428">
        <w:rPr>
          <w:bCs/>
        </w:rPr>
        <w:t>establish and use</w:t>
      </w:r>
      <w:r>
        <w:rPr>
          <w:bCs/>
        </w:rPr>
        <w:t>:</w:t>
      </w:r>
      <w:bookmarkEnd w:id="44"/>
    </w:p>
    <w:p w:rsidR="00830574" w:rsidRPr="00830574" w:rsidP="00830574">
      <w:pPr>
        <w:numPr>
          <w:ilvl w:val="3"/>
          <w:numId w:val="19"/>
        </w:numPr>
        <w:spacing w:after="120"/>
        <w:rPr>
          <w:rFonts w:eastAsia="Calibri"/>
        </w:rPr>
      </w:pPr>
      <w:bookmarkStart w:id="45" w:name="_Ref519256088"/>
      <w:r w:rsidRPr="003C2012">
        <w:t xml:space="preserve">a </w:t>
      </w:r>
      <w:r w:rsidR="00256CEE">
        <w:t xml:space="preserve">VRS </w:t>
      </w:r>
      <w:r w:rsidRPr="003C2012">
        <w:t>cost allocation</w:t>
      </w:r>
      <w:r w:rsidR="00256CEE">
        <w:t xml:space="preserve"> system</w:t>
      </w:r>
      <w:r>
        <w:t>;</w:t>
      </w:r>
      <w:r w:rsidR="00503AB9">
        <w:t xml:space="preserve"> and</w:t>
      </w:r>
      <w:bookmarkEnd w:id="45"/>
    </w:p>
    <w:p w:rsidR="00357240" w:rsidRPr="00FA5ED1" w:rsidP="00830574">
      <w:pPr>
        <w:numPr>
          <w:ilvl w:val="3"/>
          <w:numId w:val="19"/>
        </w:numPr>
        <w:spacing w:after="120"/>
        <w:rPr>
          <w:rFonts w:eastAsia="Calibri"/>
        </w:rPr>
      </w:pPr>
      <w:r w:rsidRPr="00830574">
        <w:rPr>
          <w:rFonts w:eastAsia="Calibri"/>
        </w:rPr>
        <w:t>a</w:t>
      </w:r>
      <w:r>
        <w:rPr>
          <w:rFonts w:eastAsia="Calibri"/>
        </w:rPr>
        <w:t xml:space="preserve"> cost allocation manual to direct Covered Personnel handling cost accounting functions to allocate VRS costs consistent with the cost allocation system implemented pursuant to paragraph </w:t>
      </w:r>
      <w:r w:rsidR="00412A80">
        <w:rPr>
          <w:rFonts w:eastAsia="Calibri"/>
        </w:rPr>
        <w:t>2</w:t>
      </w:r>
      <w:r w:rsidR="00DA69A0">
        <w:rPr>
          <w:rFonts w:eastAsia="Calibri"/>
        </w:rPr>
        <w:t>1</w:t>
      </w:r>
      <w:r w:rsidR="00EB2A23">
        <w:rPr>
          <w:rFonts w:eastAsia="Calibri"/>
        </w:rPr>
        <w:t>(</w:t>
      </w:r>
      <w:r w:rsidR="00EB2A23">
        <w:rPr>
          <w:rFonts w:eastAsia="Calibri"/>
        </w:rPr>
        <w:fldChar w:fldCharType="begin"/>
      </w:r>
      <w:r w:rsidR="00EB2A23">
        <w:rPr>
          <w:rFonts w:eastAsia="Calibri"/>
        </w:rPr>
        <w:instrText xml:space="preserve"> REF _Ref519256085 \r \h </w:instrText>
      </w:r>
      <w:r w:rsidR="00EB2A23">
        <w:rPr>
          <w:rFonts w:eastAsia="Calibri"/>
        </w:rPr>
        <w:fldChar w:fldCharType="separate"/>
      </w:r>
      <w:r w:rsidR="00C56A5E">
        <w:rPr>
          <w:rFonts w:eastAsia="Calibri"/>
        </w:rPr>
        <w:t>i</w:t>
      </w:r>
      <w:r w:rsidR="00EB2A23">
        <w:rPr>
          <w:rFonts w:eastAsia="Calibri"/>
        </w:rPr>
        <w:fldChar w:fldCharType="end"/>
      </w:r>
      <w:r w:rsidR="00EB2A23">
        <w:rPr>
          <w:rFonts w:eastAsia="Calibri"/>
        </w:rPr>
        <w:t>)</w:t>
      </w:r>
      <w:r w:rsidR="003F0E9D">
        <w:rPr>
          <w:rFonts w:eastAsia="Calibri"/>
        </w:rPr>
        <w:t>(i</w:t>
      </w:r>
      <w:r w:rsidR="00B70384">
        <w:rPr>
          <w:rFonts w:eastAsia="Calibri"/>
        </w:rPr>
        <w:t>i</w:t>
      </w:r>
      <w:r w:rsidR="003F0E9D">
        <w:rPr>
          <w:rFonts w:eastAsia="Calibri"/>
        </w:rPr>
        <w:t>)</w:t>
      </w:r>
      <w:r w:rsidR="00EB2A23">
        <w:rPr>
          <w:rFonts w:eastAsia="Calibri"/>
        </w:rPr>
        <w:t>(</w:t>
      </w:r>
      <w:r w:rsidR="00EB2A23">
        <w:rPr>
          <w:rFonts w:eastAsia="Calibri"/>
        </w:rPr>
        <w:fldChar w:fldCharType="begin"/>
      </w:r>
      <w:r w:rsidR="00EB2A23">
        <w:rPr>
          <w:rFonts w:eastAsia="Calibri"/>
        </w:rPr>
        <w:instrText xml:space="preserve"> REF _Ref519256088 \r \h </w:instrText>
      </w:r>
      <w:r w:rsidR="00EB2A23">
        <w:rPr>
          <w:rFonts w:eastAsia="Calibri"/>
        </w:rPr>
        <w:fldChar w:fldCharType="separate"/>
      </w:r>
      <w:r w:rsidR="00C56A5E">
        <w:rPr>
          <w:rFonts w:eastAsia="Calibri"/>
        </w:rPr>
        <w:t>1</w:t>
      </w:r>
      <w:r w:rsidR="00EB2A23">
        <w:rPr>
          <w:rFonts w:eastAsia="Calibri"/>
        </w:rPr>
        <w:fldChar w:fldCharType="end"/>
      </w:r>
      <w:r w:rsidR="00EB2A23">
        <w:rPr>
          <w:rFonts w:eastAsia="Calibri"/>
        </w:rPr>
        <w:t>)</w:t>
      </w:r>
      <w:r>
        <w:rPr>
          <w:rFonts w:eastAsia="Calibri"/>
        </w:rPr>
        <w:t xml:space="preserve"> above.</w:t>
      </w:r>
    </w:p>
    <w:p w:rsidR="00E26E21" w:rsidRPr="005F1CC2" w:rsidP="00BF68A3">
      <w:pPr>
        <w:numPr>
          <w:ilvl w:val="0"/>
          <w:numId w:val="19"/>
        </w:numPr>
        <w:spacing w:after="120"/>
        <w:rPr>
          <w:rFonts w:eastAsia="Calibri"/>
          <w:b/>
        </w:rPr>
      </w:pPr>
      <w:r>
        <w:rPr>
          <w:rFonts w:eastAsia="Calibri"/>
        </w:rPr>
        <w:t xml:space="preserve">Global shall </w:t>
      </w:r>
      <w:r w:rsidR="00921719">
        <w:rPr>
          <w:rFonts w:eastAsia="Calibri"/>
        </w:rPr>
        <w:t xml:space="preserve">review </w:t>
      </w:r>
      <w:r>
        <w:rPr>
          <w:rFonts w:eastAsia="Calibri"/>
        </w:rPr>
        <w:t>its cost allocation system and manual on an annual basis and modify each as necessary to ensure accurate cost reporting.</w:t>
      </w:r>
    </w:p>
    <w:p w:rsidR="00DE073F" w:rsidRPr="00370153" w:rsidP="00370153">
      <w:pPr>
        <w:numPr>
          <w:ilvl w:val="0"/>
          <w:numId w:val="19"/>
        </w:numPr>
        <w:spacing w:after="120"/>
        <w:rPr>
          <w:rFonts w:eastAsia="Calibri"/>
        </w:rPr>
      </w:pPr>
      <w:r>
        <w:rPr>
          <w:rFonts w:eastAsia="Calibri"/>
        </w:rPr>
        <w:t xml:space="preserve">Within thirty (30) calendar days after </w:t>
      </w:r>
      <w:r w:rsidRPr="006C280C">
        <w:rPr>
          <w:rFonts w:eastAsia="Calibri"/>
        </w:rPr>
        <w:t xml:space="preserve">the Effective Date, Global shall implement </w:t>
      </w:r>
      <w:r w:rsidR="001F3CC8">
        <w:rPr>
          <w:rFonts w:eastAsia="Calibri"/>
        </w:rPr>
        <w:t xml:space="preserve">and use a </w:t>
      </w:r>
      <w:r w:rsidRPr="006C280C">
        <w:rPr>
          <w:rFonts w:eastAsia="Calibri"/>
        </w:rPr>
        <w:t xml:space="preserve">time reporting </w:t>
      </w:r>
      <w:r w:rsidR="001F3CC8">
        <w:rPr>
          <w:rFonts w:eastAsia="Calibri"/>
        </w:rPr>
        <w:t>system</w:t>
      </w:r>
      <w:r w:rsidRPr="006C280C">
        <w:rPr>
          <w:rFonts w:eastAsia="Calibri"/>
        </w:rPr>
        <w:t xml:space="preserve"> to ensure that Covered Personnel </w:t>
      </w:r>
      <w:r w:rsidR="004436AD">
        <w:rPr>
          <w:rFonts w:eastAsia="Calibri"/>
        </w:rPr>
        <w:t xml:space="preserve">accurately and </w:t>
      </w:r>
      <w:r w:rsidRPr="006C280C">
        <w:rPr>
          <w:rFonts w:eastAsia="Calibri"/>
        </w:rPr>
        <w:t xml:space="preserve">report time worked </w:t>
      </w:r>
      <w:r w:rsidR="00B72F03">
        <w:rPr>
          <w:rFonts w:eastAsia="Calibri"/>
        </w:rPr>
        <w:t>in</w:t>
      </w:r>
      <w:r w:rsidRPr="006C280C">
        <w:rPr>
          <w:rFonts w:eastAsia="Calibri"/>
        </w:rPr>
        <w:t xml:space="preserve"> the provision of VRS.</w:t>
      </w:r>
    </w:p>
    <w:p w:rsidR="007832EA" w:rsidP="001637BE">
      <w:pPr>
        <w:pStyle w:val="ParaNum"/>
        <w:pageBreakBefore/>
        <w:widowControl/>
      </w:pPr>
      <w:bookmarkStart w:id="46" w:name="_Ref480554869"/>
      <w:bookmarkStart w:id="47" w:name="_Ref471975733"/>
      <w:bookmarkStart w:id="48" w:name="_Ref517076156"/>
      <w:r w:rsidRPr="002D5D32">
        <w:rPr>
          <w:b/>
          <w:u w:val="single"/>
        </w:rPr>
        <w:t xml:space="preserve">Reporting Procedures to the </w:t>
      </w:r>
      <w:bookmarkStart w:id="49" w:name="_GoBack"/>
      <w:bookmarkEnd w:id="49"/>
      <w:r w:rsidRPr="002D5D32">
        <w:rPr>
          <w:b/>
          <w:u w:val="single"/>
        </w:rPr>
        <w:t>Commission</w:t>
      </w:r>
      <w:r>
        <w:t xml:space="preserve">.  </w:t>
      </w:r>
      <w:r w:rsidRPr="006831EE">
        <w:t>Within two hun</w:t>
      </w:r>
      <w:r>
        <w:t>d</w:t>
      </w:r>
      <w:r w:rsidRPr="006831EE">
        <w:t xml:space="preserve">red and ten (210) </w:t>
      </w:r>
      <w:r>
        <w:t xml:space="preserve">calendar days of the Effective Date, Global </w:t>
      </w:r>
      <w:r w:rsidRPr="003C2012">
        <w:t>shall</w:t>
      </w:r>
      <w:r>
        <w:t xml:space="preserve"> submit all </w:t>
      </w:r>
      <w:r w:rsidR="002F2EA3">
        <w:t>Operating P</w:t>
      </w:r>
      <w:r>
        <w:t xml:space="preserve">rocedures and </w:t>
      </w:r>
      <w:r w:rsidR="009E2C0B">
        <w:t>process</w:t>
      </w:r>
      <w:r w:rsidR="003A04AD">
        <w:t>es</w:t>
      </w:r>
      <w:r w:rsidR="009E2C0B">
        <w:t xml:space="preserve"> </w:t>
      </w:r>
      <w:r w:rsidR="004C397C">
        <w:t>established pursuant to p</w:t>
      </w:r>
      <w:r>
        <w:t xml:space="preserve">aragraph </w:t>
      </w:r>
      <w:r w:rsidR="00C457E1">
        <w:t>2</w:t>
      </w:r>
      <w:r w:rsidR="00DA69A0">
        <w:t>1</w:t>
      </w:r>
      <w:r w:rsidR="004C397C">
        <w:t xml:space="preserve"> of this</w:t>
      </w:r>
      <w:r w:rsidR="009B63D0">
        <w:t xml:space="preserve"> agreement</w:t>
      </w:r>
      <w:r>
        <w:t xml:space="preserve"> to the Commission</w:t>
      </w:r>
      <w:r w:rsidR="009E2C0B">
        <w:t>.</w:t>
      </w:r>
      <w:r w:rsidR="009B63D0">
        <w:t xml:space="preserve"> </w:t>
      </w:r>
      <w:r w:rsidR="00C75124">
        <w:t xml:space="preserve"> This submission should be sent to the </w:t>
      </w:r>
      <w:r w:rsidRPr="00726C87" w:rsidR="002D5D32">
        <w:t xml:space="preserve">Chief, Telecommunications Consumers Division, Enforcement Bureau, Federal Communications Commission, Room 3-C366, 445 12th Street, S.W. Washington, D.C. 20554, with a copy submitted electronically to the Deputy Chief, Telecommunications Consumers Division (TRS), Enforcement Bureau via e-mail to </w:t>
      </w:r>
      <w:hyperlink r:id="rId10" w:history="1">
        <w:r w:rsidRPr="00A5697A" w:rsidR="002D5D32">
          <w:rPr>
            <w:rStyle w:val="Hyperlink"/>
          </w:rPr>
          <w:t>fccebaccess@fcc.gov</w:t>
        </w:r>
      </w:hyperlink>
      <w:r w:rsidR="00C92ED6">
        <w:t xml:space="preserve"> and to the Deputy Chief, Disability Rights Office, Consumer and Government Affairs Bureau via e-mail to TRSreports@fcc.gov</w:t>
      </w:r>
      <w:r w:rsidR="002D5D32">
        <w:t xml:space="preserve">. </w:t>
      </w:r>
    </w:p>
    <w:p w:rsidR="00B17F96" w:rsidRPr="00BE5623" w:rsidP="00FF321C">
      <w:pPr>
        <w:pStyle w:val="ParaNum"/>
      </w:pPr>
      <w:r w:rsidRPr="002D5D32">
        <w:rPr>
          <w:b/>
          <w:u w:val="single"/>
        </w:rPr>
        <w:t>Initial Compliance Reporting</w:t>
      </w:r>
      <w:r w:rsidRPr="008A17D2">
        <w:t>.</w:t>
      </w:r>
      <w:r w:rsidRPr="002D5D32">
        <w:rPr>
          <w:b/>
          <w:bCs/>
        </w:rPr>
        <w:t xml:space="preserve">  </w:t>
      </w:r>
      <w:r w:rsidR="00960828">
        <w:t>R</w:t>
      </w:r>
      <w:r w:rsidRPr="00726C87">
        <w:t>epresentatives of</w:t>
      </w:r>
      <w:r>
        <w:t xml:space="preserve"> Global s</w:t>
      </w:r>
      <w:r w:rsidRPr="008A17D2">
        <w:t xml:space="preserve">hall meet with FCC staff </w:t>
      </w:r>
      <w:r w:rsidR="00583286">
        <w:t>bi-monthly beginning thirty (30)</w:t>
      </w:r>
      <w:r w:rsidRPr="00726C87">
        <w:t xml:space="preserve"> </w:t>
      </w:r>
      <w:r w:rsidR="00167625">
        <w:t xml:space="preserve">days </w:t>
      </w:r>
      <w:r w:rsidRPr="00726C87">
        <w:t xml:space="preserve">after the Effective Date </w:t>
      </w:r>
      <w:r w:rsidR="00583286">
        <w:t>and for the first s</w:t>
      </w:r>
      <w:r w:rsidR="008100DF">
        <w:t>ix</w:t>
      </w:r>
      <w:r w:rsidR="00583286">
        <w:t xml:space="preserve"> (</w:t>
      </w:r>
      <w:r w:rsidR="008100DF">
        <w:t>6</w:t>
      </w:r>
      <w:r w:rsidR="00583286">
        <w:t xml:space="preserve">) months of this agreement </w:t>
      </w:r>
      <w:r w:rsidRPr="00726C87">
        <w:t xml:space="preserve">to discuss the </w:t>
      </w:r>
      <w:r w:rsidR="00583286">
        <w:t xml:space="preserve">Company’s progress in implementing the </w:t>
      </w:r>
      <w:r w:rsidR="001532DC">
        <w:t>compliance measures set forth</w:t>
      </w:r>
      <w:r w:rsidR="00583286">
        <w:t xml:space="preserve"> in </w:t>
      </w:r>
      <w:r>
        <w:t xml:space="preserve">paragraph </w:t>
      </w:r>
      <w:r w:rsidR="00D87282">
        <w:t>2</w:t>
      </w:r>
      <w:r w:rsidR="00DA69A0">
        <w:t>1</w:t>
      </w:r>
      <w:r w:rsidR="001532DC">
        <w:t xml:space="preserve"> of this agreement</w:t>
      </w:r>
      <w:r>
        <w:t xml:space="preserve">.  </w:t>
      </w:r>
    </w:p>
    <w:p w:rsidR="00344584" w:rsidRPr="00726C87" w:rsidP="00344584">
      <w:pPr>
        <w:pStyle w:val="ParaNum"/>
      </w:pPr>
      <w:bookmarkStart w:id="50" w:name="_Ref518308552"/>
      <w:bookmarkStart w:id="51" w:name="_Ref517346667"/>
      <w:r w:rsidRPr="00726C87">
        <w:rPr>
          <w:b/>
          <w:bCs/>
          <w:u w:val="single"/>
        </w:rPr>
        <w:t>Reporting Noncompliance</w:t>
      </w:r>
      <w:r w:rsidRPr="00726C87">
        <w:t xml:space="preserve">.  The </w:t>
      </w:r>
      <w:r w:rsidR="00125D18">
        <w:t>Company</w:t>
      </w:r>
      <w:r w:rsidRPr="00726C87">
        <w:t xml:space="preserve"> shall report</w:t>
      </w:r>
      <w:r w:rsidR="002B3419">
        <w:t xml:space="preserve"> in writing</w:t>
      </w:r>
      <w:r w:rsidRPr="00726C87">
        <w:t xml:space="preserve"> any noncompliance with the TRS Rules and this Consent Decree within fifteen (15) calendar days after discovery of such noncompliance.  Such reports shall include a detailed explanation of: (i) each instance of noncompliance; (ii) the steps that the </w:t>
      </w:r>
      <w:r w:rsidR="00125D18">
        <w:t>Company</w:t>
      </w:r>
      <w:r w:rsidRPr="00726C87">
        <w:t xml:space="preserve"> have taken or will take to remedy such noncompliance; (iii) the schedule on which such remedial actions will be taken; and (iv) the steps that the </w:t>
      </w:r>
      <w:r w:rsidR="00125D18">
        <w:t>Company</w:t>
      </w:r>
      <w:r w:rsidRPr="00726C87">
        <w:t xml:space="preserve"> have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the Deputy Chief, Telecommunications Consumers Division (TRS), Enforcement Bureau via e-mail to </w:t>
      </w:r>
      <w:hyperlink r:id="rId10" w:history="1">
        <w:r w:rsidRPr="00A5697A" w:rsidR="009050C0">
          <w:rPr>
            <w:rStyle w:val="Hyperlink"/>
          </w:rPr>
          <w:t>fccebaccess@fcc.gov</w:t>
        </w:r>
      </w:hyperlink>
      <w:r w:rsidR="009050C0">
        <w:t>.</w:t>
      </w:r>
      <w:bookmarkEnd w:id="46"/>
      <w:r w:rsidR="009050C0">
        <w:t xml:space="preserve">  </w:t>
      </w:r>
      <w:bookmarkEnd w:id="47"/>
      <w:r w:rsidRPr="00726C87" w:rsidR="00EC3850">
        <w:t>All reports of noncompliance shall</w:t>
      </w:r>
      <w:r w:rsidR="00EC3850">
        <w:t xml:space="preserve"> also be submitted to </w:t>
      </w:r>
      <w:r w:rsidRPr="00B23AB4" w:rsidR="00EC3850">
        <w:t>Deputy Chief, Disability Rights</w:t>
      </w:r>
      <w:r w:rsidR="00EC3850">
        <w:t xml:space="preserve"> </w:t>
      </w:r>
      <w:r w:rsidRPr="00B23AB4" w:rsidR="00EC3850">
        <w:t>Office, Consumer and Governmental Affairs Bureau v</w:t>
      </w:r>
      <w:r w:rsidR="00EC3850">
        <w:t xml:space="preserve">ia e-mail to </w:t>
      </w:r>
      <w:hyperlink r:id="rId11" w:history="1">
        <w:r w:rsidRPr="00DA2116" w:rsidR="00EC3850">
          <w:rPr>
            <w:rStyle w:val="Hyperlink"/>
          </w:rPr>
          <w:t>TRSreports@fcc.gov</w:t>
        </w:r>
      </w:hyperlink>
      <w:r w:rsidR="00EC3850">
        <w:t>, and to</w:t>
      </w:r>
      <w:r w:rsidR="007619DF">
        <w:t xml:space="preserve"> </w:t>
      </w:r>
      <w:r w:rsidR="00904E27">
        <w:t>the</w:t>
      </w:r>
      <w:r w:rsidR="00BD697B">
        <w:t xml:space="preserve"> Office of The Managing Director, at </w:t>
      </w:r>
      <w:hyperlink r:id="rId12" w:history="1">
        <w:r w:rsidR="00CB72C4">
          <w:rPr>
            <w:rStyle w:val="Hyperlink"/>
          </w:rPr>
          <w:t>OMDTRSReports@fcc.gov</w:t>
        </w:r>
      </w:hyperlink>
      <w:r w:rsidR="00BD697B">
        <w:t>.</w:t>
      </w:r>
      <w:bookmarkEnd w:id="50"/>
      <w:r w:rsidR="00BD697B">
        <w:t xml:space="preserve">  </w:t>
      </w:r>
      <w:bookmarkEnd w:id="48"/>
      <w:bookmarkEnd w:id="51"/>
    </w:p>
    <w:p w:rsidR="00344584" w:rsidRPr="00726C87" w:rsidP="00344584">
      <w:pPr>
        <w:pStyle w:val="ParaNum"/>
      </w:pPr>
      <w:bookmarkStart w:id="52" w:name="_Ref480966425"/>
      <w:r w:rsidRPr="00726C87">
        <w:rPr>
          <w:b/>
          <w:bCs/>
          <w:u w:val="single"/>
        </w:rPr>
        <w:t>Compliance Reports</w:t>
      </w:r>
      <w:r w:rsidRPr="00726C87">
        <w:t xml:space="preserve">.  The </w:t>
      </w:r>
      <w:r w:rsidR="00125D18">
        <w:t>Company</w:t>
      </w:r>
      <w:r w:rsidRPr="00726C87">
        <w:t xml:space="preserve"> shall file compliance reports </w:t>
      </w:r>
      <w:r w:rsidR="00147A2C">
        <w:t xml:space="preserve">quarterly beginning </w:t>
      </w:r>
      <w:r w:rsidR="00820E83">
        <w:t>nine (9)</w:t>
      </w:r>
      <w:r w:rsidR="006B72EB">
        <w:t xml:space="preserve"> months after the Effective Date and shall continue filing such reports quarterly</w:t>
      </w:r>
      <w:r w:rsidR="0058345D">
        <w:t xml:space="preserve"> for the first two years of this agreement</w:t>
      </w:r>
      <w:r w:rsidR="00EE6311">
        <w:t xml:space="preserve"> and</w:t>
      </w:r>
      <w:r w:rsidR="008D5458">
        <w:t xml:space="preserve"> annually</w:t>
      </w:r>
      <w:r w:rsidR="00EE6311">
        <w:t xml:space="preserve"> </w:t>
      </w:r>
      <w:r w:rsidR="00905FEE">
        <w:t>thereafter</w:t>
      </w:r>
      <w:r w:rsidR="007E7851">
        <w:t xml:space="preserve"> </w:t>
      </w:r>
      <w:r w:rsidR="00EE6311">
        <w:t>for</w:t>
      </w:r>
      <w:r w:rsidR="00126476">
        <w:t xml:space="preserve"> the duration of the Consent Decree</w:t>
      </w:r>
      <w:r w:rsidR="007E0480">
        <w:t>.</w:t>
      </w:r>
      <w:r w:rsidRPr="00726C87">
        <w:t xml:space="preserve">  Each Compliance Report shall include a detailed description of the </w:t>
      </w:r>
      <w:r w:rsidR="00125D18">
        <w:t>Company</w:t>
      </w:r>
      <w:r w:rsidRPr="00726C87">
        <w:t>’</w:t>
      </w:r>
      <w:r w:rsidR="007E7851">
        <w:t>s</w:t>
      </w:r>
      <w:r w:rsidRPr="00726C87">
        <w:t xml:space="preserve"> efforts during the relevant period to comply with the terms and conditions of this Consent Decree and the TRS Rules.  At a minimum, each Compliance Report shall include:</w:t>
      </w:r>
      <w:bookmarkEnd w:id="52"/>
    </w:p>
    <w:p w:rsidR="00344584" w:rsidRPr="00726C87" w:rsidP="007869FB">
      <w:pPr>
        <w:numPr>
          <w:ilvl w:val="4"/>
          <w:numId w:val="11"/>
        </w:numPr>
        <w:tabs>
          <w:tab w:val="clear" w:pos="2448"/>
        </w:tabs>
        <w:spacing w:after="120"/>
        <w:ind w:left="1890" w:hanging="450"/>
      </w:pPr>
      <w:r w:rsidRPr="00726C87">
        <w:t xml:space="preserve">A detailed description of all incidents of </w:t>
      </w:r>
      <w:r w:rsidR="00747F99">
        <w:t xml:space="preserve">reported </w:t>
      </w:r>
      <w:r w:rsidR="000D1AFD">
        <w:t>and/</w:t>
      </w:r>
      <w:r w:rsidR="00747F99">
        <w:t>or investigated</w:t>
      </w:r>
      <w:r w:rsidR="00BB70B8">
        <w:t xml:space="preserve"> </w:t>
      </w:r>
      <w:r w:rsidRPr="00726C87">
        <w:t>noncompliance identified since the last Compliance Report was filed and the date</w:t>
      </w:r>
      <w:r w:rsidR="00BB70B8">
        <w:t xml:space="preserve">, if </w:t>
      </w:r>
      <w:r w:rsidR="00B61B1A">
        <w:t>applicable</w:t>
      </w:r>
      <w:r w:rsidR="00BB70B8">
        <w:t xml:space="preserve">, </w:t>
      </w:r>
      <w:r w:rsidRPr="00726C87">
        <w:t>such incidents were reported to the Commission pursuant to paragraph</w:t>
      </w:r>
      <w:r w:rsidR="00BA7945">
        <w:t xml:space="preserve"> </w:t>
      </w:r>
      <w:r w:rsidR="00BA7945">
        <w:fldChar w:fldCharType="begin"/>
      </w:r>
      <w:r w:rsidR="00BA7945">
        <w:instrText xml:space="preserve"> REF _Ref518308552 \r \h </w:instrText>
      </w:r>
      <w:r w:rsidR="00BA7945">
        <w:fldChar w:fldCharType="separate"/>
      </w:r>
      <w:r w:rsidR="00C56A5E">
        <w:t>24</w:t>
      </w:r>
      <w:r w:rsidR="00BA7945">
        <w:fldChar w:fldCharType="end"/>
      </w:r>
      <w:r w:rsidRPr="00726C87">
        <w:t>.</w:t>
      </w:r>
    </w:p>
    <w:p w:rsidR="00344584" w:rsidRPr="00726C87" w:rsidP="007869FB">
      <w:pPr>
        <w:numPr>
          <w:ilvl w:val="4"/>
          <w:numId w:val="11"/>
        </w:numPr>
        <w:tabs>
          <w:tab w:val="clear" w:pos="2448"/>
        </w:tabs>
        <w:spacing w:after="120"/>
        <w:ind w:left="1890" w:hanging="450"/>
      </w:pPr>
      <w:r w:rsidRPr="00726C87">
        <w:t xml:space="preserve">A certification by the Compliance Officer, as an agent of and on behalf of </w:t>
      </w:r>
      <w:r w:rsidR="009050C0">
        <w:t>Global</w:t>
      </w:r>
      <w:r w:rsidRPr="00726C87">
        <w:t>, stating that he or she has</w:t>
      </w:r>
      <w:r w:rsidR="009050C0">
        <w:t xml:space="preserve"> personal knowledge that: (i) Global has </w:t>
      </w:r>
      <w:r w:rsidRPr="00726C87">
        <w:t xml:space="preserve">established and implemented the Compliance Plan; (ii) </w:t>
      </w:r>
      <w:r w:rsidR="009050C0">
        <w:t xml:space="preserve">Global has </w:t>
      </w:r>
      <w:r w:rsidRPr="00726C87">
        <w:t xml:space="preserve">utilized the </w:t>
      </w:r>
      <w:r w:rsidR="00906051">
        <w:t>Operating Procedures</w:t>
      </w:r>
      <w:r w:rsidRPr="00726C87">
        <w:t xml:space="preserve"> </w:t>
      </w:r>
      <w:r w:rsidR="00BB70B8">
        <w:t xml:space="preserve">consistently and exclusively </w:t>
      </w:r>
      <w:r w:rsidRPr="00726C87">
        <w:t xml:space="preserve">since the implementation of the Compliance Plan; and (iii) no </w:t>
      </w:r>
      <w:r w:rsidR="000D1AFD">
        <w:t>reported and/or investigated</w:t>
      </w:r>
      <w:r w:rsidR="00BB70B8">
        <w:t xml:space="preserve"> </w:t>
      </w:r>
      <w:r w:rsidRPr="00726C87">
        <w:t xml:space="preserve">instances of material noncompliance with the terms and conditions of this Consent Decree have occurred, including </w:t>
      </w:r>
      <w:r w:rsidR="00623E75">
        <w:t xml:space="preserve">noncompliance with </w:t>
      </w:r>
      <w:r w:rsidRPr="00726C87">
        <w:t>the reporting obligations set forth in paragraph</w:t>
      </w:r>
      <w:r w:rsidR="009050C0">
        <w:t xml:space="preserve"> </w:t>
      </w:r>
      <w:r w:rsidRPr="003056A4" w:rsidR="00361C82">
        <w:t>2</w:t>
      </w:r>
      <w:r w:rsidRPr="003056A4" w:rsidR="003056A4">
        <w:t>4</w:t>
      </w:r>
      <w:r w:rsidR="0042128E">
        <w:t xml:space="preserve"> </w:t>
      </w:r>
      <w:r w:rsidRPr="00726C87">
        <w:t>of this Consent Decree, that have not been reported to the Commission.</w:t>
      </w:r>
    </w:p>
    <w:p w:rsidR="00344584" w:rsidRPr="00726C87" w:rsidP="00344584">
      <w:pPr>
        <w:numPr>
          <w:ilvl w:val="5"/>
          <w:numId w:val="11"/>
        </w:numPr>
        <w:spacing w:after="120"/>
        <w:ind w:left="2160"/>
      </w:pPr>
      <w:r w:rsidRPr="00726C87">
        <w:t>The Compliance Officer’s certification shall be accompanied by a statement explaining the basis for such certification, shall comply with Section 1.16 of the Rules, and shall be subscribed to as true under penalty of perjury in the form set forth therein.</w:t>
      </w:r>
      <w:r>
        <w:rPr>
          <w:rStyle w:val="FootnoteReference"/>
        </w:rPr>
        <w:footnoteReference w:id="44"/>
      </w:r>
      <w:r w:rsidRPr="00726C87">
        <w:t xml:space="preserve"> </w:t>
      </w:r>
    </w:p>
    <w:p w:rsidR="00344584" w:rsidRPr="00726C87" w:rsidP="00344584">
      <w:pPr>
        <w:numPr>
          <w:ilvl w:val="5"/>
          <w:numId w:val="11"/>
        </w:numPr>
        <w:spacing w:after="120"/>
        <w:ind w:left="2160"/>
      </w:pPr>
      <w:r w:rsidRPr="00726C87">
        <w:t xml:space="preserve">If the Compliance Officer cannot provide the requisite certification, he or she, as an agent of and on behalf of </w:t>
      </w:r>
      <w:r w:rsidR="009050C0">
        <w:t>Global</w:t>
      </w:r>
      <w:r w:rsidRPr="00726C87">
        <w:t xml:space="preserve">, shall provide the Commission with a </w:t>
      </w:r>
      <w:r w:rsidRPr="00726C87">
        <w:t xml:space="preserve">detailed explanation of the reason(s) why not and describe fully: (i) each instance of </w:t>
      </w:r>
      <w:r w:rsidR="000D1AFD">
        <w:t>reported and/or investigated</w:t>
      </w:r>
      <w:r w:rsidR="00BB70B8">
        <w:t xml:space="preserve"> </w:t>
      </w:r>
      <w:r w:rsidRPr="00726C87">
        <w:t xml:space="preserve">noncompliance; (ii) the steps that </w:t>
      </w:r>
      <w:r w:rsidR="009050C0">
        <w:t xml:space="preserve">Global has </w:t>
      </w:r>
      <w:r w:rsidRPr="00726C87">
        <w:t xml:space="preserve">taken or will take to remedy such noncompliance, including the schedule on which proposed remedial actions will be taken; and (iii) the steps that </w:t>
      </w:r>
      <w:r w:rsidR="009050C0">
        <w:t xml:space="preserve">Global has </w:t>
      </w:r>
      <w:r w:rsidRPr="00726C87">
        <w:t xml:space="preserve">taken or will take to prevent the recurrence of any such noncompliance, including the schedule on which such preventive action will be taken.  </w:t>
      </w:r>
    </w:p>
    <w:p w:rsidR="00895C1B" w:rsidRPr="008A17D2" w:rsidP="00BE5623">
      <w:pPr>
        <w:numPr>
          <w:ilvl w:val="4"/>
          <w:numId w:val="11"/>
        </w:numPr>
        <w:tabs>
          <w:tab w:val="clear" w:pos="2448"/>
        </w:tabs>
        <w:spacing w:after="120"/>
        <w:ind w:left="1890" w:hanging="450"/>
        <w:rPr>
          <w:b/>
          <w:u w:val="single"/>
        </w:rPr>
      </w:pPr>
      <w:r w:rsidRPr="00726C87">
        <w:t xml:space="preserve">All Compliance Reports shall be submitted to the Chief, Telecommunications Consumer Division, Enforcement Bureau, Federal Communications Commission, 445 12th Street, SW, Washington, DC 20554, with a copy submitted electronically to the Deputy Chief, Telecommunications Consumers Division (TRS), Enforcement Bureau via e-mail to </w:t>
      </w:r>
      <w:hyperlink r:id="rId10" w:history="1">
        <w:r w:rsidRPr="00905264">
          <w:rPr>
            <w:rStyle w:val="Hyperlink"/>
          </w:rPr>
          <w:t>fccebaccess@fcc.gov</w:t>
        </w:r>
      </w:hyperlink>
      <w:r w:rsidRPr="00726C87">
        <w:t>.</w:t>
      </w:r>
    </w:p>
    <w:p w:rsidR="00344584" w:rsidRPr="00726C87" w:rsidP="00344584">
      <w:pPr>
        <w:pStyle w:val="ParaNum"/>
      </w:pPr>
      <w:r w:rsidRPr="00726C87">
        <w:rPr>
          <w:b/>
          <w:bCs/>
          <w:u w:val="single"/>
        </w:rPr>
        <w:t>Termination Date</w:t>
      </w:r>
      <w:r w:rsidRPr="00726C87">
        <w:t>.  Unless stated otherwise, the requirements set forth in paragraph</w:t>
      </w:r>
      <w:r w:rsidR="00785488">
        <w:t xml:space="preserve"> </w:t>
      </w:r>
      <w:r w:rsidR="00AE7D81">
        <w:t>2</w:t>
      </w:r>
      <w:r w:rsidR="00DA69A0">
        <w:t>1</w:t>
      </w:r>
      <w:r w:rsidR="00785488">
        <w:t xml:space="preserve"> </w:t>
      </w:r>
      <w:r w:rsidRPr="00726C87">
        <w:t xml:space="preserve">shall expire 60 months after </w:t>
      </w:r>
      <w:r w:rsidR="005B171E">
        <w:t xml:space="preserve">Global has demonstrated to the FCC its compliance with the terms of this Consent Decree.  </w:t>
      </w:r>
    </w:p>
    <w:p w:rsidR="00935C62" w:rsidRPr="00935C62" w:rsidP="00607D76">
      <w:pPr>
        <w:pStyle w:val="ParaNum"/>
      </w:pPr>
      <w:bookmarkStart w:id="53" w:name="_Ref471975848"/>
      <w:r w:rsidRPr="69AEA9D9">
        <w:rPr>
          <w:b/>
          <w:bCs/>
          <w:u w:val="single"/>
        </w:rPr>
        <w:t xml:space="preserve">TRS </w:t>
      </w:r>
      <w:r w:rsidRPr="69AEA9D9" w:rsidR="00344584">
        <w:rPr>
          <w:b/>
          <w:bCs/>
          <w:u w:val="single"/>
        </w:rPr>
        <w:t>Fund Reimbursement</w:t>
      </w:r>
      <w:r w:rsidRPr="00726C87" w:rsidR="00344584">
        <w:t xml:space="preserve">.  </w:t>
      </w:r>
      <w:r w:rsidR="00B07279">
        <w:t>Global</w:t>
      </w:r>
      <w:r w:rsidR="00712C26">
        <w:t xml:space="preserve"> shall</w:t>
      </w:r>
      <w:r>
        <w:t xml:space="preserve"> </w:t>
      </w:r>
      <w:r w:rsidR="002E0BC1">
        <w:t xml:space="preserve">reimburse the TRS Fund the </w:t>
      </w:r>
      <w:r w:rsidR="009F0090">
        <w:t xml:space="preserve">amount </w:t>
      </w:r>
      <w:r w:rsidR="002E0BC1">
        <w:t xml:space="preserve">of </w:t>
      </w:r>
      <w:r w:rsidRPr="009E2F5C" w:rsidR="002E0BC1">
        <w:t>$</w:t>
      </w:r>
      <w:r w:rsidRPr="00A8245D" w:rsidR="00C821FA">
        <w:t>177,649.88</w:t>
      </w:r>
      <w:r w:rsidRPr="009E2F5C" w:rsidR="002E0BC1">
        <w:t>.</w:t>
      </w:r>
      <w:r w:rsidR="002E0BC1">
        <w:t xml:space="preserve"> </w:t>
      </w:r>
      <w:r w:rsidRPr="00E66163" w:rsidR="00E66163">
        <w:t xml:space="preserve"> </w:t>
      </w:r>
      <w:r w:rsidRPr="002A1767" w:rsidR="002A1767">
        <w:t>Global acknowledges and agrees that upon execution of this Consent Decree, the amount of the reimbursement is a “Claim” or “Debt” as defined in 31 U.S.C. § 3701(b)(1).</w:t>
      </w:r>
      <w:r w:rsidR="002A1767">
        <w:t xml:space="preserve">  </w:t>
      </w:r>
      <w:r w:rsidRPr="00E66163" w:rsidR="00E66163">
        <w:t xml:space="preserve">Global </w:t>
      </w:r>
      <w:r w:rsidR="002A1767">
        <w:t>further agrees</w:t>
      </w:r>
      <w:r w:rsidRPr="00E66163" w:rsidR="00E66163">
        <w:t xml:space="preserve"> that the Debt</w:t>
      </w:r>
      <w:r w:rsidR="00603A6D">
        <w:t xml:space="preserve"> shall</w:t>
      </w:r>
      <w:r w:rsidR="009F0090">
        <w:t xml:space="preserve">, to the maximum extent possible, </w:t>
      </w:r>
      <w:r w:rsidRPr="00E66163" w:rsidR="00E66163">
        <w:t>be satisfied by administrative offset</w:t>
      </w:r>
      <w:r w:rsidR="002A1767">
        <w:t xml:space="preserve"> from funds held by the TRS Fund Administrator</w:t>
      </w:r>
      <w:r w:rsidR="00AC113D">
        <w:t>.  The Commission will initiate</w:t>
      </w:r>
      <w:r w:rsidR="002A1767">
        <w:t xml:space="preserve"> the administra</w:t>
      </w:r>
      <w:r w:rsidRPr="00E66163" w:rsidR="00E66163">
        <w:t>ti</w:t>
      </w:r>
      <w:r w:rsidR="002A1767">
        <w:t>ve offset</w:t>
      </w:r>
      <w:r w:rsidRPr="00E66163" w:rsidR="00E66163">
        <w:t xml:space="preserve"> on the Effective Date. </w:t>
      </w:r>
      <w:r w:rsidR="0091752A">
        <w:t xml:space="preserve"> </w:t>
      </w:r>
      <w:r w:rsidR="00483DB8">
        <w:t xml:space="preserve">  </w:t>
      </w:r>
      <w:r w:rsidR="00BC7B74">
        <w:t xml:space="preserve">  </w:t>
      </w:r>
      <w:r w:rsidR="002E418D">
        <w:t xml:space="preserve"> </w:t>
      </w:r>
    </w:p>
    <w:p w:rsidR="00BC7B74" w:rsidP="003C7C2E">
      <w:pPr>
        <w:pStyle w:val="ParaNum"/>
      </w:pPr>
      <w:bookmarkStart w:id="54" w:name="_Ref471975860"/>
      <w:bookmarkEnd w:id="53"/>
      <w:r w:rsidRPr="00483DB8">
        <w:rPr>
          <w:b/>
          <w:bCs/>
          <w:u w:val="single"/>
        </w:rPr>
        <w:t>Settlement Amount</w:t>
      </w:r>
      <w:bookmarkEnd w:id="54"/>
      <w:r w:rsidR="00137610">
        <w:rPr>
          <w:b/>
          <w:bCs/>
          <w:u w:val="single"/>
        </w:rPr>
        <w:t>:</w:t>
      </w:r>
      <w:r w:rsidRPr="008E251E" w:rsidR="008E251E">
        <w:t xml:space="preserve"> </w:t>
      </w:r>
      <w:r w:rsidR="00163E8D">
        <w:t xml:space="preserve"> </w:t>
      </w:r>
      <w:r w:rsidRPr="000C72B6" w:rsidR="004318CE">
        <w:t>Global will pay a civil penalty to the United States Treasury in the amount of seventy-five thousand dollars ($75,000).  Global will pay the civil penalty in installments, with the first installment of twenty-five thousand dollars ($25,000) to be paid on the Effective Date through an administrative offset from funds currently held by the TRS Fund Administrator. The remaining fifty thousand dollars ($50,000) plus interest, at the rate of five (5) percent per annum on the unpaid amount of the aggregate installment payments, commencing on the Effective Date, shall be payable in ten (10) monthly installment payments through administrative offsets from monthly TRS reimbursements due to Global beginning with the payment made by the TRS Fund Administrator in February 2019.   Accrued and unpaid interest sha</w:t>
      </w:r>
      <w:r w:rsidR="00C47761">
        <w:t>ll</w:t>
      </w:r>
      <w:r w:rsidRPr="000C72B6" w:rsidR="004318CE">
        <w:t xml:space="preserve"> be paid with each monthly installment.  To the extent that any monthly installment together with accrued interest cannot be satisfied by administrative offset as described herein, the TRS Administrator shall notify Global in writing of the shortfall for a particular month and Global shall, within ten (10) calendar days after the date of such notification, pay to the Commission the amount of the shortfall.  The Commission will forward all Global installment payments to the United States Treasury.</w:t>
      </w:r>
      <w:r w:rsidR="009E1D7C">
        <w:t xml:space="preserve">  </w:t>
      </w:r>
      <w:r w:rsidRPr="00AC113D" w:rsidR="00AC113D">
        <w:t xml:space="preserve">  </w:t>
      </w:r>
    </w:p>
    <w:bookmarkEnd w:id="20"/>
    <w:p w:rsidR="00344584" w:rsidRPr="00726C87" w:rsidP="00344584">
      <w:pPr>
        <w:pStyle w:val="ParaNum"/>
      </w:pPr>
      <w:r w:rsidRPr="00726C87">
        <w:rPr>
          <w:b/>
          <w:bCs/>
          <w:u w:val="single"/>
        </w:rPr>
        <w:t>Event of Default</w:t>
      </w:r>
      <w:r w:rsidRPr="00726C87">
        <w:rPr>
          <w:i/>
          <w:iCs/>
        </w:rPr>
        <w:t>.</w:t>
      </w:r>
      <w:r w:rsidRPr="00726C87">
        <w:t xml:space="preserve">  The Parties agree that an Event of Default shall occur upon failure by the </w:t>
      </w:r>
      <w:r w:rsidR="00125D18">
        <w:t>Company</w:t>
      </w:r>
      <w:r w:rsidRPr="00726C87">
        <w:t xml:space="preserve"> to pay any amount due under the terms of the Consent Decree.   </w:t>
      </w:r>
    </w:p>
    <w:p w:rsidR="00344584" w:rsidRPr="00726C87" w:rsidP="00344584">
      <w:pPr>
        <w:pStyle w:val="ParaNum"/>
      </w:pPr>
      <w:r w:rsidRPr="00726C87">
        <w:rPr>
          <w:b/>
          <w:bCs/>
          <w:u w:val="single"/>
        </w:rPr>
        <w:t>Interest, Charges for Collection, and Acceleration of Maturity Date</w:t>
      </w:r>
      <w:r w:rsidRPr="008A17D2">
        <w:t>.</w:t>
      </w:r>
      <w:r w:rsidRPr="00726C87">
        <w:t xml:space="preserve">  Upon an Event of Default, all procedures for collection permitted by the DCIA and other provisions of law</w:t>
      </w:r>
      <w:r>
        <w:rPr>
          <w:rStyle w:val="FootnoteReference"/>
        </w:rPr>
        <w:footnoteReference w:id="45"/>
      </w:r>
      <w:r w:rsidRPr="00726C87">
        <w:t xml:space="preserve"> </w:t>
      </w:r>
      <w:r w:rsidR="007D6261">
        <w:t>shall</w:t>
      </w:r>
      <w:r w:rsidRPr="00726C87">
        <w:t xml:space="preserve">, at the Commission’s discretion, which result in the following becoming immediately due and payable: (a) any unpaid amount under </w:t>
      </w:r>
      <w:r w:rsidR="007D6261">
        <w:t>this Consent Decree</w:t>
      </w:r>
      <w:r w:rsidRPr="00726C87">
        <w:t xml:space="preserve">, which shall accrue interest at a rate of </w:t>
      </w:r>
      <w:r w:rsidR="00762088">
        <w:t>8</w:t>
      </w:r>
      <w:r w:rsidRPr="00726C87">
        <w:t xml:space="preserve"> percent  per annum from the date of the Event of Default until payment in full; (b) any penalties permitted and/or required by the law, including but not limited to 31 U.S.C. § 3717; and (c) any administrative charge(s), including the costs of collection, litigation, and attorneys’ fees.</w:t>
      </w:r>
    </w:p>
    <w:p w:rsidR="00344584" w:rsidRPr="00726C87" w:rsidP="00370153">
      <w:pPr>
        <w:pStyle w:val="ParaNum"/>
      </w:pPr>
      <w:r w:rsidRPr="00726C87">
        <w:rPr>
          <w:b/>
          <w:bCs/>
          <w:u w:val="single"/>
        </w:rPr>
        <w:t>Waivers</w:t>
      </w:r>
      <w:r w:rsidRPr="00726C87">
        <w:t xml:space="preserve">.  As of the Effective Date, the </w:t>
      </w:r>
      <w:r w:rsidR="00125D18">
        <w:t>Company</w:t>
      </w:r>
      <w:r w:rsidRPr="00726C87">
        <w:t xml:space="preserve"> waive</w:t>
      </w:r>
      <w:r w:rsidR="005426DD">
        <w:t>s</w:t>
      </w:r>
      <w:r w:rsidRPr="00726C87">
        <w:t xml:space="preserve"> any and all rights they may have to seek administrative or judicial reconsideration, review, appeal or stay, or to otherwise challenge or contest the validity of this Consent Decree and the Adopting Order.  The </w:t>
      </w:r>
      <w:r w:rsidR="00125D18">
        <w:t>Company</w:t>
      </w:r>
      <w:r w:rsidRPr="00726C87">
        <w:t xml:space="preserve"> shall retain the right to challenge Commission interpretation of the Consent Decree or any terms contained herein.  If </w:t>
      </w:r>
      <w:r w:rsidRPr="00726C87">
        <w:t xml:space="preserve">either Party (or the United States on behalf of the Commission) brings a judicial action to enforce the terms of the Consent Decree or the Adopting Order, neither the </w:t>
      </w:r>
      <w:r w:rsidR="00125D18">
        <w:t>Company</w:t>
      </w:r>
      <w:r w:rsidRPr="00726C87">
        <w:t xml:space="preserve"> nor the Commission shall contest the validity of the Consent Decree or the Adopting Order, and the </w:t>
      </w:r>
      <w:r w:rsidR="00125D18">
        <w:t>Company</w:t>
      </w:r>
      <w:r w:rsidRPr="00726C87">
        <w:t xml:space="preserve"> shall waive any statutory right to a trial </w:t>
      </w:r>
      <w:r w:rsidRPr="00726C87">
        <w:rPr>
          <w:i/>
          <w:iCs/>
        </w:rPr>
        <w:t>de novo</w:t>
      </w:r>
      <w:r w:rsidRPr="00726C87">
        <w:t xml:space="preserve">.  The </w:t>
      </w:r>
      <w:r w:rsidR="00125D18">
        <w:t>Company</w:t>
      </w:r>
      <w:r w:rsidRPr="00726C87">
        <w:t xml:space="preserve"> hereby agree</w:t>
      </w:r>
      <w:r w:rsidR="005426DD">
        <w:t>s</w:t>
      </w:r>
      <w:r w:rsidRPr="00726C87">
        <w:t xml:space="preserve"> to waive any claims </w:t>
      </w:r>
      <w:r w:rsidR="00623E75">
        <w:t>it</w:t>
      </w:r>
      <w:r w:rsidRPr="00726C87" w:rsidR="00623E75">
        <w:t xml:space="preserve"> </w:t>
      </w:r>
      <w:r w:rsidRPr="00726C87">
        <w:t>may otherwise have under the Equal Access to Justice Act</w:t>
      </w:r>
      <w:r>
        <w:rPr>
          <w:rStyle w:val="FootnoteReference"/>
        </w:rPr>
        <w:footnoteReference w:id="46"/>
      </w:r>
      <w:r w:rsidRPr="00726C87">
        <w:t xml:space="preserve"> relating to the matters addressed in this Consent Decree.  </w:t>
      </w:r>
    </w:p>
    <w:p w:rsidR="00344584" w:rsidRPr="00726C87" w:rsidP="00344584">
      <w:pPr>
        <w:pStyle w:val="ParaNum"/>
      </w:pPr>
      <w:r w:rsidRPr="00726C87">
        <w:rPr>
          <w:b/>
          <w:bCs/>
          <w:u w:val="single"/>
        </w:rPr>
        <w:t>Severability</w:t>
      </w:r>
      <w:r w:rsidRPr="00726C87">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44584" w:rsidRPr="00726C87" w:rsidP="00344584">
      <w:pPr>
        <w:pStyle w:val="ParaNum"/>
      </w:pPr>
      <w:r w:rsidRPr="00726C87">
        <w:rPr>
          <w:b/>
          <w:bCs/>
          <w:u w:val="single"/>
        </w:rPr>
        <w:t>Invalidity</w:t>
      </w:r>
      <w:r w:rsidRPr="00726C87">
        <w:t>.  In the event that this Consent Decree in its entirety is rendered invalid by any court of competent jurisdiction, it shall become null and void and may not be used in any manner in any legal proceeding.</w:t>
      </w:r>
    </w:p>
    <w:p w:rsidR="00344584" w:rsidRPr="00726C87" w:rsidP="00344584">
      <w:pPr>
        <w:pStyle w:val="ParaNum"/>
      </w:pPr>
      <w:r w:rsidRPr="00726C87">
        <w:rPr>
          <w:b/>
          <w:bCs/>
          <w:u w:val="single"/>
        </w:rPr>
        <w:t>Subsequent Rule or Order</w:t>
      </w:r>
      <w:r w:rsidRPr="00726C87">
        <w:t xml:space="preserve">.  The Parties agree that if any provision of the Consent Decree conflicts with any subsequent Rule or </w:t>
      </w:r>
      <w:r w:rsidR="00CC4392">
        <w:t>o</w:t>
      </w:r>
      <w:r w:rsidRPr="00726C87">
        <w:t xml:space="preserve">rder adopted by the Commission (except an </w:t>
      </w:r>
      <w:r w:rsidR="00CC4392">
        <w:t>o</w:t>
      </w:r>
      <w:r w:rsidRPr="00726C87">
        <w:t xml:space="preserve">rder specifically intended to revise the terms of this Consent Decree to which the </w:t>
      </w:r>
      <w:r w:rsidR="00125D18">
        <w:t>Company</w:t>
      </w:r>
      <w:r w:rsidRPr="00726C87">
        <w:t xml:space="preserve"> do</w:t>
      </w:r>
      <w:r w:rsidR="005B3288">
        <w:t>es</w:t>
      </w:r>
      <w:r w:rsidRPr="00726C87">
        <w:t xml:space="preserve"> not expressly consent), that provision will be superseded by such Rule or </w:t>
      </w:r>
      <w:r w:rsidR="00CC4392">
        <w:t>o</w:t>
      </w:r>
      <w:r w:rsidRPr="00726C87">
        <w:t>rder.</w:t>
      </w:r>
    </w:p>
    <w:p w:rsidR="00344584" w:rsidRPr="00726C87" w:rsidP="00344584">
      <w:pPr>
        <w:pStyle w:val="ParaNum"/>
      </w:pPr>
      <w:r w:rsidRPr="00726C87">
        <w:rPr>
          <w:b/>
          <w:bCs/>
          <w:u w:val="single"/>
        </w:rPr>
        <w:t>Successors and Assigns</w:t>
      </w:r>
      <w:r w:rsidRPr="00726C87">
        <w:t xml:space="preserve">.  The </w:t>
      </w:r>
      <w:r w:rsidR="00125D18">
        <w:t>Company</w:t>
      </w:r>
      <w:r w:rsidRPr="00726C87">
        <w:t xml:space="preserve"> agree</w:t>
      </w:r>
      <w:r w:rsidR="005B3288">
        <w:t>s</w:t>
      </w:r>
      <w:r w:rsidRPr="00726C87">
        <w:t xml:space="preserve"> that the provisions of this Consent Decree shall be binding on </w:t>
      </w:r>
      <w:r w:rsidR="00623E75">
        <w:t>its</w:t>
      </w:r>
      <w:r w:rsidRPr="00726C87" w:rsidR="00623E75">
        <w:t xml:space="preserve"> </w:t>
      </w:r>
      <w:r w:rsidRPr="00726C87">
        <w:t>successors, assigns, and transferees.</w:t>
      </w:r>
    </w:p>
    <w:p w:rsidR="00344584" w:rsidRPr="00726C87" w:rsidP="00344584">
      <w:pPr>
        <w:pStyle w:val="ParaNum"/>
      </w:pPr>
      <w:r w:rsidRPr="00726C87">
        <w:rPr>
          <w:b/>
          <w:bCs/>
          <w:u w:val="single"/>
        </w:rPr>
        <w:t>Final Settlement</w:t>
      </w:r>
      <w:r w:rsidRPr="00726C87">
        <w:t>.  The Parties agree and acknowledge that this Consent Decree shall constitute a final settlement between the Parties with respect to the Investigation.  </w:t>
      </w:r>
    </w:p>
    <w:p w:rsidR="00344584" w:rsidRPr="00726C87" w:rsidP="00344584">
      <w:pPr>
        <w:pStyle w:val="ParaNum"/>
      </w:pPr>
      <w:r w:rsidRPr="00726C87">
        <w:rPr>
          <w:b/>
          <w:bCs/>
          <w:u w:val="single"/>
        </w:rPr>
        <w:t>Modifications</w:t>
      </w:r>
      <w:r w:rsidRPr="00726C87">
        <w:t>.  This Consent Decree cannot be modified without the advance written consent of both Parties.</w:t>
      </w:r>
    </w:p>
    <w:p w:rsidR="00344584" w:rsidRPr="00726C87" w:rsidP="00344584">
      <w:pPr>
        <w:pStyle w:val="ParaNum"/>
      </w:pPr>
      <w:r w:rsidRPr="00726C87">
        <w:rPr>
          <w:b/>
          <w:bCs/>
          <w:u w:val="single"/>
        </w:rPr>
        <w:t>Paragraph Headings</w:t>
      </w:r>
      <w:r w:rsidRPr="00726C87">
        <w:t>.  The headings of the paragraphs in this Consent Decree are inserted for convenience only and are not intended to affect the meaning or interpretation of this Consent Decree.</w:t>
      </w:r>
    </w:p>
    <w:p w:rsidR="00344584" w:rsidRPr="00726C87" w:rsidP="00595D0F">
      <w:pPr>
        <w:pStyle w:val="ParaNum"/>
      </w:pPr>
      <w:r w:rsidRPr="00726C87">
        <w:rPr>
          <w:b/>
          <w:bCs/>
          <w:u w:val="single"/>
        </w:rPr>
        <w:t>Authorized Representative</w:t>
      </w:r>
      <w:r w:rsidRPr="00726C87">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E1C44" w:rsidP="00370153">
      <w:pPr>
        <w:pStyle w:val="ParaNum"/>
        <w:keepNext/>
        <w:keepLines/>
      </w:pPr>
      <w:r w:rsidRPr="00726C87">
        <w:rPr>
          <w:b/>
          <w:bCs/>
          <w:u w:val="single"/>
        </w:rPr>
        <w:t>Counterparts</w:t>
      </w:r>
      <w:r w:rsidRPr="00726C87">
        <w:t>.  This Consent Decree may be signed in counterpart (including electronically or by facsimile).  Each counterpart, when executed and delivered, shall be an original, and all of the counterparts together shall constitute one and the same fully executed instrument.</w:t>
      </w:r>
    </w:p>
    <w:p w:rsidR="00BE1C44" w:rsidP="00370153">
      <w:pPr>
        <w:keepNext/>
        <w:keepLines/>
      </w:pPr>
    </w:p>
    <w:p w:rsidR="00344584" w:rsidRPr="00726C87" w:rsidP="00370153">
      <w:pPr>
        <w:keepNext/>
        <w:keepLines/>
      </w:pPr>
    </w:p>
    <w:p w:rsidR="00344584" w:rsidRPr="00726C87" w:rsidP="00370153">
      <w:pPr>
        <w:keepNext/>
        <w:keepLines/>
      </w:pPr>
    </w:p>
    <w:p w:rsidR="00344584" w:rsidRPr="00726C87" w:rsidP="00370153">
      <w:pPr>
        <w:keepNext/>
        <w:keepLines/>
      </w:pPr>
    </w:p>
    <w:p w:rsidR="00344584" w:rsidRPr="00726C87" w:rsidP="00370153">
      <w:pPr>
        <w:keepNext/>
        <w:keepLines/>
        <w:rPr>
          <w:lang w:val="fr-FR"/>
        </w:rPr>
      </w:pPr>
      <w:r w:rsidRPr="00726C87">
        <w:rPr>
          <w:lang w:val="fr-FR"/>
        </w:rPr>
        <w:t>__________________________________________</w:t>
      </w:r>
    </w:p>
    <w:p w:rsidR="00721295" w:rsidP="00370153">
      <w:pPr>
        <w:keepNext/>
        <w:keepLines/>
      </w:pPr>
      <w:r>
        <w:t>Rosemary</w:t>
      </w:r>
      <w:r w:rsidR="00370153">
        <w:t xml:space="preserve"> C.</w:t>
      </w:r>
      <w:r>
        <w:t xml:space="preserve"> Harold</w:t>
      </w:r>
    </w:p>
    <w:p w:rsidR="00C8568D" w:rsidP="00370153">
      <w:pPr>
        <w:keepNext/>
        <w:keepLines/>
      </w:pPr>
      <w:r>
        <w:t>Chief</w:t>
      </w:r>
    </w:p>
    <w:p w:rsidR="00F5347B" w:rsidRPr="007C0B39" w:rsidP="00370153">
      <w:pPr>
        <w:keepNext/>
        <w:keepLines/>
      </w:pPr>
      <w:r w:rsidRPr="007C0B39">
        <w:t>Enforcement Bureau</w:t>
      </w:r>
    </w:p>
    <w:p w:rsidR="00344584" w:rsidRPr="00726C87" w:rsidP="00370153">
      <w:pPr>
        <w:keepNext/>
        <w:keepLines/>
      </w:pPr>
    </w:p>
    <w:p w:rsidR="00344584" w:rsidRPr="00726C87" w:rsidP="00370153">
      <w:pPr>
        <w:keepNext/>
        <w:keepLines/>
      </w:pPr>
    </w:p>
    <w:p w:rsidR="00344584" w:rsidRPr="00726C87" w:rsidP="00370153">
      <w:pPr>
        <w:keepNext/>
        <w:keepLines/>
      </w:pPr>
      <w:r w:rsidRPr="00726C87">
        <w:t>__________________________________________</w:t>
      </w:r>
    </w:p>
    <w:p w:rsidR="00344584" w:rsidRPr="00726C87" w:rsidP="00370153">
      <w:pPr>
        <w:keepNext/>
        <w:keepLines/>
      </w:pPr>
      <w:r w:rsidRPr="00726C87">
        <w:t>Date</w:t>
      </w:r>
    </w:p>
    <w:p w:rsidR="00344584" w:rsidRPr="00726C87" w:rsidP="00370153">
      <w:pPr>
        <w:keepNext/>
        <w:keepLines/>
      </w:pPr>
    </w:p>
    <w:p w:rsidR="00CD504A" w:rsidP="00370153">
      <w:pPr>
        <w:keepNext/>
        <w:keepLines/>
      </w:pPr>
    </w:p>
    <w:p w:rsidR="00CD504A" w:rsidRPr="00726C87" w:rsidP="00370153">
      <w:pPr>
        <w:keepNext/>
        <w:keepLines/>
      </w:pPr>
    </w:p>
    <w:p w:rsidR="00CD504A" w:rsidRPr="00726C87" w:rsidP="00370153">
      <w:pPr>
        <w:keepNext/>
        <w:keepLines/>
        <w:rPr>
          <w:lang w:val="fr-FR"/>
        </w:rPr>
      </w:pPr>
      <w:r w:rsidRPr="00726C87">
        <w:rPr>
          <w:lang w:val="fr-FR"/>
        </w:rPr>
        <w:t>__________________________________________</w:t>
      </w:r>
    </w:p>
    <w:p w:rsidR="00712729" w:rsidP="00370153">
      <w:pPr>
        <w:keepNext/>
        <w:keepLines/>
        <w:tabs>
          <w:tab w:val="center" w:pos="4680"/>
        </w:tabs>
        <w:suppressAutoHyphens/>
        <w:rPr>
          <w:spacing w:val="-2"/>
        </w:rPr>
      </w:pPr>
      <w:r>
        <w:rPr>
          <w:spacing w:val="-2"/>
        </w:rPr>
        <w:t>Angela Roth</w:t>
      </w:r>
    </w:p>
    <w:p w:rsidR="00712729" w:rsidP="00370153">
      <w:pPr>
        <w:keepNext/>
        <w:keepLines/>
        <w:tabs>
          <w:tab w:val="center" w:pos="4680"/>
        </w:tabs>
        <w:suppressAutoHyphens/>
        <w:rPr>
          <w:spacing w:val="-2"/>
        </w:rPr>
      </w:pPr>
      <w:r>
        <w:rPr>
          <w:spacing w:val="-2"/>
        </w:rPr>
        <w:t>Chief Executive Officer</w:t>
      </w:r>
    </w:p>
    <w:p w:rsidR="00A5358C" w:rsidRPr="00726C87" w:rsidP="00370153">
      <w:pPr>
        <w:keepNext/>
        <w:keepLines/>
        <w:tabs>
          <w:tab w:val="center" w:pos="4680"/>
        </w:tabs>
        <w:suppressAutoHyphens/>
        <w:rPr>
          <w:spacing w:val="-2"/>
        </w:rPr>
      </w:pPr>
      <w:r>
        <w:rPr>
          <w:spacing w:val="-2"/>
        </w:rPr>
        <w:t>ASL Services Holdings, LLC, dba GlobalVRS</w:t>
      </w:r>
    </w:p>
    <w:p w:rsidR="00CD504A" w:rsidP="00370153">
      <w:pPr>
        <w:keepNext/>
        <w:keepLines/>
      </w:pPr>
    </w:p>
    <w:p w:rsidR="00CD504A" w:rsidRPr="00726C87" w:rsidP="00370153">
      <w:pPr>
        <w:keepNext/>
        <w:keepLines/>
      </w:pPr>
    </w:p>
    <w:p w:rsidR="00344584" w:rsidP="00370153">
      <w:pPr>
        <w:keepNext/>
        <w:keepLines/>
      </w:pPr>
      <w:r w:rsidRPr="00726C87">
        <w:t>__________________________________________</w:t>
      </w:r>
    </w:p>
    <w:p w:rsidR="00A5358C" w:rsidRPr="00726C87" w:rsidP="00370153">
      <w:pPr>
        <w:keepNext/>
        <w:keepLines/>
      </w:pPr>
      <w:r>
        <w:t>Date</w:t>
      </w:r>
    </w:p>
    <w:sectPr w:rsidSect="004B4B01">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27" w:rsidP="0055614C">
    <w:pPr>
      <w:pStyle w:val="Footer"/>
      <w:framePr w:wrap="around" w:vAnchor="text" w:hAnchor="margin" w:xAlign="center" w:y="1"/>
    </w:pPr>
    <w:r>
      <w:fldChar w:fldCharType="begin"/>
    </w:r>
    <w:r>
      <w:instrText xml:space="preserve">PAGE  </w:instrText>
    </w:r>
    <w:r>
      <w:fldChar w:fldCharType="separate"/>
    </w:r>
    <w:r>
      <w:fldChar w:fldCharType="end"/>
    </w:r>
  </w:p>
  <w:p w:rsidR="0059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27" w:rsidP="00370153">
    <w:pPr>
      <w:pStyle w:val="Footer"/>
      <w:jc w:val="center"/>
    </w:pPr>
    <w:r>
      <w:fldChar w:fldCharType="begin"/>
    </w:r>
    <w:r>
      <w:instrText xml:space="preserve"> PAGE   \* MERGEFORMAT </w:instrText>
    </w:r>
    <w:r>
      <w:fldChar w:fldCharType="separate"/>
    </w:r>
    <w:r w:rsidR="002E14A2">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2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5688">
      <w:r>
        <w:separator/>
      </w:r>
    </w:p>
  </w:footnote>
  <w:footnote w:type="continuationSeparator" w:id="1">
    <w:p w:rsidR="00C85688" w:rsidP="00C721AC">
      <w:pPr>
        <w:spacing w:before="120"/>
        <w:rPr>
          <w:sz w:val="20"/>
        </w:rPr>
      </w:pPr>
      <w:r>
        <w:rPr>
          <w:sz w:val="20"/>
        </w:rPr>
        <w:t xml:space="preserve">(Continued from previous page)  </w:t>
      </w:r>
      <w:r>
        <w:rPr>
          <w:sz w:val="20"/>
        </w:rPr>
        <w:separator/>
      </w:r>
    </w:p>
  </w:footnote>
  <w:footnote w:type="continuationNotice" w:id="2">
    <w:p w:rsidR="00C85688" w:rsidRPr="000A15CF" w:rsidP="000A15CF">
      <w:pPr>
        <w:pStyle w:val="Footer"/>
      </w:pPr>
    </w:p>
  </w:footnote>
  <w:footnote w:id="3">
    <w:p w:rsidR="004B4B01" w:rsidRPr="00D84548" w:rsidP="004B4B01">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225</w:t>
      </w:r>
      <w:r w:rsidRPr="00D84548">
        <w:rPr>
          <w:szCs w:val="22"/>
        </w:rPr>
        <w:t>.</w:t>
      </w:r>
      <w:r w:rsidRPr="00D84548">
        <w:rPr>
          <w:szCs w:val="22"/>
        </w:rPr>
        <w:tab/>
      </w:r>
    </w:p>
  </w:footnote>
  <w:footnote w:id="4">
    <w:p w:rsidR="004B4B01" w:rsidRPr="00D84548" w:rsidP="004B4B01">
      <w:pPr>
        <w:pStyle w:val="FootnoteText"/>
      </w:pPr>
      <w:r w:rsidRPr="00D84548">
        <w:rPr>
          <w:rStyle w:val="FootnoteReference"/>
        </w:rPr>
        <w:footnoteRef/>
      </w:r>
      <w:r w:rsidRPr="00D84548">
        <w:t xml:space="preserve"> </w:t>
      </w:r>
      <w:r>
        <w:rPr>
          <w:szCs w:val="22"/>
        </w:rPr>
        <w:t xml:space="preserve">47 CFR § 64.601 </w:t>
      </w:r>
      <w:r>
        <w:rPr>
          <w:i/>
          <w:szCs w:val="22"/>
        </w:rPr>
        <w:t>et seq.</w:t>
      </w:r>
      <w:r>
        <w:rPr>
          <w:szCs w:val="22"/>
        </w:rPr>
        <w:t xml:space="preserve"> </w:t>
      </w:r>
    </w:p>
  </w:footnote>
  <w:footnote w:id="5">
    <w:p w:rsidR="004B4B01" w:rsidP="004B4B01">
      <w:pPr>
        <w:pStyle w:val="FootnoteText"/>
      </w:pPr>
      <w:r>
        <w:rPr>
          <w:rStyle w:val="FootnoteReference"/>
        </w:rPr>
        <w:footnoteRef/>
      </w:r>
      <w:r>
        <w:t xml:space="preserve"> 47 U.S.C. </w:t>
      </w:r>
      <w:r>
        <w:rPr>
          <w:szCs w:val="22"/>
        </w:rPr>
        <w:t>§ 154(i).</w:t>
      </w:r>
    </w:p>
  </w:footnote>
  <w:footnote w:id="6">
    <w:p w:rsidR="004B4B01" w:rsidRPr="00F74D07" w:rsidP="004B4B01">
      <w:pPr>
        <w:pStyle w:val="FootnoteText"/>
      </w:pPr>
      <w:r>
        <w:rPr>
          <w:rStyle w:val="FootnoteReference"/>
        </w:rPr>
        <w:footnoteRef/>
      </w:r>
      <w:r>
        <w:t xml:space="preserve"> </w:t>
      </w:r>
      <w:r>
        <w:rPr>
          <w:i/>
        </w:rPr>
        <w:t xml:space="preserve">See </w:t>
      </w:r>
      <w:r>
        <w:t>47 CFR § 1.93(b).</w:t>
      </w:r>
    </w:p>
  </w:footnote>
  <w:footnote w:id="7">
    <w:p w:rsidR="004B4B01" w:rsidP="004B4B01">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594727" w:rsidRPr="00001D24" w:rsidP="00344584">
      <w:pPr>
        <w:pStyle w:val="FootnoteText"/>
      </w:pPr>
      <w:r w:rsidRPr="00001D24">
        <w:rPr>
          <w:rStyle w:val="FootnoteReference"/>
        </w:rPr>
        <w:footnoteRef/>
      </w:r>
      <w:r w:rsidRPr="00001D24">
        <w:t xml:space="preserve"> 47 U.S.C. § 151 </w:t>
      </w:r>
      <w:r w:rsidRPr="00001D24">
        <w:rPr>
          <w:i/>
          <w:iCs/>
        </w:rPr>
        <w:t>et seq.</w:t>
      </w:r>
    </w:p>
  </w:footnote>
  <w:footnote w:id="9">
    <w:p w:rsidR="009344F5">
      <w:pPr>
        <w:pStyle w:val="FootnoteText"/>
      </w:pPr>
      <w:r>
        <w:rPr>
          <w:rStyle w:val="FootnoteReference"/>
        </w:rPr>
        <w:footnoteRef/>
      </w:r>
      <w:r>
        <w:t xml:space="preserve"> </w:t>
      </w:r>
      <w:r w:rsidRPr="009344F5">
        <w:rPr>
          <w:i/>
        </w:rPr>
        <w:t>See</w:t>
      </w:r>
      <w:r w:rsidRPr="009344F5">
        <w:t xml:space="preserve"> 47 CFR § 64.604(c)(5)(iii)(D)(</w:t>
      </w:r>
      <w:r w:rsidRPr="009344F5">
        <w:rPr>
          <w:i/>
        </w:rPr>
        <w:t>2</w:t>
      </w:r>
      <w:r w:rsidRPr="009344F5">
        <w:t>).</w:t>
      </w:r>
    </w:p>
  </w:footnote>
  <w:footnote w:id="10">
    <w:p w:rsidR="00594727" w:rsidRPr="00001D24" w:rsidP="00344584">
      <w:pPr>
        <w:pStyle w:val="FootnoteText"/>
      </w:pPr>
      <w:r w:rsidRPr="00001D24">
        <w:rPr>
          <w:rStyle w:val="FootnoteReference"/>
        </w:rPr>
        <w:footnoteRef/>
      </w:r>
      <w:r w:rsidRPr="00001D24">
        <w:t xml:space="preserve"> </w:t>
      </w:r>
      <w:r w:rsidRPr="00001D24">
        <w:rPr>
          <w:i/>
        </w:rPr>
        <w:t>See</w:t>
      </w:r>
      <w:r w:rsidRPr="00001D24">
        <w:t xml:space="preserve"> 47 CFR</w:t>
      </w:r>
      <w:bookmarkStart w:id="2" w:name="_Hlk517787087"/>
      <w:r w:rsidRPr="00001D24">
        <w:t xml:space="preserve"> § </w:t>
      </w:r>
      <w:bookmarkEnd w:id="2"/>
      <w:r w:rsidRPr="00001D24">
        <w:t>64.604(c)(5)(iii)(D)(</w:t>
      </w:r>
      <w:r w:rsidRPr="006D1562" w:rsidR="00285A6A">
        <w:rPr>
          <w:i/>
        </w:rPr>
        <w:t>7</w:t>
      </w:r>
      <w:r w:rsidRPr="000C25EB">
        <w:t>).</w:t>
      </w:r>
    </w:p>
  </w:footnote>
  <w:footnote w:id="11">
    <w:p w:rsidR="00594727" w:rsidRPr="00D83234" w:rsidP="00344584">
      <w:pPr>
        <w:pStyle w:val="FootnoteText"/>
      </w:pPr>
      <w:r w:rsidRPr="00001D24">
        <w:rPr>
          <w:rStyle w:val="FootnoteReference"/>
        </w:rPr>
        <w:footnoteRef/>
      </w:r>
      <w:r w:rsidRPr="00001D24">
        <w:t xml:space="preserve"> </w:t>
      </w:r>
      <w:r w:rsidRPr="00001D24">
        <w:rPr>
          <w:i/>
          <w:szCs w:val="22"/>
        </w:rPr>
        <w:t xml:space="preserve">See </w:t>
      </w:r>
      <w:r w:rsidRPr="00001D24">
        <w:rPr>
          <w:szCs w:val="22"/>
        </w:rPr>
        <w:t xml:space="preserve">47 CFR § </w:t>
      </w:r>
      <w:r w:rsidRPr="00001D24">
        <w:t>64.604(c)(5)(iii)(D)(</w:t>
      </w:r>
      <w:r>
        <w:rPr>
          <w:i/>
          <w:iCs/>
        </w:rPr>
        <w:t>2</w:t>
      </w:r>
      <w:r w:rsidRPr="00001D24">
        <w:t xml:space="preserve">).  </w:t>
      </w:r>
    </w:p>
  </w:footnote>
  <w:footnote w:id="12">
    <w:p w:rsidR="00594727" w:rsidRPr="00001D24" w:rsidP="00344584">
      <w:pPr>
        <w:pStyle w:val="FootnoteText"/>
      </w:pPr>
      <w:r w:rsidRPr="00001D24">
        <w:rPr>
          <w:rStyle w:val="FootnoteReference"/>
        </w:rPr>
        <w:footnoteRef/>
      </w:r>
      <w:r w:rsidRPr="00001D24">
        <w:t xml:space="preserve"> </w:t>
      </w:r>
      <w:r w:rsidRPr="00001D24">
        <w:rPr>
          <w:i/>
        </w:rPr>
        <w:t>See</w:t>
      </w:r>
      <w:r w:rsidRPr="00001D24">
        <w:t xml:space="preserve"> 47 CFR § 64.604(c)(5)(iii).</w:t>
      </w:r>
    </w:p>
  </w:footnote>
  <w:footnote w:id="13">
    <w:p w:rsidR="00594727" w:rsidRPr="00001D24" w:rsidP="00344584">
      <w:pPr>
        <w:pStyle w:val="FootnoteText"/>
      </w:pPr>
      <w:r w:rsidRPr="00001D24">
        <w:rPr>
          <w:rStyle w:val="FootnoteReference"/>
        </w:rPr>
        <w:footnoteRef/>
      </w:r>
      <w:r w:rsidRPr="00001D24">
        <w:t xml:space="preserve"> </w:t>
      </w:r>
      <w:r w:rsidRPr="00001D24">
        <w:rPr>
          <w:i/>
          <w:szCs w:val="22"/>
        </w:rPr>
        <w:t>See</w:t>
      </w:r>
      <w:r w:rsidRPr="00001D24">
        <w:rPr>
          <w:szCs w:val="22"/>
        </w:rPr>
        <w:t xml:space="preserve"> </w:t>
      </w:r>
      <w:r>
        <w:rPr>
          <w:i/>
          <w:szCs w:val="22"/>
        </w:rPr>
        <w:t>i</w:t>
      </w:r>
      <w:r w:rsidRPr="00001D24">
        <w:rPr>
          <w:i/>
          <w:szCs w:val="22"/>
        </w:rPr>
        <w:t>d</w:t>
      </w:r>
      <w:r w:rsidRPr="00001D24">
        <w:rPr>
          <w:szCs w:val="22"/>
        </w:rPr>
        <w:t>.</w:t>
      </w:r>
    </w:p>
  </w:footnote>
  <w:footnote w:id="14">
    <w:p w:rsidR="00594727">
      <w:pPr>
        <w:pStyle w:val="FootnoteText"/>
      </w:pPr>
      <w:r>
        <w:rPr>
          <w:rStyle w:val="FootnoteReference"/>
        </w:rPr>
        <w:footnoteRef/>
      </w:r>
      <w:r>
        <w:t xml:space="preserve"> </w:t>
      </w:r>
      <w:r w:rsidRPr="00001D24">
        <w:rPr>
          <w:i/>
        </w:rPr>
        <w:t>See</w:t>
      </w:r>
      <w:r w:rsidRPr="00001D24">
        <w:t xml:space="preserve"> 47 CFR § 64</w:t>
      </w:r>
      <w:r>
        <w:t>.615(b)(1).</w:t>
      </w:r>
    </w:p>
  </w:footnote>
  <w:footnote w:id="15">
    <w:p w:rsidR="00594727" w:rsidRPr="00001D24" w:rsidP="00344584">
      <w:pPr>
        <w:pStyle w:val="FootnoteText"/>
      </w:pPr>
      <w:r w:rsidRPr="00001D24">
        <w:rPr>
          <w:rStyle w:val="FootnoteReference"/>
        </w:rPr>
        <w:footnoteRef/>
      </w:r>
      <w:r w:rsidRPr="00001D24">
        <w:t xml:space="preserve"> </w:t>
      </w:r>
      <w:r w:rsidRPr="00001D24">
        <w:rPr>
          <w:i/>
        </w:rPr>
        <w:t xml:space="preserve">See </w:t>
      </w:r>
      <w:r w:rsidRPr="00001D24">
        <w:t>47 CFR § 64.601 (a)(1</w:t>
      </w:r>
      <w:r>
        <w:t>6</w:t>
      </w:r>
      <w:r w:rsidRPr="00001D24">
        <w:t>).</w:t>
      </w:r>
    </w:p>
  </w:footnote>
  <w:footnote w:id="16">
    <w:p w:rsidR="00594727" w:rsidRPr="00001D24" w:rsidP="00344584">
      <w:pPr>
        <w:pStyle w:val="FootnoteText"/>
      </w:pPr>
      <w:r w:rsidRPr="00001D24">
        <w:rPr>
          <w:rStyle w:val="FootnoteReference"/>
        </w:rPr>
        <w:footnoteRef/>
      </w:r>
      <w:r w:rsidRPr="00001D24">
        <w:t xml:space="preserve"> 47 CFR § 64.604(c)(5)(iii)(D)(</w:t>
      </w:r>
      <w:r w:rsidRPr="00001D24">
        <w:rPr>
          <w:i/>
          <w:iCs/>
        </w:rPr>
        <w:t>1</w:t>
      </w:r>
      <w:r w:rsidRPr="00001D24">
        <w:t xml:space="preserve">).  Data submitted to the TRS Fund Administrator is also used to determine TRS Fund revenue requirements and the per-minute compensation rate.  TRS Providers are also required to retain </w:t>
      </w:r>
      <w:r>
        <w:t xml:space="preserve">for five years </w:t>
      </w:r>
      <w:r w:rsidRPr="00001D24">
        <w:t xml:space="preserve">all data </w:t>
      </w:r>
      <w:r>
        <w:t xml:space="preserve">necessary </w:t>
      </w:r>
      <w:r w:rsidRPr="00001D24">
        <w:t xml:space="preserve">to support claims for payment from the TRS Fund.  </w:t>
      </w:r>
      <w:r w:rsidRPr="00001D24">
        <w:rPr>
          <w:i/>
        </w:rPr>
        <w:t>See</w:t>
      </w:r>
      <w:r w:rsidRPr="00001D24">
        <w:t xml:space="preserve"> 47 CFR § 64.604(c)(5)(iii)(D)(</w:t>
      </w:r>
      <w:r w:rsidRPr="00001D24">
        <w:rPr>
          <w:i/>
        </w:rPr>
        <w:t>7</w:t>
      </w:r>
      <w:r w:rsidRPr="00001D24">
        <w:t xml:space="preserve">). </w:t>
      </w:r>
    </w:p>
  </w:footnote>
  <w:footnote w:id="17">
    <w:p w:rsidR="00594727" w:rsidP="00B2456E">
      <w:pPr>
        <w:pStyle w:val="FootnoteText"/>
      </w:pPr>
      <w:r w:rsidRPr="005A6F15">
        <w:rPr>
          <w:rStyle w:val="FootnoteReference"/>
        </w:rPr>
        <w:footnoteRef/>
      </w:r>
      <w:r w:rsidRPr="005A6F15">
        <w:t xml:space="preserve"> </w:t>
      </w:r>
      <w:bookmarkStart w:id="5" w:name="_Hlk517800853"/>
      <w:r w:rsidRPr="005A6F15">
        <w:rPr>
          <w:i/>
          <w:iCs/>
        </w:rPr>
        <w:t xml:space="preserve">See </w:t>
      </w:r>
      <w:r w:rsidRPr="003C29B5">
        <w:rPr>
          <w:i/>
        </w:rPr>
        <w:t>Structure and Practices of the Video Relay Service Program</w:t>
      </w:r>
      <w:bookmarkEnd w:id="5"/>
      <w:r w:rsidRPr="003C29B5">
        <w:t>, Declaratory Ruling, 25 FCC Rcd 1868, 1869-70</w:t>
      </w:r>
      <w:r w:rsidRPr="005A6F15">
        <w:t xml:space="preserve">, paras. </w:t>
      </w:r>
      <w:r>
        <w:t>3</w:t>
      </w:r>
      <w:r w:rsidRPr="005A6F15">
        <w:t>-5 (2010) (</w:t>
      </w:r>
      <w:r w:rsidRPr="005A6F15">
        <w:rPr>
          <w:i/>
          <w:iCs/>
        </w:rPr>
        <w:t>2010 VRS Declaratory Ruling</w:t>
      </w:r>
      <w:r w:rsidRPr="005A6F15">
        <w:t>).</w:t>
      </w:r>
    </w:p>
  </w:footnote>
  <w:footnote w:id="18">
    <w:p w:rsidR="00594727" w:rsidRPr="005A6F15" w:rsidP="00B2456E">
      <w:pPr>
        <w:pStyle w:val="FootnoteText"/>
      </w:pPr>
      <w:r w:rsidRPr="005A6F15">
        <w:rPr>
          <w:rStyle w:val="FootnoteReference"/>
        </w:rPr>
        <w:footnoteRef/>
      </w:r>
      <w:r w:rsidRPr="005A6F15">
        <w:t xml:space="preserve"> </w:t>
      </w:r>
      <w:r w:rsidRPr="005A6F15">
        <w:rPr>
          <w:i/>
        </w:rPr>
        <w:t xml:space="preserve">See </w:t>
      </w:r>
      <w:r w:rsidRPr="005A6F15">
        <w:t>47 CFR § 64.604(c)(5)(iii)(D)(</w:t>
      </w:r>
      <w:r w:rsidRPr="005A6F15">
        <w:rPr>
          <w:i/>
          <w:iCs/>
        </w:rPr>
        <w:t>1</w:t>
      </w:r>
      <w:r w:rsidRPr="005A6F15">
        <w:rPr>
          <w:iCs/>
        </w:rPr>
        <w:t>).</w:t>
      </w:r>
    </w:p>
  </w:footnote>
  <w:footnote w:id="19">
    <w:p w:rsidR="00594727" w:rsidRPr="000116E7" w:rsidP="00B2456E">
      <w:pPr>
        <w:pStyle w:val="FootnoteText"/>
      </w:pPr>
      <w:r w:rsidRPr="003C29B5">
        <w:rPr>
          <w:rStyle w:val="FootnoteReference"/>
        </w:rPr>
        <w:footnoteRef/>
      </w:r>
      <w:r w:rsidRPr="003C29B5">
        <w:t xml:space="preserve"> </w:t>
      </w:r>
      <w:r w:rsidRPr="003C29B5">
        <w:rPr>
          <w:i/>
        </w:rPr>
        <w:t>Id.</w:t>
      </w:r>
      <w:r>
        <w:rPr>
          <w:i/>
        </w:rPr>
        <w:t xml:space="preserve">  </w:t>
      </w:r>
      <w:r>
        <w:rPr>
          <w:szCs w:val="22"/>
        </w:rPr>
        <w:t xml:space="preserve">Similarly, Covered Personnel’s </w:t>
      </w:r>
      <w:r w:rsidRPr="00714109">
        <w:rPr>
          <w:szCs w:val="22"/>
        </w:rPr>
        <w:t xml:space="preserve">reasonable use of the </w:t>
      </w:r>
      <w:r>
        <w:rPr>
          <w:szCs w:val="22"/>
        </w:rPr>
        <w:t>P</w:t>
      </w:r>
      <w:r w:rsidRPr="00714109">
        <w:rPr>
          <w:szCs w:val="22"/>
        </w:rPr>
        <w:t>rovider’s telephone services for personal or non-business</w:t>
      </w:r>
      <w:r>
        <w:rPr>
          <w:szCs w:val="22"/>
        </w:rPr>
        <w:t>-</w:t>
      </w:r>
      <w:r w:rsidRPr="00714109">
        <w:rPr>
          <w:szCs w:val="22"/>
        </w:rPr>
        <w:t xml:space="preserve">related calls </w:t>
      </w:r>
      <w:r w:rsidRPr="00FC1280">
        <w:rPr>
          <w:szCs w:val="22"/>
        </w:rPr>
        <w:t>at the workplace</w:t>
      </w:r>
      <w:r w:rsidRPr="00714109">
        <w:rPr>
          <w:szCs w:val="22"/>
        </w:rPr>
        <w:t xml:space="preserve"> would be a business expense for the </w:t>
      </w:r>
      <w:r>
        <w:rPr>
          <w:szCs w:val="22"/>
        </w:rPr>
        <w:t>P</w:t>
      </w:r>
      <w:r w:rsidRPr="00714109">
        <w:rPr>
          <w:szCs w:val="22"/>
        </w:rPr>
        <w:t>rovider and not compensable on a per-minute basis</w:t>
      </w:r>
      <w:r>
        <w:rPr>
          <w:szCs w:val="22"/>
        </w:rPr>
        <w:t>.</w:t>
      </w:r>
    </w:p>
  </w:footnote>
  <w:footnote w:id="20">
    <w:p w:rsidR="00594727" w:rsidRPr="003479F9" w:rsidP="0008078E">
      <w:pPr>
        <w:pStyle w:val="FootnoteText"/>
      </w:pPr>
      <w:r>
        <w:rPr>
          <w:rStyle w:val="FootnoteReference"/>
        </w:rPr>
        <w:footnoteRef/>
      </w:r>
      <w:r>
        <w:t xml:space="preserve"> </w:t>
      </w:r>
      <w:r w:rsidRPr="008C0BC7">
        <w:rPr>
          <w:i/>
        </w:rPr>
        <w:t>See</w:t>
      </w:r>
      <w:r w:rsidRPr="008C0BC7">
        <w:t xml:space="preserve"> </w:t>
      </w:r>
      <w:r w:rsidRPr="008C0BC7">
        <w:rPr>
          <w:i/>
        </w:rPr>
        <w:t>Telecommunications Relay Services and Speech-to-Speech Services for Individuals with Hearing and Speech Disabilities, E911 Requirements for IP-Enabled Service Providers</w:t>
      </w:r>
      <w:r w:rsidRPr="008C0BC7">
        <w:t>, Report and Order and Further Notice of Proposed Rulemaking, 23 FCC Rcd 11591, 116</w:t>
      </w:r>
      <w:r>
        <w:t>10,</w:t>
      </w:r>
      <w:r w:rsidRPr="008C0BC7">
        <w:t xml:space="preserve"> para</w:t>
      </w:r>
      <w:r>
        <w:t>s</w:t>
      </w:r>
      <w:r w:rsidRPr="008C0BC7">
        <w:t xml:space="preserve">. </w:t>
      </w:r>
      <w:r>
        <w:t>44-45</w:t>
      </w:r>
      <w:r w:rsidRPr="008C0BC7">
        <w:t xml:space="preserve"> (2008) (</w:t>
      </w:r>
      <w:r w:rsidRPr="008C0BC7">
        <w:rPr>
          <w:i/>
        </w:rPr>
        <w:t>First Internet-Based TRS Order</w:t>
      </w:r>
      <w:r>
        <w:rPr>
          <w:i/>
        </w:rPr>
        <w:t>)</w:t>
      </w:r>
      <w:r>
        <w:t xml:space="preserve">.  In addition to the requirements established in the First Internet-based TRS Order, in December 2008, the Commission adopted additional requirements such as verification of users’ registration information and the collection of self-certifications attesting to users’ eligibility to use service; </w:t>
      </w:r>
      <w:r>
        <w:rPr>
          <w:i/>
        </w:rPr>
        <w:t xml:space="preserve">see also, </w:t>
      </w:r>
      <w:r w:rsidRPr="00C94149">
        <w:rPr>
          <w:i/>
        </w:rPr>
        <w:t xml:space="preserve">Telecommunications Relay Services and Speech-to-Speech Services for Individuals with Hearing and Speech Disabilities, E911 Requirements for IP-Enabled Service Providers, </w:t>
      </w:r>
      <w:r w:rsidRPr="00FA5ED1">
        <w:t>Second Report and Order and Order on Reconsideration, 24 FCC Rcd 791, 809, para. 37 (2008)</w:t>
      </w:r>
      <w:r w:rsidRPr="00C94149">
        <w:rPr>
          <w:i/>
        </w:rPr>
        <w:t xml:space="preserve"> </w:t>
      </w:r>
      <w:r w:rsidRPr="00FA5ED1">
        <w:t>(</w:t>
      </w:r>
      <w:r w:rsidRPr="00C94149">
        <w:rPr>
          <w:i/>
        </w:rPr>
        <w:t>Second Internet-Based TRS Order</w:t>
      </w:r>
      <w:r w:rsidRPr="00FA5ED1">
        <w:t>)</w:t>
      </w:r>
      <w:r>
        <w:t xml:space="preserve"> </w:t>
      </w:r>
      <w:r w:rsidRPr="00FA5ED1">
        <w:t>(</w:t>
      </w:r>
      <w:r>
        <w:t xml:space="preserve">collectively, </w:t>
      </w:r>
      <w:r>
        <w:rPr>
          <w:i/>
        </w:rPr>
        <w:t>iTRS Orders</w:t>
      </w:r>
      <w:r w:rsidRPr="00FA5ED1">
        <w:t>)</w:t>
      </w:r>
      <w:r>
        <w:t>.</w:t>
      </w:r>
    </w:p>
  </w:footnote>
  <w:footnote w:id="21">
    <w:p w:rsidR="00594727" w:rsidRPr="00D34A76">
      <w:pPr>
        <w:pStyle w:val="FootnoteText"/>
      </w:pPr>
      <w:r>
        <w:rPr>
          <w:rStyle w:val="FootnoteReference"/>
        </w:rPr>
        <w:footnoteRef/>
      </w:r>
      <w:r>
        <w:t xml:space="preserve"> </w:t>
      </w:r>
      <w:r w:rsidRPr="005A6F15">
        <w:rPr>
          <w:i/>
          <w:iCs/>
        </w:rPr>
        <w:t xml:space="preserve">See </w:t>
      </w:r>
      <w:r w:rsidRPr="003C29B5">
        <w:rPr>
          <w:i/>
        </w:rPr>
        <w:t>Structure and Practices of the Video Relay Service Program</w:t>
      </w:r>
      <w:r>
        <w:rPr>
          <w:i/>
        </w:rPr>
        <w:t xml:space="preserve">, </w:t>
      </w:r>
      <w:r>
        <w:t xml:space="preserve">Report and Order and Further Notice of </w:t>
      </w:r>
      <w:r w:rsidR="00573A96">
        <w:t xml:space="preserve"> </w:t>
      </w:r>
      <w:r w:rsidR="00FE0BF7">
        <w:t xml:space="preserve"> </w:t>
      </w:r>
      <w:r w:rsidR="008D0970">
        <w:t xml:space="preserve"> </w:t>
      </w:r>
      <w:r>
        <w:t xml:space="preserve">Proposed Rulemaking, </w:t>
      </w:r>
      <w:r w:rsidRPr="00FA5ED1">
        <w:rPr>
          <w:color w:val="212121"/>
        </w:rPr>
        <w:t>26 FCC Rcd. 5545</w:t>
      </w:r>
      <w:r>
        <w:rPr>
          <w:color w:val="212121"/>
        </w:rPr>
        <w:t>, 5585, para. 87 (2011) (</w:t>
      </w:r>
      <w:r w:rsidRPr="00330953">
        <w:rPr>
          <w:i/>
          <w:color w:val="212121"/>
        </w:rPr>
        <w:t>Fraud Order</w:t>
      </w:r>
      <w:r>
        <w:rPr>
          <w:color w:val="212121"/>
        </w:rPr>
        <w:t>).</w:t>
      </w:r>
    </w:p>
  </w:footnote>
  <w:footnote w:id="22">
    <w:p w:rsidR="00594727" w:rsidRPr="000F1E7E" w:rsidP="00C67B19">
      <w:pPr>
        <w:pStyle w:val="FootnoteText"/>
      </w:pPr>
      <w:r w:rsidRPr="000F1E7E">
        <w:rPr>
          <w:rStyle w:val="FootnoteReference"/>
        </w:rPr>
        <w:footnoteRef/>
      </w:r>
      <w:r>
        <w:rPr>
          <w:bCs/>
          <w:i/>
          <w:lang w:val="en"/>
        </w:rPr>
        <w:t xml:space="preserve"> </w:t>
      </w:r>
      <w:r w:rsidRPr="00DA5882">
        <w:rPr>
          <w:bCs/>
        </w:rPr>
        <w:t>47 CFR</w:t>
      </w:r>
      <w:r>
        <w:rPr>
          <w:bCs/>
        </w:rPr>
        <w:t xml:space="preserve"> §</w:t>
      </w:r>
      <w:r w:rsidRPr="00DA5882">
        <w:rPr>
          <w:bCs/>
        </w:rPr>
        <w:t xml:space="preserve"> 64.601(a)(40)</w:t>
      </w:r>
      <w:r>
        <w:rPr>
          <w:bCs/>
        </w:rPr>
        <w:t xml:space="preserve">; </w:t>
      </w:r>
      <w:r w:rsidRPr="00B85ABD">
        <w:rPr>
          <w:i/>
        </w:rPr>
        <w:t>see also</w:t>
      </w:r>
      <w:r w:rsidRPr="0031484C">
        <w:rPr>
          <w:bCs/>
          <w:i/>
          <w:lang w:val="en"/>
        </w:rPr>
        <w:t xml:space="preserve"> </w:t>
      </w:r>
      <w:r w:rsidRPr="00307943">
        <w:rPr>
          <w:bCs/>
          <w:i/>
          <w:lang w:val="en"/>
        </w:rPr>
        <w:t xml:space="preserve">Structure and Practices of the Video Relay Service Program; Telecommunications Relay Services and Speech-to-Speech Services for Individuals with Hearing and Speech Disabilities, Report and Order and Further Notice of Proposed Rulemaking, </w:t>
      </w:r>
      <w:r w:rsidRPr="00BE5623">
        <w:rPr>
          <w:bCs/>
          <w:lang w:val="en"/>
        </w:rPr>
        <w:t xml:space="preserve">28 FCC Rcd 8618, </w:t>
      </w:r>
      <w:r w:rsidRPr="00BE5623">
        <w:rPr>
          <w:bCs/>
        </w:rPr>
        <w:t>8624, p</w:t>
      </w:r>
      <w:r w:rsidRPr="00BE5623">
        <w:rPr>
          <w:bCs/>
          <w:lang w:val="en"/>
        </w:rPr>
        <w:t>ara</w:t>
      </w:r>
      <w:r w:rsidRPr="00BE5623">
        <w:rPr>
          <w:bCs/>
          <w:lang w:val="en"/>
        </w:rPr>
        <w:t xml:space="preserve">. </w:t>
      </w:r>
      <w:r w:rsidRPr="00BE5623">
        <w:rPr>
          <w:bCs/>
        </w:rPr>
        <w:t>8</w:t>
      </w:r>
      <w:r w:rsidR="00847113">
        <w:rPr>
          <w:bCs/>
        </w:rPr>
        <w:t xml:space="preserve"> (2013)</w:t>
      </w:r>
      <w:r w:rsidRPr="00BE5623">
        <w:rPr>
          <w:bCs/>
        </w:rPr>
        <w:t>.</w:t>
      </w:r>
    </w:p>
  </w:footnote>
  <w:footnote w:id="23">
    <w:p w:rsidR="00594727">
      <w:pPr>
        <w:pStyle w:val="FootnoteText"/>
      </w:pPr>
      <w:r>
        <w:rPr>
          <w:rStyle w:val="FootnoteReference"/>
        </w:rPr>
        <w:footnoteRef/>
      </w:r>
      <w:r>
        <w:t xml:space="preserve"> </w:t>
      </w:r>
      <w:r w:rsidRPr="00A73DF9">
        <w:rPr>
          <w:i/>
          <w:iCs/>
        </w:rPr>
        <w:t>See Video Relay Service Providers May Begin Submitting Data to the TRS User Registration Database</w:t>
      </w:r>
      <w:r w:rsidRPr="00A73DF9">
        <w:t xml:space="preserve">, CG Docket Nos. 10-51, 03-123, Public Notice, </w:t>
      </w:r>
      <w:bookmarkStart w:id="6" w:name="_Hlk506477842"/>
      <w:r w:rsidRPr="00A73DF9">
        <w:t xml:space="preserve">32 FCC Rcd 10467 </w:t>
      </w:r>
      <w:bookmarkEnd w:id="6"/>
      <w:r w:rsidRPr="00A73DF9">
        <w:t>(OMD/CGB 2017).</w:t>
      </w:r>
    </w:p>
  </w:footnote>
  <w:footnote w:id="24">
    <w:p w:rsidR="00594727">
      <w:pPr>
        <w:pStyle w:val="FootnoteText"/>
      </w:pPr>
      <w:r>
        <w:rPr>
          <w:rStyle w:val="FootnoteReference"/>
        </w:rPr>
        <w:footnoteRef/>
      </w:r>
      <w:r>
        <w:t xml:space="preserve"> </w:t>
      </w:r>
      <w:r w:rsidRPr="00FA5ED1">
        <w:rPr>
          <w:i/>
          <w:iCs/>
        </w:rPr>
        <w:t>See also</w:t>
      </w:r>
      <w:r w:rsidRPr="00FA5ED1">
        <w:t xml:space="preserve"> </w:t>
      </w:r>
      <w:r w:rsidRPr="00FA5ED1">
        <w:rPr>
          <w:i/>
          <w:iCs/>
        </w:rPr>
        <w:t>Structure and Practices of the Video Relay Service Program</w:t>
      </w:r>
      <w:r w:rsidRPr="00FA5ED1">
        <w:t xml:space="preserve">; </w:t>
      </w:r>
      <w:r w:rsidRPr="00FA5ED1">
        <w:rPr>
          <w:i/>
          <w:iCs/>
        </w:rPr>
        <w:t>Telecommunications Relay Services and Speech-to-Speech Services for Individuals with Hearing and Speech Disabilities</w:t>
      </w:r>
      <w:r w:rsidRPr="00FA5ED1">
        <w:t xml:space="preserve">, CG Docket Nos. 10-51, 03-123, Order, DA 18-196 (OMD CGB Feb. 28, 2018), 2018 WL 1137663 (extending the compliance deadline until March 30, 2018); </w:t>
      </w:r>
      <w:r w:rsidRPr="00FA5ED1">
        <w:rPr>
          <w:i/>
          <w:iCs/>
        </w:rPr>
        <w:t>Structure and Practices of the Video Relay Service Program; Telecommunications Relay Services and Speech-to-Speech Services for Individuals with Hearing and Speech Disabilities</w:t>
      </w:r>
      <w:r w:rsidRPr="00FA5ED1">
        <w:t>, CG Docket Nos. 10-51, 03-123, Order, DA 18-324 (OMD CGB March 30, 2018), 2018 WL 1602703 (extending the compliance deadline until April 30, 2018).</w:t>
      </w:r>
    </w:p>
  </w:footnote>
  <w:footnote w:id="25">
    <w:p w:rsidR="00594727">
      <w:pPr>
        <w:pStyle w:val="FootnoteText"/>
      </w:pPr>
      <w:r>
        <w:rPr>
          <w:rStyle w:val="FootnoteReference"/>
        </w:rPr>
        <w:footnoteRef/>
      </w:r>
      <w:r>
        <w:t xml:space="preserve"> </w:t>
      </w:r>
      <w:r w:rsidRPr="00BE5623">
        <w:rPr>
          <w:i/>
        </w:rPr>
        <w:t>See</w:t>
      </w:r>
      <w:r w:rsidRPr="00436ED1">
        <w:t xml:space="preserve"> </w:t>
      </w:r>
      <w:r w:rsidRPr="00BE5623">
        <w:rPr>
          <w:snapToGrid w:val="0"/>
          <w:kern w:val="28"/>
        </w:rPr>
        <w:t>47 CFR § 64.611(a)(5).</w:t>
      </w:r>
      <w:r w:rsidRPr="00C203A0">
        <w:rPr>
          <w:snapToGrid w:val="0"/>
          <w:kern w:val="28"/>
          <w:sz w:val="22"/>
        </w:rPr>
        <w:t xml:space="preserve">  </w:t>
      </w:r>
    </w:p>
  </w:footnote>
  <w:footnote w:id="26">
    <w:p w:rsidR="00CC1B1F">
      <w:pPr>
        <w:pStyle w:val="FootnoteText"/>
      </w:pPr>
      <w:r>
        <w:rPr>
          <w:rStyle w:val="FootnoteReference"/>
        </w:rPr>
        <w:footnoteRef/>
      </w:r>
      <w:r>
        <w:t xml:space="preserve"> </w:t>
      </w:r>
      <w:r w:rsidR="005616B1">
        <w:t>47 C.F.R.</w:t>
      </w:r>
      <w:r w:rsidR="00594326">
        <w:t xml:space="preserve"> §§ 64.621(a)(1); (b)(1).  </w:t>
      </w:r>
    </w:p>
  </w:footnote>
  <w:footnote w:id="27">
    <w:p w:rsidR="00D35935">
      <w:pPr>
        <w:pStyle w:val="FootnoteText"/>
      </w:pPr>
      <w:r>
        <w:rPr>
          <w:rStyle w:val="FootnoteReference"/>
        </w:rPr>
        <w:footnoteRef/>
      </w:r>
      <w:r>
        <w:t xml:space="preserve"> </w:t>
      </w:r>
      <w:r w:rsidRPr="00846D8B">
        <w:rPr>
          <w:i/>
        </w:rPr>
        <w:t>Structure and Practices of the Video Relay Service Program</w:t>
      </w:r>
      <w:r>
        <w:t xml:space="preserve"> </w:t>
      </w:r>
      <w:r w:rsidRPr="00846D8B">
        <w:rPr>
          <w:i/>
        </w:rPr>
        <w:t>et al</w:t>
      </w:r>
      <w:r>
        <w:t xml:space="preserve">., </w:t>
      </w:r>
      <w:r w:rsidRPr="00846D8B">
        <w:rPr>
          <w:i/>
        </w:rPr>
        <w:t>Report and Order and Further Notice of Proposed Rulemaking</w:t>
      </w:r>
      <w:r>
        <w:t xml:space="preserve">, 28 FCC Rcd 8618, 8639 (2013).  </w:t>
      </w:r>
    </w:p>
  </w:footnote>
  <w:footnote w:id="28">
    <w:p w:rsidR="00D35935">
      <w:pPr>
        <w:pStyle w:val="FootnoteText"/>
      </w:pPr>
      <w:r>
        <w:rPr>
          <w:rStyle w:val="FootnoteReference"/>
        </w:rPr>
        <w:footnoteRef/>
      </w:r>
      <w:r>
        <w:t xml:space="preserve"> </w:t>
      </w:r>
      <w:r w:rsidRPr="00846D8B">
        <w:rPr>
          <w:i/>
        </w:rPr>
        <w:t>See</w:t>
      </w:r>
      <w:r>
        <w:t xml:space="preserve"> </w:t>
      </w:r>
      <w:hyperlink r:id="rId1" w:history="1">
        <w:r w:rsidRPr="00731A1B">
          <w:rPr>
            <w:rStyle w:val="Hyperlink"/>
          </w:rPr>
          <w:t>www.mitre.org/careers/student-programs/student-voices/intern-project-amplifies-benefits-for-hard-of-hearing</w:t>
        </w:r>
      </w:hyperlink>
      <w:r>
        <w:t xml:space="preserve">, (last visited </w:t>
      </w:r>
      <w:r w:rsidR="001114B8">
        <w:t>Oct. 18</w:t>
      </w:r>
      <w:r>
        <w:t>, 2018).</w:t>
      </w:r>
    </w:p>
  </w:footnote>
  <w:footnote w:id="29">
    <w:p w:rsidR="00594727" w:rsidRPr="00001D24" w:rsidP="00344584">
      <w:pPr>
        <w:pStyle w:val="FootnoteText"/>
      </w:pPr>
      <w:r w:rsidRPr="00001D24">
        <w:rPr>
          <w:rStyle w:val="FootnoteReference"/>
        </w:rPr>
        <w:footnoteRef/>
      </w:r>
      <w:r w:rsidRPr="00001D24">
        <w:t xml:space="preserve"> </w:t>
      </w:r>
      <w:r w:rsidRPr="00A879F6">
        <w:rPr>
          <w:i/>
          <w:iCs/>
        </w:rPr>
        <w:t>See Notice of Conditional Grant of Application of ASL Services Holdings, LLC, for Certification as a Provider of Video Relay Service Eligible for Compensation from the Interstate Telecommunications Relay Service (TRS) Fund</w:t>
      </w:r>
      <w:r w:rsidRPr="00A879F6">
        <w:t>, Public Notice,</w:t>
      </w:r>
      <w:r w:rsidRPr="00001D24">
        <w:t xml:space="preserve"> </w:t>
      </w:r>
      <w:r w:rsidRPr="001F4FF2">
        <w:t>26 FCC Rcd 10899</w:t>
      </w:r>
      <w:r w:rsidRPr="00001D24">
        <w:t xml:space="preserve"> (CGB 201</w:t>
      </w:r>
      <w:r>
        <w:t>1</w:t>
      </w:r>
      <w:r w:rsidRPr="00001D24">
        <w:t>)</w:t>
      </w:r>
      <w:r>
        <w:t xml:space="preserve">.  </w:t>
      </w:r>
      <w:r w:rsidRPr="00001D24">
        <w:t xml:space="preserve">     </w:t>
      </w:r>
    </w:p>
  </w:footnote>
  <w:footnote w:id="30">
    <w:p w:rsidR="00594727">
      <w:pPr>
        <w:pStyle w:val="FootnoteText"/>
      </w:pPr>
      <w:r>
        <w:rPr>
          <w:rStyle w:val="FootnoteReference"/>
        </w:rPr>
        <w:footnoteRef/>
      </w:r>
      <w:r>
        <w:t xml:space="preserve"> Letter of Inquiry from Richard A. Hindman, Chief, Telecommunications Consumers Division, FCC Enforcement Bureau, to Angela Roth, President and CEO, GlobalVRS (December 18, 2015).  </w:t>
      </w:r>
    </w:p>
  </w:footnote>
  <w:footnote w:id="31">
    <w:p w:rsidR="00594727" w:rsidP="00AA5ABB">
      <w:pPr>
        <w:pStyle w:val="FootnoteText"/>
      </w:pPr>
      <w:r>
        <w:rPr>
          <w:rStyle w:val="FootnoteReference"/>
        </w:rPr>
        <w:footnoteRef/>
      </w:r>
      <w:r>
        <w:t xml:space="preserve"> Letter of Inquiry Response from Gabrielle Joseph, Vice President and Chief Operations Officer, ASL Services Holdings, LLC, to Sharon Lee, Deputy Division Chief, Telecommunications Consumers Division, FCC Enforcement Bureau (January 29, 2016) (</w:t>
      </w:r>
      <w:r w:rsidRPr="00330953">
        <w:rPr>
          <w:i/>
        </w:rPr>
        <w:t>First LOI Response</w:t>
      </w:r>
      <w:r>
        <w:t xml:space="preserve">).  </w:t>
      </w:r>
    </w:p>
  </w:footnote>
  <w:footnote w:id="32">
    <w:p w:rsidR="00594727">
      <w:pPr>
        <w:pStyle w:val="FootnoteText"/>
      </w:pPr>
      <w:r>
        <w:rPr>
          <w:rStyle w:val="FootnoteReference"/>
        </w:rPr>
        <w:footnoteRef/>
      </w:r>
      <w:r>
        <w:t xml:space="preserve"> Letter of Inquiry Response from Angela Roth, President and CEO, ASL Services Holdings, LLC, to Sharon Lee, Deputy Division Chief, Telecommunications Consumers Division, FCC Enforcement Bureau (February 2, 2017).  </w:t>
      </w:r>
    </w:p>
  </w:footnote>
  <w:footnote w:id="33">
    <w:p w:rsidR="00594727">
      <w:pPr>
        <w:pStyle w:val="FootnoteText"/>
      </w:pPr>
      <w:r>
        <w:rPr>
          <w:rStyle w:val="FootnoteReference"/>
        </w:rPr>
        <w:footnoteRef/>
      </w:r>
      <w:r>
        <w:t xml:space="preserve"> Letter of Inquiry from Richard A. Hindman, Chief, Telecommunications Consumers Division, FCC Enforcement Bureau, to Angela Roth, President, ASL Services Holdings, LLC d/b/a/ GlobalVRS (July 28, 2017).  </w:t>
      </w:r>
    </w:p>
  </w:footnote>
  <w:footnote w:id="34">
    <w:p w:rsidR="00594727">
      <w:pPr>
        <w:pStyle w:val="FootnoteText"/>
      </w:pPr>
      <w:r>
        <w:rPr>
          <w:rStyle w:val="FootnoteReference"/>
        </w:rPr>
        <w:footnoteRef/>
      </w:r>
      <w:r>
        <w:t xml:space="preserve"> Letter of Inquiry Response from </w:t>
      </w:r>
      <w:bookmarkStart w:id="8" w:name="_Hlk517254650"/>
      <w:r>
        <w:t xml:space="preserve">Angela Roth, President and CEO, ASL Services Holdings, LLC, to </w:t>
      </w:r>
      <w:bookmarkEnd w:id="8"/>
      <w:r>
        <w:t>Marlene Dortch, Secretary, FCC (August 27, 2017) (</w:t>
      </w:r>
      <w:r w:rsidRPr="009C03C7">
        <w:rPr>
          <w:i/>
        </w:rPr>
        <w:t>Second LOI Response</w:t>
      </w:r>
      <w:r>
        <w:t xml:space="preserve">).    </w:t>
      </w:r>
    </w:p>
  </w:footnote>
  <w:footnote w:id="35">
    <w:p w:rsidR="00594727">
      <w:pPr>
        <w:pStyle w:val="FootnoteText"/>
      </w:pPr>
      <w:r>
        <w:rPr>
          <w:rStyle w:val="FootnoteReference"/>
        </w:rPr>
        <w:footnoteRef/>
      </w:r>
      <w:r>
        <w:t xml:space="preserve"> E-mail from Andrew Isar, Miller Isar Inc., to Phillip Priesman, Attorney, Telecommunications Consumers Division, FCC Enforcement Bureau (September 18, 2017, 1:43 PM EDT).  </w:t>
      </w:r>
    </w:p>
  </w:footnote>
  <w:footnote w:id="36">
    <w:p w:rsidR="00594727">
      <w:pPr>
        <w:pStyle w:val="FootnoteText"/>
      </w:pPr>
      <w:r>
        <w:rPr>
          <w:rStyle w:val="FootnoteReference"/>
        </w:rPr>
        <w:footnoteRef/>
      </w:r>
      <w:r>
        <w:t xml:space="preserve"> Letter from Kristi Thompson, Acting Chief, Telecommunications Consumers Division, FCC Enforcement Bureau, to Angela Roth, President and CEO, GlobalVRS (October 16, 2017).  </w:t>
      </w:r>
    </w:p>
  </w:footnote>
  <w:footnote w:id="37">
    <w:p w:rsidR="00594727">
      <w:pPr>
        <w:pStyle w:val="FootnoteText"/>
      </w:pPr>
      <w:r>
        <w:rPr>
          <w:rStyle w:val="FootnoteReference"/>
        </w:rPr>
        <w:footnoteRef/>
      </w:r>
      <w:r>
        <w:t xml:space="preserve"> Letter of Inquiry Response from Gabrielle Joseph, Vice President and Chief Operations Officer, ASL Services Holdings, LLC, to Ms. Marlene Dortch, Secretary Federal Communications Commission (October 31, 2017).</w:t>
      </w:r>
    </w:p>
  </w:footnote>
  <w:footnote w:id="38">
    <w:p w:rsidR="00594727">
      <w:pPr>
        <w:pStyle w:val="FootnoteText"/>
      </w:pPr>
      <w:r>
        <w:rPr>
          <w:rStyle w:val="FootnoteReference"/>
        </w:rPr>
        <w:footnoteRef/>
      </w:r>
      <w:r>
        <w:t xml:space="preserve"> Letter of Inquiry Response from Gabrielle Joseph, Vice President and Chief Operations Officer, ASL Services Holdings, LLC, to Marlene Dortch, Secretary, FCC (November 3, 2017).</w:t>
      </w:r>
    </w:p>
  </w:footnote>
  <w:footnote w:id="39">
    <w:p w:rsidR="00C9294B">
      <w:pPr>
        <w:pStyle w:val="FootnoteText"/>
      </w:pPr>
      <w:r>
        <w:rPr>
          <w:rStyle w:val="FootnoteReference"/>
        </w:rPr>
        <w:footnoteRef/>
      </w:r>
      <w:r>
        <w:t xml:space="preserve"> </w:t>
      </w:r>
      <w:r w:rsidR="003B02F3">
        <w:t>American Sign Language Enterprises, LLC owns ASL Services Holdings, LLC, d/b/a/ Global VRS, as well as American Sign Language Services Corp., ASL Services Latino, Inc., and Gracias VRS, LLC.  (</w:t>
      </w:r>
      <w:r w:rsidRPr="000314F7" w:rsidR="003B02F3">
        <w:rPr>
          <w:i/>
        </w:rPr>
        <w:t>First LOI Response</w:t>
      </w:r>
      <w:r w:rsidR="003B02F3">
        <w:t xml:space="preserve"> at 1-2.)  These five entities together constitute the ASL Companies.  </w:t>
      </w:r>
    </w:p>
  </w:footnote>
  <w:footnote w:id="40">
    <w:p w:rsidR="005834DB" w:rsidP="00791A41">
      <w:pPr>
        <w:pStyle w:val="FootnoteText"/>
      </w:pPr>
      <w:r>
        <w:rPr>
          <w:rStyle w:val="FootnoteReference"/>
        </w:rPr>
        <w:footnoteRef/>
      </w:r>
      <w:r>
        <w:t xml:space="preserve"> </w:t>
      </w:r>
      <w:r w:rsidRPr="006D1562">
        <w:rPr>
          <w:i/>
          <w:iCs/>
        </w:rPr>
        <w:t>See, e.g.,</w:t>
      </w:r>
      <w:r w:rsidRPr="006D1562">
        <w:t xml:space="preserve"> </w:t>
      </w:r>
      <w:r w:rsidRPr="006D1562">
        <w:rPr>
          <w:i/>
          <w:iCs/>
        </w:rPr>
        <w:t>First LOI Response</w:t>
      </w:r>
      <w:r w:rsidRPr="006D1562">
        <w:t xml:space="preserve"> at 1, 3-4; </w:t>
      </w:r>
      <w:r w:rsidRPr="006D1562">
        <w:rPr>
          <w:i/>
          <w:iCs/>
        </w:rPr>
        <w:t>Second LOI Response</w:t>
      </w:r>
      <w:r w:rsidRPr="006D1562">
        <w:t>, Exhibit 2.</w:t>
      </w:r>
      <w:r>
        <w:t xml:space="preserve"> </w:t>
      </w:r>
    </w:p>
  </w:footnote>
  <w:footnote w:id="41">
    <w:p w:rsidR="00594727" w:rsidRPr="003645C3" w:rsidP="001D1AF1">
      <w:pPr>
        <w:spacing w:after="120"/>
        <w:rPr>
          <w:sz w:val="20"/>
        </w:rPr>
      </w:pPr>
      <w:r w:rsidRPr="00400918">
        <w:rPr>
          <w:vertAlign w:val="superscript"/>
        </w:rPr>
        <w:footnoteRef/>
      </w:r>
      <w:r>
        <w:t xml:space="preserve"> </w:t>
      </w:r>
      <w:r w:rsidRPr="003645C3">
        <w:rPr>
          <w:sz w:val="20"/>
        </w:rPr>
        <w:t xml:space="preserve">Global has offered numerous reasons to explain why the withholdings are not justified.  For example, in its May 2018 letter responding to Dec. 2017 withholdings, Global indicates that it, “sought reimbursement only for those users whose eligibility self-certifications, address, and personally identifiable information had affirmatively been verified by GlobalVRS,” and users reportedly “unverified” have now been verified in the TRS-URD “so monies should be released.” </w:t>
      </w:r>
      <w:r w:rsidRPr="003645C3">
        <w:rPr>
          <w:i/>
          <w:iCs/>
          <w:sz w:val="20"/>
        </w:rPr>
        <w:t>See generally</w:t>
      </w:r>
      <w:r w:rsidRPr="003645C3">
        <w:rPr>
          <w:sz w:val="20"/>
        </w:rPr>
        <w:t>, Letter from Gabrielle Joseph, Chief Operations Officer, ASL Services Holdings, LLC dba GlobalVRS, to David W. Rolka, President, RolkaLoube (May 14,</w:t>
      </w:r>
      <w:r w:rsidRPr="003645C3" w:rsidR="000C7D62">
        <w:rPr>
          <w:sz w:val="20"/>
        </w:rPr>
        <w:t xml:space="preserve"> </w:t>
      </w:r>
      <w:r w:rsidRPr="003645C3">
        <w:rPr>
          <w:sz w:val="20"/>
        </w:rPr>
        <w:t>2018).</w:t>
      </w:r>
    </w:p>
  </w:footnote>
  <w:footnote w:id="42">
    <w:p w:rsidR="00400918" w:rsidP="001D1AF1">
      <w:pPr>
        <w:pStyle w:val="FootnoteText"/>
      </w:pPr>
      <w:r>
        <w:rPr>
          <w:rStyle w:val="FootnoteReference"/>
        </w:rPr>
        <w:footnoteRef/>
      </w:r>
      <w:r>
        <w:t xml:space="preserve"> </w:t>
      </w:r>
      <w:r w:rsidRPr="00BA71CB">
        <w:t xml:space="preserve">Such recovery is governed by the Commission’s Rules and the Debt Collection Improvement Act of 1996. </w:t>
      </w:r>
      <w:r w:rsidRPr="00BA71CB">
        <w:rPr>
          <w:i/>
        </w:rPr>
        <w:t>See</w:t>
      </w:r>
      <w:r w:rsidRPr="003645C3">
        <w:t xml:space="preserve"> 47 CFR §§ </w:t>
      </w:r>
      <w:r w:rsidRPr="003645C3" w:rsidR="00876875">
        <w:t xml:space="preserve">1.1911(e); 64.604(c)(5)(iii)(D), (E), (L), 31 U.S.C. § 3701 </w:t>
      </w:r>
      <w:r w:rsidRPr="003645C3" w:rsidR="00876875">
        <w:rPr>
          <w:i/>
        </w:rPr>
        <w:t>et seq</w:t>
      </w:r>
      <w:r w:rsidRPr="003645C3" w:rsidR="00876875">
        <w:t xml:space="preserve">.; 31 CFR § 900.1 </w:t>
      </w:r>
      <w:r w:rsidRPr="003645C3" w:rsidR="00876875">
        <w:rPr>
          <w:i/>
        </w:rPr>
        <w:t>et seq</w:t>
      </w:r>
      <w:r w:rsidRPr="003645C3" w:rsidR="00876875">
        <w:t>.</w:t>
      </w:r>
      <w:r w:rsidR="00A6638E">
        <w:t xml:space="preserve"> </w:t>
      </w:r>
    </w:p>
  </w:footnote>
  <w:footnote w:id="43">
    <w:p w:rsidR="002E0BC1" w:rsidRPr="00F57937" w:rsidP="002E0BC1">
      <w:pPr>
        <w:pStyle w:val="FootnoteText"/>
      </w:pPr>
      <w:r w:rsidRPr="00F57937">
        <w:rPr>
          <w:rStyle w:val="FootnoteReference"/>
        </w:rPr>
        <w:footnoteRef/>
      </w:r>
      <w:r w:rsidRPr="00F57937">
        <w:t xml:space="preserve"> </w:t>
      </w:r>
      <w:r w:rsidRPr="00F57937">
        <w:rPr>
          <w:i/>
        </w:rPr>
        <w:t xml:space="preserve">See </w:t>
      </w:r>
      <w:r w:rsidRPr="00F57937">
        <w:t>26 U.S.C. § 162(f).</w:t>
      </w:r>
    </w:p>
  </w:footnote>
  <w:footnote w:id="44">
    <w:p w:rsidR="00594727" w:rsidRPr="00001D24" w:rsidP="00344584">
      <w:pPr>
        <w:pStyle w:val="FootnoteText"/>
      </w:pPr>
      <w:r w:rsidRPr="00001D24">
        <w:rPr>
          <w:rStyle w:val="FootnoteReference"/>
        </w:rPr>
        <w:footnoteRef/>
      </w:r>
      <w:r w:rsidRPr="00001D24">
        <w:t xml:space="preserve"> 47 CFR § 1.16.</w:t>
      </w:r>
    </w:p>
  </w:footnote>
  <w:footnote w:id="45">
    <w:p w:rsidR="00594727" w:rsidRPr="00001D24" w:rsidP="00344584">
      <w:pPr>
        <w:pStyle w:val="FootnoteText"/>
      </w:pPr>
      <w:r w:rsidRPr="00001D24">
        <w:rPr>
          <w:rStyle w:val="FootnoteReference"/>
        </w:rPr>
        <w:footnoteRef/>
      </w:r>
      <w:r w:rsidRPr="00001D24">
        <w:t xml:space="preserve"> </w:t>
      </w:r>
      <w:r w:rsidRPr="00001D24">
        <w:rPr>
          <w:i/>
          <w:iCs/>
        </w:rPr>
        <w:t>See</w:t>
      </w:r>
      <w:r w:rsidRPr="00001D24">
        <w:t xml:space="preserve"> 31 CFR Part 900 </w:t>
      </w:r>
      <w:r w:rsidRPr="00001D24">
        <w:rPr>
          <w:i/>
          <w:iCs/>
        </w:rPr>
        <w:t>et seq</w:t>
      </w:r>
      <w:r w:rsidRPr="00001D24">
        <w:t>.</w:t>
      </w:r>
    </w:p>
  </w:footnote>
  <w:footnote w:id="46">
    <w:p w:rsidR="00594727" w:rsidRPr="00001D24" w:rsidP="00344584">
      <w:pPr>
        <w:pStyle w:val="FootnoteText"/>
        <w:tabs>
          <w:tab w:val="left" w:pos="810"/>
        </w:tabs>
      </w:pPr>
      <w:r w:rsidRPr="00001D24">
        <w:rPr>
          <w:rStyle w:val="FootnoteReference"/>
        </w:rPr>
        <w:footnoteRef/>
      </w:r>
      <w:r w:rsidRPr="00001D24">
        <w:t xml:space="preserve"> </w:t>
      </w:r>
      <w:r w:rsidRPr="00001D24">
        <w:rPr>
          <w:i/>
          <w:iCs/>
        </w:rPr>
        <w:t xml:space="preserve">See </w:t>
      </w:r>
      <w:r w:rsidRPr="00001D24">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27" w:rsidP="00810B6F">
    <w:pPr>
      <w:pStyle w:val="Header"/>
      <w:rPr>
        <w:b w:val="0"/>
      </w:rPr>
    </w:pPr>
    <w:r>
      <w:tab/>
      <w:t>Federal Communications Commission</w:t>
    </w:r>
    <w:r>
      <w:tab/>
    </w:r>
    <w:r w:rsidR="00493FDD">
      <w:t>DA 19-28</w:t>
    </w:r>
  </w:p>
  <w:p w:rsidR="0059472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9472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27" w:rsidP="00756E00">
    <w:pPr>
      <w:pStyle w:val="Header"/>
      <w:tabs>
        <w:tab w:val="left" w:pos="1780"/>
      </w:tabs>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00756E00">
      <w:tab/>
    </w:r>
    <w:r>
      <w:t>Federal Communications Commission</w:t>
    </w:r>
    <w:r>
      <w:tab/>
    </w:r>
    <w:r w:rsidR="00493FDD">
      <w:t>DA</w:t>
    </w:r>
    <w:r>
      <w:rPr>
        <w:spacing w:val="-2"/>
      </w:rPr>
      <w:t xml:space="preserve"> 1</w:t>
    </w:r>
    <w:r w:rsidR="00493FDD">
      <w:rPr>
        <w:spacing w:val="-2"/>
      </w:rPr>
      <w:t>9</w:t>
    </w:r>
    <w:r>
      <w:rPr>
        <w:spacing w:val="-2"/>
      </w:rPr>
      <w:t>-</w:t>
    </w:r>
    <w:r w:rsidR="00493FDD">
      <w:rPr>
        <w:spacing w:val="-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842E0"/>
    <w:multiLevelType w:val="hybridMultilevel"/>
    <w:tmpl w:val="B400F854"/>
    <w:lvl w:ilvl="0">
      <w:start w:val="1"/>
      <w:numFmt w:val="lowerRoman"/>
      <w:lvlText w:val="%1."/>
      <w:lvlJc w:val="right"/>
      <w:pPr>
        <w:tabs>
          <w:tab w:val="num" w:pos="2190"/>
        </w:tabs>
        <w:ind w:left="2190" w:hanging="18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D52FF1"/>
    <w:multiLevelType w:val="hybridMultilevel"/>
    <w:tmpl w:val="C8502B42"/>
    <w:lvl w:ilvl="0">
      <w:start w:val="1"/>
      <w:numFmt w:val="lowerRoman"/>
      <w:lvlText w:val="%1."/>
      <w:lvlJc w:val="right"/>
      <w:pPr>
        <w:tabs>
          <w:tab w:val="num" w:pos="2190"/>
        </w:tabs>
        <w:ind w:left="2190" w:hanging="18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7B67E0"/>
    <w:multiLevelType w:val="hybridMultilevel"/>
    <w:tmpl w:val="57EA3F34"/>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80"/>
        </w:tabs>
        <w:ind w:left="1080" w:hanging="180"/>
      </w:pPr>
      <w:rPr>
        <w:rFonts w:cs="Times New Roman"/>
        <w:b w:val="0"/>
      </w:rPr>
    </w:lvl>
    <w:lvl w:ilvl="3">
      <w:start w:val="1"/>
      <w:numFmt w:val="decimal"/>
      <w:lvlText w:val="%4."/>
      <w:lvlJc w:val="left"/>
      <w:pPr>
        <w:tabs>
          <w:tab w:val="num" w:pos="1728"/>
        </w:tabs>
        <w:ind w:left="1728" w:hanging="360"/>
      </w:pPr>
      <w:rPr>
        <w:rFonts w:cs="Times New Roman"/>
      </w:rPr>
    </w:lvl>
    <w:lvl w:ilvl="4">
      <w:start w:val="1"/>
      <w:numFmt w:val="lowerLetter"/>
      <w:lvlText w:val="(%5)"/>
      <w:lvlJc w:val="left"/>
      <w:pPr>
        <w:tabs>
          <w:tab w:val="num" w:pos="2448"/>
        </w:tabs>
        <w:ind w:left="2448" w:hanging="360"/>
      </w:pPr>
      <w:rPr>
        <w:rFonts w:cs="Times New Roman" w:hint="default"/>
        <w:b w:val="0"/>
        <w:i w:val="0"/>
        <w:sz w:val="22"/>
        <w:szCs w:val="22"/>
      </w:rPr>
    </w:lvl>
    <w:lvl w:ilvl="5">
      <w:start w:val="1"/>
      <w:numFmt w:val="lowerRoman"/>
      <w:lvlText w:val="%6."/>
      <w:lvlJc w:val="right"/>
      <w:pPr>
        <w:tabs>
          <w:tab w:val="num" w:pos="2189"/>
        </w:tabs>
        <w:ind w:left="2189" w:hanging="173"/>
      </w:pPr>
      <w:rPr>
        <w:rFonts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4">
    <w:nsid w:val="0E480176"/>
    <w:multiLevelType w:val="hybridMultilevel"/>
    <w:tmpl w:val="F5EAC39A"/>
    <w:lvl w:ilvl="0">
      <w:start w:val="1"/>
      <w:numFmt w:val="lowerLetter"/>
      <w:lvlText w:val="(%1)"/>
      <w:lvlJc w:val="left"/>
      <w:pPr>
        <w:tabs>
          <w:tab w:val="num" w:pos="2016"/>
        </w:tabs>
        <w:ind w:left="2016" w:hanging="576"/>
      </w:pPr>
      <w:rPr>
        <w:rFonts w:cs="Times New Roman" w:hint="default"/>
        <w:b w:val="0"/>
        <w:i w:val="0"/>
        <w:sz w:val="22"/>
        <w:szCs w:val="22"/>
      </w:rPr>
    </w:lvl>
    <w:lvl w:ilvl="1">
      <w:start w:val="44"/>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55B6A93"/>
    <w:multiLevelType w:val="hybridMultilevel"/>
    <w:tmpl w:val="B0B22C32"/>
    <w:lvl w:ilvl="0">
      <w:start w:val="1"/>
      <w:numFmt w:val="lowerRoman"/>
      <w:lvlText w:val="%1."/>
      <w:lvlJc w:val="right"/>
      <w:pPr>
        <w:tabs>
          <w:tab w:val="num" w:pos="2190"/>
        </w:tabs>
        <w:ind w:left="2190" w:hanging="180"/>
      </w:pPr>
      <w:rPr>
        <w:rFonts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567C99"/>
    <w:multiLevelType w:val="hybridMultilevel"/>
    <w:tmpl w:val="B0B22C32"/>
    <w:lvl w:ilvl="0">
      <w:start w:val="1"/>
      <w:numFmt w:val="lowerRoman"/>
      <w:lvlText w:val="%1."/>
      <w:lvlJc w:val="right"/>
      <w:pPr>
        <w:tabs>
          <w:tab w:val="num" w:pos="2190"/>
        </w:tabs>
        <w:ind w:left="2190" w:hanging="18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7E24F2"/>
    <w:multiLevelType w:val="hybridMultilevel"/>
    <w:tmpl w:val="118A603E"/>
    <w:lvl w:ilvl="0">
      <w:start w:val="1"/>
      <w:numFmt w:val="lowerRoman"/>
      <w:lvlText w:val="%1."/>
      <w:lvlJc w:val="right"/>
      <w:pPr>
        <w:tabs>
          <w:tab w:val="num" w:pos="2190"/>
        </w:tabs>
        <w:ind w:left="2190" w:hanging="180"/>
      </w:pPr>
      <w:rPr>
        <w:rFonts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566F20"/>
    <w:multiLevelType w:val="hybridMultilevel"/>
    <w:tmpl w:val="C2085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4">
    <w:nsid w:val="488C7616"/>
    <w:multiLevelType w:val="hybridMultilevel"/>
    <w:tmpl w:val="EC9473D4"/>
    <w:lvl w:ilvl="0">
      <w:start w:val="1"/>
      <w:numFmt w:val="lowerLetter"/>
      <w:lvlText w:val="(%1)"/>
      <w:lvlJc w:val="left"/>
      <w:pPr>
        <w:tabs>
          <w:tab w:val="num" w:pos="2016"/>
        </w:tabs>
        <w:ind w:left="2016" w:hanging="576"/>
      </w:pPr>
      <w:rPr>
        <w:rFonts w:cs="Times New Roman" w:hint="default"/>
        <w:b w:val="0"/>
        <w:i w:val="0"/>
        <w:sz w:val="22"/>
        <w:szCs w:val="22"/>
      </w:rPr>
    </w:lvl>
    <w:lvl w:ilvl="1">
      <w:start w:val="44"/>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B5301A7"/>
    <w:multiLevelType w:val="hybridMultilevel"/>
    <w:tmpl w:val="39525C2E"/>
    <w:lvl w:ilvl="0">
      <w:start w:val="1"/>
      <w:numFmt w:val="lowerRoman"/>
      <w:lvlText w:val="%1."/>
      <w:lvlJc w:val="right"/>
      <w:pPr>
        <w:tabs>
          <w:tab w:val="num" w:pos="2190"/>
        </w:tabs>
        <w:ind w:left="2190" w:hanging="18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196114E"/>
    <w:multiLevelType w:val="hybridMultilevel"/>
    <w:tmpl w:val="FE64E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846E13"/>
    <w:multiLevelType w:val="hybridMultilevel"/>
    <w:tmpl w:val="3EE8CB58"/>
    <w:lvl w:ilvl="0">
      <w:start w:val="1"/>
      <w:numFmt w:val="lowerLetter"/>
      <w:lvlText w:val="(%1)"/>
      <w:lvlJc w:val="left"/>
      <w:pPr>
        <w:tabs>
          <w:tab w:val="num" w:pos="1872"/>
        </w:tabs>
        <w:ind w:left="1872" w:hanging="432"/>
      </w:pPr>
      <w:rPr>
        <w:rFonts w:cs="Times New Roman" w:hint="default"/>
        <w:b w:val="0"/>
        <w:i w:val="0"/>
        <w:color w:val="auto"/>
        <w:sz w:val="22"/>
        <w:szCs w:val="22"/>
      </w:rPr>
    </w:lvl>
    <w:lvl w:ilvl="1">
      <w:start w:val="1"/>
      <w:numFmt w:val="lowerLetter"/>
      <w:lvlText w:val="%2."/>
      <w:lvlJc w:val="left"/>
      <w:pPr>
        <w:tabs>
          <w:tab w:val="num" w:pos="1470"/>
        </w:tabs>
        <w:ind w:left="1470" w:hanging="360"/>
      </w:pPr>
      <w:rPr>
        <w:rFonts w:hint="default"/>
      </w:rPr>
    </w:lvl>
    <w:lvl w:ilvl="2">
      <w:start w:val="1"/>
      <w:numFmt w:val="lowerRoman"/>
      <w:lvlText w:val="%3."/>
      <w:lvlJc w:val="right"/>
      <w:pPr>
        <w:tabs>
          <w:tab w:val="num" w:pos="2190"/>
        </w:tabs>
        <w:ind w:left="2190" w:hanging="180"/>
      </w:pPr>
      <w:rPr>
        <w:rFonts w:cs="Times New Roman"/>
        <w:b w:val="0"/>
      </w:rPr>
    </w:lvl>
    <w:lvl w:ilvl="3">
      <w:start w:val="1"/>
      <w:numFmt w:val="decimal"/>
      <w:lvlText w:val="%4."/>
      <w:lvlJc w:val="left"/>
      <w:pPr>
        <w:tabs>
          <w:tab w:val="num" w:pos="2910"/>
        </w:tabs>
        <w:ind w:left="2910" w:hanging="360"/>
      </w:pPr>
      <w:rPr>
        <w:rFonts w:cs="Times New Roman"/>
        <w:b w:val="0"/>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21">
    <w:nsid w:val="76253019"/>
    <w:multiLevelType w:val="hybridMultilevel"/>
    <w:tmpl w:val="9230E464"/>
    <w:lvl w:ilvl="0">
      <w:start w:val="1"/>
      <w:numFmt w:val="lowerLetter"/>
      <w:lvlText w:val="(%1)"/>
      <w:lvlJc w:val="left"/>
      <w:pPr>
        <w:tabs>
          <w:tab w:val="num" w:pos="1614"/>
        </w:tabs>
        <w:ind w:left="1614" w:hanging="432"/>
      </w:pPr>
      <w:rPr>
        <w:rFonts w:cs="Times New Roman" w:hint="default"/>
        <w:b w:val="0"/>
        <w:i w:val="0"/>
        <w:sz w:val="22"/>
        <w:szCs w:val="22"/>
      </w:rPr>
    </w:lvl>
    <w:lvl w:ilvl="1">
      <w:start w:val="1"/>
      <w:numFmt w:val="lowerLetter"/>
      <w:lvlText w:val="%2."/>
      <w:lvlJc w:val="left"/>
      <w:pPr>
        <w:tabs>
          <w:tab w:val="num" w:pos="1830"/>
        </w:tabs>
        <w:ind w:left="1830" w:hanging="360"/>
      </w:pPr>
      <w:rPr>
        <w:rFonts w:hint="default"/>
      </w:rPr>
    </w:lvl>
    <w:lvl w:ilvl="2">
      <w:start w:val="1"/>
      <w:numFmt w:val="lowerRoman"/>
      <w:lvlText w:val="%3."/>
      <w:lvlJc w:val="right"/>
      <w:pPr>
        <w:tabs>
          <w:tab w:val="num" w:pos="2550"/>
        </w:tabs>
        <w:ind w:left="2550" w:hanging="180"/>
      </w:pPr>
      <w:rPr>
        <w:rFonts w:cs="Times New Roman"/>
      </w:rPr>
    </w:lvl>
    <w:lvl w:ilvl="3">
      <w:start w:val="1"/>
      <w:numFmt w:val="decimal"/>
      <w:lvlText w:val="%4."/>
      <w:lvlJc w:val="left"/>
      <w:pPr>
        <w:tabs>
          <w:tab w:val="num" w:pos="3270"/>
        </w:tabs>
        <w:ind w:left="3270" w:hanging="360"/>
      </w:pPr>
      <w:rPr>
        <w:rFonts w:cs="Times New Roman"/>
      </w:rPr>
    </w:lvl>
    <w:lvl w:ilvl="4">
      <w:start w:val="1"/>
      <w:numFmt w:val="lowerLetter"/>
      <w:lvlText w:val="%5."/>
      <w:lvlJc w:val="left"/>
      <w:pPr>
        <w:tabs>
          <w:tab w:val="num" w:pos="3990"/>
        </w:tabs>
        <w:ind w:left="3990" w:hanging="360"/>
      </w:pPr>
      <w:rPr>
        <w:rFonts w:cs="Times New Roman"/>
      </w:rPr>
    </w:lvl>
    <w:lvl w:ilvl="5" w:tentative="1">
      <w:start w:val="1"/>
      <w:numFmt w:val="lowerRoman"/>
      <w:lvlText w:val="%6."/>
      <w:lvlJc w:val="right"/>
      <w:pPr>
        <w:tabs>
          <w:tab w:val="num" w:pos="4710"/>
        </w:tabs>
        <w:ind w:left="4710" w:hanging="180"/>
      </w:pPr>
      <w:rPr>
        <w:rFonts w:cs="Times New Roman"/>
      </w:rPr>
    </w:lvl>
    <w:lvl w:ilvl="6" w:tentative="1">
      <w:start w:val="1"/>
      <w:numFmt w:val="decimal"/>
      <w:lvlText w:val="%7."/>
      <w:lvlJc w:val="left"/>
      <w:pPr>
        <w:tabs>
          <w:tab w:val="num" w:pos="5430"/>
        </w:tabs>
        <w:ind w:left="5430" w:hanging="360"/>
      </w:pPr>
      <w:rPr>
        <w:rFonts w:cs="Times New Roman"/>
      </w:rPr>
    </w:lvl>
    <w:lvl w:ilvl="7" w:tentative="1">
      <w:start w:val="1"/>
      <w:numFmt w:val="lowerLetter"/>
      <w:lvlText w:val="%8."/>
      <w:lvlJc w:val="left"/>
      <w:pPr>
        <w:tabs>
          <w:tab w:val="num" w:pos="6150"/>
        </w:tabs>
        <w:ind w:left="6150" w:hanging="360"/>
      </w:pPr>
      <w:rPr>
        <w:rFonts w:cs="Times New Roman"/>
      </w:rPr>
    </w:lvl>
    <w:lvl w:ilvl="8" w:tentative="1">
      <w:start w:val="1"/>
      <w:numFmt w:val="lowerRoman"/>
      <w:lvlText w:val="%9."/>
      <w:lvlJc w:val="right"/>
      <w:pPr>
        <w:tabs>
          <w:tab w:val="num" w:pos="6870"/>
        </w:tabs>
        <w:ind w:left="6870" w:hanging="180"/>
      </w:pPr>
      <w:rPr>
        <w:rFonts w:cs="Times New Roman"/>
      </w:rPr>
    </w:lvl>
  </w:abstractNum>
  <w:abstractNum w:abstractNumId="22">
    <w:nsid w:val="7A444535"/>
    <w:multiLevelType w:val="hybridMultilevel"/>
    <w:tmpl w:val="8D78D016"/>
    <w:lvl w:ilvl="0">
      <w:start w:val="1"/>
      <w:numFmt w:val="lowerRoman"/>
      <w:lvlText w:val="%1."/>
      <w:lvlJc w:val="right"/>
      <w:pPr>
        <w:tabs>
          <w:tab w:val="num" w:pos="2190"/>
        </w:tabs>
        <w:ind w:left="2190" w:hanging="180"/>
      </w:pPr>
      <w:rPr>
        <w:rFonts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8"/>
  </w:num>
  <w:num w:numId="3">
    <w:abstractNumId w:val="10"/>
  </w:num>
  <w:num w:numId="4">
    <w:abstractNumId w:val="16"/>
  </w:num>
  <w:num w:numId="5">
    <w:abstractNumId w:val="9"/>
  </w:num>
  <w:num w:numId="6">
    <w:abstractNumId w:val="1"/>
  </w:num>
  <w:num w:numId="7">
    <w:abstractNumId w:val="17"/>
  </w:num>
  <w:num w:numId="8">
    <w:abstractNumId w:val="13"/>
  </w:num>
  <w:num w:numId="9">
    <w:abstractNumId w:val="4"/>
  </w:num>
  <w:num w:numId="10">
    <w:abstractNumId w:val="12"/>
  </w:num>
  <w:num w:numId="11">
    <w:abstractNumId w:val="3"/>
  </w:num>
  <w:num w:numId="12">
    <w:abstractNumId w:val="20"/>
  </w:num>
  <w:num w:numId="13">
    <w:abstractNumId w:val="8"/>
  </w:num>
  <w:num w:numId="14">
    <w:abstractNumId w:val="22"/>
  </w:num>
  <w:num w:numId="15">
    <w:abstractNumId w:val="15"/>
  </w:num>
  <w:num w:numId="16">
    <w:abstractNumId w:val="19"/>
  </w:num>
  <w:num w:numId="17">
    <w:abstractNumId w:val="11"/>
  </w:num>
  <w:num w:numId="18">
    <w:abstractNumId w:val="6"/>
  </w:num>
  <w:num w:numId="19">
    <w:abstractNumId w:val="5"/>
  </w:num>
  <w:num w:numId="20">
    <w:abstractNumId w:val="21"/>
  </w:num>
  <w:num w:numId="21">
    <w:abstractNumId w:val="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84"/>
    <w:rsid w:val="0000077B"/>
    <w:rsid w:val="00000C84"/>
    <w:rsid w:val="00001D24"/>
    <w:rsid w:val="00001EB9"/>
    <w:rsid w:val="0000210C"/>
    <w:rsid w:val="00002A23"/>
    <w:rsid w:val="0000386C"/>
    <w:rsid w:val="000041EE"/>
    <w:rsid w:val="00004353"/>
    <w:rsid w:val="000043D5"/>
    <w:rsid w:val="00004CB3"/>
    <w:rsid w:val="00005170"/>
    <w:rsid w:val="00006B22"/>
    <w:rsid w:val="00007366"/>
    <w:rsid w:val="000103D5"/>
    <w:rsid w:val="0001057F"/>
    <w:rsid w:val="00011208"/>
    <w:rsid w:val="000112CE"/>
    <w:rsid w:val="000116E7"/>
    <w:rsid w:val="00012818"/>
    <w:rsid w:val="0001293D"/>
    <w:rsid w:val="000136DA"/>
    <w:rsid w:val="00013823"/>
    <w:rsid w:val="000145D1"/>
    <w:rsid w:val="000154ED"/>
    <w:rsid w:val="00017841"/>
    <w:rsid w:val="00017BA1"/>
    <w:rsid w:val="00020F32"/>
    <w:rsid w:val="0002124A"/>
    <w:rsid w:val="00021886"/>
    <w:rsid w:val="00021EDE"/>
    <w:rsid w:val="00022CD2"/>
    <w:rsid w:val="00022D8B"/>
    <w:rsid w:val="00023792"/>
    <w:rsid w:val="00023884"/>
    <w:rsid w:val="0002434C"/>
    <w:rsid w:val="0002447F"/>
    <w:rsid w:val="00025368"/>
    <w:rsid w:val="00030C20"/>
    <w:rsid w:val="00030DE7"/>
    <w:rsid w:val="000314F7"/>
    <w:rsid w:val="000331F3"/>
    <w:rsid w:val="0003349F"/>
    <w:rsid w:val="00033914"/>
    <w:rsid w:val="00034408"/>
    <w:rsid w:val="00034B0C"/>
    <w:rsid w:val="0003593E"/>
    <w:rsid w:val="00036039"/>
    <w:rsid w:val="00037253"/>
    <w:rsid w:val="00037F90"/>
    <w:rsid w:val="0004030F"/>
    <w:rsid w:val="0004064B"/>
    <w:rsid w:val="00041595"/>
    <w:rsid w:val="00042BE0"/>
    <w:rsid w:val="000437E7"/>
    <w:rsid w:val="000446CE"/>
    <w:rsid w:val="00045F9B"/>
    <w:rsid w:val="000464BE"/>
    <w:rsid w:val="000513E7"/>
    <w:rsid w:val="000524A7"/>
    <w:rsid w:val="00054352"/>
    <w:rsid w:val="0005533A"/>
    <w:rsid w:val="00055B15"/>
    <w:rsid w:val="000561C2"/>
    <w:rsid w:val="000563B0"/>
    <w:rsid w:val="00056D4D"/>
    <w:rsid w:val="00060B6D"/>
    <w:rsid w:val="00060C17"/>
    <w:rsid w:val="000619C5"/>
    <w:rsid w:val="000628EB"/>
    <w:rsid w:val="0006358E"/>
    <w:rsid w:val="00063CB1"/>
    <w:rsid w:val="00064589"/>
    <w:rsid w:val="0006488C"/>
    <w:rsid w:val="000651A0"/>
    <w:rsid w:val="00065714"/>
    <w:rsid w:val="0006579C"/>
    <w:rsid w:val="00066E0E"/>
    <w:rsid w:val="00067308"/>
    <w:rsid w:val="000706A3"/>
    <w:rsid w:val="00070CFA"/>
    <w:rsid w:val="0007158C"/>
    <w:rsid w:val="0007471C"/>
    <w:rsid w:val="0007600F"/>
    <w:rsid w:val="00076358"/>
    <w:rsid w:val="00076A25"/>
    <w:rsid w:val="00077A5F"/>
    <w:rsid w:val="00080654"/>
    <w:rsid w:val="0008078E"/>
    <w:rsid w:val="00080878"/>
    <w:rsid w:val="00081DE4"/>
    <w:rsid w:val="00082095"/>
    <w:rsid w:val="00082134"/>
    <w:rsid w:val="000846FD"/>
    <w:rsid w:val="00084766"/>
    <w:rsid w:val="00084A82"/>
    <w:rsid w:val="000857D7"/>
    <w:rsid w:val="00085DD7"/>
    <w:rsid w:val="00087110"/>
    <w:rsid w:val="000875BF"/>
    <w:rsid w:val="00091489"/>
    <w:rsid w:val="00091793"/>
    <w:rsid w:val="00091955"/>
    <w:rsid w:val="00091984"/>
    <w:rsid w:val="000931D5"/>
    <w:rsid w:val="000932C7"/>
    <w:rsid w:val="000940EA"/>
    <w:rsid w:val="00094111"/>
    <w:rsid w:val="000943BD"/>
    <w:rsid w:val="00094C5C"/>
    <w:rsid w:val="000955E9"/>
    <w:rsid w:val="000962AE"/>
    <w:rsid w:val="00096C65"/>
    <w:rsid w:val="00096D8C"/>
    <w:rsid w:val="000970B4"/>
    <w:rsid w:val="00097636"/>
    <w:rsid w:val="00097DF2"/>
    <w:rsid w:val="00097EA6"/>
    <w:rsid w:val="000A084F"/>
    <w:rsid w:val="000A15CF"/>
    <w:rsid w:val="000A1DA4"/>
    <w:rsid w:val="000A33AD"/>
    <w:rsid w:val="000A40C7"/>
    <w:rsid w:val="000A4685"/>
    <w:rsid w:val="000A4CC9"/>
    <w:rsid w:val="000A506E"/>
    <w:rsid w:val="000A5325"/>
    <w:rsid w:val="000A55AD"/>
    <w:rsid w:val="000A55DA"/>
    <w:rsid w:val="000A68F4"/>
    <w:rsid w:val="000A7DD9"/>
    <w:rsid w:val="000B0CD8"/>
    <w:rsid w:val="000B0E26"/>
    <w:rsid w:val="000B0FA6"/>
    <w:rsid w:val="000B11DE"/>
    <w:rsid w:val="000B1A73"/>
    <w:rsid w:val="000B3D53"/>
    <w:rsid w:val="000B50A9"/>
    <w:rsid w:val="000B597F"/>
    <w:rsid w:val="000B6480"/>
    <w:rsid w:val="000B648B"/>
    <w:rsid w:val="000B6EE9"/>
    <w:rsid w:val="000B75C5"/>
    <w:rsid w:val="000C0B65"/>
    <w:rsid w:val="000C0C90"/>
    <w:rsid w:val="000C0F44"/>
    <w:rsid w:val="000C25EB"/>
    <w:rsid w:val="000C26E6"/>
    <w:rsid w:val="000C3C3A"/>
    <w:rsid w:val="000C3D96"/>
    <w:rsid w:val="000C4AD0"/>
    <w:rsid w:val="000C4F2E"/>
    <w:rsid w:val="000C53ED"/>
    <w:rsid w:val="000C57F5"/>
    <w:rsid w:val="000C5979"/>
    <w:rsid w:val="000C6096"/>
    <w:rsid w:val="000C66BC"/>
    <w:rsid w:val="000C72B6"/>
    <w:rsid w:val="000C7BB6"/>
    <w:rsid w:val="000C7D62"/>
    <w:rsid w:val="000D0210"/>
    <w:rsid w:val="000D1AFD"/>
    <w:rsid w:val="000D27B6"/>
    <w:rsid w:val="000D2A64"/>
    <w:rsid w:val="000D37F4"/>
    <w:rsid w:val="000D3FA9"/>
    <w:rsid w:val="000D5738"/>
    <w:rsid w:val="000D5A9D"/>
    <w:rsid w:val="000E05FE"/>
    <w:rsid w:val="000E0AF7"/>
    <w:rsid w:val="000E0CB7"/>
    <w:rsid w:val="000E19F9"/>
    <w:rsid w:val="000E2E1B"/>
    <w:rsid w:val="000E3D42"/>
    <w:rsid w:val="000E4A9D"/>
    <w:rsid w:val="000E50BA"/>
    <w:rsid w:val="000E63C8"/>
    <w:rsid w:val="000E6C3F"/>
    <w:rsid w:val="000E7CBE"/>
    <w:rsid w:val="000F01E3"/>
    <w:rsid w:val="000F0455"/>
    <w:rsid w:val="000F0D2A"/>
    <w:rsid w:val="000F1385"/>
    <w:rsid w:val="000F1E7E"/>
    <w:rsid w:val="000F2E36"/>
    <w:rsid w:val="000F37C9"/>
    <w:rsid w:val="000F3E7F"/>
    <w:rsid w:val="000F4852"/>
    <w:rsid w:val="000F506F"/>
    <w:rsid w:val="000F52EB"/>
    <w:rsid w:val="000F55FA"/>
    <w:rsid w:val="000F5EA2"/>
    <w:rsid w:val="000F5ED2"/>
    <w:rsid w:val="000F60A4"/>
    <w:rsid w:val="0010167E"/>
    <w:rsid w:val="0010196B"/>
    <w:rsid w:val="0010269B"/>
    <w:rsid w:val="0010517B"/>
    <w:rsid w:val="001062D3"/>
    <w:rsid w:val="00107107"/>
    <w:rsid w:val="0011034A"/>
    <w:rsid w:val="00110EDF"/>
    <w:rsid w:val="001114B8"/>
    <w:rsid w:val="001117EF"/>
    <w:rsid w:val="001148A8"/>
    <w:rsid w:val="00115F62"/>
    <w:rsid w:val="00115FD1"/>
    <w:rsid w:val="00120036"/>
    <w:rsid w:val="00120160"/>
    <w:rsid w:val="00120428"/>
    <w:rsid w:val="00120F05"/>
    <w:rsid w:val="001215E3"/>
    <w:rsid w:val="0012162D"/>
    <w:rsid w:val="00121689"/>
    <w:rsid w:val="001225F0"/>
    <w:rsid w:val="00122BD5"/>
    <w:rsid w:val="00122FA0"/>
    <w:rsid w:val="00123044"/>
    <w:rsid w:val="0012360A"/>
    <w:rsid w:val="00123E1E"/>
    <w:rsid w:val="00124419"/>
    <w:rsid w:val="00124ECB"/>
    <w:rsid w:val="00125D18"/>
    <w:rsid w:val="00126476"/>
    <w:rsid w:val="00126878"/>
    <w:rsid w:val="00126E91"/>
    <w:rsid w:val="00133763"/>
    <w:rsid w:val="00133E80"/>
    <w:rsid w:val="00133F79"/>
    <w:rsid w:val="00134136"/>
    <w:rsid w:val="0013445C"/>
    <w:rsid w:val="00135574"/>
    <w:rsid w:val="00135800"/>
    <w:rsid w:val="00135A70"/>
    <w:rsid w:val="00135FDF"/>
    <w:rsid w:val="0013600C"/>
    <w:rsid w:val="00136967"/>
    <w:rsid w:val="00136F4A"/>
    <w:rsid w:val="00137610"/>
    <w:rsid w:val="00137801"/>
    <w:rsid w:val="001443FE"/>
    <w:rsid w:val="00146A0D"/>
    <w:rsid w:val="00147A2C"/>
    <w:rsid w:val="00147CA7"/>
    <w:rsid w:val="00147CE7"/>
    <w:rsid w:val="00150BA8"/>
    <w:rsid w:val="00151770"/>
    <w:rsid w:val="0015228D"/>
    <w:rsid w:val="001525C2"/>
    <w:rsid w:val="001532DC"/>
    <w:rsid w:val="0015445B"/>
    <w:rsid w:val="00154F53"/>
    <w:rsid w:val="00155F18"/>
    <w:rsid w:val="00157426"/>
    <w:rsid w:val="00157A48"/>
    <w:rsid w:val="00157FC7"/>
    <w:rsid w:val="001612D1"/>
    <w:rsid w:val="00161856"/>
    <w:rsid w:val="001625F3"/>
    <w:rsid w:val="001625F5"/>
    <w:rsid w:val="001637BE"/>
    <w:rsid w:val="00163E8D"/>
    <w:rsid w:val="0016594D"/>
    <w:rsid w:val="00165A4C"/>
    <w:rsid w:val="00165FAA"/>
    <w:rsid w:val="00166CFE"/>
    <w:rsid w:val="00166EA3"/>
    <w:rsid w:val="00167571"/>
    <w:rsid w:val="00167625"/>
    <w:rsid w:val="00170866"/>
    <w:rsid w:val="00170CFB"/>
    <w:rsid w:val="00170FE7"/>
    <w:rsid w:val="00171F18"/>
    <w:rsid w:val="00174488"/>
    <w:rsid w:val="00175116"/>
    <w:rsid w:val="00175542"/>
    <w:rsid w:val="00176553"/>
    <w:rsid w:val="00176D3F"/>
    <w:rsid w:val="00176E84"/>
    <w:rsid w:val="00177591"/>
    <w:rsid w:val="0017765A"/>
    <w:rsid w:val="00177F9E"/>
    <w:rsid w:val="00180641"/>
    <w:rsid w:val="00180D79"/>
    <w:rsid w:val="00181543"/>
    <w:rsid w:val="00181750"/>
    <w:rsid w:val="00181DCC"/>
    <w:rsid w:val="001829CE"/>
    <w:rsid w:val="00183230"/>
    <w:rsid w:val="00185931"/>
    <w:rsid w:val="00185B69"/>
    <w:rsid w:val="0018697C"/>
    <w:rsid w:val="0018703E"/>
    <w:rsid w:val="001920B0"/>
    <w:rsid w:val="001924B5"/>
    <w:rsid w:val="00192DED"/>
    <w:rsid w:val="0019315A"/>
    <w:rsid w:val="001932F4"/>
    <w:rsid w:val="00193D66"/>
    <w:rsid w:val="00194A66"/>
    <w:rsid w:val="00195C34"/>
    <w:rsid w:val="00196252"/>
    <w:rsid w:val="001A07A7"/>
    <w:rsid w:val="001A0AF1"/>
    <w:rsid w:val="001A2776"/>
    <w:rsid w:val="001A2C02"/>
    <w:rsid w:val="001A4F4A"/>
    <w:rsid w:val="001A6AB6"/>
    <w:rsid w:val="001A6AD7"/>
    <w:rsid w:val="001B0135"/>
    <w:rsid w:val="001B0D48"/>
    <w:rsid w:val="001B105E"/>
    <w:rsid w:val="001B1595"/>
    <w:rsid w:val="001B242E"/>
    <w:rsid w:val="001B451D"/>
    <w:rsid w:val="001B452C"/>
    <w:rsid w:val="001B6F21"/>
    <w:rsid w:val="001B7681"/>
    <w:rsid w:val="001C168D"/>
    <w:rsid w:val="001C17D3"/>
    <w:rsid w:val="001C23A8"/>
    <w:rsid w:val="001C2966"/>
    <w:rsid w:val="001C2B03"/>
    <w:rsid w:val="001C35E2"/>
    <w:rsid w:val="001C45BC"/>
    <w:rsid w:val="001C6512"/>
    <w:rsid w:val="001C6D35"/>
    <w:rsid w:val="001C6FB5"/>
    <w:rsid w:val="001C7179"/>
    <w:rsid w:val="001C7DC2"/>
    <w:rsid w:val="001D1410"/>
    <w:rsid w:val="001D1AF1"/>
    <w:rsid w:val="001D2116"/>
    <w:rsid w:val="001D2393"/>
    <w:rsid w:val="001D29C7"/>
    <w:rsid w:val="001D3D0B"/>
    <w:rsid w:val="001D40E3"/>
    <w:rsid w:val="001D4177"/>
    <w:rsid w:val="001D5094"/>
    <w:rsid w:val="001D6938"/>
    <w:rsid w:val="001D6BCF"/>
    <w:rsid w:val="001D6C49"/>
    <w:rsid w:val="001D7130"/>
    <w:rsid w:val="001D7446"/>
    <w:rsid w:val="001E01CA"/>
    <w:rsid w:val="001E0224"/>
    <w:rsid w:val="001E06DD"/>
    <w:rsid w:val="001E081B"/>
    <w:rsid w:val="001E0E91"/>
    <w:rsid w:val="001E2F72"/>
    <w:rsid w:val="001E3759"/>
    <w:rsid w:val="001E39FE"/>
    <w:rsid w:val="001E42C6"/>
    <w:rsid w:val="001E4663"/>
    <w:rsid w:val="001E5918"/>
    <w:rsid w:val="001E62EF"/>
    <w:rsid w:val="001E659D"/>
    <w:rsid w:val="001E7026"/>
    <w:rsid w:val="001F04B2"/>
    <w:rsid w:val="001F05F1"/>
    <w:rsid w:val="001F0D87"/>
    <w:rsid w:val="001F3CC8"/>
    <w:rsid w:val="001F4A92"/>
    <w:rsid w:val="001F4E3F"/>
    <w:rsid w:val="001F4FF2"/>
    <w:rsid w:val="001F5005"/>
    <w:rsid w:val="001F5CB6"/>
    <w:rsid w:val="001F72AB"/>
    <w:rsid w:val="001F7D9D"/>
    <w:rsid w:val="0020020E"/>
    <w:rsid w:val="002002A8"/>
    <w:rsid w:val="002003E3"/>
    <w:rsid w:val="0020087F"/>
    <w:rsid w:val="0020132C"/>
    <w:rsid w:val="0020159C"/>
    <w:rsid w:val="00201AB4"/>
    <w:rsid w:val="00202001"/>
    <w:rsid w:val="00203038"/>
    <w:rsid w:val="002038E7"/>
    <w:rsid w:val="002039BE"/>
    <w:rsid w:val="00204466"/>
    <w:rsid w:val="00206086"/>
    <w:rsid w:val="0020791B"/>
    <w:rsid w:val="0021103E"/>
    <w:rsid w:val="002127BA"/>
    <w:rsid w:val="00213A9F"/>
    <w:rsid w:val="00214055"/>
    <w:rsid w:val="002156CC"/>
    <w:rsid w:val="00215BB5"/>
    <w:rsid w:val="00215E0C"/>
    <w:rsid w:val="00216204"/>
    <w:rsid w:val="00216F51"/>
    <w:rsid w:val="00217474"/>
    <w:rsid w:val="00217641"/>
    <w:rsid w:val="00217B0A"/>
    <w:rsid w:val="00220E22"/>
    <w:rsid w:val="00221177"/>
    <w:rsid w:val="002212F7"/>
    <w:rsid w:val="002218BA"/>
    <w:rsid w:val="00221949"/>
    <w:rsid w:val="00221D60"/>
    <w:rsid w:val="00223464"/>
    <w:rsid w:val="00223DD1"/>
    <w:rsid w:val="002245FC"/>
    <w:rsid w:val="00225034"/>
    <w:rsid w:val="0022635C"/>
    <w:rsid w:val="00230050"/>
    <w:rsid w:val="00230448"/>
    <w:rsid w:val="0023066B"/>
    <w:rsid w:val="00230936"/>
    <w:rsid w:val="002312AA"/>
    <w:rsid w:val="0023134D"/>
    <w:rsid w:val="00231813"/>
    <w:rsid w:val="00232BD3"/>
    <w:rsid w:val="00232CBC"/>
    <w:rsid w:val="00233314"/>
    <w:rsid w:val="00233D11"/>
    <w:rsid w:val="00235783"/>
    <w:rsid w:val="0023685C"/>
    <w:rsid w:val="00236E67"/>
    <w:rsid w:val="00236F92"/>
    <w:rsid w:val="00240218"/>
    <w:rsid w:val="002402A2"/>
    <w:rsid w:val="00240A6C"/>
    <w:rsid w:val="0024179F"/>
    <w:rsid w:val="00241A6B"/>
    <w:rsid w:val="00241C45"/>
    <w:rsid w:val="002451DD"/>
    <w:rsid w:val="00245B29"/>
    <w:rsid w:val="00246587"/>
    <w:rsid w:val="002477ED"/>
    <w:rsid w:val="00247AA0"/>
    <w:rsid w:val="0025205D"/>
    <w:rsid w:val="00253A01"/>
    <w:rsid w:val="00253DB3"/>
    <w:rsid w:val="00255140"/>
    <w:rsid w:val="00256CEE"/>
    <w:rsid w:val="002609F0"/>
    <w:rsid w:val="00263901"/>
    <w:rsid w:val="00263912"/>
    <w:rsid w:val="00263D49"/>
    <w:rsid w:val="00264C3E"/>
    <w:rsid w:val="00265741"/>
    <w:rsid w:val="0026672B"/>
    <w:rsid w:val="00266F2A"/>
    <w:rsid w:val="002722D5"/>
    <w:rsid w:val="002724CE"/>
    <w:rsid w:val="0027260D"/>
    <w:rsid w:val="0027369E"/>
    <w:rsid w:val="002741D0"/>
    <w:rsid w:val="0027453B"/>
    <w:rsid w:val="00275371"/>
    <w:rsid w:val="0027596B"/>
    <w:rsid w:val="00275CF5"/>
    <w:rsid w:val="00277281"/>
    <w:rsid w:val="00280648"/>
    <w:rsid w:val="002818A0"/>
    <w:rsid w:val="0028301F"/>
    <w:rsid w:val="00284FB6"/>
    <w:rsid w:val="00285017"/>
    <w:rsid w:val="00285A6A"/>
    <w:rsid w:val="00285C3C"/>
    <w:rsid w:val="00285D35"/>
    <w:rsid w:val="00290874"/>
    <w:rsid w:val="00290DE9"/>
    <w:rsid w:val="00291230"/>
    <w:rsid w:val="00291AD1"/>
    <w:rsid w:val="002927EE"/>
    <w:rsid w:val="00292D8E"/>
    <w:rsid w:val="00294245"/>
    <w:rsid w:val="002942EC"/>
    <w:rsid w:val="00295307"/>
    <w:rsid w:val="00295C37"/>
    <w:rsid w:val="00296F14"/>
    <w:rsid w:val="00297D9F"/>
    <w:rsid w:val="002A03D8"/>
    <w:rsid w:val="002A0920"/>
    <w:rsid w:val="002A12D7"/>
    <w:rsid w:val="002A1655"/>
    <w:rsid w:val="002A1767"/>
    <w:rsid w:val="002A2217"/>
    <w:rsid w:val="002A2822"/>
    <w:rsid w:val="002A2B78"/>
    <w:rsid w:val="002A2D2E"/>
    <w:rsid w:val="002A43A3"/>
    <w:rsid w:val="002A58DC"/>
    <w:rsid w:val="002A5DA9"/>
    <w:rsid w:val="002A6057"/>
    <w:rsid w:val="002A755B"/>
    <w:rsid w:val="002A79E4"/>
    <w:rsid w:val="002A7AAD"/>
    <w:rsid w:val="002A7CC5"/>
    <w:rsid w:val="002B0283"/>
    <w:rsid w:val="002B1AEC"/>
    <w:rsid w:val="002B2A5F"/>
    <w:rsid w:val="002B3419"/>
    <w:rsid w:val="002B3BC8"/>
    <w:rsid w:val="002B3D93"/>
    <w:rsid w:val="002B40D0"/>
    <w:rsid w:val="002B70D1"/>
    <w:rsid w:val="002B72BC"/>
    <w:rsid w:val="002B7ABC"/>
    <w:rsid w:val="002C00E8"/>
    <w:rsid w:val="002C0171"/>
    <w:rsid w:val="002C2FE9"/>
    <w:rsid w:val="002C3E82"/>
    <w:rsid w:val="002C54C6"/>
    <w:rsid w:val="002C590E"/>
    <w:rsid w:val="002C59B5"/>
    <w:rsid w:val="002C5B4C"/>
    <w:rsid w:val="002C6DFF"/>
    <w:rsid w:val="002C7B94"/>
    <w:rsid w:val="002D0B46"/>
    <w:rsid w:val="002D0C93"/>
    <w:rsid w:val="002D141F"/>
    <w:rsid w:val="002D1DA3"/>
    <w:rsid w:val="002D2A48"/>
    <w:rsid w:val="002D2B76"/>
    <w:rsid w:val="002D3134"/>
    <w:rsid w:val="002D3BDE"/>
    <w:rsid w:val="002D41B8"/>
    <w:rsid w:val="002D4B86"/>
    <w:rsid w:val="002D55B8"/>
    <w:rsid w:val="002D5D32"/>
    <w:rsid w:val="002D6BAE"/>
    <w:rsid w:val="002D7365"/>
    <w:rsid w:val="002E0BC1"/>
    <w:rsid w:val="002E1113"/>
    <w:rsid w:val="002E1458"/>
    <w:rsid w:val="002E14A2"/>
    <w:rsid w:val="002E1724"/>
    <w:rsid w:val="002E3016"/>
    <w:rsid w:val="002E4045"/>
    <w:rsid w:val="002E418D"/>
    <w:rsid w:val="002E437E"/>
    <w:rsid w:val="002E492E"/>
    <w:rsid w:val="002E51F0"/>
    <w:rsid w:val="002E6636"/>
    <w:rsid w:val="002E7B3E"/>
    <w:rsid w:val="002F0410"/>
    <w:rsid w:val="002F0595"/>
    <w:rsid w:val="002F0B66"/>
    <w:rsid w:val="002F19F5"/>
    <w:rsid w:val="002F2EA3"/>
    <w:rsid w:val="002F543C"/>
    <w:rsid w:val="002F59FD"/>
    <w:rsid w:val="002F5F79"/>
    <w:rsid w:val="002F63FB"/>
    <w:rsid w:val="002F6CA2"/>
    <w:rsid w:val="002F7462"/>
    <w:rsid w:val="002F7759"/>
    <w:rsid w:val="002F7A16"/>
    <w:rsid w:val="003000BA"/>
    <w:rsid w:val="0030038F"/>
    <w:rsid w:val="00300B58"/>
    <w:rsid w:val="0030204F"/>
    <w:rsid w:val="0030334C"/>
    <w:rsid w:val="00303923"/>
    <w:rsid w:val="00304378"/>
    <w:rsid w:val="00304BCC"/>
    <w:rsid w:val="003056A4"/>
    <w:rsid w:val="00305928"/>
    <w:rsid w:val="00306651"/>
    <w:rsid w:val="00307943"/>
    <w:rsid w:val="00310E98"/>
    <w:rsid w:val="00311ED6"/>
    <w:rsid w:val="00313E23"/>
    <w:rsid w:val="00313F1C"/>
    <w:rsid w:val="00314174"/>
    <w:rsid w:val="0031461A"/>
    <w:rsid w:val="0031484C"/>
    <w:rsid w:val="0031520F"/>
    <w:rsid w:val="00315A47"/>
    <w:rsid w:val="00315F14"/>
    <w:rsid w:val="00316101"/>
    <w:rsid w:val="00317362"/>
    <w:rsid w:val="0032113A"/>
    <w:rsid w:val="003212D7"/>
    <w:rsid w:val="003217AB"/>
    <w:rsid w:val="0032405E"/>
    <w:rsid w:val="0032448A"/>
    <w:rsid w:val="003251BF"/>
    <w:rsid w:val="0032757E"/>
    <w:rsid w:val="00330953"/>
    <w:rsid w:val="0033309C"/>
    <w:rsid w:val="003332C4"/>
    <w:rsid w:val="00334C35"/>
    <w:rsid w:val="0033588F"/>
    <w:rsid w:val="00335E66"/>
    <w:rsid w:val="00336844"/>
    <w:rsid w:val="00337CF1"/>
    <w:rsid w:val="0034066C"/>
    <w:rsid w:val="00340C8A"/>
    <w:rsid w:val="00340DD1"/>
    <w:rsid w:val="00340FAB"/>
    <w:rsid w:val="00342B0F"/>
    <w:rsid w:val="0034361C"/>
    <w:rsid w:val="00343749"/>
    <w:rsid w:val="00344066"/>
    <w:rsid w:val="00344584"/>
    <w:rsid w:val="0034501A"/>
    <w:rsid w:val="00346AF3"/>
    <w:rsid w:val="00346E80"/>
    <w:rsid w:val="0034732A"/>
    <w:rsid w:val="003479F9"/>
    <w:rsid w:val="0035056F"/>
    <w:rsid w:val="00352E37"/>
    <w:rsid w:val="00352F60"/>
    <w:rsid w:val="00353F34"/>
    <w:rsid w:val="00354132"/>
    <w:rsid w:val="003545FD"/>
    <w:rsid w:val="0035467A"/>
    <w:rsid w:val="00355288"/>
    <w:rsid w:val="00356F43"/>
    <w:rsid w:val="00357240"/>
    <w:rsid w:val="003604CA"/>
    <w:rsid w:val="00361258"/>
    <w:rsid w:val="00361C82"/>
    <w:rsid w:val="00362127"/>
    <w:rsid w:val="00363346"/>
    <w:rsid w:val="00363B32"/>
    <w:rsid w:val="003645C3"/>
    <w:rsid w:val="00364AC6"/>
    <w:rsid w:val="00364E67"/>
    <w:rsid w:val="003656A9"/>
    <w:rsid w:val="00365B6A"/>
    <w:rsid w:val="003660ED"/>
    <w:rsid w:val="00366D0D"/>
    <w:rsid w:val="00366F7D"/>
    <w:rsid w:val="0036707E"/>
    <w:rsid w:val="00367747"/>
    <w:rsid w:val="00367B65"/>
    <w:rsid w:val="00367B8F"/>
    <w:rsid w:val="00367D69"/>
    <w:rsid w:val="00370153"/>
    <w:rsid w:val="00371648"/>
    <w:rsid w:val="0037253F"/>
    <w:rsid w:val="00373954"/>
    <w:rsid w:val="00373F52"/>
    <w:rsid w:val="00374253"/>
    <w:rsid w:val="00374D45"/>
    <w:rsid w:val="00375758"/>
    <w:rsid w:val="003757C9"/>
    <w:rsid w:val="00375EC5"/>
    <w:rsid w:val="00375EDD"/>
    <w:rsid w:val="003762CA"/>
    <w:rsid w:val="00376C00"/>
    <w:rsid w:val="00377254"/>
    <w:rsid w:val="00377A69"/>
    <w:rsid w:val="00377E70"/>
    <w:rsid w:val="00381924"/>
    <w:rsid w:val="003841A1"/>
    <w:rsid w:val="003842CB"/>
    <w:rsid w:val="00384C83"/>
    <w:rsid w:val="00385848"/>
    <w:rsid w:val="00387311"/>
    <w:rsid w:val="00390264"/>
    <w:rsid w:val="00391597"/>
    <w:rsid w:val="00391A54"/>
    <w:rsid w:val="003939F9"/>
    <w:rsid w:val="003942CC"/>
    <w:rsid w:val="003943A4"/>
    <w:rsid w:val="00396DEC"/>
    <w:rsid w:val="00397422"/>
    <w:rsid w:val="00397B34"/>
    <w:rsid w:val="003A0163"/>
    <w:rsid w:val="003A04AD"/>
    <w:rsid w:val="003A1582"/>
    <w:rsid w:val="003A2E6E"/>
    <w:rsid w:val="003A442D"/>
    <w:rsid w:val="003A5398"/>
    <w:rsid w:val="003A5776"/>
    <w:rsid w:val="003A6D83"/>
    <w:rsid w:val="003A78E5"/>
    <w:rsid w:val="003B02F3"/>
    <w:rsid w:val="003B0550"/>
    <w:rsid w:val="003B092B"/>
    <w:rsid w:val="003B27C5"/>
    <w:rsid w:val="003B2B48"/>
    <w:rsid w:val="003B343C"/>
    <w:rsid w:val="003B5C35"/>
    <w:rsid w:val="003B5D80"/>
    <w:rsid w:val="003B6295"/>
    <w:rsid w:val="003B62F7"/>
    <w:rsid w:val="003B679B"/>
    <w:rsid w:val="003B694F"/>
    <w:rsid w:val="003B7EEE"/>
    <w:rsid w:val="003C2012"/>
    <w:rsid w:val="003C26E4"/>
    <w:rsid w:val="003C29B5"/>
    <w:rsid w:val="003C4F57"/>
    <w:rsid w:val="003C5F08"/>
    <w:rsid w:val="003C6024"/>
    <w:rsid w:val="003C64EC"/>
    <w:rsid w:val="003C7C2E"/>
    <w:rsid w:val="003D0904"/>
    <w:rsid w:val="003D2103"/>
    <w:rsid w:val="003D23F0"/>
    <w:rsid w:val="003D3446"/>
    <w:rsid w:val="003D409E"/>
    <w:rsid w:val="003D4E44"/>
    <w:rsid w:val="003D648A"/>
    <w:rsid w:val="003D64D2"/>
    <w:rsid w:val="003D6957"/>
    <w:rsid w:val="003D6C15"/>
    <w:rsid w:val="003D7830"/>
    <w:rsid w:val="003E06A5"/>
    <w:rsid w:val="003E10FC"/>
    <w:rsid w:val="003E295E"/>
    <w:rsid w:val="003E2C1B"/>
    <w:rsid w:val="003E65FB"/>
    <w:rsid w:val="003E74EE"/>
    <w:rsid w:val="003F0E9D"/>
    <w:rsid w:val="003F171C"/>
    <w:rsid w:val="003F21D0"/>
    <w:rsid w:val="003F2BE8"/>
    <w:rsid w:val="003F2CB2"/>
    <w:rsid w:val="003F4924"/>
    <w:rsid w:val="003F58D1"/>
    <w:rsid w:val="003F5A6D"/>
    <w:rsid w:val="003F61A3"/>
    <w:rsid w:val="003F6642"/>
    <w:rsid w:val="003F6AF0"/>
    <w:rsid w:val="004001D7"/>
    <w:rsid w:val="00400918"/>
    <w:rsid w:val="00401E18"/>
    <w:rsid w:val="00405372"/>
    <w:rsid w:val="00406781"/>
    <w:rsid w:val="004067EB"/>
    <w:rsid w:val="00410254"/>
    <w:rsid w:val="00410BDA"/>
    <w:rsid w:val="004118CF"/>
    <w:rsid w:val="004119A3"/>
    <w:rsid w:val="00411D90"/>
    <w:rsid w:val="0041202B"/>
    <w:rsid w:val="00412A80"/>
    <w:rsid w:val="00412FC5"/>
    <w:rsid w:val="0041482C"/>
    <w:rsid w:val="0041541A"/>
    <w:rsid w:val="00415CDA"/>
    <w:rsid w:val="004201BC"/>
    <w:rsid w:val="00420231"/>
    <w:rsid w:val="00421227"/>
    <w:rsid w:val="0042128E"/>
    <w:rsid w:val="004220C2"/>
    <w:rsid w:val="00422276"/>
    <w:rsid w:val="00423A10"/>
    <w:rsid w:val="0042419B"/>
    <w:rsid w:val="004242F1"/>
    <w:rsid w:val="00425078"/>
    <w:rsid w:val="00425CC2"/>
    <w:rsid w:val="004271BD"/>
    <w:rsid w:val="004318CE"/>
    <w:rsid w:val="00431D85"/>
    <w:rsid w:val="00431F56"/>
    <w:rsid w:val="0043438F"/>
    <w:rsid w:val="00434758"/>
    <w:rsid w:val="00435162"/>
    <w:rsid w:val="004353F9"/>
    <w:rsid w:val="00435F39"/>
    <w:rsid w:val="004365E2"/>
    <w:rsid w:val="00436ED1"/>
    <w:rsid w:val="00437B8F"/>
    <w:rsid w:val="00440119"/>
    <w:rsid w:val="00440C75"/>
    <w:rsid w:val="004411C4"/>
    <w:rsid w:val="00441944"/>
    <w:rsid w:val="004436AD"/>
    <w:rsid w:val="00443EDF"/>
    <w:rsid w:val="0044581A"/>
    <w:rsid w:val="00445A00"/>
    <w:rsid w:val="00445C53"/>
    <w:rsid w:val="00445F9E"/>
    <w:rsid w:val="00446950"/>
    <w:rsid w:val="00447326"/>
    <w:rsid w:val="0044756F"/>
    <w:rsid w:val="00450ABD"/>
    <w:rsid w:val="004516AE"/>
    <w:rsid w:val="00451B0F"/>
    <w:rsid w:val="004530D1"/>
    <w:rsid w:val="00453961"/>
    <w:rsid w:val="00453BD3"/>
    <w:rsid w:val="0045464D"/>
    <w:rsid w:val="00456608"/>
    <w:rsid w:val="00456B69"/>
    <w:rsid w:val="00457A95"/>
    <w:rsid w:val="00460729"/>
    <w:rsid w:val="0046194A"/>
    <w:rsid w:val="00461AA5"/>
    <w:rsid w:val="00461E31"/>
    <w:rsid w:val="00462FCC"/>
    <w:rsid w:val="00464093"/>
    <w:rsid w:val="00466CB5"/>
    <w:rsid w:val="00466F8F"/>
    <w:rsid w:val="00467345"/>
    <w:rsid w:val="00467E63"/>
    <w:rsid w:val="0047262A"/>
    <w:rsid w:val="0047279B"/>
    <w:rsid w:val="00473319"/>
    <w:rsid w:val="0047397E"/>
    <w:rsid w:val="00474314"/>
    <w:rsid w:val="00474FAA"/>
    <w:rsid w:val="00475750"/>
    <w:rsid w:val="00477326"/>
    <w:rsid w:val="004774FE"/>
    <w:rsid w:val="00477736"/>
    <w:rsid w:val="0047785E"/>
    <w:rsid w:val="00477904"/>
    <w:rsid w:val="00480639"/>
    <w:rsid w:val="00480D9C"/>
    <w:rsid w:val="004812D2"/>
    <w:rsid w:val="004813C4"/>
    <w:rsid w:val="00481B78"/>
    <w:rsid w:val="00482F58"/>
    <w:rsid w:val="0048357D"/>
    <w:rsid w:val="004835E9"/>
    <w:rsid w:val="00483DB8"/>
    <w:rsid w:val="004847FE"/>
    <w:rsid w:val="00484D2E"/>
    <w:rsid w:val="00484DA4"/>
    <w:rsid w:val="004858F0"/>
    <w:rsid w:val="00485BD6"/>
    <w:rsid w:val="00487114"/>
    <w:rsid w:val="00487821"/>
    <w:rsid w:val="00491062"/>
    <w:rsid w:val="0049115D"/>
    <w:rsid w:val="00491D2E"/>
    <w:rsid w:val="00493F6C"/>
    <w:rsid w:val="00493FDD"/>
    <w:rsid w:val="00495C6E"/>
    <w:rsid w:val="004963DB"/>
    <w:rsid w:val="004976EF"/>
    <w:rsid w:val="004978AD"/>
    <w:rsid w:val="00497F62"/>
    <w:rsid w:val="004A07D8"/>
    <w:rsid w:val="004A089D"/>
    <w:rsid w:val="004A0AD3"/>
    <w:rsid w:val="004A17BC"/>
    <w:rsid w:val="004A4732"/>
    <w:rsid w:val="004A50C6"/>
    <w:rsid w:val="004A6FF5"/>
    <w:rsid w:val="004A7814"/>
    <w:rsid w:val="004B2A0A"/>
    <w:rsid w:val="004B300A"/>
    <w:rsid w:val="004B3994"/>
    <w:rsid w:val="004B4366"/>
    <w:rsid w:val="004B4B01"/>
    <w:rsid w:val="004B721A"/>
    <w:rsid w:val="004B7C35"/>
    <w:rsid w:val="004C02EA"/>
    <w:rsid w:val="004C1107"/>
    <w:rsid w:val="004C1C65"/>
    <w:rsid w:val="004C1F17"/>
    <w:rsid w:val="004C2893"/>
    <w:rsid w:val="004C2EE3"/>
    <w:rsid w:val="004C397C"/>
    <w:rsid w:val="004C5773"/>
    <w:rsid w:val="004C5A2D"/>
    <w:rsid w:val="004C6490"/>
    <w:rsid w:val="004C6EEE"/>
    <w:rsid w:val="004C767E"/>
    <w:rsid w:val="004C79A8"/>
    <w:rsid w:val="004D014E"/>
    <w:rsid w:val="004D0D8D"/>
    <w:rsid w:val="004D13FC"/>
    <w:rsid w:val="004D1A03"/>
    <w:rsid w:val="004D54F4"/>
    <w:rsid w:val="004D5804"/>
    <w:rsid w:val="004D5992"/>
    <w:rsid w:val="004D628F"/>
    <w:rsid w:val="004D6794"/>
    <w:rsid w:val="004D6844"/>
    <w:rsid w:val="004D779A"/>
    <w:rsid w:val="004E037E"/>
    <w:rsid w:val="004E0395"/>
    <w:rsid w:val="004E29D4"/>
    <w:rsid w:val="004E2F51"/>
    <w:rsid w:val="004E38DB"/>
    <w:rsid w:val="004E3C05"/>
    <w:rsid w:val="004E4581"/>
    <w:rsid w:val="004E4A22"/>
    <w:rsid w:val="004E4AD2"/>
    <w:rsid w:val="004E5959"/>
    <w:rsid w:val="004E5A77"/>
    <w:rsid w:val="004E63F0"/>
    <w:rsid w:val="004E7809"/>
    <w:rsid w:val="004F0D28"/>
    <w:rsid w:val="004F2690"/>
    <w:rsid w:val="004F4575"/>
    <w:rsid w:val="004F5D58"/>
    <w:rsid w:val="004F634B"/>
    <w:rsid w:val="004F6CF6"/>
    <w:rsid w:val="004F7469"/>
    <w:rsid w:val="00500270"/>
    <w:rsid w:val="0050302C"/>
    <w:rsid w:val="00503AB9"/>
    <w:rsid w:val="00503AD2"/>
    <w:rsid w:val="0050416C"/>
    <w:rsid w:val="00504346"/>
    <w:rsid w:val="00504818"/>
    <w:rsid w:val="00505672"/>
    <w:rsid w:val="0050609B"/>
    <w:rsid w:val="00506464"/>
    <w:rsid w:val="005114F8"/>
    <w:rsid w:val="00511968"/>
    <w:rsid w:val="00512535"/>
    <w:rsid w:val="00513CAC"/>
    <w:rsid w:val="0051401C"/>
    <w:rsid w:val="00514C41"/>
    <w:rsid w:val="0051542E"/>
    <w:rsid w:val="00515C03"/>
    <w:rsid w:val="00515FBF"/>
    <w:rsid w:val="00517EFA"/>
    <w:rsid w:val="005204F8"/>
    <w:rsid w:val="00520B5D"/>
    <w:rsid w:val="005229CF"/>
    <w:rsid w:val="00523E41"/>
    <w:rsid w:val="0052607D"/>
    <w:rsid w:val="005262F3"/>
    <w:rsid w:val="0052671B"/>
    <w:rsid w:val="00526E88"/>
    <w:rsid w:val="00527031"/>
    <w:rsid w:val="00531747"/>
    <w:rsid w:val="00531FAA"/>
    <w:rsid w:val="0053206D"/>
    <w:rsid w:val="005336E8"/>
    <w:rsid w:val="00534618"/>
    <w:rsid w:val="00534D5C"/>
    <w:rsid w:val="00535AA9"/>
    <w:rsid w:val="005368D5"/>
    <w:rsid w:val="00537A45"/>
    <w:rsid w:val="00537ED9"/>
    <w:rsid w:val="005401B5"/>
    <w:rsid w:val="00541B92"/>
    <w:rsid w:val="005426DD"/>
    <w:rsid w:val="005429B9"/>
    <w:rsid w:val="00542AE9"/>
    <w:rsid w:val="00543A10"/>
    <w:rsid w:val="00544022"/>
    <w:rsid w:val="00545910"/>
    <w:rsid w:val="00546A49"/>
    <w:rsid w:val="00546C89"/>
    <w:rsid w:val="0054791B"/>
    <w:rsid w:val="0055075E"/>
    <w:rsid w:val="00550B6E"/>
    <w:rsid w:val="00550C4B"/>
    <w:rsid w:val="00551826"/>
    <w:rsid w:val="00552592"/>
    <w:rsid w:val="00552FD1"/>
    <w:rsid w:val="005538FD"/>
    <w:rsid w:val="00554894"/>
    <w:rsid w:val="0055614C"/>
    <w:rsid w:val="005577C5"/>
    <w:rsid w:val="00557DA5"/>
    <w:rsid w:val="00557DBA"/>
    <w:rsid w:val="00561145"/>
    <w:rsid w:val="00561388"/>
    <w:rsid w:val="005616B1"/>
    <w:rsid w:val="00561DD4"/>
    <w:rsid w:val="005630EC"/>
    <w:rsid w:val="00563637"/>
    <w:rsid w:val="005642A4"/>
    <w:rsid w:val="00564C42"/>
    <w:rsid w:val="00565908"/>
    <w:rsid w:val="0056600C"/>
    <w:rsid w:val="00566E9B"/>
    <w:rsid w:val="00567201"/>
    <w:rsid w:val="00567452"/>
    <w:rsid w:val="00567B33"/>
    <w:rsid w:val="0057089C"/>
    <w:rsid w:val="00570E15"/>
    <w:rsid w:val="00572578"/>
    <w:rsid w:val="005736C7"/>
    <w:rsid w:val="00573A96"/>
    <w:rsid w:val="005744A5"/>
    <w:rsid w:val="00574A75"/>
    <w:rsid w:val="00574E4A"/>
    <w:rsid w:val="00575709"/>
    <w:rsid w:val="00577ACA"/>
    <w:rsid w:val="00577CBC"/>
    <w:rsid w:val="00577D71"/>
    <w:rsid w:val="005804B4"/>
    <w:rsid w:val="00580BB7"/>
    <w:rsid w:val="005821EE"/>
    <w:rsid w:val="00583286"/>
    <w:rsid w:val="0058345D"/>
    <w:rsid w:val="005834DB"/>
    <w:rsid w:val="0058384D"/>
    <w:rsid w:val="0058554E"/>
    <w:rsid w:val="00585ACA"/>
    <w:rsid w:val="00585DA4"/>
    <w:rsid w:val="00590A18"/>
    <w:rsid w:val="00591DC6"/>
    <w:rsid w:val="005922AD"/>
    <w:rsid w:val="0059279D"/>
    <w:rsid w:val="0059386E"/>
    <w:rsid w:val="00594326"/>
    <w:rsid w:val="00594727"/>
    <w:rsid w:val="00594B29"/>
    <w:rsid w:val="00594FD5"/>
    <w:rsid w:val="00595213"/>
    <w:rsid w:val="00595D0F"/>
    <w:rsid w:val="00597F6B"/>
    <w:rsid w:val="005A0079"/>
    <w:rsid w:val="005A1388"/>
    <w:rsid w:val="005A1C1B"/>
    <w:rsid w:val="005A2BA2"/>
    <w:rsid w:val="005A30BA"/>
    <w:rsid w:val="005A30FA"/>
    <w:rsid w:val="005A36F6"/>
    <w:rsid w:val="005A3A4C"/>
    <w:rsid w:val="005A4443"/>
    <w:rsid w:val="005A4543"/>
    <w:rsid w:val="005A4A86"/>
    <w:rsid w:val="005A4E6E"/>
    <w:rsid w:val="005A6423"/>
    <w:rsid w:val="005A6DC7"/>
    <w:rsid w:val="005A6F15"/>
    <w:rsid w:val="005A7185"/>
    <w:rsid w:val="005A7614"/>
    <w:rsid w:val="005A7693"/>
    <w:rsid w:val="005A7741"/>
    <w:rsid w:val="005A78C2"/>
    <w:rsid w:val="005A79A4"/>
    <w:rsid w:val="005B09B1"/>
    <w:rsid w:val="005B0BA2"/>
    <w:rsid w:val="005B0C41"/>
    <w:rsid w:val="005B171E"/>
    <w:rsid w:val="005B3288"/>
    <w:rsid w:val="005B53A4"/>
    <w:rsid w:val="005B7A97"/>
    <w:rsid w:val="005B7F02"/>
    <w:rsid w:val="005C02F9"/>
    <w:rsid w:val="005C065B"/>
    <w:rsid w:val="005C0E00"/>
    <w:rsid w:val="005C158C"/>
    <w:rsid w:val="005C185F"/>
    <w:rsid w:val="005C1F2D"/>
    <w:rsid w:val="005C3487"/>
    <w:rsid w:val="005C4AD0"/>
    <w:rsid w:val="005C4CF4"/>
    <w:rsid w:val="005C4E2D"/>
    <w:rsid w:val="005C7B7D"/>
    <w:rsid w:val="005D2A57"/>
    <w:rsid w:val="005D42A0"/>
    <w:rsid w:val="005D4FEB"/>
    <w:rsid w:val="005D5964"/>
    <w:rsid w:val="005D5D07"/>
    <w:rsid w:val="005D725A"/>
    <w:rsid w:val="005E031A"/>
    <w:rsid w:val="005E1203"/>
    <w:rsid w:val="005E1298"/>
    <w:rsid w:val="005E14C2"/>
    <w:rsid w:val="005E2A98"/>
    <w:rsid w:val="005E359F"/>
    <w:rsid w:val="005E43A8"/>
    <w:rsid w:val="005E4FB3"/>
    <w:rsid w:val="005E66C5"/>
    <w:rsid w:val="005E6CAB"/>
    <w:rsid w:val="005F1CC2"/>
    <w:rsid w:val="005F2091"/>
    <w:rsid w:val="005F32BA"/>
    <w:rsid w:val="005F446B"/>
    <w:rsid w:val="005F470C"/>
    <w:rsid w:val="005F4CB6"/>
    <w:rsid w:val="005F53C3"/>
    <w:rsid w:val="005F5F80"/>
    <w:rsid w:val="005F7738"/>
    <w:rsid w:val="005F7E51"/>
    <w:rsid w:val="00601887"/>
    <w:rsid w:val="00601BA5"/>
    <w:rsid w:val="006024FC"/>
    <w:rsid w:val="0060298F"/>
    <w:rsid w:val="00602AF3"/>
    <w:rsid w:val="00602E21"/>
    <w:rsid w:val="00602F35"/>
    <w:rsid w:val="00603A6D"/>
    <w:rsid w:val="006048EE"/>
    <w:rsid w:val="00604A34"/>
    <w:rsid w:val="00604B2B"/>
    <w:rsid w:val="006052DD"/>
    <w:rsid w:val="00607BA5"/>
    <w:rsid w:val="00607D76"/>
    <w:rsid w:val="00607F04"/>
    <w:rsid w:val="0061125F"/>
    <w:rsid w:val="0061180A"/>
    <w:rsid w:val="006129B6"/>
    <w:rsid w:val="00613930"/>
    <w:rsid w:val="00613D34"/>
    <w:rsid w:val="00614803"/>
    <w:rsid w:val="00614DB4"/>
    <w:rsid w:val="00614FB3"/>
    <w:rsid w:val="0061756C"/>
    <w:rsid w:val="00617D5C"/>
    <w:rsid w:val="00621050"/>
    <w:rsid w:val="006213BE"/>
    <w:rsid w:val="00621F95"/>
    <w:rsid w:val="00622118"/>
    <w:rsid w:val="00622776"/>
    <w:rsid w:val="00622EDE"/>
    <w:rsid w:val="00623B63"/>
    <w:rsid w:val="00623E75"/>
    <w:rsid w:val="00624BEB"/>
    <w:rsid w:val="00624CBC"/>
    <w:rsid w:val="00626EB6"/>
    <w:rsid w:val="006271BD"/>
    <w:rsid w:val="00630612"/>
    <w:rsid w:val="00631343"/>
    <w:rsid w:val="00631A0C"/>
    <w:rsid w:val="00631F0C"/>
    <w:rsid w:val="00632FAC"/>
    <w:rsid w:val="00633018"/>
    <w:rsid w:val="006330EA"/>
    <w:rsid w:val="00636366"/>
    <w:rsid w:val="00636381"/>
    <w:rsid w:val="00637DF5"/>
    <w:rsid w:val="006403EA"/>
    <w:rsid w:val="00641D90"/>
    <w:rsid w:val="006431F6"/>
    <w:rsid w:val="00643905"/>
    <w:rsid w:val="0064490E"/>
    <w:rsid w:val="006460CC"/>
    <w:rsid w:val="0064684C"/>
    <w:rsid w:val="00647863"/>
    <w:rsid w:val="00650561"/>
    <w:rsid w:val="006513CE"/>
    <w:rsid w:val="006517AC"/>
    <w:rsid w:val="00651AF4"/>
    <w:rsid w:val="0065231E"/>
    <w:rsid w:val="006524E1"/>
    <w:rsid w:val="00653401"/>
    <w:rsid w:val="00655D03"/>
    <w:rsid w:val="00656063"/>
    <w:rsid w:val="00656870"/>
    <w:rsid w:val="0066002F"/>
    <w:rsid w:val="00660716"/>
    <w:rsid w:val="00660BD4"/>
    <w:rsid w:val="006610CA"/>
    <w:rsid w:val="00662266"/>
    <w:rsid w:val="00663A5C"/>
    <w:rsid w:val="006644CE"/>
    <w:rsid w:val="006662AD"/>
    <w:rsid w:val="00666E79"/>
    <w:rsid w:val="0066780A"/>
    <w:rsid w:val="00667CAA"/>
    <w:rsid w:val="0067000A"/>
    <w:rsid w:val="00670118"/>
    <w:rsid w:val="00671CC6"/>
    <w:rsid w:val="0067249B"/>
    <w:rsid w:val="00673AC9"/>
    <w:rsid w:val="00673B27"/>
    <w:rsid w:val="00675122"/>
    <w:rsid w:val="006751D1"/>
    <w:rsid w:val="00675C84"/>
    <w:rsid w:val="006800C7"/>
    <w:rsid w:val="006801D5"/>
    <w:rsid w:val="00680B52"/>
    <w:rsid w:val="00681B37"/>
    <w:rsid w:val="00681D6A"/>
    <w:rsid w:val="00681E10"/>
    <w:rsid w:val="00682548"/>
    <w:rsid w:val="006831EE"/>
    <w:rsid w:val="00683388"/>
    <w:rsid w:val="00683541"/>
    <w:rsid w:val="00683F84"/>
    <w:rsid w:val="00684490"/>
    <w:rsid w:val="00684790"/>
    <w:rsid w:val="00684AA2"/>
    <w:rsid w:val="00684CC4"/>
    <w:rsid w:val="006851AE"/>
    <w:rsid w:val="00685ACC"/>
    <w:rsid w:val="006863D0"/>
    <w:rsid w:val="006868F0"/>
    <w:rsid w:val="00686F50"/>
    <w:rsid w:val="00687AD6"/>
    <w:rsid w:val="00691DAB"/>
    <w:rsid w:val="00692386"/>
    <w:rsid w:val="00694878"/>
    <w:rsid w:val="00695B41"/>
    <w:rsid w:val="00696E56"/>
    <w:rsid w:val="006A03CB"/>
    <w:rsid w:val="006A1044"/>
    <w:rsid w:val="006A2245"/>
    <w:rsid w:val="006A2507"/>
    <w:rsid w:val="006A2584"/>
    <w:rsid w:val="006A480A"/>
    <w:rsid w:val="006A6A81"/>
    <w:rsid w:val="006B021D"/>
    <w:rsid w:val="006B0299"/>
    <w:rsid w:val="006B44BA"/>
    <w:rsid w:val="006B4CA0"/>
    <w:rsid w:val="006B4E97"/>
    <w:rsid w:val="006B5203"/>
    <w:rsid w:val="006B5BED"/>
    <w:rsid w:val="006B64FF"/>
    <w:rsid w:val="006B72EB"/>
    <w:rsid w:val="006B784D"/>
    <w:rsid w:val="006C280C"/>
    <w:rsid w:val="006C2838"/>
    <w:rsid w:val="006C3115"/>
    <w:rsid w:val="006C3497"/>
    <w:rsid w:val="006C3D43"/>
    <w:rsid w:val="006C4051"/>
    <w:rsid w:val="006C463A"/>
    <w:rsid w:val="006C4ABB"/>
    <w:rsid w:val="006C4B42"/>
    <w:rsid w:val="006C53C5"/>
    <w:rsid w:val="006C5B46"/>
    <w:rsid w:val="006C6A75"/>
    <w:rsid w:val="006C7A5A"/>
    <w:rsid w:val="006D150D"/>
    <w:rsid w:val="006D1510"/>
    <w:rsid w:val="006D1562"/>
    <w:rsid w:val="006D1AE9"/>
    <w:rsid w:val="006D2D60"/>
    <w:rsid w:val="006D3465"/>
    <w:rsid w:val="006D530C"/>
    <w:rsid w:val="006D6166"/>
    <w:rsid w:val="006D62EE"/>
    <w:rsid w:val="006D6437"/>
    <w:rsid w:val="006E0207"/>
    <w:rsid w:val="006E0C61"/>
    <w:rsid w:val="006E0FCC"/>
    <w:rsid w:val="006E66DD"/>
    <w:rsid w:val="006E66FC"/>
    <w:rsid w:val="006E6CE6"/>
    <w:rsid w:val="006F2250"/>
    <w:rsid w:val="006F3D47"/>
    <w:rsid w:val="006F56B8"/>
    <w:rsid w:val="006F586F"/>
    <w:rsid w:val="006F5D87"/>
    <w:rsid w:val="006F5EC4"/>
    <w:rsid w:val="006F6007"/>
    <w:rsid w:val="006F6620"/>
    <w:rsid w:val="006F7393"/>
    <w:rsid w:val="007013EA"/>
    <w:rsid w:val="007015E0"/>
    <w:rsid w:val="007021D5"/>
    <w:rsid w:val="0070224F"/>
    <w:rsid w:val="00702499"/>
    <w:rsid w:val="00703B85"/>
    <w:rsid w:val="00704330"/>
    <w:rsid w:val="007059CE"/>
    <w:rsid w:val="007060E4"/>
    <w:rsid w:val="007076B8"/>
    <w:rsid w:val="00710D68"/>
    <w:rsid w:val="00710EBE"/>
    <w:rsid w:val="007115F7"/>
    <w:rsid w:val="00711BC9"/>
    <w:rsid w:val="00712729"/>
    <w:rsid w:val="0071276E"/>
    <w:rsid w:val="00712C26"/>
    <w:rsid w:val="00714109"/>
    <w:rsid w:val="00714373"/>
    <w:rsid w:val="0071515B"/>
    <w:rsid w:val="0071580F"/>
    <w:rsid w:val="00715A75"/>
    <w:rsid w:val="00715FB5"/>
    <w:rsid w:val="00716060"/>
    <w:rsid w:val="0071658E"/>
    <w:rsid w:val="00716F00"/>
    <w:rsid w:val="00717103"/>
    <w:rsid w:val="007178DE"/>
    <w:rsid w:val="00720E86"/>
    <w:rsid w:val="00721295"/>
    <w:rsid w:val="00722A0D"/>
    <w:rsid w:val="007230D0"/>
    <w:rsid w:val="00723B83"/>
    <w:rsid w:val="00725B8E"/>
    <w:rsid w:val="00726C87"/>
    <w:rsid w:val="00726FA8"/>
    <w:rsid w:val="00727E79"/>
    <w:rsid w:val="007308A2"/>
    <w:rsid w:val="007314E6"/>
    <w:rsid w:val="00731960"/>
    <w:rsid w:val="00731A1B"/>
    <w:rsid w:val="007329CD"/>
    <w:rsid w:val="0073531A"/>
    <w:rsid w:val="00735F97"/>
    <w:rsid w:val="0074132A"/>
    <w:rsid w:val="0074180E"/>
    <w:rsid w:val="0074275E"/>
    <w:rsid w:val="00743A6C"/>
    <w:rsid w:val="007443E8"/>
    <w:rsid w:val="00744C2E"/>
    <w:rsid w:val="00745A4F"/>
    <w:rsid w:val="007460B5"/>
    <w:rsid w:val="00746FCA"/>
    <w:rsid w:val="00747F99"/>
    <w:rsid w:val="00751DA6"/>
    <w:rsid w:val="00752833"/>
    <w:rsid w:val="00752BDE"/>
    <w:rsid w:val="007543C2"/>
    <w:rsid w:val="00754950"/>
    <w:rsid w:val="00754A05"/>
    <w:rsid w:val="00755B24"/>
    <w:rsid w:val="007565EC"/>
    <w:rsid w:val="00756E00"/>
    <w:rsid w:val="0076089E"/>
    <w:rsid w:val="00760F69"/>
    <w:rsid w:val="007619DF"/>
    <w:rsid w:val="00762088"/>
    <w:rsid w:val="00763A70"/>
    <w:rsid w:val="007648FA"/>
    <w:rsid w:val="00766FC1"/>
    <w:rsid w:val="007676AE"/>
    <w:rsid w:val="00770CE6"/>
    <w:rsid w:val="0077162A"/>
    <w:rsid w:val="007724A0"/>
    <w:rsid w:val="0077330F"/>
    <w:rsid w:val="00773678"/>
    <w:rsid w:val="00774BBC"/>
    <w:rsid w:val="007763AB"/>
    <w:rsid w:val="00777E2C"/>
    <w:rsid w:val="0078117A"/>
    <w:rsid w:val="00781AAB"/>
    <w:rsid w:val="0078247B"/>
    <w:rsid w:val="007832EA"/>
    <w:rsid w:val="007849C0"/>
    <w:rsid w:val="00784A1D"/>
    <w:rsid w:val="00785307"/>
    <w:rsid w:val="00785488"/>
    <w:rsid w:val="00785689"/>
    <w:rsid w:val="0078575E"/>
    <w:rsid w:val="007858A0"/>
    <w:rsid w:val="00785C65"/>
    <w:rsid w:val="0078654D"/>
    <w:rsid w:val="007869FB"/>
    <w:rsid w:val="00790F6A"/>
    <w:rsid w:val="00791A41"/>
    <w:rsid w:val="007923ED"/>
    <w:rsid w:val="00792BBB"/>
    <w:rsid w:val="007963F0"/>
    <w:rsid w:val="0079754B"/>
    <w:rsid w:val="00797BDF"/>
    <w:rsid w:val="00797E40"/>
    <w:rsid w:val="007A0775"/>
    <w:rsid w:val="007A0D82"/>
    <w:rsid w:val="007A1E6D"/>
    <w:rsid w:val="007A2EAF"/>
    <w:rsid w:val="007A3E67"/>
    <w:rsid w:val="007A4D45"/>
    <w:rsid w:val="007A5021"/>
    <w:rsid w:val="007A5228"/>
    <w:rsid w:val="007B0067"/>
    <w:rsid w:val="007B0EB2"/>
    <w:rsid w:val="007B13B8"/>
    <w:rsid w:val="007B2C87"/>
    <w:rsid w:val="007B3457"/>
    <w:rsid w:val="007B49C0"/>
    <w:rsid w:val="007B4DE9"/>
    <w:rsid w:val="007B50BE"/>
    <w:rsid w:val="007B6307"/>
    <w:rsid w:val="007B6E1F"/>
    <w:rsid w:val="007B6F09"/>
    <w:rsid w:val="007B7F15"/>
    <w:rsid w:val="007C0B39"/>
    <w:rsid w:val="007C1170"/>
    <w:rsid w:val="007C3A63"/>
    <w:rsid w:val="007C3F17"/>
    <w:rsid w:val="007C4E69"/>
    <w:rsid w:val="007C4E81"/>
    <w:rsid w:val="007C4EBF"/>
    <w:rsid w:val="007C5962"/>
    <w:rsid w:val="007C5ABE"/>
    <w:rsid w:val="007C7044"/>
    <w:rsid w:val="007C79F4"/>
    <w:rsid w:val="007D166D"/>
    <w:rsid w:val="007D1AFB"/>
    <w:rsid w:val="007D20BD"/>
    <w:rsid w:val="007D48EB"/>
    <w:rsid w:val="007D584A"/>
    <w:rsid w:val="007D5986"/>
    <w:rsid w:val="007D6261"/>
    <w:rsid w:val="007D6ED3"/>
    <w:rsid w:val="007D7D5A"/>
    <w:rsid w:val="007E0480"/>
    <w:rsid w:val="007E0485"/>
    <w:rsid w:val="007E11FD"/>
    <w:rsid w:val="007E20A7"/>
    <w:rsid w:val="007E3917"/>
    <w:rsid w:val="007E4715"/>
    <w:rsid w:val="007E51BD"/>
    <w:rsid w:val="007E53DD"/>
    <w:rsid w:val="007E5947"/>
    <w:rsid w:val="007E5CDD"/>
    <w:rsid w:val="007E602D"/>
    <w:rsid w:val="007E645E"/>
    <w:rsid w:val="007E67D0"/>
    <w:rsid w:val="007E7150"/>
    <w:rsid w:val="007E7851"/>
    <w:rsid w:val="007F04ED"/>
    <w:rsid w:val="007F06D2"/>
    <w:rsid w:val="007F2ADA"/>
    <w:rsid w:val="007F2FFC"/>
    <w:rsid w:val="007F3408"/>
    <w:rsid w:val="007F49CF"/>
    <w:rsid w:val="007F50DF"/>
    <w:rsid w:val="007F619B"/>
    <w:rsid w:val="007F7387"/>
    <w:rsid w:val="007F7502"/>
    <w:rsid w:val="0080051F"/>
    <w:rsid w:val="00800F32"/>
    <w:rsid w:val="00803319"/>
    <w:rsid w:val="00803A89"/>
    <w:rsid w:val="00806225"/>
    <w:rsid w:val="00806A94"/>
    <w:rsid w:val="008075B7"/>
    <w:rsid w:val="008100DF"/>
    <w:rsid w:val="00810B6F"/>
    <w:rsid w:val="00810BF7"/>
    <w:rsid w:val="00811560"/>
    <w:rsid w:val="00811C33"/>
    <w:rsid w:val="00811EDF"/>
    <w:rsid w:val="00812388"/>
    <w:rsid w:val="00812408"/>
    <w:rsid w:val="00812472"/>
    <w:rsid w:val="00812E9C"/>
    <w:rsid w:val="00813796"/>
    <w:rsid w:val="00815D39"/>
    <w:rsid w:val="0081609C"/>
    <w:rsid w:val="008162C4"/>
    <w:rsid w:val="00816AB1"/>
    <w:rsid w:val="00816D0E"/>
    <w:rsid w:val="008170ED"/>
    <w:rsid w:val="00817543"/>
    <w:rsid w:val="0082035F"/>
    <w:rsid w:val="00820640"/>
    <w:rsid w:val="00820E83"/>
    <w:rsid w:val="008219C2"/>
    <w:rsid w:val="00822231"/>
    <w:rsid w:val="00822CE0"/>
    <w:rsid w:val="00823007"/>
    <w:rsid w:val="00823E92"/>
    <w:rsid w:val="00824E4D"/>
    <w:rsid w:val="00825958"/>
    <w:rsid w:val="00826F7F"/>
    <w:rsid w:val="00830574"/>
    <w:rsid w:val="00831E0F"/>
    <w:rsid w:val="008323B5"/>
    <w:rsid w:val="008329A7"/>
    <w:rsid w:val="00834CB6"/>
    <w:rsid w:val="008359FE"/>
    <w:rsid w:val="00835AD7"/>
    <w:rsid w:val="00835DBF"/>
    <w:rsid w:val="008372F0"/>
    <w:rsid w:val="00837FDA"/>
    <w:rsid w:val="00841508"/>
    <w:rsid w:val="00841AB1"/>
    <w:rsid w:val="00841AE9"/>
    <w:rsid w:val="00841E72"/>
    <w:rsid w:val="00844B06"/>
    <w:rsid w:val="00845980"/>
    <w:rsid w:val="00846D8B"/>
    <w:rsid w:val="00847113"/>
    <w:rsid w:val="00847622"/>
    <w:rsid w:val="00850E34"/>
    <w:rsid w:val="00851088"/>
    <w:rsid w:val="00851F06"/>
    <w:rsid w:val="008529EA"/>
    <w:rsid w:val="00852A7E"/>
    <w:rsid w:val="0085344A"/>
    <w:rsid w:val="00856701"/>
    <w:rsid w:val="0085720D"/>
    <w:rsid w:val="00861B4C"/>
    <w:rsid w:val="00862D22"/>
    <w:rsid w:val="00862F40"/>
    <w:rsid w:val="00862FDB"/>
    <w:rsid w:val="008635F9"/>
    <w:rsid w:val="00863602"/>
    <w:rsid w:val="0086543E"/>
    <w:rsid w:val="008672DB"/>
    <w:rsid w:val="00867D69"/>
    <w:rsid w:val="008734CC"/>
    <w:rsid w:val="0087365D"/>
    <w:rsid w:val="0087599E"/>
    <w:rsid w:val="0087620F"/>
    <w:rsid w:val="00876875"/>
    <w:rsid w:val="00876BD7"/>
    <w:rsid w:val="00877EB6"/>
    <w:rsid w:val="00880257"/>
    <w:rsid w:val="00881B4B"/>
    <w:rsid w:val="00881DF0"/>
    <w:rsid w:val="00881FC0"/>
    <w:rsid w:val="00882EC9"/>
    <w:rsid w:val="00883A86"/>
    <w:rsid w:val="00883FFE"/>
    <w:rsid w:val="008840D1"/>
    <w:rsid w:val="008847DB"/>
    <w:rsid w:val="00884DDA"/>
    <w:rsid w:val="00885338"/>
    <w:rsid w:val="0088539D"/>
    <w:rsid w:val="00886E7C"/>
    <w:rsid w:val="008877A3"/>
    <w:rsid w:val="00887E0C"/>
    <w:rsid w:val="008903EF"/>
    <w:rsid w:val="00890A25"/>
    <w:rsid w:val="00891CBC"/>
    <w:rsid w:val="00892F0D"/>
    <w:rsid w:val="00893F94"/>
    <w:rsid w:val="0089516B"/>
    <w:rsid w:val="00895C1B"/>
    <w:rsid w:val="008962EB"/>
    <w:rsid w:val="008964E5"/>
    <w:rsid w:val="008966F1"/>
    <w:rsid w:val="008A05E4"/>
    <w:rsid w:val="008A17D2"/>
    <w:rsid w:val="008A3273"/>
    <w:rsid w:val="008A350A"/>
    <w:rsid w:val="008A5447"/>
    <w:rsid w:val="008A5F31"/>
    <w:rsid w:val="008A7823"/>
    <w:rsid w:val="008B0505"/>
    <w:rsid w:val="008B06D6"/>
    <w:rsid w:val="008B0E14"/>
    <w:rsid w:val="008B17F1"/>
    <w:rsid w:val="008B1DA8"/>
    <w:rsid w:val="008B262B"/>
    <w:rsid w:val="008B35FF"/>
    <w:rsid w:val="008B43ED"/>
    <w:rsid w:val="008B4B0B"/>
    <w:rsid w:val="008B4BBB"/>
    <w:rsid w:val="008B509B"/>
    <w:rsid w:val="008B56E8"/>
    <w:rsid w:val="008B58D3"/>
    <w:rsid w:val="008B592A"/>
    <w:rsid w:val="008B5D36"/>
    <w:rsid w:val="008B77F2"/>
    <w:rsid w:val="008C0BC7"/>
    <w:rsid w:val="008C386B"/>
    <w:rsid w:val="008C4282"/>
    <w:rsid w:val="008C44C4"/>
    <w:rsid w:val="008C53F0"/>
    <w:rsid w:val="008C5A51"/>
    <w:rsid w:val="008C6516"/>
    <w:rsid w:val="008C68F1"/>
    <w:rsid w:val="008D0970"/>
    <w:rsid w:val="008D0DC3"/>
    <w:rsid w:val="008D185E"/>
    <w:rsid w:val="008D1C64"/>
    <w:rsid w:val="008D3EF5"/>
    <w:rsid w:val="008D3F09"/>
    <w:rsid w:val="008D4E4A"/>
    <w:rsid w:val="008D5458"/>
    <w:rsid w:val="008D6136"/>
    <w:rsid w:val="008D7028"/>
    <w:rsid w:val="008D7AEE"/>
    <w:rsid w:val="008E0ED1"/>
    <w:rsid w:val="008E1648"/>
    <w:rsid w:val="008E251E"/>
    <w:rsid w:val="008E2EBD"/>
    <w:rsid w:val="008E49E2"/>
    <w:rsid w:val="008E4B26"/>
    <w:rsid w:val="008E535A"/>
    <w:rsid w:val="008E6E6E"/>
    <w:rsid w:val="008E7070"/>
    <w:rsid w:val="008F1565"/>
    <w:rsid w:val="008F1875"/>
    <w:rsid w:val="008F1A97"/>
    <w:rsid w:val="008F30E0"/>
    <w:rsid w:val="008F5D13"/>
    <w:rsid w:val="008F664A"/>
    <w:rsid w:val="008F6CBD"/>
    <w:rsid w:val="008F7578"/>
    <w:rsid w:val="0090142B"/>
    <w:rsid w:val="00901ADD"/>
    <w:rsid w:val="0090324E"/>
    <w:rsid w:val="00903FF4"/>
    <w:rsid w:val="009045FB"/>
    <w:rsid w:val="00904813"/>
    <w:rsid w:val="00904E27"/>
    <w:rsid w:val="009050C0"/>
    <w:rsid w:val="009050DB"/>
    <w:rsid w:val="00905264"/>
    <w:rsid w:val="009055CC"/>
    <w:rsid w:val="00905FEE"/>
    <w:rsid w:val="00906051"/>
    <w:rsid w:val="009065C8"/>
    <w:rsid w:val="00906806"/>
    <w:rsid w:val="00907800"/>
    <w:rsid w:val="00910693"/>
    <w:rsid w:val="00910EB4"/>
    <w:rsid w:val="00911597"/>
    <w:rsid w:val="00911D3F"/>
    <w:rsid w:val="00913F62"/>
    <w:rsid w:val="00916B24"/>
    <w:rsid w:val="0091752A"/>
    <w:rsid w:val="00917C31"/>
    <w:rsid w:val="00921719"/>
    <w:rsid w:val="00921803"/>
    <w:rsid w:val="0092197D"/>
    <w:rsid w:val="00921AC3"/>
    <w:rsid w:val="00921B3D"/>
    <w:rsid w:val="009222FF"/>
    <w:rsid w:val="00922B83"/>
    <w:rsid w:val="009233CA"/>
    <w:rsid w:val="00926503"/>
    <w:rsid w:val="00926E07"/>
    <w:rsid w:val="00927497"/>
    <w:rsid w:val="00927ECC"/>
    <w:rsid w:val="00930545"/>
    <w:rsid w:val="00931036"/>
    <w:rsid w:val="00931219"/>
    <w:rsid w:val="00931E79"/>
    <w:rsid w:val="00931F09"/>
    <w:rsid w:val="0093256F"/>
    <w:rsid w:val="009344F5"/>
    <w:rsid w:val="00934AD2"/>
    <w:rsid w:val="00935C62"/>
    <w:rsid w:val="00935CA1"/>
    <w:rsid w:val="0093755C"/>
    <w:rsid w:val="00937754"/>
    <w:rsid w:val="009400C4"/>
    <w:rsid w:val="00944042"/>
    <w:rsid w:val="00944234"/>
    <w:rsid w:val="00947150"/>
    <w:rsid w:val="009471DC"/>
    <w:rsid w:val="009475AE"/>
    <w:rsid w:val="009516E9"/>
    <w:rsid w:val="009519B1"/>
    <w:rsid w:val="009525DC"/>
    <w:rsid w:val="0095298F"/>
    <w:rsid w:val="00953162"/>
    <w:rsid w:val="00953AA8"/>
    <w:rsid w:val="0095619F"/>
    <w:rsid w:val="00956977"/>
    <w:rsid w:val="0095724B"/>
    <w:rsid w:val="00957B2F"/>
    <w:rsid w:val="00960828"/>
    <w:rsid w:val="00960DDD"/>
    <w:rsid w:val="009610D4"/>
    <w:rsid w:val="0096261B"/>
    <w:rsid w:val="0096277E"/>
    <w:rsid w:val="00962A8D"/>
    <w:rsid w:val="009632D2"/>
    <w:rsid w:val="00967ED6"/>
    <w:rsid w:val="00970411"/>
    <w:rsid w:val="00970532"/>
    <w:rsid w:val="009705D0"/>
    <w:rsid w:val="009726D8"/>
    <w:rsid w:val="00972AB2"/>
    <w:rsid w:val="00973203"/>
    <w:rsid w:val="00974A74"/>
    <w:rsid w:val="00974F4B"/>
    <w:rsid w:val="00974F88"/>
    <w:rsid w:val="00975A64"/>
    <w:rsid w:val="0098110A"/>
    <w:rsid w:val="00981647"/>
    <w:rsid w:val="00981F23"/>
    <w:rsid w:val="0098206D"/>
    <w:rsid w:val="009822AC"/>
    <w:rsid w:val="009827B6"/>
    <w:rsid w:val="00983B54"/>
    <w:rsid w:val="00984670"/>
    <w:rsid w:val="0098612F"/>
    <w:rsid w:val="009864AF"/>
    <w:rsid w:val="00987708"/>
    <w:rsid w:val="00992020"/>
    <w:rsid w:val="00992A3D"/>
    <w:rsid w:val="00993E22"/>
    <w:rsid w:val="00995089"/>
    <w:rsid w:val="0099517B"/>
    <w:rsid w:val="0099609C"/>
    <w:rsid w:val="00996B5B"/>
    <w:rsid w:val="00997348"/>
    <w:rsid w:val="009A0DA7"/>
    <w:rsid w:val="009A1217"/>
    <w:rsid w:val="009A2863"/>
    <w:rsid w:val="009A3172"/>
    <w:rsid w:val="009A46BE"/>
    <w:rsid w:val="009A497C"/>
    <w:rsid w:val="009A598E"/>
    <w:rsid w:val="009A5D5D"/>
    <w:rsid w:val="009A6161"/>
    <w:rsid w:val="009A6D63"/>
    <w:rsid w:val="009B0283"/>
    <w:rsid w:val="009B1948"/>
    <w:rsid w:val="009B2F14"/>
    <w:rsid w:val="009B4B99"/>
    <w:rsid w:val="009B4FEB"/>
    <w:rsid w:val="009B50A5"/>
    <w:rsid w:val="009B543F"/>
    <w:rsid w:val="009B5B75"/>
    <w:rsid w:val="009B61DD"/>
    <w:rsid w:val="009B63D0"/>
    <w:rsid w:val="009B6D39"/>
    <w:rsid w:val="009B6ECE"/>
    <w:rsid w:val="009B7ACD"/>
    <w:rsid w:val="009B7E7F"/>
    <w:rsid w:val="009C03C7"/>
    <w:rsid w:val="009C0733"/>
    <w:rsid w:val="009C0855"/>
    <w:rsid w:val="009C1345"/>
    <w:rsid w:val="009C1960"/>
    <w:rsid w:val="009C1A32"/>
    <w:rsid w:val="009C27C9"/>
    <w:rsid w:val="009C2EF6"/>
    <w:rsid w:val="009C3D4D"/>
    <w:rsid w:val="009C4B03"/>
    <w:rsid w:val="009C50D1"/>
    <w:rsid w:val="009C7121"/>
    <w:rsid w:val="009C76DC"/>
    <w:rsid w:val="009C7EA1"/>
    <w:rsid w:val="009D0068"/>
    <w:rsid w:val="009D0C90"/>
    <w:rsid w:val="009D0D6D"/>
    <w:rsid w:val="009D106A"/>
    <w:rsid w:val="009D1AC0"/>
    <w:rsid w:val="009D2F64"/>
    <w:rsid w:val="009D35E1"/>
    <w:rsid w:val="009D4829"/>
    <w:rsid w:val="009D4D67"/>
    <w:rsid w:val="009D5A0F"/>
    <w:rsid w:val="009D5C73"/>
    <w:rsid w:val="009D7419"/>
    <w:rsid w:val="009E107D"/>
    <w:rsid w:val="009E1634"/>
    <w:rsid w:val="009E1D7C"/>
    <w:rsid w:val="009E2C0B"/>
    <w:rsid w:val="009E2F5C"/>
    <w:rsid w:val="009E322B"/>
    <w:rsid w:val="009E35E3"/>
    <w:rsid w:val="009E3896"/>
    <w:rsid w:val="009E38B5"/>
    <w:rsid w:val="009E6A41"/>
    <w:rsid w:val="009E705D"/>
    <w:rsid w:val="009E72C3"/>
    <w:rsid w:val="009E7EF7"/>
    <w:rsid w:val="009F0090"/>
    <w:rsid w:val="009F02DC"/>
    <w:rsid w:val="009F1120"/>
    <w:rsid w:val="009F1436"/>
    <w:rsid w:val="009F1859"/>
    <w:rsid w:val="009F1DAA"/>
    <w:rsid w:val="009F2FCF"/>
    <w:rsid w:val="009F5C33"/>
    <w:rsid w:val="009F5FEE"/>
    <w:rsid w:val="009F659A"/>
    <w:rsid w:val="009F660B"/>
    <w:rsid w:val="009F6D8F"/>
    <w:rsid w:val="009F6E42"/>
    <w:rsid w:val="009F76DB"/>
    <w:rsid w:val="009F7B57"/>
    <w:rsid w:val="00A01279"/>
    <w:rsid w:val="00A0552A"/>
    <w:rsid w:val="00A057E7"/>
    <w:rsid w:val="00A066CB"/>
    <w:rsid w:val="00A069B0"/>
    <w:rsid w:val="00A10506"/>
    <w:rsid w:val="00A10BC2"/>
    <w:rsid w:val="00A11C66"/>
    <w:rsid w:val="00A127B3"/>
    <w:rsid w:val="00A12FA0"/>
    <w:rsid w:val="00A13598"/>
    <w:rsid w:val="00A13695"/>
    <w:rsid w:val="00A141FF"/>
    <w:rsid w:val="00A14DE3"/>
    <w:rsid w:val="00A15BE4"/>
    <w:rsid w:val="00A15CBD"/>
    <w:rsid w:val="00A20B28"/>
    <w:rsid w:val="00A20B4A"/>
    <w:rsid w:val="00A20E53"/>
    <w:rsid w:val="00A210C4"/>
    <w:rsid w:val="00A22242"/>
    <w:rsid w:val="00A226A8"/>
    <w:rsid w:val="00A231D9"/>
    <w:rsid w:val="00A233BB"/>
    <w:rsid w:val="00A2350E"/>
    <w:rsid w:val="00A24CEB"/>
    <w:rsid w:val="00A2603C"/>
    <w:rsid w:val="00A26278"/>
    <w:rsid w:val="00A27393"/>
    <w:rsid w:val="00A3007D"/>
    <w:rsid w:val="00A3021A"/>
    <w:rsid w:val="00A311CB"/>
    <w:rsid w:val="00A314C9"/>
    <w:rsid w:val="00A319B3"/>
    <w:rsid w:val="00A31B0B"/>
    <w:rsid w:val="00A31C6C"/>
    <w:rsid w:val="00A32C3B"/>
    <w:rsid w:val="00A3346D"/>
    <w:rsid w:val="00A33A9A"/>
    <w:rsid w:val="00A34E55"/>
    <w:rsid w:val="00A3528A"/>
    <w:rsid w:val="00A355D0"/>
    <w:rsid w:val="00A35767"/>
    <w:rsid w:val="00A35817"/>
    <w:rsid w:val="00A36A06"/>
    <w:rsid w:val="00A376E3"/>
    <w:rsid w:val="00A37BA0"/>
    <w:rsid w:val="00A40172"/>
    <w:rsid w:val="00A40595"/>
    <w:rsid w:val="00A40BDB"/>
    <w:rsid w:val="00A40EF9"/>
    <w:rsid w:val="00A4139C"/>
    <w:rsid w:val="00A418B2"/>
    <w:rsid w:val="00A44AB0"/>
    <w:rsid w:val="00A44F7F"/>
    <w:rsid w:val="00A45D64"/>
    <w:rsid w:val="00A45F4F"/>
    <w:rsid w:val="00A464D9"/>
    <w:rsid w:val="00A470C7"/>
    <w:rsid w:val="00A47477"/>
    <w:rsid w:val="00A508E4"/>
    <w:rsid w:val="00A51268"/>
    <w:rsid w:val="00A512DE"/>
    <w:rsid w:val="00A51F36"/>
    <w:rsid w:val="00A521A4"/>
    <w:rsid w:val="00A5358C"/>
    <w:rsid w:val="00A5381B"/>
    <w:rsid w:val="00A53B64"/>
    <w:rsid w:val="00A552CB"/>
    <w:rsid w:val="00A5680D"/>
    <w:rsid w:val="00A5697A"/>
    <w:rsid w:val="00A57963"/>
    <w:rsid w:val="00A600A9"/>
    <w:rsid w:val="00A61B38"/>
    <w:rsid w:val="00A6289F"/>
    <w:rsid w:val="00A62AC6"/>
    <w:rsid w:val="00A62EFC"/>
    <w:rsid w:val="00A63AAE"/>
    <w:rsid w:val="00A64452"/>
    <w:rsid w:val="00A64910"/>
    <w:rsid w:val="00A6505C"/>
    <w:rsid w:val="00A6638E"/>
    <w:rsid w:val="00A663C6"/>
    <w:rsid w:val="00A6640E"/>
    <w:rsid w:val="00A6670F"/>
    <w:rsid w:val="00A66E2C"/>
    <w:rsid w:val="00A70BF9"/>
    <w:rsid w:val="00A714F9"/>
    <w:rsid w:val="00A71822"/>
    <w:rsid w:val="00A72B39"/>
    <w:rsid w:val="00A72C90"/>
    <w:rsid w:val="00A73187"/>
    <w:rsid w:val="00A73DF9"/>
    <w:rsid w:val="00A77C12"/>
    <w:rsid w:val="00A8245D"/>
    <w:rsid w:val="00A8361C"/>
    <w:rsid w:val="00A83786"/>
    <w:rsid w:val="00A838C2"/>
    <w:rsid w:val="00A83EDA"/>
    <w:rsid w:val="00A84794"/>
    <w:rsid w:val="00A84D80"/>
    <w:rsid w:val="00A8593E"/>
    <w:rsid w:val="00A860A3"/>
    <w:rsid w:val="00A86693"/>
    <w:rsid w:val="00A86FBD"/>
    <w:rsid w:val="00A8787D"/>
    <w:rsid w:val="00A879F6"/>
    <w:rsid w:val="00A920E5"/>
    <w:rsid w:val="00A928EB"/>
    <w:rsid w:val="00A93CD4"/>
    <w:rsid w:val="00A93D0C"/>
    <w:rsid w:val="00A9478D"/>
    <w:rsid w:val="00A95C51"/>
    <w:rsid w:val="00A96B6A"/>
    <w:rsid w:val="00A973AC"/>
    <w:rsid w:val="00AA0349"/>
    <w:rsid w:val="00AA4232"/>
    <w:rsid w:val="00AA477C"/>
    <w:rsid w:val="00AA55B7"/>
    <w:rsid w:val="00AA5ABB"/>
    <w:rsid w:val="00AA5B9E"/>
    <w:rsid w:val="00AA7729"/>
    <w:rsid w:val="00AA7D7E"/>
    <w:rsid w:val="00AB0AD5"/>
    <w:rsid w:val="00AB1284"/>
    <w:rsid w:val="00AB1341"/>
    <w:rsid w:val="00AB22B6"/>
    <w:rsid w:val="00AB2407"/>
    <w:rsid w:val="00AB25CC"/>
    <w:rsid w:val="00AB2E98"/>
    <w:rsid w:val="00AB47ED"/>
    <w:rsid w:val="00AB4EDC"/>
    <w:rsid w:val="00AB53DF"/>
    <w:rsid w:val="00AC01F0"/>
    <w:rsid w:val="00AC113D"/>
    <w:rsid w:val="00AC28FE"/>
    <w:rsid w:val="00AC2A5A"/>
    <w:rsid w:val="00AC2AFC"/>
    <w:rsid w:val="00AC2F10"/>
    <w:rsid w:val="00AC3746"/>
    <w:rsid w:val="00AC4393"/>
    <w:rsid w:val="00AC43A9"/>
    <w:rsid w:val="00AC4F9B"/>
    <w:rsid w:val="00AC55E8"/>
    <w:rsid w:val="00AC6F63"/>
    <w:rsid w:val="00AC7EAF"/>
    <w:rsid w:val="00AD02B1"/>
    <w:rsid w:val="00AD1EA0"/>
    <w:rsid w:val="00AD4E9D"/>
    <w:rsid w:val="00AD56D5"/>
    <w:rsid w:val="00AD66DB"/>
    <w:rsid w:val="00AD67D4"/>
    <w:rsid w:val="00AD6E33"/>
    <w:rsid w:val="00AD7FB0"/>
    <w:rsid w:val="00AE01EC"/>
    <w:rsid w:val="00AE0EC6"/>
    <w:rsid w:val="00AE2DD7"/>
    <w:rsid w:val="00AE302D"/>
    <w:rsid w:val="00AE3526"/>
    <w:rsid w:val="00AE37F8"/>
    <w:rsid w:val="00AE3854"/>
    <w:rsid w:val="00AE6092"/>
    <w:rsid w:val="00AE6A5C"/>
    <w:rsid w:val="00AE6EF8"/>
    <w:rsid w:val="00AE79C6"/>
    <w:rsid w:val="00AE7D81"/>
    <w:rsid w:val="00AF041C"/>
    <w:rsid w:val="00AF1B55"/>
    <w:rsid w:val="00AF2CDF"/>
    <w:rsid w:val="00AF307D"/>
    <w:rsid w:val="00AF5F27"/>
    <w:rsid w:val="00B03467"/>
    <w:rsid w:val="00B0402D"/>
    <w:rsid w:val="00B04326"/>
    <w:rsid w:val="00B0601B"/>
    <w:rsid w:val="00B07279"/>
    <w:rsid w:val="00B0761B"/>
    <w:rsid w:val="00B07E5C"/>
    <w:rsid w:val="00B10457"/>
    <w:rsid w:val="00B1088E"/>
    <w:rsid w:val="00B10967"/>
    <w:rsid w:val="00B11B9F"/>
    <w:rsid w:val="00B11F12"/>
    <w:rsid w:val="00B12B95"/>
    <w:rsid w:val="00B12D40"/>
    <w:rsid w:val="00B12FDF"/>
    <w:rsid w:val="00B13CC3"/>
    <w:rsid w:val="00B154B6"/>
    <w:rsid w:val="00B15C07"/>
    <w:rsid w:val="00B162B4"/>
    <w:rsid w:val="00B16A2F"/>
    <w:rsid w:val="00B17F96"/>
    <w:rsid w:val="00B20032"/>
    <w:rsid w:val="00B20576"/>
    <w:rsid w:val="00B218A2"/>
    <w:rsid w:val="00B21D60"/>
    <w:rsid w:val="00B230EF"/>
    <w:rsid w:val="00B23854"/>
    <w:rsid w:val="00B23AB4"/>
    <w:rsid w:val="00B244C0"/>
    <w:rsid w:val="00B2456E"/>
    <w:rsid w:val="00B269B4"/>
    <w:rsid w:val="00B27217"/>
    <w:rsid w:val="00B276C1"/>
    <w:rsid w:val="00B27B58"/>
    <w:rsid w:val="00B27CC3"/>
    <w:rsid w:val="00B30DE8"/>
    <w:rsid w:val="00B31E56"/>
    <w:rsid w:val="00B32079"/>
    <w:rsid w:val="00B325A7"/>
    <w:rsid w:val="00B35670"/>
    <w:rsid w:val="00B403B8"/>
    <w:rsid w:val="00B416C4"/>
    <w:rsid w:val="00B41C58"/>
    <w:rsid w:val="00B4293B"/>
    <w:rsid w:val="00B429E1"/>
    <w:rsid w:val="00B43CDD"/>
    <w:rsid w:val="00B442C2"/>
    <w:rsid w:val="00B455FD"/>
    <w:rsid w:val="00B468A9"/>
    <w:rsid w:val="00B478D7"/>
    <w:rsid w:val="00B51285"/>
    <w:rsid w:val="00B5163B"/>
    <w:rsid w:val="00B53CA0"/>
    <w:rsid w:val="00B55D68"/>
    <w:rsid w:val="00B60328"/>
    <w:rsid w:val="00B60737"/>
    <w:rsid w:val="00B60DF9"/>
    <w:rsid w:val="00B61B1A"/>
    <w:rsid w:val="00B62B6D"/>
    <w:rsid w:val="00B63D80"/>
    <w:rsid w:val="00B649E7"/>
    <w:rsid w:val="00B65555"/>
    <w:rsid w:val="00B656B8"/>
    <w:rsid w:val="00B659AA"/>
    <w:rsid w:val="00B65A2B"/>
    <w:rsid w:val="00B66355"/>
    <w:rsid w:val="00B66E4A"/>
    <w:rsid w:val="00B70384"/>
    <w:rsid w:val="00B7044E"/>
    <w:rsid w:val="00B71EED"/>
    <w:rsid w:val="00B72592"/>
    <w:rsid w:val="00B72F03"/>
    <w:rsid w:val="00B73820"/>
    <w:rsid w:val="00B73CA5"/>
    <w:rsid w:val="00B744A8"/>
    <w:rsid w:val="00B76723"/>
    <w:rsid w:val="00B76CE0"/>
    <w:rsid w:val="00B77759"/>
    <w:rsid w:val="00B809F3"/>
    <w:rsid w:val="00B80AF7"/>
    <w:rsid w:val="00B8104D"/>
    <w:rsid w:val="00B81131"/>
    <w:rsid w:val="00B811F7"/>
    <w:rsid w:val="00B819AB"/>
    <w:rsid w:val="00B81FD4"/>
    <w:rsid w:val="00B832E5"/>
    <w:rsid w:val="00B83F3C"/>
    <w:rsid w:val="00B85ABD"/>
    <w:rsid w:val="00B86017"/>
    <w:rsid w:val="00B86DC3"/>
    <w:rsid w:val="00B90729"/>
    <w:rsid w:val="00B91729"/>
    <w:rsid w:val="00B91A82"/>
    <w:rsid w:val="00B93F66"/>
    <w:rsid w:val="00B950EE"/>
    <w:rsid w:val="00B960D7"/>
    <w:rsid w:val="00B96945"/>
    <w:rsid w:val="00B96C8E"/>
    <w:rsid w:val="00B97418"/>
    <w:rsid w:val="00BA0313"/>
    <w:rsid w:val="00BA2670"/>
    <w:rsid w:val="00BA29CC"/>
    <w:rsid w:val="00BA3B11"/>
    <w:rsid w:val="00BA4258"/>
    <w:rsid w:val="00BA42B5"/>
    <w:rsid w:val="00BA4DC0"/>
    <w:rsid w:val="00BA4FB5"/>
    <w:rsid w:val="00BA5290"/>
    <w:rsid w:val="00BA5AEA"/>
    <w:rsid w:val="00BA5DC6"/>
    <w:rsid w:val="00BA6196"/>
    <w:rsid w:val="00BA6958"/>
    <w:rsid w:val="00BA712C"/>
    <w:rsid w:val="00BA71CB"/>
    <w:rsid w:val="00BA7945"/>
    <w:rsid w:val="00BA7CB8"/>
    <w:rsid w:val="00BB0AFB"/>
    <w:rsid w:val="00BB138C"/>
    <w:rsid w:val="00BB1E68"/>
    <w:rsid w:val="00BB22AC"/>
    <w:rsid w:val="00BB2C94"/>
    <w:rsid w:val="00BB323B"/>
    <w:rsid w:val="00BB33E0"/>
    <w:rsid w:val="00BB34B4"/>
    <w:rsid w:val="00BB533D"/>
    <w:rsid w:val="00BB55AE"/>
    <w:rsid w:val="00BB5A9B"/>
    <w:rsid w:val="00BB70B8"/>
    <w:rsid w:val="00BC2576"/>
    <w:rsid w:val="00BC2DFB"/>
    <w:rsid w:val="00BC3B37"/>
    <w:rsid w:val="00BC3E3D"/>
    <w:rsid w:val="00BC5430"/>
    <w:rsid w:val="00BC658B"/>
    <w:rsid w:val="00BC6D8C"/>
    <w:rsid w:val="00BC77B7"/>
    <w:rsid w:val="00BC7B74"/>
    <w:rsid w:val="00BC7CC3"/>
    <w:rsid w:val="00BD0D2C"/>
    <w:rsid w:val="00BD1720"/>
    <w:rsid w:val="00BD2EE6"/>
    <w:rsid w:val="00BD31E3"/>
    <w:rsid w:val="00BD697B"/>
    <w:rsid w:val="00BD7ECA"/>
    <w:rsid w:val="00BE0D2E"/>
    <w:rsid w:val="00BE1C44"/>
    <w:rsid w:val="00BE309C"/>
    <w:rsid w:val="00BE36C2"/>
    <w:rsid w:val="00BE38A3"/>
    <w:rsid w:val="00BE4792"/>
    <w:rsid w:val="00BE5623"/>
    <w:rsid w:val="00BE75D8"/>
    <w:rsid w:val="00BF2362"/>
    <w:rsid w:val="00BF4B97"/>
    <w:rsid w:val="00BF55D5"/>
    <w:rsid w:val="00BF68A3"/>
    <w:rsid w:val="00BF6FDE"/>
    <w:rsid w:val="00BF7A4C"/>
    <w:rsid w:val="00BF7F1C"/>
    <w:rsid w:val="00C00E18"/>
    <w:rsid w:val="00C0274F"/>
    <w:rsid w:val="00C02C23"/>
    <w:rsid w:val="00C03342"/>
    <w:rsid w:val="00C0384C"/>
    <w:rsid w:val="00C04775"/>
    <w:rsid w:val="00C05E7E"/>
    <w:rsid w:val="00C05ECE"/>
    <w:rsid w:val="00C05F43"/>
    <w:rsid w:val="00C07714"/>
    <w:rsid w:val="00C079D6"/>
    <w:rsid w:val="00C1074F"/>
    <w:rsid w:val="00C121E1"/>
    <w:rsid w:val="00C12900"/>
    <w:rsid w:val="00C142F5"/>
    <w:rsid w:val="00C14FD9"/>
    <w:rsid w:val="00C15E7D"/>
    <w:rsid w:val="00C163C9"/>
    <w:rsid w:val="00C16F62"/>
    <w:rsid w:val="00C1704A"/>
    <w:rsid w:val="00C1707F"/>
    <w:rsid w:val="00C203A0"/>
    <w:rsid w:val="00C207B3"/>
    <w:rsid w:val="00C20DD5"/>
    <w:rsid w:val="00C21279"/>
    <w:rsid w:val="00C22AFB"/>
    <w:rsid w:val="00C232A6"/>
    <w:rsid w:val="00C23CBE"/>
    <w:rsid w:val="00C249EF"/>
    <w:rsid w:val="00C2521D"/>
    <w:rsid w:val="00C252C0"/>
    <w:rsid w:val="00C26C6A"/>
    <w:rsid w:val="00C30367"/>
    <w:rsid w:val="00C3394A"/>
    <w:rsid w:val="00C34006"/>
    <w:rsid w:val="00C34B0B"/>
    <w:rsid w:val="00C34C59"/>
    <w:rsid w:val="00C350FA"/>
    <w:rsid w:val="00C361E6"/>
    <w:rsid w:val="00C36444"/>
    <w:rsid w:val="00C36D38"/>
    <w:rsid w:val="00C421F0"/>
    <w:rsid w:val="00C426B1"/>
    <w:rsid w:val="00C436ED"/>
    <w:rsid w:val="00C4486B"/>
    <w:rsid w:val="00C454DB"/>
    <w:rsid w:val="00C457E1"/>
    <w:rsid w:val="00C45A20"/>
    <w:rsid w:val="00C47761"/>
    <w:rsid w:val="00C47C15"/>
    <w:rsid w:val="00C502BF"/>
    <w:rsid w:val="00C50B59"/>
    <w:rsid w:val="00C51451"/>
    <w:rsid w:val="00C52040"/>
    <w:rsid w:val="00C522BD"/>
    <w:rsid w:val="00C52FD3"/>
    <w:rsid w:val="00C55441"/>
    <w:rsid w:val="00C55FB0"/>
    <w:rsid w:val="00C566D0"/>
    <w:rsid w:val="00C56A5E"/>
    <w:rsid w:val="00C56AC9"/>
    <w:rsid w:val="00C60FEF"/>
    <w:rsid w:val="00C61D77"/>
    <w:rsid w:val="00C61E0D"/>
    <w:rsid w:val="00C63135"/>
    <w:rsid w:val="00C64F9D"/>
    <w:rsid w:val="00C65448"/>
    <w:rsid w:val="00C65A84"/>
    <w:rsid w:val="00C66160"/>
    <w:rsid w:val="00C67B19"/>
    <w:rsid w:val="00C7094E"/>
    <w:rsid w:val="00C70D7D"/>
    <w:rsid w:val="00C721AC"/>
    <w:rsid w:val="00C75124"/>
    <w:rsid w:val="00C75596"/>
    <w:rsid w:val="00C764B5"/>
    <w:rsid w:val="00C771E1"/>
    <w:rsid w:val="00C80225"/>
    <w:rsid w:val="00C813C8"/>
    <w:rsid w:val="00C81513"/>
    <w:rsid w:val="00C821FA"/>
    <w:rsid w:val="00C82313"/>
    <w:rsid w:val="00C8517D"/>
    <w:rsid w:val="00C85688"/>
    <w:rsid w:val="00C8568D"/>
    <w:rsid w:val="00C859EF"/>
    <w:rsid w:val="00C87AB5"/>
    <w:rsid w:val="00C87B42"/>
    <w:rsid w:val="00C87CA4"/>
    <w:rsid w:val="00C90D6A"/>
    <w:rsid w:val="00C91323"/>
    <w:rsid w:val="00C917A8"/>
    <w:rsid w:val="00C91D20"/>
    <w:rsid w:val="00C920EA"/>
    <w:rsid w:val="00C928AF"/>
    <w:rsid w:val="00C9294B"/>
    <w:rsid w:val="00C92ED6"/>
    <w:rsid w:val="00C93932"/>
    <w:rsid w:val="00C93EF7"/>
    <w:rsid w:val="00C94149"/>
    <w:rsid w:val="00C95367"/>
    <w:rsid w:val="00C96856"/>
    <w:rsid w:val="00CA1606"/>
    <w:rsid w:val="00CA247E"/>
    <w:rsid w:val="00CA2C25"/>
    <w:rsid w:val="00CA3FE8"/>
    <w:rsid w:val="00CA6DAC"/>
    <w:rsid w:val="00CB068A"/>
    <w:rsid w:val="00CB2249"/>
    <w:rsid w:val="00CB2A5C"/>
    <w:rsid w:val="00CB5D03"/>
    <w:rsid w:val="00CB72C4"/>
    <w:rsid w:val="00CC063D"/>
    <w:rsid w:val="00CC157E"/>
    <w:rsid w:val="00CC1B1F"/>
    <w:rsid w:val="00CC4392"/>
    <w:rsid w:val="00CC4DF9"/>
    <w:rsid w:val="00CC628D"/>
    <w:rsid w:val="00CC6950"/>
    <w:rsid w:val="00CC6CEB"/>
    <w:rsid w:val="00CC6D03"/>
    <w:rsid w:val="00CC72B6"/>
    <w:rsid w:val="00CC76DF"/>
    <w:rsid w:val="00CC7A58"/>
    <w:rsid w:val="00CD21F8"/>
    <w:rsid w:val="00CD385B"/>
    <w:rsid w:val="00CD3A38"/>
    <w:rsid w:val="00CD504A"/>
    <w:rsid w:val="00CD5BEF"/>
    <w:rsid w:val="00CD79F4"/>
    <w:rsid w:val="00CE00DE"/>
    <w:rsid w:val="00CE12A9"/>
    <w:rsid w:val="00CE1FE8"/>
    <w:rsid w:val="00CE4442"/>
    <w:rsid w:val="00CE49C7"/>
    <w:rsid w:val="00CE4C54"/>
    <w:rsid w:val="00CE6B4B"/>
    <w:rsid w:val="00CE6D77"/>
    <w:rsid w:val="00CE7EBD"/>
    <w:rsid w:val="00CF06BC"/>
    <w:rsid w:val="00CF1BE1"/>
    <w:rsid w:val="00CF444C"/>
    <w:rsid w:val="00CF4550"/>
    <w:rsid w:val="00CF4E1F"/>
    <w:rsid w:val="00CF5096"/>
    <w:rsid w:val="00CF6A74"/>
    <w:rsid w:val="00CF75BB"/>
    <w:rsid w:val="00CF789E"/>
    <w:rsid w:val="00D0057A"/>
    <w:rsid w:val="00D01643"/>
    <w:rsid w:val="00D0218D"/>
    <w:rsid w:val="00D037E1"/>
    <w:rsid w:val="00D03EF8"/>
    <w:rsid w:val="00D05626"/>
    <w:rsid w:val="00D05E23"/>
    <w:rsid w:val="00D068D3"/>
    <w:rsid w:val="00D06976"/>
    <w:rsid w:val="00D06F53"/>
    <w:rsid w:val="00D07D85"/>
    <w:rsid w:val="00D07F1D"/>
    <w:rsid w:val="00D104ED"/>
    <w:rsid w:val="00D10545"/>
    <w:rsid w:val="00D10C94"/>
    <w:rsid w:val="00D114A3"/>
    <w:rsid w:val="00D1416D"/>
    <w:rsid w:val="00D143E9"/>
    <w:rsid w:val="00D149E0"/>
    <w:rsid w:val="00D16A80"/>
    <w:rsid w:val="00D16CA2"/>
    <w:rsid w:val="00D17131"/>
    <w:rsid w:val="00D1721F"/>
    <w:rsid w:val="00D17ACA"/>
    <w:rsid w:val="00D17C8E"/>
    <w:rsid w:val="00D17CA2"/>
    <w:rsid w:val="00D17CAC"/>
    <w:rsid w:val="00D17FC9"/>
    <w:rsid w:val="00D202D8"/>
    <w:rsid w:val="00D20F81"/>
    <w:rsid w:val="00D22B6F"/>
    <w:rsid w:val="00D232E3"/>
    <w:rsid w:val="00D23523"/>
    <w:rsid w:val="00D238AE"/>
    <w:rsid w:val="00D23E19"/>
    <w:rsid w:val="00D24B80"/>
    <w:rsid w:val="00D24DBE"/>
    <w:rsid w:val="00D25CC3"/>
    <w:rsid w:val="00D25FB5"/>
    <w:rsid w:val="00D265E2"/>
    <w:rsid w:val="00D271D8"/>
    <w:rsid w:val="00D2796D"/>
    <w:rsid w:val="00D27A3D"/>
    <w:rsid w:val="00D30DCF"/>
    <w:rsid w:val="00D30EEA"/>
    <w:rsid w:val="00D30F28"/>
    <w:rsid w:val="00D31599"/>
    <w:rsid w:val="00D31CD1"/>
    <w:rsid w:val="00D32E96"/>
    <w:rsid w:val="00D341F0"/>
    <w:rsid w:val="00D343AE"/>
    <w:rsid w:val="00D34A76"/>
    <w:rsid w:val="00D35935"/>
    <w:rsid w:val="00D37459"/>
    <w:rsid w:val="00D37570"/>
    <w:rsid w:val="00D37AEE"/>
    <w:rsid w:val="00D42AC8"/>
    <w:rsid w:val="00D42EE8"/>
    <w:rsid w:val="00D44223"/>
    <w:rsid w:val="00D4494A"/>
    <w:rsid w:val="00D44B09"/>
    <w:rsid w:val="00D45760"/>
    <w:rsid w:val="00D45938"/>
    <w:rsid w:val="00D466A2"/>
    <w:rsid w:val="00D507B5"/>
    <w:rsid w:val="00D510D5"/>
    <w:rsid w:val="00D53351"/>
    <w:rsid w:val="00D5432F"/>
    <w:rsid w:val="00D54658"/>
    <w:rsid w:val="00D549A7"/>
    <w:rsid w:val="00D553C5"/>
    <w:rsid w:val="00D56B3E"/>
    <w:rsid w:val="00D56F81"/>
    <w:rsid w:val="00D57257"/>
    <w:rsid w:val="00D57955"/>
    <w:rsid w:val="00D606F9"/>
    <w:rsid w:val="00D60BF7"/>
    <w:rsid w:val="00D6102C"/>
    <w:rsid w:val="00D62BCF"/>
    <w:rsid w:val="00D63392"/>
    <w:rsid w:val="00D63481"/>
    <w:rsid w:val="00D639D9"/>
    <w:rsid w:val="00D64188"/>
    <w:rsid w:val="00D641B0"/>
    <w:rsid w:val="00D64786"/>
    <w:rsid w:val="00D64B80"/>
    <w:rsid w:val="00D6535C"/>
    <w:rsid w:val="00D71B44"/>
    <w:rsid w:val="00D71B6F"/>
    <w:rsid w:val="00D724E9"/>
    <w:rsid w:val="00D741D4"/>
    <w:rsid w:val="00D74491"/>
    <w:rsid w:val="00D74FFF"/>
    <w:rsid w:val="00D75F44"/>
    <w:rsid w:val="00D764F1"/>
    <w:rsid w:val="00D76737"/>
    <w:rsid w:val="00D76E92"/>
    <w:rsid w:val="00D76EF8"/>
    <w:rsid w:val="00D8133B"/>
    <w:rsid w:val="00D81637"/>
    <w:rsid w:val="00D82417"/>
    <w:rsid w:val="00D82AEE"/>
    <w:rsid w:val="00D83234"/>
    <w:rsid w:val="00D83AAC"/>
    <w:rsid w:val="00D84548"/>
    <w:rsid w:val="00D857F9"/>
    <w:rsid w:val="00D86A6A"/>
    <w:rsid w:val="00D86CD7"/>
    <w:rsid w:val="00D87282"/>
    <w:rsid w:val="00D873F3"/>
    <w:rsid w:val="00D875A4"/>
    <w:rsid w:val="00D9059F"/>
    <w:rsid w:val="00D90AAC"/>
    <w:rsid w:val="00D90DDD"/>
    <w:rsid w:val="00D90ED0"/>
    <w:rsid w:val="00D911AE"/>
    <w:rsid w:val="00D91294"/>
    <w:rsid w:val="00D9336C"/>
    <w:rsid w:val="00D9393B"/>
    <w:rsid w:val="00D94259"/>
    <w:rsid w:val="00D94615"/>
    <w:rsid w:val="00D956BE"/>
    <w:rsid w:val="00D9645D"/>
    <w:rsid w:val="00D97249"/>
    <w:rsid w:val="00DA061F"/>
    <w:rsid w:val="00DA1323"/>
    <w:rsid w:val="00DA1ED7"/>
    <w:rsid w:val="00DA2116"/>
    <w:rsid w:val="00DA2529"/>
    <w:rsid w:val="00DA2BF7"/>
    <w:rsid w:val="00DA3461"/>
    <w:rsid w:val="00DA365B"/>
    <w:rsid w:val="00DA5882"/>
    <w:rsid w:val="00DA6337"/>
    <w:rsid w:val="00DA6793"/>
    <w:rsid w:val="00DA69A0"/>
    <w:rsid w:val="00DA73DD"/>
    <w:rsid w:val="00DA77A0"/>
    <w:rsid w:val="00DA7ED0"/>
    <w:rsid w:val="00DB0C88"/>
    <w:rsid w:val="00DB130A"/>
    <w:rsid w:val="00DB2EBB"/>
    <w:rsid w:val="00DB34EE"/>
    <w:rsid w:val="00DB4572"/>
    <w:rsid w:val="00DB45CE"/>
    <w:rsid w:val="00DB4E3C"/>
    <w:rsid w:val="00DB5338"/>
    <w:rsid w:val="00DB5788"/>
    <w:rsid w:val="00DB65C0"/>
    <w:rsid w:val="00DB66ED"/>
    <w:rsid w:val="00DB7792"/>
    <w:rsid w:val="00DB7E30"/>
    <w:rsid w:val="00DC02AE"/>
    <w:rsid w:val="00DC08C5"/>
    <w:rsid w:val="00DC0A04"/>
    <w:rsid w:val="00DC0C91"/>
    <w:rsid w:val="00DC0E0A"/>
    <w:rsid w:val="00DC10A1"/>
    <w:rsid w:val="00DC16F7"/>
    <w:rsid w:val="00DC2B85"/>
    <w:rsid w:val="00DC508C"/>
    <w:rsid w:val="00DC655F"/>
    <w:rsid w:val="00DC6835"/>
    <w:rsid w:val="00DC73BA"/>
    <w:rsid w:val="00DD037E"/>
    <w:rsid w:val="00DD0B59"/>
    <w:rsid w:val="00DD165C"/>
    <w:rsid w:val="00DD1B9B"/>
    <w:rsid w:val="00DD3306"/>
    <w:rsid w:val="00DD35A9"/>
    <w:rsid w:val="00DD3CD9"/>
    <w:rsid w:val="00DD4981"/>
    <w:rsid w:val="00DD530F"/>
    <w:rsid w:val="00DD681D"/>
    <w:rsid w:val="00DD7EBD"/>
    <w:rsid w:val="00DD7EBE"/>
    <w:rsid w:val="00DE062A"/>
    <w:rsid w:val="00DE073F"/>
    <w:rsid w:val="00DE1907"/>
    <w:rsid w:val="00DE3399"/>
    <w:rsid w:val="00DE3E86"/>
    <w:rsid w:val="00DE5605"/>
    <w:rsid w:val="00DE6299"/>
    <w:rsid w:val="00DE65EF"/>
    <w:rsid w:val="00DF1EE8"/>
    <w:rsid w:val="00DF2C8C"/>
    <w:rsid w:val="00DF4D71"/>
    <w:rsid w:val="00DF5022"/>
    <w:rsid w:val="00DF5095"/>
    <w:rsid w:val="00DF562C"/>
    <w:rsid w:val="00DF5BEF"/>
    <w:rsid w:val="00DF604F"/>
    <w:rsid w:val="00DF62B6"/>
    <w:rsid w:val="00DF723C"/>
    <w:rsid w:val="00DF7829"/>
    <w:rsid w:val="00E014A4"/>
    <w:rsid w:val="00E0152E"/>
    <w:rsid w:val="00E039BE"/>
    <w:rsid w:val="00E05313"/>
    <w:rsid w:val="00E06B9F"/>
    <w:rsid w:val="00E07225"/>
    <w:rsid w:val="00E07713"/>
    <w:rsid w:val="00E07BD7"/>
    <w:rsid w:val="00E10B15"/>
    <w:rsid w:val="00E12BE2"/>
    <w:rsid w:val="00E14BD8"/>
    <w:rsid w:val="00E14FA8"/>
    <w:rsid w:val="00E15634"/>
    <w:rsid w:val="00E17A0D"/>
    <w:rsid w:val="00E20561"/>
    <w:rsid w:val="00E20F4A"/>
    <w:rsid w:val="00E21517"/>
    <w:rsid w:val="00E2161C"/>
    <w:rsid w:val="00E22218"/>
    <w:rsid w:val="00E22FAC"/>
    <w:rsid w:val="00E23271"/>
    <w:rsid w:val="00E23CFE"/>
    <w:rsid w:val="00E2426A"/>
    <w:rsid w:val="00E245BB"/>
    <w:rsid w:val="00E2568A"/>
    <w:rsid w:val="00E25C89"/>
    <w:rsid w:val="00E264F9"/>
    <w:rsid w:val="00E267A1"/>
    <w:rsid w:val="00E26DFA"/>
    <w:rsid w:val="00E26E21"/>
    <w:rsid w:val="00E278C4"/>
    <w:rsid w:val="00E31172"/>
    <w:rsid w:val="00E31260"/>
    <w:rsid w:val="00E31AB0"/>
    <w:rsid w:val="00E32CE7"/>
    <w:rsid w:val="00E33E44"/>
    <w:rsid w:val="00E34AF4"/>
    <w:rsid w:val="00E34C3F"/>
    <w:rsid w:val="00E37A42"/>
    <w:rsid w:val="00E37A5E"/>
    <w:rsid w:val="00E4081B"/>
    <w:rsid w:val="00E4234F"/>
    <w:rsid w:val="00E42A37"/>
    <w:rsid w:val="00E468A5"/>
    <w:rsid w:val="00E50071"/>
    <w:rsid w:val="00E50441"/>
    <w:rsid w:val="00E5100B"/>
    <w:rsid w:val="00E523CF"/>
    <w:rsid w:val="00E52910"/>
    <w:rsid w:val="00E5409F"/>
    <w:rsid w:val="00E54EFA"/>
    <w:rsid w:val="00E556AA"/>
    <w:rsid w:val="00E55712"/>
    <w:rsid w:val="00E55929"/>
    <w:rsid w:val="00E57311"/>
    <w:rsid w:val="00E57C56"/>
    <w:rsid w:val="00E602D2"/>
    <w:rsid w:val="00E60391"/>
    <w:rsid w:val="00E605B2"/>
    <w:rsid w:val="00E6179E"/>
    <w:rsid w:val="00E62B1F"/>
    <w:rsid w:val="00E63132"/>
    <w:rsid w:val="00E634DA"/>
    <w:rsid w:val="00E64355"/>
    <w:rsid w:val="00E65ACC"/>
    <w:rsid w:val="00E66163"/>
    <w:rsid w:val="00E66213"/>
    <w:rsid w:val="00E662A2"/>
    <w:rsid w:val="00E666A5"/>
    <w:rsid w:val="00E704FB"/>
    <w:rsid w:val="00E70A61"/>
    <w:rsid w:val="00E70C32"/>
    <w:rsid w:val="00E70FFD"/>
    <w:rsid w:val="00E74882"/>
    <w:rsid w:val="00E74ADE"/>
    <w:rsid w:val="00E750C9"/>
    <w:rsid w:val="00E76C38"/>
    <w:rsid w:val="00E76C46"/>
    <w:rsid w:val="00E8060F"/>
    <w:rsid w:val="00E8403E"/>
    <w:rsid w:val="00E846C2"/>
    <w:rsid w:val="00E84832"/>
    <w:rsid w:val="00E86046"/>
    <w:rsid w:val="00E86224"/>
    <w:rsid w:val="00E87391"/>
    <w:rsid w:val="00E9064F"/>
    <w:rsid w:val="00E9077F"/>
    <w:rsid w:val="00E9108E"/>
    <w:rsid w:val="00E9144C"/>
    <w:rsid w:val="00E9264A"/>
    <w:rsid w:val="00E92DC5"/>
    <w:rsid w:val="00E93C69"/>
    <w:rsid w:val="00E9608F"/>
    <w:rsid w:val="00E96271"/>
    <w:rsid w:val="00E977B9"/>
    <w:rsid w:val="00E97B6C"/>
    <w:rsid w:val="00EA0CD9"/>
    <w:rsid w:val="00EA1F0C"/>
    <w:rsid w:val="00EA24AF"/>
    <w:rsid w:val="00EA4578"/>
    <w:rsid w:val="00EA5761"/>
    <w:rsid w:val="00EB0B8D"/>
    <w:rsid w:val="00EB239A"/>
    <w:rsid w:val="00EB2A23"/>
    <w:rsid w:val="00EB3893"/>
    <w:rsid w:val="00EB3ABD"/>
    <w:rsid w:val="00EB673D"/>
    <w:rsid w:val="00EC0710"/>
    <w:rsid w:val="00EC0CA4"/>
    <w:rsid w:val="00EC0FCD"/>
    <w:rsid w:val="00EC3850"/>
    <w:rsid w:val="00EC4932"/>
    <w:rsid w:val="00EC4C3E"/>
    <w:rsid w:val="00EC663F"/>
    <w:rsid w:val="00EC665A"/>
    <w:rsid w:val="00EC729A"/>
    <w:rsid w:val="00ED0BBF"/>
    <w:rsid w:val="00ED12B0"/>
    <w:rsid w:val="00ED14A0"/>
    <w:rsid w:val="00ED1E19"/>
    <w:rsid w:val="00ED3060"/>
    <w:rsid w:val="00ED3CF2"/>
    <w:rsid w:val="00ED4122"/>
    <w:rsid w:val="00ED44CA"/>
    <w:rsid w:val="00ED4809"/>
    <w:rsid w:val="00ED4B79"/>
    <w:rsid w:val="00ED5746"/>
    <w:rsid w:val="00ED5CE8"/>
    <w:rsid w:val="00ED78E9"/>
    <w:rsid w:val="00ED7C09"/>
    <w:rsid w:val="00EE16B8"/>
    <w:rsid w:val="00EE2C01"/>
    <w:rsid w:val="00EE31A4"/>
    <w:rsid w:val="00EE4734"/>
    <w:rsid w:val="00EE6311"/>
    <w:rsid w:val="00EE6488"/>
    <w:rsid w:val="00EE6F13"/>
    <w:rsid w:val="00EE7243"/>
    <w:rsid w:val="00EE7E90"/>
    <w:rsid w:val="00EF1583"/>
    <w:rsid w:val="00EF233E"/>
    <w:rsid w:val="00EF29E2"/>
    <w:rsid w:val="00EF3539"/>
    <w:rsid w:val="00EF3E31"/>
    <w:rsid w:val="00EF42D5"/>
    <w:rsid w:val="00EF476A"/>
    <w:rsid w:val="00EF4EB3"/>
    <w:rsid w:val="00EF505E"/>
    <w:rsid w:val="00EF68A1"/>
    <w:rsid w:val="00EF6EA5"/>
    <w:rsid w:val="00EF70A8"/>
    <w:rsid w:val="00EF7343"/>
    <w:rsid w:val="00F00A20"/>
    <w:rsid w:val="00F01735"/>
    <w:rsid w:val="00F01BD9"/>
    <w:rsid w:val="00F01C3C"/>
    <w:rsid w:val="00F01F8B"/>
    <w:rsid w:val="00F0215A"/>
    <w:rsid w:val="00F021FA"/>
    <w:rsid w:val="00F03077"/>
    <w:rsid w:val="00F03138"/>
    <w:rsid w:val="00F04D06"/>
    <w:rsid w:val="00F0540F"/>
    <w:rsid w:val="00F0594E"/>
    <w:rsid w:val="00F05976"/>
    <w:rsid w:val="00F06270"/>
    <w:rsid w:val="00F065BF"/>
    <w:rsid w:val="00F078AE"/>
    <w:rsid w:val="00F10399"/>
    <w:rsid w:val="00F106EA"/>
    <w:rsid w:val="00F10831"/>
    <w:rsid w:val="00F1245B"/>
    <w:rsid w:val="00F12B06"/>
    <w:rsid w:val="00F14186"/>
    <w:rsid w:val="00F1776F"/>
    <w:rsid w:val="00F2109B"/>
    <w:rsid w:val="00F21A10"/>
    <w:rsid w:val="00F22B43"/>
    <w:rsid w:val="00F26635"/>
    <w:rsid w:val="00F27F51"/>
    <w:rsid w:val="00F3105B"/>
    <w:rsid w:val="00F323BE"/>
    <w:rsid w:val="00F36865"/>
    <w:rsid w:val="00F36C81"/>
    <w:rsid w:val="00F37620"/>
    <w:rsid w:val="00F40189"/>
    <w:rsid w:val="00F4245F"/>
    <w:rsid w:val="00F42EB4"/>
    <w:rsid w:val="00F431E6"/>
    <w:rsid w:val="00F43908"/>
    <w:rsid w:val="00F43B04"/>
    <w:rsid w:val="00F43BE0"/>
    <w:rsid w:val="00F4406B"/>
    <w:rsid w:val="00F5053E"/>
    <w:rsid w:val="00F50858"/>
    <w:rsid w:val="00F51F1B"/>
    <w:rsid w:val="00F5347B"/>
    <w:rsid w:val="00F535BD"/>
    <w:rsid w:val="00F53DDF"/>
    <w:rsid w:val="00F53DFB"/>
    <w:rsid w:val="00F55200"/>
    <w:rsid w:val="00F55AA6"/>
    <w:rsid w:val="00F55BA5"/>
    <w:rsid w:val="00F56459"/>
    <w:rsid w:val="00F564A6"/>
    <w:rsid w:val="00F576DC"/>
    <w:rsid w:val="00F57846"/>
    <w:rsid w:val="00F57937"/>
    <w:rsid w:val="00F57AF1"/>
    <w:rsid w:val="00F60455"/>
    <w:rsid w:val="00F61E78"/>
    <w:rsid w:val="00F61EC4"/>
    <w:rsid w:val="00F61F7E"/>
    <w:rsid w:val="00F62E97"/>
    <w:rsid w:val="00F63682"/>
    <w:rsid w:val="00F63A3C"/>
    <w:rsid w:val="00F6402E"/>
    <w:rsid w:val="00F64209"/>
    <w:rsid w:val="00F65BD1"/>
    <w:rsid w:val="00F6619C"/>
    <w:rsid w:val="00F6716F"/>
    <w:rsid w:val="00F700BB"/>
    <w:rsid w:val="00F72287"/>
    <w:rsid w:val="00F74D07"/>
    <w:rsid w:val="00F75992"/>
    <w:rsid w:val="00F76820"/>
    <w:rsid w:val="00F82DD4"/>
    <w:rsid w:val="00F838B1"/>
    <w:rsid w:val="00F838EF"/>
    <w:rsid w:val="00F84A38"/>
    <w:rsid w:val="00F84FF9"/>
    <w:rsid w:val="00F86241"/>
    <w:rsid w:val="00F8651A"/>
    <w:rsid w:val="00F873FC"/>
    <w:rsid w:val="00F91227"/>
    <w:rsid w:val="00F91244"/>
    <w:rsid w:val="00F91E56"/>
    <w:rsid w:val="00F92ADF"/>
    <w:rsid w:val="00F93BF5"/>
    <w:rsid w:val="00F93E7F"/>
    <w:rsid w:val="00F93EF0"/>
    <w:rsid w:val="00F94341"/>
    <w:rsid w:val="00F948EC"/>
    <w:rsid w:val="00F94DFE"/>
    <w:rsid w:val="00F96547"/>
    <w:rsid w:val="00F9750A"/>
    <w:rsid w:val="00FA1B8F"/>
    <w:rsid w:val="00FA38CF"/>
    <w:rsid w:val="00FA43A8"/>
    <w:rsid w:val="00FA5CD7"/>
    <w:rsid w:val="00FA5ED1"/>
    <w:rsid w:val="00FA6A67"/>
    <w:rsid w:val="00FB0FBF"/>
    <w:rsid w:val="00FB1EAB"/>
    <w:rsid w:val="00FB23E8"/>
    <w:rsid w:val="00FB3ABF"/>
    <w:rsid w:val="00FB3C97"/>
    <w:rsid w:val="00FB4018"/>
    <w:rsid w:val="00FB4461"/>
    <w:rsid w:val="00FB4718"/>
    <w:rsid w:val="00FC1280"/>
    <w:rsid w:val="00FC331F"/>
    <w:rsid w:val="00FC5079"/>
    <w:rsid w:val="00FC6841"/>
    <w:rsid w:val="00FC6CCD"/>
    <w:rsid w:val="00FC7024"/>
    <w:rsid w:val="00FC7591"/>
    <w:rsid w:val="00FC7F27"/>
    <w:rsid w:val="00FD0023"/>
    <w:rsid w:val="00FD1104"/>
    <w:rsid w:val="00FD16F4"/>
    <w:rsid w:val="00FD2868"/>
    <w:rsid w:val="00FD295B"/>
    <w:rsid w:val="00FD4F3D"/>
    <w:rsid w:val="00FD570B"/>
    <w:rsid w:val="00FD5C16"/>
    <w:rsid w:val="00FD6E72"/>
    <w:rsid w:val="00FD6F0D"/>
    <w:rsid w:val="00FD7909"/>
    <w:rsid w:val="00FE0210"/>
    <w:rsid w:val="00FE04D0"/>
    <w:rsid w:val="00FE0A7F"/>
    <w:rsid w:val="00FE0BF7"/>
    <w:rsid w:val="00FE2177"/>
    <w:rsid w:val="00FE51E8"/>
    <w:rsid w:val="00FF0F9A"/>
    <w:rsid w:val="00FF25F8"/>
    <w:rsid w:val="00FF2EB9"/>
    <w:rsid w:val="00FF321C"/>
    <w:rsid w:val="00FF37BE"/>
    <w:rsid w:val="00FF3EAA"/>
    <w:rsid w:val="00FF50DA"/>
    <w:rsid w:val="00FF567D"/>
    <w:rsid w:val="00FF569F"/>
    <w:rsid w:val="00FF7C71"/>
    <w:rsid w:val="02A3CA37"/>
    <w:rsid w:val="06E45A3A"/>
    <w:rsid w:val="084B7CFC"/>
    <w:rsid w:val="08B08CB4"/>
    <w:rsid w:val="0B6AE7E3"/>
    <w:rsid w:val="0BE59CD2"/>
    <w:rsid w:val="0CD78FB3"/>
    <w:rsid w:val="0D45F754"/>
    <w:rsid w:val="0D856AB9"/>
    <w:rsid w:val="0F1550FC"/>
    <w:rsid w:val="0F9B7625"/>
    <w:rsid w:val="1519984F"/>
    <w:rsid w:val="19012A31"/>
    <w:rsid w:val="1AB68796"/>
    <w:rsid w:val="2A0E6AED"/>
    <w:rsid w:val="2C150C82"/>
    <w:rsid w:val="318ED0C7"/>
    <w:rsid w:val="32DA6167"/>
    <w:rsid w:val="330A179C"/>
    <w:rsid w:val="33BE1778"/>
    <w:rsid w:val="36CEC2D2"/>
    <w:rsid w:val="391A49D1"/>
    <w:rsid w:val="39BF4C2E"/>
    <w:rsid w:val="3EA06C53"/>
    <w:rsid w:val="3FB5115D"/>
    <w:rsid w:val="4468CF59"/>
    <w:rsid w:val="49BB7E4D"/>
    <w:rsid w:val="4B3B275C"/>
    <w:rsid w:val="4C0DD567"/>
    <w:rsid w:val="4C37A123"/>
    <w:rsid w:val="4DFDDF50"/>
    <w:rsid w:val="4E2ECD4E"/>
    <w:rsid w:val="5171C02D"/>
    <w:rsid w:val="5178B099"/>
    <w:rsid w:val="54B93B00"/>
    <w:rsid w:val="564D50AC"/>
    <w:rsid w:val="5D78A794"/>
    <w:rsid w:val="5F055D95"/>
    <w:rsid w:val="5F06A515"/>
    <w:rsid w:val="6509D87D"/>
    <w:rsid w:val="6895BDE8"/>
    <w:rsid w:val="69AEA9D9"/>
    <w:rsid w:val="6A8C7A4B"/>
    <w:rsid w:val="72939021"/>
    <w:rsid w:val="7368693B"/>
    <w:rsid w:val="759C0852"/>
    <w:rsid w:val="7A339E01"/>
    <w:rsid w:val="7ABA73A4"/>
    <w:rsid w:val="7BCF09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BE"/>
    <w:pPr>
      <w:widowControl w:val="0"/>
    </w:pPr>
    <w:rPr>
      <w:snapToGrid w:val="0"/>
      <w:kern w:val="28"/>
      <w:sz w:val="22"/>
    </w:rPr>
  </w:style>
  <w:style w:type="paragraph" w:styleId="Heading1">
    <w:name w:val="heading 1"/>
    <w:basedOn w:val="Normal"/>
    <w:next w:val="ParaNum"/>
    <w:qFormat/>
    <w:rsid w:val="001637B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637BE"/>
    <w:pPr>
      <w:keepNext/>
      <w:numPr>
        <w:ilvl w:val="1"/>
        <w:numId w:val="3"/>
      </w:numPr>
      <w:spacing w:after="120"/>
      <w:outlineLvl w:val="1"/>
    </w:pPr>
    <w:rPr>
      <w:b/>
    </w:rPr>
  </w:style>
  <w:style w:type="paragraph" w:styleId="Heading3">
    <w:name w:val="heading 3"/>
    <w:basedOn w:val="Normal"/>
    <w:next w:val="ParaNum"/>
    <w:qFormat/>
    <w:rsid w:val="001637BE"/>
    <w:pPr>
      <w:keepNext/>
      <w:numPr>
        <w:ilvl w:val="2"/>
        <w:numId w:val="3"/>
      </w:numPr>
      <w:tabs>
        <w:tab w:val="left" w:pos="2160"/>
      </w:tabs>
      <w:spacing w:after="120"/>
      <w:outlineLvl w:val="2"/>
    </w:pPr>
    <w:rPr>
      <w:b/>
    </w:rPr>
  </w:style>
  <w:style w:type="paragraph" w:styleId="Heading4">
    <w:name w:val="heading 4"/>
    <w:basedOn w:val="Normal"/>
    <w:next w:val="ParaNum"/>
    <w:qFormat/>
    <w:rsid w:val="001637BE"/>
    <w:pPr>
      <w:keepNext/>
      <w:numPr>
        <w:ilvl w:val="3"/>
        <w:numId w:val="3"/>
      </w:numPr>
      <w:tabs>
        <w:tab w:val="left" w:pos="2880"/>
      </w:tabs>
      <w:spacing w:after="120"/>
      <w:outlineLvl w:val="3"/>
    </w:pPr>
    <w:rPr>
      <w:b/>
    </w:rPr>
  </w:style>
  <w:style w:type="paragraph" w:styleId="Heading5">
    <w:name w:val="heading 5"/>
    <w:basedOn w:val="Normal"/>
    <w:next w:val="ParaNum"/>
    <w:qFormat/>
    <w:rsid w:val="001637B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637BE"/>
    <w:pPr>
      <w:numPr>
        <w:ilvl w:val="5"/>
        <w:numId w:val="3"/>
      </w:numPr>
      <w:tabs>
        <w:tab w:val="left" w:pos="4320"/>
      </w:tabs>
      <w:spacing w:after="120"/>
      <w:outlineLvl w:val="5"/>
    </w:pPr>
    <w:rPr>
      <w:b/>
    </w:rPr>
  </w:style>
  <w:style w:type="paragraph" w:styleId="Heading7">
    <w:name w:val="heading 7"/>
    <w:basedOn w:val="Normal"/>
    <w:next w:val="ParaNum"/>
    <w:qFormat/>
    <w:rsid w:val="001637B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637B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637B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37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37BE"/>
  </w:style>
  <w:style w:type="paragraph" w:customStyle="1" w:styleId="ParaNum">
    <w:name w:val="ParaNum"/>
    <w:basedOn w:val="Normal"/>
    <w:link w:val="ParaNumChar"/>
    <w:rsid w:val="001637BE"/>
    <w:pPr>
      <w:numPr>
        <w:numId w:val="2"/>
      </w:numPr>
      <w:tabs>
        <w:tab w:val="clear" w:pos="1080"/>
        <w:tab w:val="num" w:pos="1440"/>
      </w:tabs>
      <w:spacing w:after="120"/>
    </w:pPr>
  </w:style>
  <w:style w:type="paragraph" w:styleId="EndnoteText">
    <w:name w:val="endnote text"/>
    <w:basedOn w:val="Normal"/>
    <w:semiHidden/>
    <w:rsid w:val="001637BE"/>
    <w:rPr>
      <w:sz w:val="20"/>
    </w:rPr>
  </w:style>
  <w:style w:type="character" w:styleId="EndnoteReference">
    <w:name w:val="endnote reference"/>
    <w:semiHidden/>
    <w:rsid w:val="001637BE"/>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e,Style 5 Char Char,fn,rrfootnote Char Char"/>
    <w:link w:val="FootnoteTextChar"/>
    <w:rsid w:val="001637BE"/>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1637BE"/>
    <w:rPr>
      <w:rFonts w:ascii="Times New Roman" w:hAnsi="Times New Roman"/>
      <w:dstrike w:val="0"/>
      <w:color w:val="auto"/>
      <w:sz w:val="20"/>
      <w:vertAlign w:val="superscript"/>
    </w:rPr>
  </w:style>
  <w:style w:type="paragraph" w:styleId="TOC1">
    <w:name w:val="toc 1"/>
    <w:basedOn w:val="Normal"/>
    <w:next w:val="Normal"/>
    <w:semiHidden/>
    <w:rsid w:val="001637B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37BE"/>
    <w:pPr>
      <w:tabs>
        <w:tab w:val="left" w:pos="720"/>
        <w:tab w:val="right" w:leader="dot" w:pos="9360"/>
      </w:tabs>
      <w:suppressAutoHyphens/>
      <w:ind w:left="720" w:right="720" w:hanging="360"/>
    </w:pPr>
    <w:rPr>
      <w:noProof/>
    </w:rPr>
  </w:style>
  <w:style w:type="paragraph" w:styleId="TOC3">
    <w:name w:val="toc 3"/>
    <w:basedOn w:val="Normal"/>
    <w:next w:val="Normal"/>
    <w:semiHidden/>
    <w:rsid w:val="001637B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37B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37B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37B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37B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37B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37B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37BE"/>
    <w:pPr>
      <w:tabs>
        <w:tab w:val="right" w:pos="9360"/>
      </w:tabs>
      <w:suppressAutoHyphens/>
    </w:pPr>
  </w:style>
  <w:style w:type="character" w:customStyle="1" w:styleId="EquationCaption">
    <w:name w:val="_Equation Caption"/>
    <w:rsid w:val="001637BE"/>
  </w:style>
  <w:style w:type="paragraph" w:styleId="Header">
    <w:name w:val="header"/>
    <w:basedOn w:val="Normal"/>
    <w:link w:val="HeaderChar"/>
    <w:autoRedefine/>
    <w:rsid w:val="001637BE"/>
    <w:pPr>
      <w:tabs>
        <w:tab w:val="center" w:pos="4680"/>
        <w:tab w:val="right" w:pos="9360"/>
      </w:tabs>
    </w:pPr>
    <w:rPr>
      <w:b/>
    </w:rPr>
  </w:style>
  <w:style w:type="paragraph" w:styleId="Footer">
    <w:name w:val="footer"/>
    <w:basedOn w:val="Normal"/>
    <w:link w:val="FooterChar"/>
    <w:uiPriority w:val="99"/>
    <w:rsid w:val="001637BE"/>
    <w:pPr>
      <w:tabs>
        <w:tab w:val="center" w:pos="4320"/>
        <w:tab w:val="right" w:pos="8640"/>
      </w:tabs>
    </w:pPr>
  </w:style>
  <w:style w:type="character" w:styleId="PageNumber">
    <w:name w:val="page number"/>
    <w:basedOn w:val="DefaultParagraphFont"/>
    <w:rsid w:val="001637BE"/>
  </w:style>
  <w:style w:type="paragraph" w:styleId="BlockText">
    <w:name w:val="Block Text"/>
    <w:basedOn w:val="Normal"/>
    <w:rsid w:val="001637BE"/>
    <w:pPr>
      <w:spacing w:after="240"/>
      <w:ind w:left="1440" w:right="1440"/>
    </w:pPr>
  </w:style>
  <w:style w:type="paragraph" w:customStyle="1" w:styleId="Paratitle">
    <w:name w:val="Para title"/>
    <w:basedOn w:val="Normal"/>
    <w:rsid w:val="001637BE"/>
    <w:pPr>
      <w:tabs>
        <w:tab w:val="center" w:pos="9270"/>
      </w:tabs>
      <w:spacing w:after="240"/>
    </w:pPr>
    <w:rPr>
      <w:spacing w:val="-2"/>
    </w:rPr>
  </w:style>
  <w:style w:type="paragraph" w:customStyle="1" w:styleId="Bullet">
    <w:name w:val="Bullet"/>
    <w:basedOn w:val="Normal"/>
    <w:rsid w:val="001637BE"/>
    <w:pPr>
      <w:tabs>
        <w:tab w:val="left" w:pos="2160"/>
      </w:tabs>
      <w:spacing w:after="220"/>
      <w:ind w:left="2160" w:hanging="720"/>
    </w:pPr>
  </w:style>
  <w:style w:type="paragraph" w:customStyle="1" w:styleId="TableFormat">
    <w:name w:val="TableFormat"/>
    <w:basedOn w:val="Bullet"/>
    <w:rsid w:val="001637BE"/>
    <w:pPr>
      <w:tabs>
        <w:tab w:val="clear" w:pos="2160"/>
        <w:tab w:val="left" w:pos="5040"/>
      </w:tabs>
      <w:ind w:left="5040" w:hanging="3600"/>
    </w:pPr>
  </w:style>
  <w:style w:type="paragraph" w:customStyle="1" w:styleId="TOCTitle">
    <w:name w:val="TOC Title"/>
    <w:basedOn w:val="Normal"/>
    <w:rsid w:val="001637B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37BE"/>
    <w:pPr>
      <w:jc w:val="center"/>
    </w:pPr>
    <w:rPr>
      <w:rFonts w:ascii="Times New Roman Bold" w:hAnsi="Times New Roman Bold"/>
      <w:b/>
      <w:bCs/>
      <w:caps/>
      <w:szCs w:val="22"/>
    </w:rPr>
  </w:style>
  <w:style w:type="character" w:styleId="Hyperlink">
    <w:name w:val="Hyperlink"/>
    <w:rsid w:val="001637BE"/>
    <w:rPr>
      <w:color w:val="0000FF"/>
      <w:u w:val="single"/>
    </w:rPr>
  </w:style>
  <w:style w:type="paragraph" w:customStyle="1" w:styleId="Paranum0">
    <w:name w:val="Paranum"/>
    <w:autoRedefine/>
    <w:uiPriority w:val="99"/>
    <w:rsid w:val="00344584"/>
    <w:pPr>
      <w:numPr>
        <w:numId w:val="7"/>
      </w:numPr>
      <w:spacing w:after="240"/>
    </w:pPr>
    <w:rPr>
      <w:rFonts w:eastAsia="ヒラギノ角ゴ Pro W3"/>
      <w:b/>
      <w:color w:val="000000"/>
      <w:sz w:val="22"/>
      <w:szCs w:val="22"/>
      <w:u w:val="single"/>
    </w:rPr>
  </w:style>
  <w:style w:type="character" w:customStyle="1" w:styleId="FootnoteTextChar">
    <w:name w:val="Footnote Text Char"/>
    <w:aliases w:val="Footnote Text Char Char Char Char,Footnote Text Char Char Char Char Char Char,Footnote Text Char1 Char Char,Footnote Text Char1 Char Char Char Char,Style 5 Char Char Char,Style Char,fn Char,rrfootnote Char Char Char"/>
    <w:link w:val="FootnoteText"/>
    <w:rsid w:val="00344584"/>
  </w:style>
  <w:style w:type="character" w:customStyle="1" w:styleId="ParaNumChar">
    <w:name w:val="ParaNum Char"/>
    <w:link w:val="ParaNum"/>
    <w:rsid w:val="00344584"/>
    <w:rPr>
      <w:snapToGrid w:val="0"/>
      <w:kern w:val="28"/>
      <w:sz w:val="22"/>
    </w:rPr>
  </w:style>
  <w:style w:type="character" w:customStyle="1" w:styleId="HeaderChar">
    <w:name w:val="Header Char"/>
    <w:link w:val="Header"/>
    <w:rsid w:val="00344584"/>
    <w:rPr>
      <w:b/>
      <w:snapToGrid w:val="0"/>
      <w:kern w:val="28"/>
      <w:sz w:val="22"/>
    </w:rPr>
  </w:style>
  <w:style w:type="character" w:customStyle="1" w:styleId="FooterChar">
    <w:name w:val="Footer Char"/>
    <w:link w:val="Footer"/>
    <w:uiPriority w:val="99"/>
    <w:rsid w:val="001637BE"/>
    <w:rPr>
      <w:snapToGrid w:val="0"/>
      <w:kern w:val="28"/>
      <w:sz w:val="22"/>
    </w:rPr>
  </w:style>
  <w:style w:type="paragraph" w:styleId="BalloonText">
    <w:name w:val="Balloon Text"/>
    <w:basedOn w:val="Normal"/>
    <w:link w:val="BalloonTextChar"/>
    <w:rsid w:val="000B75C5"/>
    <w:rPr>
      <w:rFonts w:ascii="Segoe UI" w:hAnsi="Segoe UI" w:cs="Segoe UI"/>
      <w:sz w:val="18"/>
      <w:szCs w:val="18"/>
    </w:rPr>
  </w:style>
  <w:style w:type="character" w:customStyle="1" w:styleId="BalloonTextChar">
    <w:name w:val="Balloon Text Char"/>
    <w:link w:val="BalloonText"/>
    <w:rsid w:val="000B75C5"/>
    <w:rPr>
      <w:rFonts w:ascii="Segoe UI" w:hAnsi="Segoe UI" w:cs="Segoe UI"/>
      <w:snapToGrid w:val="0"/>
      <w:kern w:val="28"/>
      <w:sz w:val="18"/>
      <w:szCs w:val="18"/>
    </w:rPr>
  </w:style>
  <w:style w:type="paragraph" w:styleId="ListParagraph">
    <w:name w:val="List Paragraph"/>
    <w:basedOn w:val="Normal"/>
    <w:uiPriority w:val="34"/>
    <w:qFormat/>
    <w:rsid w:val="008B262B"/>
    <w:pPr>
      <w:ind w:left="720"/>
      <w:contextualSpacing/>
    </w:pPr>
  </w:style>
  <w:style w:type="character" w:styleId="CommentReference">
    <w:name w:val="annotation reference"/>
    <w:uiPriority w:val="99"/>
    <w:rsid w:val="00045F9B"/>
    <w:rPr>
      <w:sz w:val="16"/>
      <w:szCs w:val="16"/>
    </w:rPr>
  </w:style>
  <w:style w:type="paragraph" w:styleId="CommentText">
    <w:name w:val="annotation text"/>
    <w:basedOn w:val="Normal"/>
    <w:link w:val="CommentTextChar"/>
    <w:uiPriority w:val="99"/>
    <w:rsid w:val="00045F9B"/>
    <w:rPr>
      <w:sz w:val="20"/>
    </w:rPr>
  </w:style>
  <w:style w:type="character" w:customStyle="1" w:styleId="CommentTextChar">
    <w:name w:val="Comment Text Char"/>
    <w:link w:val="CommentText"/>
    <w:uiPriority w:val="99"/>
    <w:rsid w:val="00045F9B"/>
    <w:rPr>
      <w:snapToGrid w:val="0"/>
      <w:kern w:val="28"/>
    </w:rPr>
  </w:style>
  <w:style w:type="paragraph" w:styleId="CommentSubject">
    <w:name w:val="annotation subject"/>
    <w:basedOn w:val="CommentText"/>
    <w:next w:val="CommentText"/>
    <w:link w:val="CommentSubjectChar"/>
    <w:rsid w:val="00045F9B"/>
    <w:rPr>
      <w:b/>
      <w:bCs/>
    </w:rPr>
  </w:style>
  <w:style w:type="character" w:customStyle="1" w:styleId="CommentSubjectChar">
    <w:name w:val="Comment Subject Char"/>
    <w:link w:val="CommentSubject"/>
    <w:rsid w:val="00045F9B"/>
    <w:rPr>
      <w:b/>
      <w:bCs/>
      <w:snapToGrid w:val="0"/>
      <w:kern w:val="28"/>
    </w:rPr>
  </w:style>
  <w:style w:type="character" w:customStyle="1" w:styleId="st">
    <w:name w:val="st"/>
    <w:basedOn w:val="DefaultParagraphFont"/>
    <w:rsid w:val="007E5947"/>
  </w:style>
  <w:style w:type="character" w:styleId="Emphasis">
    <w:name w:val="Emphasis"/>
    <w:uiPriority w:val="20"/>
    <w:qFormat/>
    <w:rsid w:val="007E5947"/>
    <w:rPr>
      <w:i/>
      <w:iCs/>
    </w:rPr>
  </w:style>
  <w:style w:type="character" w:customStyle="1" w:styleId="UnresolvedMention1">
    <w:name w:val="Unresolved Mention1"/>
    <w:uiPriority w:val="99"/>
    <w:semiHidden/>
    <w:unhideWhenUsed/>
    <w:rsid w:val="00895C1B"/>
    <w:rPr>
      <w:color w:val="808080"/>
      <w:shd w:val="clear" w:color="auto" w:fill="E6E6E6"/>
    </w:rPr>
  </w:style>
  <w:style w:type="paragraph" w:styleId="Revision">
    <w:name w:val="Revision"/>
    <w:hidden/>
    <w:uiPriority w:val="99"/>
    <w:semiHidden/>
    <w:rsid w:val="00696E56"/>
    <w:rPr>
      <w:snapToGrid w:val="0"/>
      <w:kern w:val="28"/>
      <w:sz w:val="22"/>
    </w:rPr>
  </w:style>
  <w:style w:type="character" w:customStyle="1" w:styleId="ParaNumChar1">
    <w:name w:val="ParaNum Char1"/>
    <w:rsid w:val="00774BBC"/>
    <w:rPr>
      <w:sz w:val="22"/>
    </w:rPr>
  </w:style>
  <w:style w:type="character" w:customStyle="1" w:styleId="UnresolvedMention2">
    <w:name w:val="Unresolved Mention2"/>
    <w:basedOn w:val="DefaultParagraphFont"/>
    <w:uiPriority w:val="99"/>
    <w:semiHidden/>
    <w:unhideWhenUsed/>
    <w:rsid w:val="00731A1B"/>
    <w:rPr>
      <w:color w:val="808080"/>
      <w:shd w:val="clear" w:color="auto" w:fill="E6E6E6"/>
    </w:rPr>
  </w:style>
  <w:style w:type="character" w:styleId="FollowedHyperlink">
    <w:name w:val="FollowedHyperlink"/>
    <w:basedOn w:val="DefaultParagraphFont"/>
    <w:semiHidden/>
    <w:unhideWhenUsed/>
    <w:rsid w:val="00D35935"/>
    <w:rPr>
      <w:color w:val="954F72" w:themeColor="followedHyperlink"/>
      <w:u w:val="single"/>
    </w:rPr>
  </w:style>
  <w:style w:type="character" w:customStyle="1" w:styleId="UnresolvedMention">
    <w:name w:val="Unresolved Mention"/>
    <w:basedOn w:val="DefaultParagraphFont"/>
    <w:uiPriority w:val="99"/>
    <w:semiHidden/>
    <w:unhideWhenUsed/>
    <w:rsid w:val="00BB0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ebaccess@fcc.gov" TargetMode="External" /><Relationship Id="rId11" Type="http://schemas.openxmlformats.org/officeDocument/2006/relationships/hyperlink" Target="mailto:TRSreports@fcc.gov" TargetMode="External" /><Relationship Id="rId12" Type="http://schemas.openxmlformats.org/officeDocument/2006/relationships/hyperlink" Target="mailto:Andrew.Mulitz@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mitre.org/careers/student-programs/student-voices/intern-project-amplifies-benefits-for-hard-of-hearin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