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A2E3A" w:rsidRPr="006B29E2">
      <w:pPr>
        <w:pStyle w:val="Header"/>
        <w:tabs>
          <w:tab w:val="clear" w:pos="4320"/>
          <w:tab w:val="clear" w:pos="8640"/>
        </w:tabs>
        <w:rPr>
          <w:szCs w:val="22"/>
        </w:rPr>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p>
    <w:p w:rsidR="00DA2E3A" w:rsidRPr="006B29E2" w:rsidP="00DA2E3A">
      <w:pPr>
        <w:jc w:val="right"/>
        <w:rPr>
          <w:b/>
          <w:szCs w:val="22"/>
        </w:rPr>
      </w:pPr>
      <w:r>
        <w:rPr>
          <w:b/>
          <w:szCs w:val="22"/>
        </w:rPr>
        <w:t>DA 19</w:t>
      </w:r>
      <w:r w:rsidRPr="006B29E2">
        <w:rPr>
          <w:b/>
          <w:szCs w:val="22"/>
        </w:rPr>
        <w:t>-</w:t>
      </w:r>
      <w:r w:rsidR="00A7086E">
        <w:rPr>
          <w:b/>
          <w:szCs w:val="22"/>
        </w:rPr>
        <w:t>29</w:t>
      </w:r>
    </w:p>
    <w:p w:rsidR="00DA2E3A" w:rsidRPr="006B29E2" w:rsidP="00DA2E3A">
      <w:pPr>
        <w:spacing w:before="60"/>
        <w:jc w:val="right"/>
        <w:rPr>
          <w:b/>
          <w:szCs w:val="22"/>
        </w:rPr>
      </w:pPr>
      <w:r>
        <w:rPr>
          <w:b/>
          <w:szCs w:val="22"/>
        </w:rPr>
        <w:t>January</w:t>
      </w:r>
      <w:r w:rsidR="00C50E67">
        <w:rPr>
          <w:b/>
          <w:szCs w:val="22"/>
        </w:rPr>
        <w:t xml:space="preserve"> </w:t>
      </w:r>
      <w:r w:rsidR="007946BD">
        <w:rPr>
          <w:b/>
          <w:szCs w:val="22"/>
        </w:rPr>
        <w:t>30</w:t>
      </w:r>
      <w:r>
        <w:rPr>
          <w:b/>
          <w:szCs w:val="22"/>
        </w:rPr>
        <w:t>, 2019</w:t>
      </w:r>
    </w:p>
    <w:p w:rsidR="00DA2E3A" w:rsidRPr="006B29E2" w:rsidP="00DA2E3A">
      <w:pPr>
        <w:tabs>
          <w:tab w:val="left" w:pos="5900"/>
        </w:tabs>
        <w:rPr>
          <w:szCs w:val="22"/>
        </w:rPr>
      </w:pPr>
      <w:r w:rsidRPr="006B29E2">
        <w:rPr>
          <w:szCs w:val="22"/>
        </w:rPr>
        <w:tab/>
      </w:r>
    </w:p>
    <w:p w:rsidR="00DA2E3A" w:rsidRPr="00B33855" w:rsidP="00DA2E3A">
      <w:pPr>
        <w:autoSpaceDE w:val="0"/>
        <w:autoSpaceDN w:val="0"/>
        <w:adjustRightInd w:val="0"/>
        <w:jc w:val="center"/>
        <w:rPr>
          <w:b/>
          <w:bCs/>
          <w:szCs w:val="22"/>
        </w:rPr>
      </w:pPr>
      <w:bookmarkStart w:id="1" w:name="_Hlk502044717"/>
      <w:bookmarkStart w:id="2" w:name="_Hlk516578398"/>
      <w:bookmarkStart w:id="3" w:name="_Hlk519509475"/>
      <w:r w:rsidRPr="00B33855">
        <w:rPr>
          <w:b/>
          <w:bCs/>
          <w:szCs w:val="22"/>
        </w:rPr>
        <w:t xml:space="preserve">DOMESTIC SECTION 214 APPLICATION FILED FOR THE TRANSFER OF CONTROL OF </w:t>
      </w:r>
      <w:bookmarkStart w:id="4" w:name="_Hlk532899997"/>
      <w:bookmarkEnd w:id="1"/>
      <w:bookmarkEnd w:id="2"/>
      <w:r w:rsidRPr="00B33855" w:rsidR="002D0FD8">
        <w:rPr>
          <w:b/>
          <w:bCs/>
          <w:szCs w:val="22"/>
        </w:rPr>
        <w:t>HRS INTERNET</w:t>
      </w:r>
      <w:r w:rsidRPr="00B33855" w:rsidR="00EE64BF">
        <w:rPr>
          <w:b/>
          <w:bCs/>
          <w:szCs w:val="22"/>
        </w:rPr>
        <w:t>, LLC</w:t>
      </w:r>
      <w:r w:rsidRPr="00B33855" w:rsidR="007E4692">
        <w:rPr>
          <w:b/>
          <w:bCs/>
          <w:szCs w:val="22"/>
        </w:rPr>
        <w:t xml:space="preserve"> TO DATABANK</w:t>
      </w:r>
      <w:bookmarkEnd w:id="4"/>
      <w:r w:rsidRPr="00B33855">
        <w:rPr>
          <w:b/>
          <w:bCs/>
          <w:color w:val="282828"/>
          <w:szCs w:val="22"/>
        </w:rPr>
        <w:t xml:space="preserve"> </w:t>
      </w:r>
      <w:r w:rsidRPr="00B33855" w:rsidR="00DE1B45">
        <w:rPr>
          <w:b/>
          <w:bCs/>
          <w:color w:val="282828"/>
          <w:szCs w:val="22"/>
        </w:rPr>
        <w:t>HOLDINGS LTD.</w:t>
      </w:r>
    </w:p>
    <w:bookmarkEnd w:id="3"/>
    <w:p w:rsidR="00DA2E3A" w:rsidRPr="006B29E2" w:rsidP="00DA2E3A">
      <w:pPr>
        <w:autoSpaceDE w:val="0"/>
        <w:autoSpaceDN w:val="0"/>
        <w:adjustRightInd w:val="0"/>
        <w:rPr>
          <w:b/>
          <w:bCs/>
          <w:szCs w:val="22"/>
        </w:rPr>
      </w:pPr>
    </w:p>
    <w:p w:rsidR="00DA2E3A" w:rsidRPr="006B29E2" w:rsidP="00DA2E3A">
      <w:pPr>
        <w:jc w:val="center"/>
        <w:rPr>
          <w:b/>
          <w:szCs w:val="22"/>
        </w:rPr>
      </w:pPr>
      <w:bookmarkStart w:id="5" w:name="_GoBack"/>
      <w:r w:rsidRPr="006B29E2">
        <w:rPr>
          <w:b/>
          <w:bCs/>
          <w:szCs w:val="22"/>
        </w:rPr>
        <w:t>STREA</w:t>
      </w:r>
      <w:r w:rsidRPr="006B29E2">
        <w:rPr>
          <w:b/>
          <w:szCs w:val="22"/>
        </w:rPr>
        <w:t>MLINED PLEADING CYCLE ESTABLISHED</w:t>
      </w:r>
    </w:p>
    <w:p w:rsidR="00DA2E3A" w:rsidRPr="006B29E2" w:rsidP="00DA2E3A">
      <w:pPr>
        <w:jc w:val="center"/>
        <w:rPr>
          <w:b/>
          <w:szCs w:val="22"/>
        </w:rPr>
      </w:pPr>
    </w:p>
    <w:p w:rsidR="00DA2E3A" w:rsidRPr="006B29E2" w:rsidP="00DA2E3A">
      <w:pPr>
        <w:jc w:val="center"/>
        <w:rPr>
          <w:b/>
          <w:szCs w:val="22"/>
        </w:rPr>
      </w:pPr>
      <w:r>
        <w:rPr>
          <w:b/>
          <w:szCs w:val="22"/>
        </w:rPr>
        <w:t xml:space="preserve"> WC Docket No. 18-</w:t>
      </w:r>
      <w:r w:rsidR="00DE1B45">
        <w:rPr>
          <w:b/>
          <w:szCs w:val="22"/>
        </w:rPr>
        <w:t>382</w:t>
      </w:r>
    </w:p>
    <w:bookmarkEnd w:id="5"/>
    <w:p w:rsidR="00DA2E3A" w:rsidRPr="006B29E2" w:rsidP="00DA2E3A">
      <w:pPr>
        <w:jc w:val="center"/>
        <w:rPr>
          <w:szCs w:val="22"/>
        </w:rPr>
      </w:pPr>
    </w:p>
    <w:p w:rsidR="00DA2E3A" w:rsidRPr="006B29E2" w:rsidP="00DA2E3A">
      <w:pPr>
        <w:pStyle w:val="NoSpacing"/>
        <w:rPr>
          <w:b/>
          <w:szCs w:val="22"/>
        </w:rPr>
      </w:pPr>
      <w:r>
        <w:rPr>
          <w:b/>
          <w:szCs w:val="22"/>
        </w:rPr>
        <w:t xml:space="preserve">Comments Due:  </w:t>
      </w:r>
      <w:r w:rsidR="00602224">
        <w:rPr>
          <w:b/>
          <w:szCs w:val="22"/>
        </w:rPr>
        <w:t>February 1</w:t>
      </w:r>
      <w:r w:rsidR="007946BD">
        <w:rPr>
          <w:b/>
          <w:szCs w:val="22"/>
        </w:rPr>
        <w:t>3</w:t>
      </w:r>
      <w:r w:rsidR="007E4692">
        <w:rPr>
          <w:b/>
          <w:szCs w:val="22"/>
        </w:rPr>
        <w:t>, 2019</w:t>
      </w:r>
    </w:p>
    <w:p w:rsidR="00DA2E3A" w:rsidRPr="006B29E2" w:rsidP="00DA2E3A">
      <w:pPr>
        <w:pStyle w:val="NoSpacing"/>
        <w:rPr>
          <w:b/>
          <w:szCs w:val="22"/>
        </w:rPr>
      </w:pPr>
      <w:r w:rsidRPr="006B29E2">
        <w:rPr>
          <w:b/>
          <w:szCs w:val="22"/>
        </w:rPr>
        <w:t xml:space="preserve">Reply Comments Due:  </w:t>
      </w:r>
      <w:r w:rsidR="00602224">
        <w:rPr>
          <w:b/>
          <w:szCs w:val="22"/>
        </w:rPr>
        <w:t xml:space="preserve">February </w:t>
      </w:r>
      <w:r w:rsidR="007946BD">
        <w:rPr>
          <w:b/>
          <w:szCs w:val="22"/>
        </w:rPr>
        <w:t>20</w:t>
      </w:r>
      <w:r w:rsidR="007E4692">
        <w:rPr>
          <w:b/>
          <w:szCs w:val="22"/>
        </w:rPr>
        <w:t>, 2019</w:t>
      </w:r>
    </w:p>
    <w:p w:rsidR="00DA2E3A" w:rsidRPr="006B29E2" w:rsidP="00DA2E3A">
      <w:pPr>
        <w:autoSpaceDE w:val="0"/>
        <w:autoSpaceDN w:val="0"/>
        <w:adjustRightInd w:val="0"/>
        <w:rPr>
          <w:rFonts w:ascii="TimesNewRomanPSMT" w:hAnsi="TimesNewRomanPSMT" w:cs="TimesNewRomanPSMT"/>
          <w:szCs w:val="22"/>
        </w:rPr>
      </w:pPr>
    </w:p>
    <w:p w:rsidR="00DA2E3A" w:rsidRPr="007E4692" w:rsidP="007E4692">
      <w:pPr>
        <w:autoSpaceDE w:val="0"/>
        <w:autoSpaceDN w:val="0"/>
        <w:adjustRightInd w:val="0"/>
        <w:ind w:firstLine="720"/>
        <w:rPr>
          <w:rFonts w:ascii="TimesNewRomanPSMT" w:hAnsi="TimesNewRomanPSMT" w:cs="TimesNewRomanPSMT"/>
          <w:szCs w:val="22"/>
        </w:rPr>
      </w:pPr>
      <w:r w:rsidRPr="008C49B6">
        <w:rPr>
          <w:szCs w:val="22"/>
        </w:rPr>
        <w:t xml:space="preserve">By this Public Notice, </w:t>
      </w:r>
      <w:r>
        <w:rPr>
          <w:szCs w:val="22"/>
        </w:rPr>
        <w:t xml:space="preserve">the Wireline Competition Bureau </w:t>
      </w:r>
      <w:r w:rsidRPr="008C49B6">
        <w:rPr>
          <w:szCs w:val="22"/>
        </w:rPr>
        <w:t xml:space="preserve">seeks comment from interested parties on an application filed by </w:t>
      </w:r>
      <w:r w:rsidR="007E4692">
        <w:rPr>
          <w:szCs w:val="22"/>
        </w:rPr>
        <w:t>Lightbound, LLC (Lightbound) and DataBank Holdings Ltd. (DataBank</w:t>
      </w:r>
      <w:r w:rsidRPr="007E4692" w:rsidR="007E4692">
        <w:rPr>
          <w:szCs w:val="22"/>
        </w:rPr>
        <w:t xml:space="preserve">) </w:t>
      </w:r>
      <w:r>
        <w:rPr>
          <w:szCs w:val="22"/>
        </w:rPr>
        <w:t>(collectively, Applicants)</w:t>
      </w:r>
      <w:r w:rsidRPr="00097A4D">
        <w:rPr>
          <w:szCs w:val="22"/>
        </w:rPr>
        <w:t>,</w:t>
      </w:r>
      <w:r w:rsidRPr="008C49B6">
        <w:rPr>
          <w:szCs w:val="22"/>
        </w:rPr>
        <w:t xml:space="preserve"> pursuant to section 214 of the Communications Act of 1934, as amended, and sections 63.0</w:t>
      </w:r>
      <w:r>
        <w:rPr>
          <w:szCs w:val="22"/>
        </w:rPr>
        <w:t xml:space="preserve">3-04 of the Commission’s rules, </w:t>
      </w:r>
      <w:r w:rsidRPr="008C49B6">
        <w:rPr>
          <w:rFonts w:ascii="TimesNewRomanPSMT" w:hAnsi="TimesNewRomanPSMT" w:cs="TimesNewRomanPSMT"/>
          <w:szCs w:val="22"/>
        </w:rPr>
        <w:t>requesting</w:t>
      </w:r>
      <w:r w:rsidR="00DE1B45">
        <w:rPr>
          <w:rFonts w:ascii="TimesNewRomanPSMT" w:hAnsi="TimesNewRomanPSMT" w:cs="TimesNewRomanPSMT"/>
          <w:szCs w:val="22"/>
        </w:rPr>
        <w:t xml:space="preserve"> consent to </w:t>
      </w:r>
      <w:r w:rsidR="002A1DC0">
        <w:rPr>
          <w:rFonts w:ascii="TimesNewRomanPSMT" w:hAnsi="TimesNewRomanPSMT" w:cs="TimesNewRomanPSMT"/>
          <w:szCs w:val="22"/>
        </w:rPr>
        <w:t xml:space="preserve">the </w:t>
      </w:r>
      <w:r w:rsidR="00DE1B45">
        <w:rPr>
          <w:rFonts w:ascii="TimesNewRomanPSMT" w:hAnsi="TimesNewRomanPSMT" w:cs="TimesNewRomanPSMT"/>
          <w:szCs w:val="22"/>
        </w:rPr>
        <w:t>transfer</w:t>
      </w:r>
      <w:r w:rsidR="002A1DC0">
        <w:rPr>
          <w:rFonts w:ascii="TimesNewRomanPSMT" w:hAnsi="TimesNewRomanPSMT" w:cs="TimesNewRomanPSMT"/>
          <w:szCs w:val="22"/>
        </w:rPr>
        <w:t xml:space="preserve"> of</w:t>
      </w:r>
      <w:r>
        <w:rPr>
          <w:rFonts w:ascii="TimesNewRomanPSMT" w:hAnsi="TimesNewRomanPSMT" w:cs="TimesNewRomanPSMT"/>
          <w:szCs w:val="22"/>
        </w:rPr>
        <w:t xml:space="preserve"> control of </w:t>
      </w:r>
      <w:r w:rsidR="007E4692">
        <w:rPr>
          <w:rFonts w:ascii="TimesNewRomanPSMT" w:hAnsi="TimesNewRomanPSMT" w:cs="TimesNewRomanPSMT"/>
          <w:szCs w:val="22"/>
        </w:rPr>
        <w:t xml:space="preserve">Lightbound’s wholly </w:t>
      </w:r>
      <w:r w:rsidRPr="007E4692" w:rsidR="007E4692">
        <w:rPr>
          <w:rFonts w:ascii="TimesNewRomanPSMT" w:hAnsi="TimesNewRomanPSMT" w:cs="TimesNewRomanPSMT"/>
          <w:szCs w:val="22"/>
        </w:rPr>
        <w:t xml:space="preserve">owned </w:t>
      </w:r>
      <w:r w:rsidR="007E4692">
        <w:rPr>
          <w:rFonts w:ascii="TimesNewRomanPSMT" w:hAnsi="TimesNewRomanPSMT" w:cs="TimesNewRomanPSMT"/>
          <w:szCs w:val="22"/>
        </w:rPr>
        <w:t>subsidiary, HRS Internet, LLC (HRS Internet</w:t>
      </w:r>
      <w:r w:rsidRPr="007E4692" w:rsidR="007E4692">
        <w:rPr>
          <w:rFonts w:ascii="TimesNewRomanPSMT" w:hAnsi="TimesNewRomanPSMT" w:cs="TimesNewRomanPSMT"/>
          <w:szCs w:val="22"/>
        </w:rPr>
        <w:t>)</w:t>
      </w:r>
      <w:r w:rsidR="00DE1B45">
        <w:rPr>
          <w:rFonts w:ascii="TimesNewRomanPSMT" w:hAnsi="TimesNewRomanPSMT" w:cs="TimesNewRomanPSMT"/>
          <w:szCs w:val="22"/>
        </w:rPr>
        <w:t>,</w:t>
      </w:r>
      <w:r w:rsidR="00A05429">
        <w:rPr>
          <w:rFonts w:ascii="TimesNewRomanPSMT" w:hAnsi="TimesNewRomanPSMT" w:cs="TimesNewRomanPSMT"/>
          <w:szCs w:val="22"/>
        </w:rPr>
        <w:t xml:space="preserve"> </w:t>
      </w:r>
      <w:r w:rsidR="007E4692">
        <w:rPr>
          <w:rFonts w:ascii="TimesNewRomanPSMT" w:hAnsi="TimesNewRomanPSMT" w:cs="TimesNewRomanPSMT"/>
          <w:szCs w:val="22"/>
        </w:rPr>
        <w:t>to DataBank</w:t>
      </w:r>
      <w:r w:rsidRPr="00183BC5">
        <w:rPr>
          <w:rFonts w:ascii="TimesNewRomanPSMT" w:hAnsi="TimesNewRomanPSMT" w:cs="TimesNewRomanPSMT"/>
          <w:szCs w:val="22"/>
        </w:rPr>
        <w:t>.</w:t>
      </w:r>
      <w:r>
        <w:rPr>
          <w:szCs w:val="22"/>
          <w:vertAlign w:val="superscript"/>
        </w:rPr>
        <w:footnoteReference w:id="3"/>
      </w:r>
      <w:r w:rsidRPr="00183BC5">
        <w:rPr>
          <w:rFonts w:ascii="TimesNewRomanPSMT" w:hAnsi="TimesNewRomanPSMT" w:cs="TimesNewRomanPSMT"/>
          <w:szCs w:val="22"/>
        </w:rPr>
        <w:t xml:space="preserve"> </w:t>
      </w:r>
      <w:r>
        <w:rPr>
          <w:rFonts w:ascii="TimesNewRomanPSMT" w:hAnsi="TimesNewRomanPSMT" w:cs="TimesNewRomanPSMT"/>
          <w:szCs w:val="22"/>
        </w:rPr>
        <w:t xml:space="preserve"> </w:t>
      </w:r>
    </w:p>
    <w:p w:rsidR="00DA2E3A" w:rsidP="00DA2E3A">
      <w:pPr>
        <w:autoSpaceDE w:val="0"/>
        <w:autoSpaceDN w:val="0"/>
        <w:adjustRightInd w:val="0"/>
        <w:ind w:firstLine="720"/>
        <w:rPr>
          <w:rFonts w:ascii="TimesNewRomanPSMT" w:hAnsi="TimesNewRomanPSMT" w:cs="TimesNewRomanPSMT"/>
          <w:szCs w:val="22"/>
        </w:rPr>
      </w:pPr>
    </w:p>
    <w:p w:rsidR="00886CE7" w:rsidP="00DA2E3A">
      <w:pPr>
        <w:autoSpaceDE w:val="0"/>
        <w:autoSpaceDN w:val="0"/>
        <w:adjustRightInd w:val="0"/>
        <w:ind w:firstLine="720"/>
        <w:rPr>
          <w:rFonts w:ascii="TimesNewRomanPSMT" w:hAnsi="TimesNewRomanPSMT" w:cs="TimesNewRomanPSMT"/>
          <w:szCs w:val="22"/>
        </w:rPr>
      </w:pPr>
      <w:r w:rsidRPr="00886CE7">
        <w:rPr>
          <w:rFonts w:ascii="TimesNewRomanPSMT" w:hAnsi="TimesNewRomanPSMT" w:cs="TimesNewRomanPSMT"/>
          <w:szCs w:val="22"/>
        </w:rPr>
        <w:t>HRS Internet</w:t>
      </w:r>
      <w:r w:rsidR="001047F3">
        <w:rPr>
          <w:rFonts w:ascii="TimesNewRomanPSMT" w:hAnsi="TimesNewRomanPSMT" w:cs="TimesNewRomanPSMT"/>
          <w:szCs w:val="22"/>
        </w:rPr>
        <w:t>, an Indiana</w:t>
      </w:r>
      <w:r w:rsidR="00C80898">
        <w:rPr>
          <w:rFonts w:ascii="TimesNewRomanPSMT" w:hAnsi="TimesNewRomanPSMT" w:cs="TimesNewRomanPSMT"/>
          <w:szCs w:val="22"/>
        </w:rPr>
        <w:t xml:space="preserve"> limited liability </w:t>
      </w:r>
      <w:r w:rsidR="008F4459">
        <w:rPr>
          <w:rFonts w:ascii="TimesNewRomanPSMT" w:hAnsi="TimesNewRomanPSMT" w:cs="TimesNewRomanPSMT"/>
          <w:szCs w:val="22"/>
        </w:rPr>
        <w:t>company</w:t>
      </w:r>
      <w:r w:rsidR="001047F3">
        <w:rPr>
          <w:rFonts w:ascii="TimesNewRomanPSMT" w:hAnsi="TimesNewRomanPSMT" w:cs="TimesNewRomanPSMT"/>
          <w:szCs w:val="22"/>
        </w:rPr>
        <w:t>,</w:t>
      </w:r>
      <w:r w:rsidR="00C80898">
        <w:rPr>
          <w:rFonts w:ascii="TimesNewRomanPSMT" w:hAnsi="TimesNewRomanPSMT" w:cs="TimesNewRomanPSMT"/>
          <w:szCs w:val="22"/>
        </w:rPr>
        <w:t xml:space="preserve"> </w:t>
      </w:r>
      <w:r w:rsidRPr="00886CE7">
        <w:rPr>
          <w:rFonts w:ascii="TimesNewRomanPSMT" w:hAnsi="TimesNewRomanPSMT" w:cs="TimesNewRomanPSMT"/>
          <w:szCs w:val="22"/>
        </w:rPr>
        <w:t xml:space="preserve">provides </w:t>
      </w:r>
      <w:r w:rsidR="00C80898">
        <w:rPr>
          <w:rFonts w:ascii="TimesNewRomanPSMT" w:hAnsi="TimesNewRomanPSMT" w:cs="TimesNewRomanPSMT"/>
          <w:szCs w:val="22"/>
        </w:rPr>
        <w:t xml:space="preserve">competitive </w:t>
      </w:r>
      <w:r w:rsidRPr="00886CE7">
        <w:rPr>
          <w:rFonts w:ascii="TimesNewRomanPSMT" w:hAnsi="TimesNewRomanPSMT" w:cs="TimesNewRomanPSMT"/>
          <w:szCs w:val="22"/>
        </w:rPr>
        <w:t>facilities-based local exchange and competitive access telecommunications services</w:t>
      </w:r>
      <w:r w:rsidRPr="007C0B1D" w:rsidR="007C0B1D">
        <w:rPr>
          <w:rFonts w:ascii="TimesNewRomanPSMT" w:hAnsi="TimesNewRomanPSMT" w:cs="TimesNewRomanPSMT"/>
          <w:szCs w:val="22"/>
        </w:rPr>
        <w:t xml:space="preserve"> throughout the state of Indiana</w:t>
      </w:r>
      <w:r w:rsidR="00C80898">
        <w:rPr>
          <w:rFonts w:ascii="TimesNewRomanPSMT" w:hAnsi="TimesNewRomanPSMT" w:cs="TimesNewRomanPSMT"/>
          <w:szCs w:val="22"/>
        </w:rPr>
        <w:t>.</w:t>
      </w:r>
      <w:r w:rsidR="00D91A96">
        <w:rPr>
          <w:rFonts w:ascii="TimesNewRomanPSMT" w:hAnsi="TimesNewRomanPSMT" w:cs="TimesNewRomanPSMT"/>
          <w:szCs w:val="22"/>
        </w:rPr>
        <w:t xml:space="preserve">  Lightbound is </w:t>
      </w:r>
      <w:r w:rsidR="00C50E67">
        <w:rPr>
          <w:rFonts w:ascii="TimesNewRomanPSMT" w:hAnsi="TimesNewRomanPSMT" w:cs="TimesNewRomanPSMT"/>
          <w:szCs w:val="22"/>
        </w:rPr>
        <w:t xml:space="preserve">also </w:t>
      </w:r>
      <w:r w:rsidR="00D91A96">
        <w:rPr>
          <w:rFonts w:ascii="TimesNewRomanPSMT" w:hAnsi="TimesNewRomanPSMT" w:cs="TimesNewRomanPSMT"/>
          <w:szCs w:val="22"/>
        </w:rPr>
        <w:t xml:space="preserve">an Indiana limited liability company.  </w:t>
      </w:r>
      <w:r w:rsidR="00EE64BF">
        <w:rPr>
          <w:rFonts w:ascii="TimesNewRomanPSMT" w:hAnsi="TimesNewRomanPSMT" w:cs="TimesNewRomanPSMT"/>
          <w:szCs w:val="22"/>
        </w:rPr>
        <w:t xml:space="preserve">  </w:t>
      </w:r>
    </w:p>
    <w:p w:rsidR="008D6F7D" w:rsidRPr="00183BC5" w:rsidP="00DA2E3A">
      <w:pPr>
        <w:autoSpaceDE w:val="0"/>
        <w:autoSpaceDN w:val="0"/>
        <w:adjustRightInd w:val="0"/>
        <w:ind w:firstLine="720"/>
        <w:rPr>
          <w:rFonts w:ascii="TimesNewRomanPSMT" w:hAnsi="TimesNewRomanPSMT" w:cs="TimesNewRomanPSMT"/>
          <w:szCs w:val="22"/>
        </w:rPr>
      </w:pPr>
    </w:p>
    <w:p w:rsidR="002B58B0" w:rsidP="00DA2E3A">
      <w:pPr>
        <w:autoSpaceDE w:val="0"/>
        <w:autoSpaceDN w:val="0"/>
        <w:adjustRightInd w:val="0"/>
        <w:ind w:firstLine="720"/>
        <w:rPr>
          <w:szCs w:val="22"/>
        </w:rPr>
      </w:pPr>
      <w:r>
        <w:rPr>
          <w:szCs w:val="22"/>
        </w:rPr>
        <w:t xml:space="preserve">DataBank, </w:t>
      </w:r>
      <w:r w:rsidR="008F4459">
        <w:rPr>
          <w:szCs w:val="22"/>
        </w:rPr>
        <w:t xml:space="preserve">a Texas limited partnership, is a wholly </w:t>
      </w:r>
      <w:r w:rsidRPr="00713686">
        <w:rPr>
          <w:szCs w:val="22"/>
        </w:rPr>
        <w:t>owned indirect subsidiary</w:t>
      </w:r>
      <w:r>
        <w:rPr>
          <w:szCs w:val="22"/>
        </w:rPr>
        <w:t xml:space="preserve"> of Data Bridge Holdings, LLC (Data Bridge</w:t>
      </w:r>
      <w:r w:rsidR="008F4459">
        <w:rPr>
          <w:szCs w:val="22"/>
        </w:rPr>
        <w:t>), a Delaware limited liability</w:t>
      </w:r>
      <w:r w:rsidR="008C6710">
        <w:rPr>
          <w:szCs w:val="22"/>
        </w:rPr>
        <w:t xml:space="preserve"> and holding</w:t>
      </w:r>
      <w:r w:rsidR="008F4459">
        <w:rPr>
          <w:szCs w:val="22"/>
        </w:rPr>
        <w:t xml:space="preserve"> company</w:t>
      </w:r>
      <w:r w:rsidR="002E4055">
        <w:rPr>
          <w:szCs w:val="22"/>
        </w:rPr>
        <w:t xml:space="preserve"> </w:t>
      </w:r>
      <w:r w:rsidR="00460D33">
        <w:rPr>
          <w:szCs w:val="22"/>
        </w:rPr>
        <w:t>that does not currently provide telecommunications services</w:t>
      </w:r>
      <w:r w:rsidRPr="00713686">
        <w:rPr>
          <w:szCs w:val="22"/>
        </w:rPr>
        <w:t>.</w:t>
      </w:r>
      <w:r>
        <w:rPr>
          <w:rStyle w:val="FootnoteReference"/>
          <w:szCs w:val="22"/>
        </w:rPr>
        <w:footnoteReference w:id="4"/>
      </w:r>
      <w:r w:rsidRPr="00713686">
        <w:rPr>
          <w:szCs w:val="22"/>
        </w:rPr>
        <w:t xml:space="preserve"> </w:t>
      </w:r>
      <w:r w:rsidR="008F4459">
        <w:rPr>
          <w:szCs w:val="22"/>
        </w:rPr>
        <w:t xml:space="preserve"> </w:t>
      </w:r>
      <w:r w:rsidR="001047F3">
        <w:rPr>
          <w:szCs w:val="22"/>
        </w:rPr>
        <w:t>Applicants state that, following the consummation o</w:t>
      </w:r>
      <w:r w:rsidR="007376B8">
        <w:rPr>
          <w:szCs w:val="22"/>
        </w:rPr>
        <w:t>f the proposed transaction,</w:t>
      </w:r>
      <w:r w:rsidR="001047F3">
        <w:rPr>
          <w:szCs w:val="22"/>
        </w:rPr>
        <w:t xml:space="preserve"> f</w:t>
      </w:r>
      <w:r w:rsidRPr="00F12B53" w:rsidR="00F12B53">
        <w:rPr>
          <w:szCs w:val="22"/>
        </w:rPr>
        <w:t xml:space="preserve">our entities </w:t>
      </w:r>
      <w:r w:rsidR="001047F3">
        <w:rPr>
          <w:szCs w:val="22"/>
        </w:rPr>
        <w:t xml:space="preserve">will </w:t>
      </w:r>
      <w:r w:rsidRPr="00F12B53" w:rsidR="00F12B53">
        <w:rPr>
          <w:szCs w:val="22"/>
        </w:rPr>
        <w:t>hold</w:t>
      </w:r>
      <w:r w:rsidR="00A05429">
        <w:rPr>
          <w:szCs w:val="22"/>
        </w:rPr>
        <w:t xml:space="preserve"> a</w:t>
      </w:r>
      <w:r w:rsidRPr="00F12B53" w:rsidR="00F12B53">
        <w:rPr>
          <w:szCs w:val="22"/>
        </w:rPr>
        <w:t xml:space="preserve"> </w:t>
      </w:r>
      <w:r w:rsidR="005535C2">
        <w:rPr>
          <w:szCs w:val="22"/>
        </w:rPr>
        <w:t>10 percent</w:t>
      </w:r>
      <w:r w:rsidR="001047F3">
        <w:rPr>
          <w:szCs w:val="22"/>
        </w:rPr>
        <w:t xml:space="preserve"> or greater interest</w:t>
      </w:r>
      <w:r w:rsidRPr="00F12B53" w:rsidR="00F12B53">
        <w:rPr>
          <w:szCs w:val="22"/>
        </w:rPr>
        <w:t xml:space="preserve"> in Data Bridge</w:t>
      </w:r>
      <w:r w:rsidR="001047F3">
        <w:rPr>
          <w:szCs w:val="22"/>
        </w:rPr>
        <w:t>:</w:t>
      </w:r>
      <w:r w:rsidRPr="00F12B53" w:rsidR="00F12B53">
        <w:rPr>
          <w:szCs w:val="22"/>
        </w:rPr>
        <w:t xml:space="preserve"> </w:t>
      </w:r>
      <w:r w:rsidR="001047F3">
        <w:rPr>
          <w:szCs w:val="22"/>
        </w:rPr>
        <w:t xml:space="preserve"> </w:t>
      </w:r>
      <w:r w:rsidRPr="005535C2" w:rsidR="005535C2">
        <w:rPr>
          <w:szCs w:val="22"/>
        </w:rPr>
        <w:t>Teachers Insurance and A</w:t>
      </w:r>
      <w:r w:rsidR="005535C2">
        <w:rPr>
          <w:szCs w:val="22"/>
        </w:rPr>
        <w:t>nn</w:t>
      </w:r>
      <w:r w:rsidR="00A05429">
        <w:rPr>
          <w:szCs w:val="22"/>
        </w:rPr>
        <w:t>uity Association of America</w:t>
      </w:r>
      <w:r w:rsidR="00DB47DB">
        <w:rPr>
          <w:szCs w:val="22"/>
        </w:rPr>
        <w:t xml:space="preserve"> (TIAA)</w:t>
      </w:r>
      <w:r>
        <w:rPr>
          <w:szCs w:val="22"/>
        </w:rPr>
        <w:t>, a New York corporation</w:t>
      </w:r>
      <w:r w:rsidR="002933CD">
        <w:rPr>
          <w:szCs w:val="22"/>
        </w:rPr>
        <w:t xml:space="preserve"> </w:t>
      </w:r>
      <w:r w:rsidRPr="002933CD" w:rsidR="002933CD">
        <w:rPr>
          <w:szCs w:val="22"/>
        </w:rPr>
        <w:t>(</w:t>
      </w:r>
      <w:r w:rsidR="005535C2">
        <w:rPr>
          <w:szCs w:val="22"/>
        </w:rPr>
        <w:t>33 percent</w:t>
      </w:r>
      <w:r w:rsidR="002933CD">
        <w:rPr>
          <w:szCs w:val="22"/>
        </w:rPr>
        <w:t>);</w:t>
      </w:r>
      <w:r>
        <w:rPr>
          <w:rStyle w:val="FootnoteReference"/>
          <w:szCs w:val="22"/>
        </w:rPr>
        <w:footnoteReference w:id="5"/>
      </w:r>
      <w:r w:rsidR="005535C2">
        <w:rPr>
          <w:szCs w:val="22"/>
        </w:rPr>
        <w:t xml:space="preserve"> Allstate Corporation (Allstate</w:t>
      </w:r>
      <w:r w:rsidRPr="005535C2" w:rsidR="005535C2">
        <w:rPr>
          <w:szCs w:val="22"/>
        </w:rPr>
        <w:t>)</w:t>
      </w:r>
      <w:r>
        <w:rPr>
          <w:szCs w:val="22"/>
        </w:rPr>
        <w:t>, a Delaware corporation</w:t>
      </w:r>
      <w:r w:rsidRPr="002933CD" w:rsidR="002933CD">
        <w:rPr>
          <w:szCs w:val="22"/>
        </w:rPr>
        <w:t xml:space="preserve"> (</w:t>
      </w:r>
      <w:r w:rsidRPr="005535C2" w:rsidR="005535C2">
        <w:rPr>
          <w:szCs w:val="22"/>
        </w:rPr>
        <w:t>an aggregate 14</w:t>
      </w:r>
      <w:r w:rsidR="005535C2">
        <w:rPr>
          <w:szCs w:val="22"/>
        </w:rPr>
        <w:t xml:space="preserve"> percent</w:t>
      </w:r>
      <w:r w:rsidR="002933CD">
        <w:rPr>
          <w:szCs w:val="22"/>
        </w:rPr>
        <w:t>);</w:t>
      </w:r>
      <w:r>
        <w:rPr>
          <w:rStyle w:val="FootnoteReference"/>
          <w:szCs w:val="22"/>
        </w:rPr>
        <w:footnoteReference w:id="6"/>
      </w:r>
      <w:r>
        <w:rPr>
          <w:szCs w:val="22"/>
        </w:rPr>
        <w:t xml:space="preserve"> </w:t>
      </w:r>
      <w:r w:rsidR="005535C2">
        <w:rPr>
          <w:szCs w:val="22"/>
        </w:rPr>
        <w:t xml:space="preserve">EW </w:t>
      </w:r>
      <w:r w:rsidR="005535C2">
        <w:rPr>
          <w:szCs w:val="22"/>
        </w:rPr>
        <w:t>Data Bridge Holdings, LLC</w:t>
      </w:r>
      <w:r w:rsidR="00B344DC">
        <w:rPr>
          <w:szCs w:val="22"/>
        </w:rPr>
        <w:t xml:space="preserve"> (EW Data Bridge</w:t>
      </w:r>
      <w:r w:rsidRPr="005535C2" w:rsidR="00B344DC">
        <w:rPr>
          <w:szCs w:val="22"/>
        </w:rPr>
        <w:t>),</w:t>
      </w:r>
      <w:r>
        <w:rPr>
          <w:szCs w:val="22"/>
        </w:rPr>
        <w:t xml:space="preserve"> a Delaware limited liability company</w:t>
      </w:r>
      <w:r w:rsidRPr="005535C2" w:rsidR="005535C2">
        <w:rPr>
          <w:szCs w:val="22"/>
        </w:rPr>
        <w:t xml:space="preserve"> </w:t>
      </w:r>
      <w:r w:rsidRPr="007C0B1D" w:rsidR="007C0B1D">
        <w:rPr>
          <w:szCs w:val="22"/>
        </w:rPr>
        <w:t>(</w:t>
      </w:r>
      <w:r w:rsidR="005535C2">
        <w:rPr>
          <w:szCs w:val="22"/>
        </w:rPr>
        <w:t>13 percen</w:t>
      </w:r>
      <w:r w:rsidR="00461238">
        <w:rPr>
          <w:szCs w:val="22"/>
        </w:rPr>
        <w:t>t</w:t>
      </w:r>
      <w:r w:rsidR="007C0B1D">
        <w:rPr>
          <w:szCs w:val="22"/>
        </w:rPr>
        <w:t>)</w:t>
      </w:r>
      <w:r w:rsidR="00EE64BF">
        <w:rPr>
          <w:szCs w:val="22"/>
        </w:rPr>
        <w:t>;</w:t>
      </w:r>
      <w:r>
        <w:rPr>
          <w:rStyle w:val="FootnoteReference"/>
          <w:szCs w:val="22"/>
        </w:rPr>
        <w:footnoteReference w:id="7"/>
      </w:r>
      <w:r w:rsidRPr="005535C2" w:rsidR="005535C2">
        <w:rPr>
          <w:szCs w:val="22"/>
        </w:rPr>
        <w:t xml:space="preserve"> </w:t>
      </w:r>
      <w:r>
        <w:rPr>
          <w:szCs w:val="22"/>
        </w:rPr>
        <w:t xml:space="preserve">and </w:t>
      </w:r>
      <w:r w:rsidRPr="005535C2" w:rsidR="005535C2">
        <w:rPr>
          <w:szCs w:val="22"/>
        </w:rPr>
        <w:t>DB US Data Center Holdings, LLC (</w:t>
      </w:r>
      <w:bookmarkStart w:id="7" w:name="_Hlk534193738"/>
      <w:r w:rsidR="005535C2">
        <w:rPr>
          <w:szCs w:val="22"/>
        </w:rPr>
        <w:t>DB USDCH</w:t>
      </w:r>
      <w:bookmarkEnd w:id="7"/>
      <w:r>
        <w:rPr>
          <w:szCs w:val="22"/>
        </w:rPr>
        <w:t>),</w:t>
      </w:r>
      <w:r w:rsidRPr="005535C2" w:rsidR="005535C2">
        <w:rPr>
          <w:szCs w:val="22"/>
        </w:rPr>
        <w:t xml:space="preserve"> a Delaware limited liability cor</w:t>
      </w:r>
      <w:r w:rsidR="005535C2">
        <w:rPr>
          <w:szCs w:val="22"/>
        </w:rPr>
        <w:t>poration</w:t>
      </w:r>
      <w:r w:rsidR="00461238">
        <w:rPr>
          <w:szCs w:val="22"/>
        </w:rPr>
        <w:t xml:space="preserve"> (38 percent)</w:t>
      </w:r>
      <w:r w:rsidR="005535C2">
        <w:rPr>
          <w:szCs w:val="22"/>
        </w:rPr>
        <w:t>.</w:t>
      </w:r>
      <w:r>
        <w:rPr>
          <w:rStyle w:val="FootnoteReference"/>
          <w:szCs w:val="22"/>
        </w:rPr>
        <w:footnoteReference w:id="8"/>
      </w:r>
      <w:r w:rsidR="00FB7975">
        <w:rPr>
          <w:szCs w:val="22"/>
        </w:rPr>
        <w:t xml:space="preserve">  Applicants state that none of these entities, nor any of their subsidiaries, hold a 10 percent or greater interest in any other telecommunications provider.</w:t>
      </w:r>
      <w:r w:rsidR="005535C2">
        <w:rPr>
          <w:szCs w:val="22"/>
        </w:rPr>
        <w:t xml:space="preserve"> </w:t>
      </w:r>
    </w:p>
    <w:p w:rsidR="00DA2E3A" w:rsidP="00461238">
      <w:pPr>
        <w:autoSpaceDE w:val="0"/>
        <w:autoSpaceDN w:val="0"/>
        <w:adjustRightInd w:val="0"/>
        <w:rPr>
          <w:szCs w:val="22"/>
        </w:rPr>
      </w:pPr>
    </w:p>
    <w:p w:rsidR="00DA2E3A" w:rsidRPr="00E85877" w:rsidP="00D91A96">
      <w:pPr>
        <w:autoSpaceDE w:val="0"/>
        <w:autoSpaceDN w:val="0"/>
        <w:adjustRightInd w:val="0"/>
        <w:ind w:firstLine="720"/>
        <w:rPr>
          <w:color w:val="020100"/>
          <w:szCs w:val="22"/>
        </w:rPr>
      </w:pPr>
      <w:r>
        <w:rPr>
          <w:color w:val="020100"/>
          <w:szCs w:val="22"/>
        </w:rPr>
        <w:t xml:space="preserve">Pursuant to the terms of the proposed transaction, </w:t>
      </w:r>
      <w:r w:rsidRPr="002F7036" w:rsidR="002F7036">
        <w:rPr>
          <w:color w:val="020100"/>
          <w:szCs w:val="22"/>
        </w:rPr>
        <w:t>HRS Internet’s direct p</w:t>
      </w:r>
      <w:r w:rsidR="00876EED">
        <w:rPr>
          <w:color w:val="020100"/>
          <w:szCs w:val="22"/>
        </w:rPr>
        <w:t>arent</w:t>
      </w:r>
      <w:r w:rsidR="00A13990">
        <w:rPr>
          <w:color w:val="020100"/>
          <w:szCs w:val="22"/>
        </w:rPr>
        <w:t>, Lightb</w:t>
      </w:r>
      <w:r w:rsidR="00D91A96">
        <w:rPr>
          <w:color w:val="020100"/>
          <w:szCs w:val="22"/>
        </w:rPr>
        <w:t>ound, will be merged</w:t>
      </w:r>
      <w:r w:rsidRPr="002F7036" w:rsidR="002F7036">
        <w:rPr>
          <w:color w:val="020100"/>
          <w:szCs w:val="22"/>
        </w:rPr>
        <w:t xml:space="preserve"> with a direct subsidiary of DataBank</w:t>
      </w:r>
      <w:r w:rsidR="002F7036">
        <w:rPr>
          <w:color w:val="020100"/>
          <w:szCs w:val="22"/>
        </w:rPr>
        <w:t xml:space="preserve"> </w:t>
      </w:r>
      <w:r w:rsidRPr="002F7036" w:rsidR="002F7036">
        <w:rPr>
          <w:color w:val="020100"/>
          <w:szCs w:val="22"/>
        </w:rPr>
        <w:t>created un</w:t>
      </w:r>
      <w:r w:rsidR="003C24CF">
        <w:rPr>
          <w:color w:val="020100"/>
          <w:szCs w:val="22"/>
        </w:rPr>
        <w:t>der Indiana law for the purposes of</w:t>
      </w:r>
      <w:r w:rsidRPr="002F7036" w:rsidR="002F7036">
        <w:rPr>
          <w:color w:val="020100"/>
          <w:szCs w:val="22"/>
        </w:rPr>
        <w:t xml:space="preserve"> this transaction</w:t>
      </w:r>
      <w:r w:rsidR="002F7036">
        <w:rPr>
          <w:color w:val="020100"/>
          <w:szCs w:val="22"/>
        </w:rPr>
        <w:t>.</w:t>
      </w:r>
      <w:r w:rsidRPr="002F7036" w:rsidR="002F7036">
        <w:rPr>
          <w:color w:val="020100"/>
          <w:szCs w:val="22"/>
        </w:rPr>
        <w:t xml:space="preserve"> </w:t>
      </w:r>
      <w:r w:rsidR="00D91A96">
        <w:rPr>
          <w:color w:val="020100"/>
          <w:szCs w:val="22"/>
        </w:rPr>
        <w:t xml:space="preserve"> </w:t>
      </w:r>
      <w:r w:rsidR="00A13990">
        <w:rPr>
          <w:color w:val="020100"/>
          <w:szCs w:val="22"/>
        </w:rPr>
        <w:t>Lightb</w:t>
      </w:r>
      <w:r w:rsidRPr="005161A7" w:rsidR="005161A7">
        <w:rPr>
          <w:color w:val="020100"/>
          <w:szCs w:val="22"/>
        </w:rPr>
        <w:t>ound wi</w:t>
      </w:r>
      <w:r w:rsidR="00876EED">
        <w:rPr>
          <w:color w:val="020100"/>
          <w:szCs w:val="22"/>
        </w:rPr>
        <w:t>ll be the surviving entity</w:t>
      </w:r>
      <w:r w:rsidR="00D91A96">
        <w:rPr>
          <w:color w:val="020100"/>
          <w:szCs w:val="22"/>
        </w:rPr>
        <w:t xml:space="preserve"> and</w:t>
      </w:r>
      <w:r w:rsidRPr="005161A7" w:rsidR="005161A7">
        <w:rPr>
          <w:color w:val="020100"/>
          <w:szCs w:val="22"/>
        </w:rPr>
        <w:t xml:space="preserve">, </w:t>
      </w:r>
      <w:r w:rsidR="003F032B">
        <w:rPr>
          <w:color w:val="020100"/>
          <w:szCs w:val="22"/>
        </w:rPr>
        <w:t>as a result,</w:t>
      </w:r>
      <w:r w:rsidR="00D91A96">
        <w:rPr>
          <w:color w:val="020100"/>
          <w:szCs w:val="22"/>
        </w:rPr>
        <w:t xml:space="preserve"> a wholly </w:t>
      </w:r>
      <w:r w:rsidR="004B48A8">
        <w:rPr>
          <w:color w:val="020100"/>
          <w:szCs w:val="22"/>
        </w:rPr>
        <w:t xml:space="preserve">owned direct </w:t>
      </w:r>
      <w:r w:rsidRPr="005161A7" w:rsidR="005161A7">
        <w:rPr>
          <w:color w:val="020100"/>
          <w:szCs w:val="22"/>
        </w:rPr>
        <w:t xml:space="preserve">subsidiary of DataBank. </w:t>
      </w:r>
      <w:r w:rsidR="00690B96">
        <w:rPr>
          <w:color w:val="020100"/>
          <w:szCs w:val="22"/>
        </w:rPr>
        <w:t xml:space="preserve"> </w:t>
      </w:r>
      <w:r w:rsidRPr="00690B96" w:rsidR="00690B96">
        <w:rPr>
          <w:color w:val="020100"/>
          <w:szCs w:val="22"/>
        </w:rPr>
        <w:t xml:space="preserve">Applicants assert </w:t>
      </w:r>
      <w:r w:rsidR="001F0A47">
        <w:rPr>
          <w:color w:val="020100"/>
          <w:szCs w:val="22"/>
        </w:rPr>
        <w:t xml:space="preserve">the proposed transaction is entitled to presumptive streamlined treatment under section 63.03(b)(1)(ii) and </w:t>
      </w:r>
      <w:r w:rsidRPr="00690B96" w:rsidR="00690B96">
        <w:rPr>
          <w:color w:val="020100"/>
          <w:szCs w:val="22"/>
        </w:rPr>
        <w:t>that a grant of the application will serve the public interest, convenience, and necessity.</w:t>
      </w:r>
      <w:r>
        <w:rPr>
          <w:rStyle w:val="FootnoteReference"/>
          <w:color w:val="020100"/>
          <w:szCs w:val="22"/>
        </w:rPr>
        <w:footnoteReference w:id="9"/>
      </w:r>
      <w:r w:rsidRPr="00690B96" w:rsidR="00690B96">
        <w:rPr>
          <w:color w:val="020100"/>
          <w:szCs w:val="22"/>
        </w:rPr>
        <w:t xml:space="preserve">  </w:t>
      </w:r>
    </w:p>
    <w:p w:rsidR="00DA2E3A" w:rsidRPr="00A6163F" w:rsidP="00DA2E3A">
      <w:pPr>
        <w:autoSpaceDE w:val="0"/>
        <w:autoSpaceDN w:val="0"/>
        <w:adjustRightInd w:val="0"/>
        <w:rPr>
          <w:szCs w:val="22"/>
        </w:rPr>
      </w:pPr>
    </w:p>
    <w:p w:rsidR="00DA2E3A" w:rsidP="00DA2E3A">
      <w:pPr>
        <w:autoSpaceDE w:val="0"/>
        <w:autoSpaceDN w:val="0"/>
        <w:adjustRightInd w:val="0"/>
        <w:ind w:left="720"/>
        <w:rPr>
          <w:bCs/>
          <w:szCs w:val="22"/>
        </w:rPr>
      </w:pPr>
      <w:bookmarkStart w:id="8" w:name="_Hlk510618895"/>
      <w:r w:rsidRPr="00A6163F">
        <w:rPr>
          <w:szCs w:val="22"/>
        </w:rPr>
        <w:t xml:space="preserve">Domestic Section 214 Application Filed for the Transfer of Control </w:t>
      </w:r>
      <w:r w:rsidRPr="00A6163F">
        <w:rPr>
          <w:bCs/>
          <w:szCs w:val="22"/>
        </w:rPr>
        <w:t>of</w:t>
      </w:r>
      <w:r>
        <w:rPr>
          <w:bCs/>
          <w:szCs w:val="22"/>
        </w:rPr>
        <w:t xml:space="preserve"> </w:t>
      </w:r>
    </w:p>
    <w:p w:rsidR="00DA2E3A" w:rsidP="00DA2E3A">
      <w:pPr>
        <w:autoSpaceDE w:val="0"/>
        <w:autoSpaceDN w:val="0"/>
        <w:adjustRightInd w:val="0"/>
        <w:ind w:left="720"/>
        <w:rPr>
          <w:szCs w:val="22"/>
        </w:rPr>
      </w:pPr>
      <w:r>
        <w:rPr>
          <w:bCs/>
          <w:szCs w:val="22"/>
        </w:rPr>
        <w:t>HRS</w:t>
      </w:r>
      <w:r w:rsidR="00543F66">
        <w:rPr>
          <w:bCs/>
          <w:szCs w:val="22"/>
        </w:rPr>
        <w:t xml:space="preserve"> Internet</w:t>
      </w:r>
      <w:r w:rsidR="007376B8">
        <w:rPr>
          <w:bCs/>
          <w:szCs w:val="22"/>
        </w:rPr>
        <w:t>, LLC</w:t>
      </w:r>
      <w:r w:rsidR="005161A7">
        <w:rPr>
          <w:bCs/>
          <w:szCs w:val="22"/>
        </w:rPr>
        <w:t xml:space="preserve"> t</w:t>
      </w:r>
      <w:r w:rsidRPr="005161A7" w:rsidR="005161A7">
        <w:rPr>
          <w:bCs/>
          <w:szCs w:val="22"/>
        </w:rPr>
        <w:t>o Databank</w:t>
      </w:r>
      <w:r w:rsidR="009C5AE4">
        <w:rPr>
          <w:bCs/>
          <w:szCs w:val="22"/>
        </w:rPr>
        <w:t xml:space="preserve"> Holdings</w:t>
      </w:r>
      <w:r w:rsidR="007376B8">
        <w:rPr>
          <w:bCs/>
          <w:szCs w:val="22"/>
        </w:rPr>
        <w:t xml:space="preserve"> Ltd.</w:t>
      </w:r>
      <w:r>
        <w:rPr>
          <w:bCs/>
          <w:szCs w:val="22"/>
        </w:rPr>
        <w:t xml:space="preserve">, </w:t>
      </w:r>
      <w:r w:rsidRPr="00A6163F">
        <w:rPr>
          <w:szCs w:val="22"/>
        </w:rPr>
        <w:t>W</w:t>
      </w:r>
      <w:r>
        <w:rPr>
          <w:szCs w:val="22"/>
        </w:rPr>
        <w:t>C Docket No. 18-</w:t>
      </w:r>
      <w:r w:rsidR="007376B8">
        <w:rPr>
          <w:szCs w:val="22"/>
        </w:rPr>
        <w:t>382</w:t>
      </w:r>
      <w:r w:rsidRPr="00A6163F">
        <w:rPr>
          <w:szCs w:val="22"/>
        </w:rPr>
        <w:t xml:space="preserve"> </w:t>
      </w:r>
    </w:p>
    <w:p w:rsidR="00DA2E3A" w:rsidRPr="00307CA1" w:rsidP="00DA2E3A">
      <w:pPr>
        <w:autoSpaceDE w:val="0"/>
        <w:autoSpaceDN w:val="0"/>
        <w:adjustRightInd w:val="0"/>
        <w:ind w:left="720"/>
        <w:rPr>
          <w:bCs/>
          <w:szCs w:val="22"/>
        </w:rPr>
      </w:pPr>
      <w:r>
        <w:rPr>
          <w:szCs w:val="22"/>
        </w:rPr>
        <w:t xml:space="preserve">(filed </w:t>
      </w:r>
      <w:r w:rsidR="005161A7">
        <w:rPr>
          <w:szCs w:val="22"/>
        </w:rPr>
        <w:t>Dec</w:t>
      </w:r>
      <w:r w:rsidR="00DF28D8">
        <w:rPr>
          <w:szCs w:val="22"/>
        </w:rPr>
        <w:t>.</w:t>
      </w:r>
      <w:r>
        <w:rPr>
          <w:szCs w:val="22"/>
        </w:rPr>
        <w:t xml:space="preserve"> </w:t>
      </w:r>
      <w:r w:rsidR="005161A7">
        <w:rPr>
          <w:szCs w:val="22"/>
        </w:rPr>
        <w:t>17</w:t>
      </w:r>
      <w:r w:rsidRPr="00A6163F">
        <w:rPr>
          <w:szCs w:val="22"/>
        </w:rPr>
        <w:t>, 2018).</w:t>
      </w:r>
    </w:p>
    <w:bookmarkEnd w:id="8"/>
    <w:p w:rsidR="00DA2E3A" w:rsidP="0069213F">
      <w:pPr>
        <w:tabs>
          <w:tab w:val="left" w:pos="2580"/>
        </w:tabs>
        <w:autoSpaceDE w:val="0"/>
        <w:autoSpaceDN w:val="0"/>
        <w:adjustRightInd w:val="0"/>
        <w:rPr>
          <w:szCs w:val="22"/>
        </w:rPr>
      </w:pPr>
      <w:r>
        <w:rPr>
          <w:szCs w:val="22"/>
        </w:rPr>
        <w:tab/>
      </w:r>
    </w:p>
    <w:p w:rsidR="002963AA" w:rsidRPr="002963AA" w:rsidP="002963AA">
      <w:pPr>
        <w:autoSpaceDE w:val="0"/>
        <w:autoSpaceDN w:val="0"/>
        <w:adjustRightInd w:val="0"/>
        <w:rPr>
          <w:szCs w:val="22"/>
        </w:rPr>
      </w:pPr>
      <w:bookmarkStart w:id="9" w:name="_Hlk510519956"/>
      <w:r w:rsidRPr="002963AA">
        <w:rPr>
          <w:b/>
          <w:szCs w:val="22"/>
          <w:u w:val="single"/>
        </w:rPr>
        <w:t>GENERAL INFORMATION</w:t>
      </w:r>
    </w:p>
    <w:p w:rsidR="002963AA" w:rsidRPr="002963AA" w:rsidP="002963AA">
      <w:pPr>
        <w:autoSpaceDE w:val="0"/>
        <w:autoSpaceDN w:val="0"/>
        <w:adjustRightInd w:val="0"/>
        <w:rPr>
          <w:szCs w:val="22"/>
        </w:rPr>
      </w:pPr>
    </w:p>
    <w:p w:rsidR="00682061" w:rsidRPr="007F43F2" w:rsidP="00682061">
      <w:pPr>
        <w:autoSpaceDE w:val="0"/>
        <w:autoSpaceDN w:val="0"/>
        <w:adjustRightInd w:val="0"/>
        <w:ind w:firstLine="720"/>
        <w:rPr>
          <w:szCs w:val="22"/>
        </w:rPr>
      </w:pPr>
      <w:r w:rsidRPr="007F43F2">
        <w:rPr>
          <w:szCs w:val="22"/>
        </w:rPr>
        <w:t>The transfer of control identified herein has been fo</w:t>
      </w:r>
      <w:r>
        <w:rPr>
          <w:szCs w:val="22"/>
        </w:rPr>
        <w:t xml:space="preserve">und, upon initial review, to be </w:t>
      </w:r>
      <w:r w:rsidRPr="007F43F2">
        <w:rPr>
          <w:szCs w:val="22"/>
        </w:rPr>
        <w:t xml:space="preserve">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Pr="007F43F2">
        <w:rPr>
          <w:b/>
          <w:szCs w:val="22"/>
        </w:rPr>
        <w:t>on or before</w:t>
      </w:r>
      <w:r>
        <w:rPr>
          <w:b/>
          <w:szCs w:val="22"/>
        </w:rPr>
        <w:t xml:space="preserve"> February 1</w:t>
      </w:r>
      <w:r w:rsidR="007946BD">
        <w:rPr>
          <w:b/>
          <w:szCs w:val="22"/>
        </w:rPr>
        <w:t>3</w:t>
      </w:r>
      <w:r>
        <w:rPr>
          <w:b/>
          <w:szCs w:val="22"/>
        </w:rPr>
        <w:t>,</w:t>
      </w:r>
      <w:r w:rsidRPr="007F43F2">
        <w:rPr>
          <w:b/>
          <w:szCs w:val="22"/>
        </w:rPr>
        <w:t xml:space="preserve"> 201</w:t>
      </w:r>
      <w:r>
        <w:rPr>
          <w:b/>
          <w:szCs w:val="22"/>
        </w:rPr>
        <w:t>9</w:t>
      </w:r>
      <w:r w:rsidRPr="007F43F2">
        <w:rPr>
          <w:szCs w:val="22"/>
        </w:rPr>
        <w:t xml:space="preserve">, and reply comments </w:t>
      </w:r>
      <w:r>
        <w:rPr>
          <w:b/>
          <w:szCs w:val="22"/>
        </w:rPr>
        <w:t xml:space="preserve">on or before February </w:t>
      </w:r>
      <w:r w:rsidR="007946BD">
        <w:rPr>
          <w:b/>
          <w:szCs w:val="22"/>
        </w:rPr>
        <w:t>20</w:t>
      </w:r>
      <w:r w:rsidRPr="007F43F2">
        <w:rPr>
          <w:b/>
          <w:szCs w:val="22"/>
        </w:rPr>
        <w:t>, 201</w:t>
      </w:r>
      <w:r>
        <w:rPr>
          <w:b/>
          <w:szCs w:val="22"/>
        </w:rPr>
        <w:t>9</w:t>
      </w:r>
      <w:r w:rsidRPr="007F43F2">
        <w:rPr>
          <w:szCs w:val="22"/>
        </w:rPr>
        <w:t xml:space="preserve">.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682061" w:rsidRPr="007F43F2" w:rsidP="00682061">
      <w:pPr>
        <w:autoSpaceDE w:val="0"/>
        <w:autoSpaceDN w:val="0"/>
        <w:adjustRightInd w:val="0"/>
        <w:ind w:firstLine="720"/>
        <w:rPr>
          <w:szCs w:val="22"/>
        </w:rPr>
      </w:pPr>
    </w:p>
    <w:p w:rsidR="00682061" w:rsidRPr="007F43F2" w:rsidP="00682061">
      <w:pPr>
        <w:autoSpaceDE w:val="0"/>
        <w:autoSpaceDN w:val="0"/>
        <w:adjustRightInd w:val="0"/>
        <w:ind w:firstLine="720"/>
        <w:rPr>
          <w:szCs w:val="22"/>
        </w:rPr>
      </w:pPr>
      <w:r w:rsidRPr="007F43F2">
        <w:rPr>
          <w:szCs w:val="22"/>
        </w:rPr>
        <w:t xml:space="preserve">Pursuant to section 63.03 of the Commission’s rules, 47 CFR § 63.03, parties to this proceeding should file any documents using the Commission’s Electronic Comment Filing System (ECFS):  http://apps.fcc.gov/ecfs/.  </w:t>
      </w:r>
    </w:p>
    <w:p w:rsidR="00682061" w:rsidRPr="007F43F2" w:rsidP="00682061">
      <w:pPr>
        <w:autoSpaceDE w:val="0"/>
        <w:autoSpaceDN w:val="0"/>
        <w:adjustRightInd w:val="0"/>
        <w:ind w:firstLine="720"/>
        <w:rPr>
          <w:b/>
          <w:szCs w:val="22"/>
        </w:rPr>
      </w:pPr>
    </w:p>
    <w:p w:rsidR="00682061" w:rsidRPr="007F43F2" w:rsidP="00682061">
      <w:pPr>
        <w:autoSpaceDE w:val="0"/>
        <w:autoSpaceDN w:val="0"/>
        <w:adjustRightInd w:val="0"/>
        <w:ind w:firstLine="720"/>
        <w:rPr>
          <w:b/>
          <w:szCs w:val="22"/>
        </w:rPr>
      </w:pPr>
      <w:r w:rsidRPr="007F43F2">
        <w:rPr>
          <w:b/>
          <w:szCs w:val="22"/>
        </w:rPr>
        <w:t>In addition, e-mail one copy of each pleading to each of the following:</w:t>
      </w:r>
    </w:p>
    <w:p w:rsidR="00682061" w:rsidRPr="007F43F2" w:rsidP="00682061">
      <w:pPr>
        <w:autoSpaceDE w:val="0"/>
        <w:autoSpaceDN w:val="0"/>
        <w:adjustRightInd w:val="0"/>
        <w:ind w:firstLine="720"/>
        <w:rPr>
          <w:b/>
          <w:szCs w:val="22"/>
        </w:rPr>
      </w:pPr>
    </w:p>
    <w:p w:rsidR="00682061" w:rsidRPr="007F43F2" w:rsidP="00682061">
      <w:pPr>
        <w:numPr>
          <w:ilvl w:val="0"/>
          <w:numId w:val="18"/>
        </w:numPr>
        <w:autoSpaceDE w:val="0"/>
        <w:autoSpaceDN w:val="0"/>
        <w:adjustRightInd w:val="0"/>
        <w:rPr>
          <w:szCs w:val="22"/>
        </w:rPr>
      </w:pPr>
      <w:r>
        <w:rPr>
          <w:szCs w:val="22"/>
        </w:rPr>
        <w:t>Myrva Charles</w:t>
      </w:r>
      <w:r w:rsidRPr="007F43F2">
        <w:rPr>
          <w:szCs w:val="22"/>
        </w:rPr>
        <w:t xml:space="preserve">, Competition Policy Division, Wireline Competition Bureau,  </w:t>
      </w:r>
      <w:hyperlink r:id="rId11" w:history="1">
        <w:r>
          <w:rPr>
            <w:rStyle w:val="Hyperlink"/>
            <w:szCs w:val="22"/>
          </w:rPr>
          <w:t>myrva</w:t>
        </w:r>
        <w:r w:rsidRPr="00B77F61">
          <w:rPr>
            <w:rStyle w:val="Hyperlink"/>
            <w:szCs w:val="22"/>
          </w:rPr>
          <w:t>.</w:t>
        </w:r>
        <w:r>
          <w:rPr>
            <w:rStyle w:val="Hyperlink"/>
            <w:szCs w:val="22"/>
          </w:rPr>
          <w:t>charles</w:t>
        </w:r>
        <w:r w:rsidRPr="00B77F61">
          <w:rPr>
            <w:rStyle w:val="Hyperlink"/>
            <w:szCs w:val="22"/>
          </w:rPr>
          <w:t>@fcc.gov</w:t>
        </w:r>
      </w:hyperlink>
      <w:r w:rsidRPr="007F43F2">
        <w:rPr>
          <w:szCs w:val="22"/>
        </w:rPr>
        <w:t>;</w:t>
      </w:r>
    </w:p>
    <w:p w:rsidR="00682061" w:rsidRPr="007F43F2" w:rsidP="00682061">
      <w:pPr>
        <w:autoSpaceDE w:val="0"/>
        <w:autoSpaceDN w:val="0"/>
        <w:adjustRightInd w:val="0"/>
        <w:ind w:firstLine="720"/>
        <w:rPr>
          <w:szCs w:val="22"/>
        </w:rPr>
      </w:pPr>
    </w:p>
    <w:p w:rsidR="00682061" w:rsidRPr="00165A52" w:rsidP="00682061">
      <w:pPr>
        <w:numPr>
          <w:ilvl w:val="0"/>
          <w:numId w:val="18"/>
        </w:numPr>
        <w:autoSpaceDE w:val="0"/>
        <w:autoSpaceDN w:val="0"/>
        <w:adjustRightInd w:val="0"/>
        <w:rPr>
          <w:szCs w:val="22"/>
        </w:rPr>
      </w:pPr>
      <w:r>
        <w:rPr>
          <w:szCs w:val="22"/>
        </w:rPr>
        <w:t>Gregory Kwan</w:t>
      </w:r>
      <w:r w:rsidRPr="007F43F2">
        <w:rPr>
          <w:szCs w:val="22"/>
        </w:rPr>
        <w:t xml:space="preserve">, Competition Policy Division, Wireline Competition Bureau, </w:t>
      </w:r>
      <w:hyperlink r:id="rId12" w:history="1">
        <w:r w:rsidRPr="00DF74C2">
          <w:rPr>
            <w:rStyle w:val="Hyperlink"/>
            <w:szCs w:val="22"/>
          </w:rPr>
          <w:t>gregory.kwan@fcc.gov</w:t>
        </w:r>
      </w:hyperlink>
      <w:r>
        <w:rPr>
          <w:szCs w:val="22"/>
        </w:rPr>
        <w:t>;</w:t>
      </w:r>
      <w:r w:rsidRPr="00165A52">
        <w:rPr>
          <w:szCs w:val="22"/>
        </w:rPr>
        <w:t xml:space="preserve"> </w:t>
      </w:r>
    </w:p>
    <w:p w:rsidR="00682061" w:rsidP="00682061">
      <w:pPr>
        <w:pStyle w:val="ListParagraph"/>
        <w:rPr>
          <w:szCs w:val="22"/>
        </w:rPr>
      </w:pPr>
    </w:p>
    <w:p w:rsidR="00682061" w:rsidP="00682061">
      <w:pPr>
        <w:numPr>
          <w:ilvl w:val="0"/>
          <w:numId w:val="18"/>
        </w:numPr>
        <w:autoSpaceDE w:val="0"/>
        <w:autoSpaceDN w:val="0"/>
        <w:adjustRightInd w:val="0"/>
        <w:rPr>
          <w:szCs w:val="22"/>
        </w:rPr>
      </w:pPr>
      <w:bookmarkStart w:id="10" w:name="_Hlk520384977"/>
      <w:r>
        <w:rPr>
          <w:szCs w:val="22"/>
        </w:rPr>
        <w:t xml:space="preserve">David Krech, International Bureau; </w:t>
      </w:r>
      <w:hyperlink r:id="rId13" w:history="1">
        <w:r w:rsidRPr="00FF1E77">
          <w:rPr>
            <w:rStyle w:val="Hyperlink"/>
            <w:szCs w:val="22"/>
          </w:rPr>
          <w:t>david.krech@fcc.gov</w:t>
        </w:r>
      </w:hyperlink>
      <w:r>
        <w:rPr>
          <w:szCs w:val="22"/>
        </w:rPr>
        <w:t xml:space="preserve">; </w:t>
      </w:r>
    </w:p>
    <w:p w:rsidR="00682061" w:rsidP="00682061">
      <w:pPr>
        <w:pStyle w:val="ListParagraph"/>
        <w:rPr>
          <w:szCs w:val="22"/>
        </w:rPr>
      </w:pPr>
    </w:p>
    <w:p w:rsidR="00682061" w:rsidP="00682061">
      <w:pPr>
        <w:numPr>
          <w:ilvl w:val="0"/>
          <w:numId w:val="18"/>
        </w:numPr>
        <w:autoSpaceDE w:val="0"/>
        <w:autoSpaceDN w:val="0"/>
        <w:adjustRightInd w:val="0"/>
        <w:rPr>
          <w:szCs w:val="22"/>
        </w:rPr>
      </w:pPr>
      <w:r>
        <w:rPr>
          <w:szCs w:val="22"/>
        </w:rPr>
        <w:t xml:space="preserve">Sumita Mukhoty, International Bureau; </w:t>
      </w:r>
      <w:hyperlink r:id="rId14" w:history="1">
        <w:r w:rsidRPr="00316C41">
          <w:rPr>
            <w:rStyle w:val="Hyperlink"/>
            <w:szCs w:val="22"/>
          </w:rPr>
          <w:t>sumita.mukhoty@fcc.gov</w:t>
        </w:r>
      </w:hyperlink>
      <w:r>
        <w:rPr>
          <w:szCs w:val="22"/>
        </w:rPr>
        <w:t>; and</w:t>
      </w:r>
    </w:p>
    <w:bookmarkEnd w:id="10"/>
    <w:p w:rsidR="00682061" w:rsidP="00682061">
      <w:pPr>
        <w:pStyle w:val="ListParagraph"/>
        <w:ind w:left="0"/>
        <w:rPr>
          <w:szCs w:val="22"/>
        </w:rPr>
      </w:pPr>
    </w:p>
    <w:p w:rsidR="00682061" w:rsidRPr="007F43F2" w:rsidP="00682061">
      <w:pPr>
        <w:numPr>
          <w:ilvl w:val="0"/>
          <w:numId w:val="18"/>
        </w:numPr>
        <w:autoSpaceDE w:val="0"/>
        <w:autoSpaceDN w:val="0"/>
        <w:adjustRightInd w:val="0"/>
        <w:rPr>
          <w:szCs w:val="22"/>
        </w:rPr>
      </w:pPr>
      <w:r w:rsidRPr="007F43F2">
        <w:rPr>
          <w:szCs w:val="22"/>
        </w:rPr>
        <w:t xml:space="preserve">Jim Bird, Office of General Counsel, </w:t>
      </w:r>
      <w:hyperlink r:id="rId15" w:history="1">
        <w:r w:rsidRPr="007F43F2">
          <w:rPr>
            <w:rStyle w:val="Hyperlink"/>
            <w:szCs w:val="22"/>
          </w:rPr>
          <w:t>jim.bird@fcc.gov</w:t>
        </w:r>
      </w:hyperlink>
      <w:r w:rsidRPr="007F43F2">
        <w:rPr>
          <w:szCs w:val="22"/>
        </w:rPr>
        <w:t>.</w:t>
      </w:r>
    </w:p>
    <w:p w:rsidR="00682061" w:rsidRPr="007F43F2" w:rsidP="00682061">
      <w:pPr>
        <w:autoSpaceDE w:val="0"/>
        <w:autoSpaceDN w:val="0"/>
        <w:adjustRightInd w:val="0"/>
        <w:ind w:firstLine="720"/>
        <w:rPr>
          <w:szCs w:val="22"/>
        </w:rPr>
      </w:pPr>
    </w:p>
    <w:p w:rsidR="00682061" w:rsidRPr="007F43F2" w:rsidP="00682061">
      <w:pPr>
        <w:autoSpaceDE w:val="0"/>
        <w:autoSpaceDN w:val="0"/>
        <w:adjustRightInd w:val="0"/>
        <w:ind w:firstLine="720"/>
        <w:rPr>
          <w:szCs w:val="22"/>
        </w:rPr>
      </w:pPr>
      <w:r w:rsidRPr="007F43F2">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682061" w:rsidRPr="007F43F2" w:rsidP="00682061">
      <w:pPr>
        <w:autoSpaceDE w:val="0"/>
        <w:autoSpaceDN w:val="0"/>
        <w:adjustRightInd w:val="0"/>
        <w:ind w:firstLine="720"/>
        <w:rPr>
          <w:szCs w:val="22"/>
        </w:rPr>
      </w:pPr>
    </w:p>
    <w:p w:rsidR="00682061" w:rsidRPr="007F43F2" w:rsidP="00682061">
      <w:pPr>
        <w:autoSpaceDE w:val="0"/>
        <w:autoSpaceDN w:val="0"/>
        <w:adjustRightInd w:val="0"/>
        <w:ind w:firstLine="720"/>
        <w:rPr>
          <w:szCs w:val="22"/>
        </w:rPr>
      </w:pPr>
      <w:r w:rsidRPr="007F43F2">
        <w:rPr>
          <w:szCs w:val="22"/>
        </w:rPr>
        <w:t xml:space="preserve">The proceeding in this Notice shall be treated as a “permit-but-disclose” proceeding in accordance with the Commission’s </w:t>
      </w:r>
      <w:r w:rsidRPr="007F43F2">
        <w:rPr>
          <w:i/>
          <w:szCs w:val="22"/>
        </w:rPr>
        <w:t>ex parte</w:t>
      </w:r>
      <w:r w:rsidRPr="007F43F2">
        <w:rPr>
          <w:szCs w:val="22"/>
        </w:rPr>
        <w:t xml:space="preserve"> rules.  Persons making </w:t>
      </w:r>
      <w:r w:rsidRPr="007F43F2">
        <w:rPr>
          <w:i/>
          <w:szCs w:val="22"/>
        </w:rPr>
        <w:t>ex parte</w:t>
      </w:r>
      <w:r w:rsidRPr="007F43F2">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7F43F2">
        <w:rPr>
          <w:i/>
          <w:szCs w:val="22"/>
        </w:rPr>
        <w:t>ex parte</w:t>
      </w:r>
      <w:r w:rsidRPr="007F43F2">
        <w:rPr>
          <w:szCs w:val="22"/>
        </w:rPr>
        <w:t xml:space="preserve"> presentations are reminded that memoranda summarizing the presentation must (1) list all persons attending or otherwise participating in the meeting at which the </w:t>
      </w:r>
      <w:r w:rsidRPr="007F43F2">
        <w:rPr>
          <w:i/>
          <w:szCs w:val="22"/>
        </w:rPr>
        <w:t>ex parte</w:t>
      </w:r>
      <w:r w:rsidRPr="007F43F2">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7F43F2">
        <w:rPr>
          <w:i/>
          <w:szCs w:val="22"/>
        </w:rPr>
        <w:t>ex parte</w:t>
      </w:r>
      <w:r w:rsidRPr="007F43F2">
        <w:rPr>
          <w:szCs w:val="22"/>
        </w:rPr>
        <w:t xml:space="preserve"> meetings are deemed to be written </w:t>
      </w:r>
      <w:r w:rsidRPr="007F43F2">
        <w:rPr>
          <w:i/>
          <w:szCs w:val="22"/>
        </w:rPr>
        <w:t>ex parte</w:t>
      </w:r>
      <w:r w:rsidRPr="007F43F2">
        <w:rPr>
          <w:szCs w:val="22"/>
        </w:rPr>
        <w:t xml:space="preserve"> presentations and must be filed consistent with rule 1.1206(b), 47 CFR § 1.1206(b).  Participants in this proceeding should familiarize themselves with the Commission’s </w:t>
      </w:r>
      <w:r w:rsidRPr="007F43F2">
        <w:rPr>
          <w:i/>
          <w:szCs w:val="22"/>
        </w:rPr>
        <w:t>ex parte</w:t>
      </w:r>
      <w:r w:rsidRPr="007F43F2">
        <w:rPr>
          <w:szCs w:val="22"/>
        </w:rPr>
        <w:t xml:space="preserve"> rules.</w:t>
      </w:r>
    </w:p>
    <w:p w:rsidR="00682061" w:rsidP="00682061">
      <w:pPr>
        <w:autoSpaceDE w:val="0"/>
        <w:autoSpaceDN w:val="0"/>
        <w:adjustRightInd w:val="0"/>
        <w:rPr>
          <w:szCs w:val="22"/>
        </w:rPr>
      </w:pPr>
    </w:p>
    <w:p w:rsidR="00682061" w:rsidRPr="006B7F06" w:rsidP="00682061">
      <w:pPr>
        <w:autoSpaceDE w:val="0"/>
        <w:autoSpaceDN w:val="0"/>
        <w:adjustRightInd w:val="0"/>
        <w:ind w:firstLine="720"/>
        <w:rPr>
          <w:szCs w:val="22"/>
        </w:rPr>
      </w:pPr>
      <w:r>
        <w:rPr>
          <w:szCs w:val="22"/>
        </w:rPr>
        <w:t>For further information, please contact Myrva Charles at (202) 418-1506 or Gregory Kwan at (202) 418-1191</w:t>
      </w:r>
      <w:r w:rsidRPr="006B7F06">
        <w:rPr>
          <w:szCs w:val="22"/>
        </w:rPr>
        <w:t>.</w:t>
      </w:r>
    </w:p>
    <w:p w:rsidR="00682061" w:rsidP="00682061">
      <w:pPr>
        <w:autoSpaceDE w:val="0"/>
        <w:autoSpaceDN w:val="0"/>
        <w:adjustRightInd w:val="0"/>
        <w:ind w:firstLine="720"/>
        <w:rPr>
          <w:szCs w:val="22"/>
        </w:rPr>
      </w:pPr>
    </w:p>
    <w:p w:rsidR="00682061" w:rsidP="00495890">
      <w:pPr>
        <w:autoSpaceDE w:val="0"/>
        <w:autoSpaceDN w:val="0"/>
        <w:adjustRightInd w:val="0"/>
        <w:ind w:firstLine="720"/>
        <w:jc w:val="center"/>
        <w:rPr>
          <w:szCs w:val="22"/>
        </w:rPr>
      </w:pPr>
      <w:r>
        <w:rPr>
          <w:b/>
          <w:szCs w:val="22"/>
        </w:rPr>
        <w:t>FCC</w:t>
      </w:r>
    </w:p>
    <w:p w:rsidR="00682061" w:rsidP="002963AA">
      <w:pPr>
        <w:autoSpaceDE w:val="0"/>
        <w:autoSpaceDN w:val="0"/>
        <w:adjustRightInd w:val="0"/>
        <w:ind w:firstLine="720"/>
        <w:rPr>
          <w:szCs w:val="22"/>
        </w:rPr>
      </w:pPr>
    </w:p>
    <w:p w:rsidR="00682061" w:rsidP="002963AA">
      <w:pPr>
        <w:autoSpaceDE w:val="0"/>
        <w:autoSpaceDN w:val="0"/>
        <w:adjustRightInd w:val="0"/>
        <w:ind w:firstLine="720"/>
        <w:rPr>
          <w:szCs w:val="22"/>
        </w:rPr>
      </w:pPr>
    </w:p>
    <w:p w:rsidR="00DA2E3A" w:rsidP="00DA2E3A">
      <w:pPr>
        <w:jc w:val="center"/>
        <w:rPr>
          <w:b/>
          <w:szCs w:val="22"/>
        </w:rPr>
      </w:pPr>
      <w:bookmarkStart w:id="11" w:name="SR;3162"/>
      <w:bookmarkEnd w:id="9"/>
      <w:bookmarkEnd w:id="11"/>
      <w:r>
        <w:rPr>
          <w:b/>
          <w:szCs w:val="22"/>
        </w:rPr>
        <w:t xml:space="preserve"> </w:t>
      </w:r>
    </w:p>
    <w:p w:rsidR="00DA2E3A" w:rsidP="00DA2E3A">
      <w:pPr>
        <w:rPr>
          <w:color w:val="000000"/>
          <w:szCs w:val="22"/>
        </w:rPr>
      </w:pPr>
    </w:p>
    <w:sectPr w:rsidSect="00DA2E3A">
      <w:footerReference w:type="default" r:id="rId16"/>
      <w:headerReference w:type="first" r:id="rId17"/>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2E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A2E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2E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A2E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2E3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2E3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DA2E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E376D">
      <w:r>
        <w:separator/>
      </w:r>
    </w:p>
  </w:footnote>
  <w:footnote w:type="continuationSeparator" w:id="1">
    <w:p w:rsidR="007E376D">
      <w:r>
        <w:continuationSeparator/>
      </w:r>
    </w:p>
  </w:footnote>
  <w:footnote w:type="continuationNotice" w:id="2">
    <w:p w:rsidR="007E376D"/>
  </w:footnote>
  <w:footnote w:id="3">
    <w:p w:rsidR="00DA2E3A" w:rsidRPr="00E20623" w:rsidP="00DA2E3A">
      <w:pPr>
        <w:pStyle w:val="FootnoteText"/>
        <w:rPr>
          <w:sz w:val="20"/>
        </w:rPr>
      </w:pPr>
      <w:r w:rsidRPr="00CC4A75">
        <w:rPr>
          <w:rStyle w:val="FootnoteReference"/>
          <w:sz w:val="20"/>
        </w:rPr>
        <w:footnoteRef/>
      </w:r>
      <w:r w:rsidRPr="00CC4A75">
        <w:rPr>
          <w:sz w:val="20"/>
        </w:rPr>
        <w:t xml:space="preserve"> </w:t>
      </w:r>
      <w:r w:rsidRPr="008F000C">
        <w:rPr>
          <w:i/>
          <w:sz w:val="20"/>
        </w:rPr>
        <w:t>See</w:t>
      </w:r>
      <w:r w:rsidRPr="008F000C">
        <w:rPr>
          <w:sz w:val="20"/>
        </w:rPr>
        <w:t xml:space="preserve"> 47 U.S.C. § 214; 47 CFR §§ 63.03-04.  </w:t>
      </w:r>
      <w:r w:rsidRPr="001E50F1">
        <w:rPr>
          <w:sz w:val="20"/>
        </w:rPr>
        <w:t>Applicants also filed applications for the transfer of authorizations associated with international</w:t>
      </w:r>
      <w:r>
        <w:rPr>
          <w:sz w:val="20"/>
        </w:rPr>
        <w:t xml:space="preserve"> </w:t>
      </w:r>
      <w:r w:rsidRPr="001E50F1">
        <w:rPr>
          <w:sz w:val="20"/>
        </w:rPr>
        <w:t>services</w:t>
      </w:r>
      <w:r>
        <w:rPr>
          <w:sz w:val="20"/>
        </w:rPr>
        <w:t xml:space="preserve">.  </w:t>
      </w:r>
      <w:r w:rsidR="008F4459">
        <w:rPr>
          <w:sz w:val="20"/>
        </w:rPr>
        <w:t>On December</w:t>
      </w:r>
      <w:r w:rsidR="00641FE6">
        <w:rPr>
          <w:sz w:val="20"/>
        </w:rPr>
        <w:t xml:space="preserve"> 21, 2018</w:t>
      </w:r>
      <w:r w:rsidR="008405B5">
        <w:rPr>
          <w:sz w:val="20"/>
        </w:rPr>
        <w:t xml:space="preserve"> and January 2</w:t>
      </w:r>
      <w:r w:rsidR="00194902">
        <w:rPr>
          <w:sz w:val="20"/>
        </w:rPr>
        <w:t>, 2019, Applicants filed</w:t>
      </w:r>
      <w:r w:rsidR="00641FE6">
        <w:rPr>
          <w:sz w:val="20"/>
        </w:rPr>
        <w:t xml:space="preserve"> supplement</w:t>
      </w:r>
      <w:r w:rsidR="00194902">
        <w:rPr>
          <w:sz w:val="20"/>
        </w:rPr>
        <w:t>s</w:t>
      </w:r>
      <w:r w:rsidR="00641FE6">
        <w:rPr>
          <w:sz w:val="20"/>
        </w:rPr>
        <w:t xml:space="preserve"> to their domestic section 214 application. </w:t>
      </w:r>
      <w:r w:rsidR="008F4459">
        <w:rPr>
          <w:sz w:val="20"/>
        </w:rPr>
        <w:t xml:space="preserve"> </w:t>
      </w:r>
      <w:r w:rsidRPr="008F000C">
        <w:rPr>
          <w:sz w:val="20"/>
        </w:rPr>
        <w:t xml:space="preserve">Any action on the domestic section 214 applications is without prejudice to Commission action on other </w:t>
      </w:r>
      <w:r>
        <w:rPr>
          <w:sz w:val="20"/>
        </w:rPr>
        <w:t>related, pending applications.</w:t>
      </w:r>
    </w:p>
  </w:footnote>
  <w:footnote w:id="4">
    <w:p w:rsidR="008F4459">
      <w:pPr>
        <w:pStyle w:val="FootnoteText"/>
      </w:pPr>
      <w:r>
        <w:rPr>
          <w:rStyle w:val="FootnoteReference"/>
        </w:rPr>
        <w:footnoteRef/>
      </w:r>
      <w:r>
        <w:t xml:space="preserve"> </w:t>
      </w:r>
      <w:r w:rsidRPr="008F4459">
        <w:rPr>
          <w:sz w:val="20"/>
        </w:rPr>
        <w:t>Applicants state that DataBank is owned by Data Bridge through five intervening subsidiaries, all of which are Delaware incorporated entities</w:t>
      </w:r>
      <w:r w:rsidR="00FB7975">
        <w:rPr>
          <w:sz w:val="20"/>
        </w:rPr>
        <w:t>.</w:t>
      </w:r>
    </w:p>
  </w:footnote>
  <w:footnote w:id="5">
    <w:p w:rsidR="00F84A4E" w:rsidRPr="00F84A4E">
      <w:pPr>
        <w:pStyle w:val="FootnoteText"/>
        <w:rPr>
          <w:sz w:val="20"/>
        </w:rPr>
      </w:pPr>
      <w:r w:rsidRPr="00F84A4E">
        <w:rPr>
          <w:rStyle w:val="FootnoteReference"/>
          <w:sz w:val="20"/>
        </w:rPr>
        <w:footnoteRef/>
      </w:r>
      <w:r w:rsidRPr="00F84A4E">
        <w:rPr>
          <w:sz w:val="20"/>
        </w:rPr>
        <w:t xml:space="preserve"> Applicants state that the Board of Overseers </w:t>
      </w:r>
      <w:r w:rsidR="00DB47DB">
        <w:rPr>
          <w:sz w:val="20"/>
        </w:rPr>
        <w:t xml:space="preserve">of TIAA are all U.S. citizens. </w:t>
      </w:r>
    </w:p>
  </w:footnote>
  <w:footnote w:id="6">
    <w:p w:rsidR="001047F3" w:rsidRPr="00FB7975">
      <w:pPr>
        <w:pStyle w:val="FootnoteText"/>
        <w:rPr>
          <w:sz w:val="20"/>
        </w:rPr>
      </w:pPr>
      <w:r>
        <w:rPr>
          <w:rStyle w:val="FootnoteReference"/>
        </w:rPr>
        <w:footnoteRef/>
      </w:r>
      <w:r>
        <w:t xml:space="preserve"> </w:t>
      </w:r>
      <w:r w:rsidRPr="00C51170" w:rsidR="00C51170">
        <w:rPr>
          <w:sz w:val="20"/>
        </w:rPr>
        <w:t>Applicants state that no single individual or entity holds a 10 percent or greater interest in Allstate.</w:t>
      </w:r>
      <w:r w:rsidR="00C51170">
        <w:rPr>
          <w:sz w:val="20"/>
        </w:rPr>
        <w:t xml:space="preserve"> </w:t>
      </w:r>
      <w:r w:rsidR="00F84A4E">
        <w:rPr>
          <w:sz w:val="20"/>
        </w:rPr>
        <w:t xml:space="preserve"> Applicants state that </w:t>
      </w:r>
      <w:r w:rsidR="00F84A4E">
        <w:rPr>
          <w:sz w:val="20"/>
        </w:rPr>
        <w:t>all of</w:t>
      </w:r>
      <w:r w:rsidR="00F84A4E">
        <w:rPr>
          <w:sz w:val="20"/>
        </w:rPr>
        <w:t xml:space="preserve"> </w:t>
      </w:r>
      <w:r w:rsidR="00DB47DB">
        <w:rPr>
          <w:sz w:val="20"/>
        </w:rPr>
        <w:t xml:space="preserve">the </w:t>
      </w:r>
      <w:r w:rsidR="00F84A4E">
        <w:rPr>
          <w:sz w:val="20"/>
        </w:rPr>
        <w:t>Allstate directors are U.S. citizens.</w:t>
      </w:r>
      <w:r w:rsidR="00C51170">
        <w:rPr>
          <w:sz w:val="20"/>
        </w:rPr>
        <w:t xml:space="preserve"> </w:t>
      </w:r>
      <w:r w:rsidRPr="00FB7975">
        <w:rPr>
          <w:sz w:val="20"/>
        </w:rPr>
        <w:t xml:space="preserve">  </w:t>
      </w:r>
      <w:r w:rsidRPr="00C51170" w:rsidR="00C51170">
        <w:rPr>
          <w:sz w:val="20"/>
        </w:rPr>
        <w:t xml:space="preserve">  </w:t>
      </w:r>
    </w:p>
  </w:footnote>
  <w:footnote w:id="7">
    <w:p w:rsidR="00C265C5" w:rsidP="00C265C5">
      <w:pPr>
        <w:rPr>
          <w:rFonts w:eastAsia="Calibri"/>
          <w:color w:val="000000"/>
          <w:sz w:val="20"/>
        </w:rPr>
      </w:pPr>
      <w:r>
        <w:rPr>
          <w:rStyle w:val="FootnoteReference"/>
        </w:rPr>
        <w:footnoteRef/>
      </w:r>
      <w:r>
        <w:t xml:space="preserve"> </w:t>
      </w:r>
      <w:r w:rsidRPr="000C62AA" w:rsidR="000C62AA">
        <w:rPr>
          <w:sz w:val="20"/>
        </w:rPr>
        <w:t>Applicants state that n</w:t>
      </w:r>
      <w:r w:rsidRPr="000C62AA">
        <w:rPr>
          <w:sz w:val="20"/>
        </w:rPr>
        <w:t xml:space="preserve">o </w:t>
      </w:r>
      <w:r w:rsidRPr="000C62AA" w:rsidR="000C62AA">
        <w:rPr>
          <w:sz w:val="20"/>
        </w:rPr>
        <w:t xml:space="preserve">single </w:t>
      </w:r>
      <w:r w:rsidRPr="000C62AA">
        <w:rPr>
          <w:sz w:val="20"/>
        </w:rPr>
        <w:t>individual or entity ho</w:t>
      </w:r>
      <w:r w:rsidRPr="000C62AA" w:rsidR="000C62AA">
        <w:rPr>
          <w:sz w:val="20"/>
        </w:rPr>
        <w:t>lds a</w:t>
      </w:r>
      <w:r w:rsidRPr="000C62AA">
        <w:rPr>
          <w:sz w:val="20"/>
        </w:rPr>
        <w:t xml:space="preserve"> 10 percent</w:t>
      </w:r>
      <w:r w:rsidR="00A911FD">
        <w:rPr>
          <w:sz w:val="20"/>
        </w:rPr>
        <w:t xml:space="preserve"> or greater interest</w:t>
      </w:r>
      <w:r w:rsidR="00097148">
        <w:rPr>
          <w:sz w:val="20"/>
        </w:rPr>
        <w:t xml:space="preserve"> in EW Data Bridge and that it</w:t>
      </w:r>
      <w:r w:rsidRPr="000C62AA" w:rsidR="000C62AA">
        <w:rPr>
          <w:sz w:val="20"/>
        </w:rPr>
        <w:t xml:space="preserve"> has </w:t>
      </w:r>
      <w:r w:rsidRPr="000C62AA">
        <w:rPr>
          <w:sz w:val="20"/>
        </w:rPr>
        <w:t>two gene</w:t>
      </w:r>
      <w:r w:rsidRPr="000C62AA" w:rsidR="000C62AA">
        <w:rPr>
          <w:sz w:val="20"/>
        </w:rPr>
        <w:t>ral partners</w:t>
      </w:r>
      <w:r w:rsidR="00A05429">
        <w:rPr>
          <w:sz w:val="20"/>
        </w:rPr>
        <w:t>, both</w:t>
      </w:r>
      <w:r w:rsidRPr="000C62AA" w:rsidR="000C62AA">
        <w:rPr>
          <w:sz w:val="20"/>
        </w:rPr>
        <w:t xml:space="preserve"> Delaware</w:t>
      </w:r>
      <w:r w:rsidR="00A05429">
        <w:rPr>
          <w:sz w:val="20"/>
        </w:rPr>
        <w:t xml:space="preserve"> entities</w:t>
      </w:r>
      <w:r w:rsidRPr="000C62AA" w:rsidR="000C62AA">
        <w:rPr>
          <w:sz w:val="20"/>
        </w:rPr>
        <w:t xml:space="preserve">:  </w:t>
      </w:r>
      <w:r w:rsidRPr="000C62AA">
        <w:rPr>
          <w:sz w:val="20"/>
        </w:rPr>
        <w:t>Edgewater Growth Capital Managem</w:t>
      </w:r>
      <w:r w:rsidRPr="000C62AA" w:rsidR="000C62AA">
        <w:rPr>
          <w:sz w:val="20"/>
        </w:rPr>
        <w:t>ent SMA, L.P. (</w:t>
      </w:r>
      <w:r w:rsidRPr="000C62AA">
        <w:rPr>
          <w:sz w:val="20"/>
        </w:rPr>
        <w:t>manages 77 percent</w:t>
      </w:r>
      <w:r w:rsidRPr="000C62AA" w:rsidR="000C62AA">
        <w:rPr>
          <w:sz w:val="20"/>
        </w:rPr>
        <w:t xml:space="preserve">) and </w:t>
      </w:r>
      <w:r w:rsidRPr="000C62AA">
        <w:rPr>
          <w:sz w:val="20"/>
        </w:rPr>
        <w:t>Edgewater Growth Capital Manage</w:t>
      </w:r>
      <w:r w:rsidRPr="000C62AA" w:rsidR="000C62AA">
        <w:rPr>
          <w:sz w:val="20"/>
        </w:rPr>
        <w:t>ment I</w:t>
      </w:r>
      <w:r w:rsidRPr="008252D0" w:rsidR="00097148">
        <w:rPr>
          <w:color w:val="000000"/>
          <w:sz w:val="20"/>
        </w:rPr>
        <w:t xml:space="preserve">V, L.P. </w:t>
      </w:r>
      <w:r w:rsidRPr="008252D0" w:rsidR="000C62AA">
        <w:rPr>
          <w:color w:val="000000"/>
          <w:sz w:val="20"/>
        </w:rPr>
        <w:t>(</w:t>
      </w:r>
      <w:r w:rsidRPr="008252D0">
        <w:rPr>
          <w:color w:val="000000"/>
          <w:sz w:val="20"/>
        </w:rPr>
        <w:t>manages 23 percent</w:t>
      </w:r>
      <w:r w:rsidRPr="008252D0" w:rsidR="000C62AA">
        <w:rPr>
          <w:color w:val="000000"/>
          <w:sz w:val="20"/>
        </w:rPr>
        <w:t>).</w:t>
      </w:r>
      <w:bookmarkStart w:id="6" w:name="_Hlk534203826"/>
      <w:r w:rsidRPr="008252D0" w:rsidR="000C62AA">
        <w:rPr>
          <w:color w:val="000000"/>
          <w:sz w:val="20"/>
        </w:rPr>
        <w:t xml:space="preserve">  </w:t>
      </w:r>
      <w:bookmarkEnd w:id="6"/>
      <w:r w:rsidRPr="008252D0" w:rsidR="00097148">
        <w:rPr>
          <w:color w:val="000000"/>
          <w:sz w:val="20"/>
        </w:rPr>
        <w:t xml:space="preserve">Applicants further state that </w:t>
      </w:r>
      <w:r w:rsidRPr="008252D0" w:rsidR="00097148">
        <w:rPr>
          <w:rFonts w:eastAsia="Calibri"/>
          <w:color w:val="000000"/>
          <w:sz w:val="20"/>
        </w:rPr>
        <w:t>management for both general partners rests with a</w:t>
      </w:r>
      <w:r w:rsidRPr="008252D0" w:rsidR="0011661D">
        <w:rPr>
          <w:rFonts w:eastAsia="Calibri"/>
          <w:color w:val="000000"/>
          <w:sz w:val="20"/>
        </w:rPr>
        <w:t xml:space="preserve"> Limited Partner Committee</w:t>
      </w:r>
      <w:r w:rsidRPr="008252D0" w:rsidR="00097148">
        <w:rPr>
          <w:rFonts w:eastAsia="Calibri"/>
          <w:color w:val="000000"/>
          <w:sz w:val="20"/>
        </w:rPr>
        <w:t>, made up of</w:t>
      </w:r>
      <w:r w:rsidR="00460D33">
        <w:rPr>
          <w:rFonts w:eastAsia="Calibri"/>
          <w:color w:val="000000"/>
          <w:sz w:val="20"/>
        </w:rPr>
        <w:t xml:space="preserve"> </w:t>
      </w:r>
      <w:r w:rsidRPr="008252D0" w:rsidR="00097148">
        <w:rPr>
          <w:rFonts w:eastAsia="Calibri"/>
          <w:color w:val="000000"/>
          <w:sz w:val="20"/>
        </w:rPr>
        <w:t>U.S. citizens</w:t>
      </w:r>
      <w:r w:rsidRPr="008252D0" w:rsidR="000B3681">
        <w:rPr>
          <w:rFonts w:eastAsia="Calibri"/>
          <w:color w:val="000000"/>
          <w:sz w:val="20"/>
        </w:rPr>
        <w:t xml:space="preserve">.  </w:t>
      </w:r>
    </w:p>
    <w:p w:rsidR="00F84A4E" w:rsidRPr="00C265C5" w:rsidP="00C265C5">
      <w:pPr>
        <w:rPr>
          <w:rFonts w:ascii="Calibri" w:eastAsia="Calibri" w:hAnsi="Calibri" w:cs="Calibri"/>
          <w:color w:val="1F497D"/>
          <w:szCs w:val="22"/>
        </w:rPr>
      </w:pPr>
    </w:p>
  </w:footnote>
  <w:footnote w:id="8">
    <w:p w:rsidR="00461238" w:rsidRPr="00172B41">
      <w:pPr>
        <w:pStyle w:val="FootnoteText"/>
        <w:rPr>
          <w:sz w:val="20"/>
        </w:rPr>
      </w:pPr>
      <w:r>
        <w:rPr>
          <w:rStyle w:val="FootnoteReference"/>
        </w:rPr>
        <w:footnoteRef/>
      </w:r>
      <w:r>
        <w:t xml:space="preserve"> </w:t>
      </w:r>
      <w:r w:rsidRPr="007946BD" w:rsidR="007946BD">
        <w:rPr>
          <w:sz w:val="20"/>
        </w:rPr>
        <w:t>Applicants state that CBRE Caledon Capital Management Inc. (CBRE Caledon)</w:t>
      </w:r>
      <w:r w:rsidR="006A5435">
        <w:rPr>
          <w:sz w:val="20"/>
        </w:rPr>
        <w:t>,</w:t>
      </w:r>
      <w:r w:rsidRPr="007946BD" w:rsidR="007946BD">
        <w:rPr>
          <w:sz w:val="20"/>
        </w:rPr>
        <w:t xml:space="preserve"> an investment fund manager incorporated in Ontario</w:t>
      </w:r>
      <w:r w:rsidR="00E63C62">
        <w:rPr>
          <w:sz w:val="20"/>
        </w:rPr>
        <w:t xml:space="preserve">, </w:t>
      </w:r>
      <w:r w:rsidRPr="007946BD" w:rsidR="007946BD">
        <w:rPr>
          <w:sz w:val="20"/>
        </w:rPr>
        <w:t>indirectly manages an approximately 12</w:t>
      </w:r>
      <w:r w:rsidR="006A5435">
        <w:rPr>
          <w:sz w:val="20"/>
        </w:rPr>
        <w:t xml:space="preserve"> percent</w:t>
      </w:r>
      <w:r w:rsidRPr="007946BD" w:rsidR="007946BD">
        <w:rPr>
          <w:sz w:val="20"/>
        </w:rPr>
        <w:t xml:space="preserve"> interest in Data Bridge through intervening subsidies.  Specifically, 38</w:t>
      </w:r>
      <w:r w:rsidR="00B36ACB">
        <w:rPr>
          <w:sz w:val="20"/>
        </w:rPr>
        <w:t xml:space="preserve"> percent</w:t>
      </w:r>
      <w:r w:rsidRPr="007946BD" w:rsidR="007946BD">
        <w:rPr>
          <w:sz w:val="20"/>
        </w:rPr>
        <w:t xml:space="preserve"> of the equity interests in Data Bridge are held by DB USDCH</w:t>
      </w:r>
      <w:r w:rsidR="007946BD">
        <w:rPr>
          <w:sz w:val="20"/>
        </w:rPr>
        <w:t xml:space="preserve"> and </w:t>
      </w:r>
      <w:r w:rsidRPr="007946BD" w:rsidR="007946BD">
        <w:rPr>
          <w:sz w:val="20"/>
        </w:rPr>
        <w:t>33</w:t>
      </w:r>
      <w:r w:rsidR="00B36ACB">
        <w:rPr>
          <w:sz w:val="20"/>
        </w:rPr>
        <w:t xml:space="preserve"> percent</w:t>
      </w:r>
      <w:r w:rsidRPr="007946BD" w:rsidR="007946BD">
        <w:rPr>
          <w:sz w:val="20"/>
        </w:rPr>
        <w:t xml:space="preserve"> of the equity interests in DB USDCH are held by Caledon Databank Aggregator, L.P. (CDB Aggregator), a Delaware limited partnership</w:t>
      </w:r>
      <w:r w:rsidR="00702082">
        <w:rPr>
          <w:sz w:val="20"/>
        </w:rPr>
        <w:t xml:space="preserve"> of which</w:t>
      </w:r>
      <w:r w:rsidR="00B36ACB">
        <w:rPr>
          <w:sz w:val="20"/>
        </w:rPr>
        <w:t xml:space="preserve"> no</w:t>
      </w:r>
      <w:r w:rsidRPr="007946BD" w:rsidR="007946BD">
        <w:rPr>
          <w:sz w:val="20"/>
        </w:rPr>
        <w:t xml:space="preserve"> party holds a partnership interest of 10</w:t>
      </w:r>
      <w:r w:rsidR="007946BD">
        <w:rPr>
          <w:sz w:val="20"/>
        </w:rPr>
        <w:t xml:space="preserve"> percent</w:t>
      </w:r>
      <w:r w:rsidRPr="007946BD" w:rsidR="007946BD">
        <w:rPr>
          <w:sz w:val="20"/>
        </w:rPr>
        <w:t xml:space="preserve"> or more</w:t>
      </w:r>
      <w:r w:rsidR="00B36ACB">
        <w:rPr>
          <w:sz w:val="20"/>
        </w:rPr>
        <w:t>.</w:t>
      </w:r>
      <w:r w:rsidRPr="007946BD" w:rsidR="007946BD">
        <w:rPr>
          <w:sz w:val="20"/>
        </w:rPr>
        <w:t xml:space="preserve"> </w:t>
      </w:r>
      <w:r w:rsidR="00702082">
        <w:rPr>
          <w:sz w:val="20"/>
        </w:rPr>
        <w:t xml:space="preserve"> </w:t>
      </w:r>
      <w:r w:rsidRPr="007946BD" w:rsidR="007946BD">
        <w:rPr>
          <w:sz w:val="20"/>
        </w:rPr>
        <w:t>CBRE Caledon manages CDB Aggregator through Caledon Capital Investments Inc.</w:t>
      </w:r>
      <w:r w:rsidR="007946BD">
        <w:rPr>
          <w:sz w:val="20"/>
        </w:rPr>
        <w:t xml:space="preserve">, </w:t>
      </w:r>
      <w:r w:rsidRPr="007946BD" w:rsidR="007946BD">
        <w:rPr>
          <w:sz w:val="20"/>
        </w:rPr>
        <w:t xml:space="preserve">an Ontario corporation, which is the General Partner of CDB Aggregator. </w:t>
      </w:r>
      <w:r w:rsidR="00E83E44">
        <w:rPr>
          <w:sz w:val="20"/>
        </w:rPr>
        <w:t xml:space="preserve"> </w:t>
      </w:r>
      <w:r w:rsidR="007946BD">
        <w:rPr>
          <w:sz w:val="20"/>
        </w:rPr>
        <w:t xml:space="preserve">Applicants further state that </w:t>
      </w:r>
      <w:r w:rsidRPr="007946BD" w:rsidR="007946BD">
        <w:rPr>
          <w:sz w:val="20"/>
        </w:rPr>
        <w:t xml:space="preserve">the following are the directors and board members of CBRE Caledon, each citizens of Canada:  </w:t>
      </w:r>
      <w:r w:rsidRPr="000B3681" w:rsidR="00172B41">
        <w:rPr>
          <w:sz w:val="20"/>
        </w:rPr>
        <w:t>David Rogers</w:t>
      </w:r>
      <w:r w:rsidR="002F5943">
        <w:rPr>
          <w:sz w:val="20"/>
        </w:rPr>
        <w:t>,</w:t>
      </w:r>
      <w:r w:rsidRPr="000B3681" w:rsidR="00172B41">
        <w:rPr>
          <w:sz w:val="20"/>
        </w:rPr>
        <w:t xml:space="preserve"> Robert Chen</w:t>
      </w:r>
      <w:r w:rsidR="002F5943">
        <w:rPr>
          <w:sz w:val="20"/>
        </w:rPr>
        <w:t>,</w:t>
      </w:r>
      <w:r w:rsidRPr="000B3681" w:rsidR="00172B41">
        <w:rPr>
          <w:sz w:val="20"/>
        </w:rPr>
        <w:t xml:space="preserve"> Dennis Pellarin</w:t>
      </w:r>
      <w:r w:rsidR="00B36ACB">
        <w:rPr>
          <w:sz w:val="20"/>
        </w:rPr>
        <w:t>,</w:t>
      </w:r>
      <w:r w:rsidRPr="000B3681" w:rsidR="00172B41">
        <w:rPr>
          <w:sz w:val="20"/>
        </w:rPr>
        <w:t xml:space="preserve"> Martin Day</w:t>
      </w:r>
      <w:r w:rsidR="00B36ACB">
        <w:rPr>
          <w:sz w:val="20"/>
        </w:rPr>
        <w:t>,</w:t>
      </w:r>
      <w:r w:rsidRPr="000B3681" w:rsidR="00172B41">
        <w:rPr>
          <w:sz w:val="20"/>
        </w:rPr>
        <w:t xml:space="preserve"> Stephen Dowd</w:t>
      </w:r>
      <w:r w:rsidR="00DF28D8">
        <w:rPr>
          <w:sz w:val="20"/>
        </w:rPr>
        <w:t xml:space="preserve"> (</w:t>
      </w:r>
      <w:r w:rsidRPr="000B3681" w:rsidR="00172B41">
        <w:rPr>
          <w:sz w:val="20"/>
        </w:rPr>
        <w:t>Canadian and U.S. citizen)</w:t>
      </w:r>
      <w:r w:rsidR="00B36ACB">
        <w:rPr>
          <w:sz w:val="20"/>
        </w:rPr>
        <w:t>,</w:t>
      </w:r>
      <w:r w:rsidRPr="000B3681" w:rsidR="00172B41">
        <w:rPr>
          <w:sz w:val="20"/>
        </w:rPr>
        <w:t xml:space="preserve"> Asif Hussain</w:t>
      </w:r>
      <w:r w:rsidR="00B36ACB">
        <w:rPr>
          <w:sz w:val="20"/>
        </w:rPr>
        <w:t>,</w:t>
      </w:r>
      <w:r w:rsidRPr="000B3681" w:rsidR="00172B41">
        <w:rPr>
          <w:sz w:val="20"/>
        </w:rPr>
        <w:t xml:space="preserve"> </w:t>
      </w:r>
      <w:r w:rsidR="00460D33">
        <w:rPr>
          <w:sz w:val="20"/>
        </w:rPr>
        <w:t xml:space="preserve">Justin </w:t>
      </w:r>
      <w:r w:rsidR="00DF28D8">
        <w:rPr>
          <w:sz w:val="20"/>
        </w:rPr>
        <w:t>Kusinskis</w:t>
      </w:r>
      <w:r w:rsidR="00B36ACB">
        <w:rPr>
          <w:sz w:val="20"/>
        </w:rPr>
        <w:t>,</w:t>
      </w:r>
      <w:r w:rsidR="00DF28D8">
        <w:rPr>
          <w:sz w:val="20"/>
        </w:rPr>
        <w:t xml:space="preserve"> </w:t>
      </w:r>
      <w:r w:rsidRPr="000B3681" w:rsidR="00172B41">
        <w:rPr>
          <w:sz w:val="20"/>
        </w:rPr>
        <w:t>Jeff Deblock</w:t>
      </w:r>
      <w:r w:rsidR="00B36ACB">
        <w:rPr>
          <w:sz w:val="20"/>
        </w:rPr>
        <w:t>,</w:t>
      </w:r>
      <w:r w:rsidRPr="000B3681" w:rsidR="00172B41">
        <w:rPr>
          <w:sz w:val="20"/>
        </w:rPr>
        <w:t xml:space="preserve"> Andreas Koettering</w:t>
      </w:r>
      <w:r w:rsidR="00B36ACB">
        <w:rPr>
          <w:sz w:val="20"/>
        </w:rPr>
        <w:t>,</w:t>
      </w:r>
      <w:r w:rsidRPr="000B3681" w:rsidR="00172B41">
        <w:rPr>
          <w:sz w:val="20"/>
        </w:rPr>
        <w:t xml:space="preserve"> and Robert Shaw.</w:t>
      </w:r>
    </w:p>
  </w:footnote>
  <w:footnote w:id="9">
    <w:p w:rsidR="00BD27F5">
      <w:pPr>
        <w:pStyle w:val="FootnoteText"/>
      </w:pPr>
      <w:r>
        <w:rPr>
          <w:rStyle w:val="FootnoteReference"/>
        </w:rPr>
        <w:footnoteRef/>
      </w:r>
      <w:r>
        <w:t xml:space="preserve"> </w:t>
      </w:r>
      <w:r w:rsidRPr="00C42F8D">
        <w:rPr>
          <w:sz w:val="20"/>
        </w:rPr>
        <w:t>47 C</w:t>
      </w:r>
      <w:r w:rsidRPr="00C42F8D" w:rsidR="00C42F8D">
        <w:rPr>
          <w:sz w:val="20"/>
        </w:rPr>
        <w:t>FR § 63.03(b)(1)(ii).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2E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2E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2E3A">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DA2E3A">
                <w:pPr>
                  <w:rPr>
                    <w:rFonts w:ascii="Arial" w:hAnsi="Arial"/>
                    <w:b/>
                  </w:rPr>
                </w:pPr>
                <w:r>
                  <w:rPr>
                    <w:rFonts w:ascii="Arial" w:hAnsi="Arial"/>
                    <w:b/>
                  </w:rPr>
                  <w:t>Federal Communications Commission</w:t>
                </w:r>
              </w:p>
              <w:p w:rsidR="00DA2E3A">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A2E3A">
                <w:pPr>
                  <w:rPr>
                    <w:rFonts w:ascii="Arial" w:hAnsi="Arial"/>
                    <w:sz w:val="24"/>
                  </w:rPr>
                </w:pPr>
                <w:r>
                  <w:rPr>
                    <w:rFonts w:ascii="Arial" w:hAnsi="Arial"/>
                    <w:b/>
                  </w:rPr>
                  <w:t>Washington, D.C. 20554</w:t>
                </w:r>
              </w:p>
            </w:txbxContent>
          </v:textbox>
        </v:shape>
      </w:pict>
    </w:r>
    <w:r>
      <w:rPr>
        <w:rFonts w:ascii="News Gothic MT" w:hAnsi="News Gothic MT"/>
        <w:b/>
        <w:kern w:val="28"/>
        <w:sz w:val="96"/>
      </w:rPr>
      <w:t>PUBLIC NOTICE</w:t>
    </w:r>
  </w:p>
  <w:p w:rsidR="00DA2E3A">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DA2E3A">
                <w:pPr>
                  <w:spacing w:before="40"/>
                  <w:jc w:val="right"/>
                  <w:rPr>
                    <w:rFonts w:ascii="Arial" w:hAnsi="Arial"/>
                    <w:b/>
                    <w:sz w:val="16"/>
                  </w:rPr>
                </w:pPr>
                <w:r>
                  <w:rPr>
                    <w:rFonts w:ascii="Arial" w:hAnsi="Arial"/>
                    <w:b/>
                    <w:sz w:val="16"/>
                  </w:rPr>
                  <w:t>News Media Information 202 / 418-0500</w:t>
                </w:r>
              </w:p>
              <w:p w:rsidR="00DA2E3A">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DA2E3A">
                <w:pPr>
                  <w:jc w:val="right"/>
                  <w:rPr>
                    <w:rFonts w:ascii="Arial" w:hAnsi="Arial"/>
                    <w:b/>
                    <w:sz w:val="16"/>
                  </w:rPr>
                </w:pPr>
                <w:r>
                  <w:rPr>
                    <w:rFonts w:ascii="Arial" w:hAnsi="Arial"/>
                    <w:b/>
                    <w:sz w:val="16"/>
                  </w:rPr>
                  <w:t>TTY: 1-888-835-5322</w:t>
                </w:r>
              </w:p>
              <w:p w:rsidR="00DA2E3A">
                <w:pPr>
                  <w:jc w:val="right"/>
                </w:pPr>
              </w:p>
            </w:txbxContent>
          </v:textbox>
        </v:shape>
      </w:pict>
    </w:r>
  </w:p>
  <w:p w:rsidR="00DA2E3A">
    <w:pPr>
      <w:pStyle w:val="Header"/>
      <w:tabs>
        <w:tab w:val="left" w:pos="1080"/>
        <w:tab w:val="clear" w:pos="4320"/>
        <w:tab w:val="clear" w:pos="8640"/>
      </w:tabs>
      <w:ind w:left="720"/>
      <w:rPr>
        <w:rFonts w:ascii="Arial" w:hAnsi="Arial"/>
        <w:b/>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2E3A">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9"/>
  </w:num>
  <w:num w:numId="2">
    <w:abstractNumId w:val="8"/>
  </w:num>
  <w:num w:numId="3">
    <w:abstractNumId w:val="10"/>
  </w:num>
  <w:num w:numId="4">
    <w:abstractNumId w:val="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5"/>
  </w:num>
  <w:num w:numId="13">
    <w:abstractNumId w:val="6"/>
  </w:num>
  <w:num w:numId="14">
    <w:abstractNumId w:val="11"/>
  </w:num>
  <w:num w:numId="15">
    <w:abstractNumId w:val="0"/>
  </w:num>
  <w:num w:numId="16">
    <w:abstractNumId w:val="14"/>
  </w:num>
  <w:num w:numId="17">
    <w:abstractNumId w:val="4"/>
  </w:num>
  <w:num w:numId="18">
    <w:abstractNumId w:val="12"/>
  </w:num>
  <w:num w:numId="19">
    <w:abstractNumId w:val="3"/>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31"/>
    <w:rsid w:val="00093B52"/>
    <w:rsid w:val="00097148"/>
    <w:rsid w:val="00097A4D"/>
    <w:rsid w:val="000A759A"/>
    <w:rsid w:val="000B3681"/>
    <w:rsid w:val="000C62AA"/>
    <w:rsid w:val="00103418"/>
    <w:rsid w:val="001047F3"/>
    <w:rsid w:val="0011661D"/>
    <w:rsid w:val="00147C2A"/>
    <w:rsid w:val="00165A52"/>
    <w:rsid w:val="00172B41"/>
    <w:rsid w:val="00183BC5"/>
    <w:rsid w:val="00194902"/>
    <w:rsid w:val="001E50F1"/>
    <w:rsid w:val="001E74A3"/>
    <w:rsid w:val="001E7956"/>
    <w:rsid w:val="001F0A47"/>
    <w:rsid w:val="002871DE"/>
    <w:rsid w:val="002933CD"/>
    <w:rsid w:val="002963AA"/>
    <w:rsid w:val="002A1DC0"/>
    <w:rsid w:val="002B58B0"/>
    <w:rsid w:val="002D0FD8"/>
    <w:rsid w:val="002E4055"/>
    <w:rsid w:val="002F5943"/>
    <w:rsid w:val="002F7036"/>
    <w:rsid w:val="00307CA1"/>
    <w:rsid w:val="00316C41"/>
    <w:rsid w:val="003270EC"/>
    <w:rsid w:val="0034351B"/>
    <w:rsid w:val="003C24CF"/>
    <w:rsid w:val="003E10F7"/>
    <w:rsid w:val="003F032B"/>
    <w:rsid w:val="003F0945"/>
    <w:rsid w:val="003F14BE"/>
    <w:rsid w:val="00437B42"/>
    <w:rsid w:val="00460D33"/>
    <w:rsid w:val="00461238"/>
    <w:rsid w:val="00495890"/>
    <w:rsid w:val="004B48A8"/>
    <w:rsid w:val="005161A7"/>
    <w:rsid w:val="0054029C"/>
    <w:rsid w:val="00543F66"/>
    <w:rsid w:val="005535C2"/>
    <w:rsid w:val="005A4AED"/>
    <w:rsid w:val="005D68FF"/>
    <w:rsid w:val="00602224"/>
    <w:rsid w:val="006222F4"/>
    <w:rsid w:val="00641FE6"/>
    <w:rsid w:val="00682061"/>
    <w:rsid w:val="00690B96"/>
    <w:rsid w:val="0069213F"/>
    <w:rsid w:val="006A5435"/>
    <w:rsid w:val="006B29E2"/>
    <w:rsid w:val="006B3E1D"/>
    <w:rsid w:val="006B7F06"/>
    <w:rsid w:val="006C01EC"/>
    <w:rsid w:val="006F2A26"/>
    <w:rsid w:val="00702082"/>
    <w:rsid w:val="00702BB4"/>
    <w:rsid w:val="00713686"/>
    <w:rsid w:val="00721B77"/>
    <w:rsid w:val="007376B8"/>
    <w:rsid w:val="007946BD"/>
    <w:rsid w:val="007C0B1D"/>
    <w:rsid w:val="007E376D"/>
    <w:rsid w:val="007E3B0B"/>
    <w:rsid w:val="007E4692"/>
    <w:rsid w:val="007F43F2"/>
    <w:rsid w:val="008252D0"/>
    <w:rsid w:val="00834A43"/>
    <w:rsid w:val="00834C67"/>
    <w:rsid w:val="008405B5"/>
    <w:rsid w:val="008753F1"/>
    <w:rsid w:val="00876EED"/>
    <w:rsid w:val="00886CE7"/>
    <w:rsid w:val="008B35CB"/>
    <w:rsid w:val="008C49B6"/>
    <w:rsid w:val="008C6710"/>
    <w:rsid w:val="008D6F7D"/>
    <w:rsid w:val="008F000C"/>
    <w:rsid w:val="008F4459"/>
    <w:rsid w:val="00933281"/>
    <w:rsid w:val="00950931"/>
    <w:rsid w:val="00951A12"/>
    <w:rsid w:val="00994854"/>
    <w:rsid w:val="009C5AE4"/>
    <w:rsid w:val="009C7941"/>
    <w:rsid w:val="009F0298"/>
    <w:rsid w:val="00A05429"/>
    <w:rsid w:val="00A13990"/>
    <w:rsid w:val="00A15CA3"/>
    <w:rsid w:val="00A335C9"/>
    <w:rsid w:val="00A52817"/>
    <w:rsid w:val="00A535AD"/>
    <w:rsid w:val="00A6163F"/>
    <w:rsid w:val="00A63B7E"/>
    <w:rsid w:val="00A7086E"/>
    <w:rsid w:val="00A911FD"/>
    <w:rsid w:val="00AF7FCF"/>
    <w:rsid w:val="00B33855"/>
    <w:rsid w:val="00B344DC"/>
    <w:rsid w:val="00B36ACB"/>
    <w:rsid w:val="00B5471E"/>
    <w:rsid w:val="00B56871"/>
    <w:rsid w:val="00B77F61"/>
    <w:rsid w:val="00B83D74"/>
    <w:rsid w:val="00BD27F5"/>
    <w:rsid w:val="00BE10F2"/>
    <w:rsid w:val="00C265C5"/>
    <w:rsid w:val="00C42F8D"/>
    <w:rsid w:val="00C50E67"/>
    <w:rsid w:val="00C51170"/>
    <w:rsid w:val="00C80898"/>
    <w:rsid w:val="00CC4A75"/>
    <w:rsid w:val="00CE63C2"/>
    <w:rsid w:val="00D14F37"/>
    <w:rsid w:val="00D20C0F"/>
    <w:rsid w:val="00D40979"/>
    <w:rsid w:val="00D6228D"/>
    <w:rsid w:val="00D91A96"/>
    <w:rsid w:val="00DA2E3A"/>
    <w:rsid w:val="00DB47DB"/>
    <w:rsid w:val="00DC051F"/>
    <w:rsid w:val="00DE1B45"/>
    <w:rsid w:val="00DF28D8"/>
    <w:rsid w:val="00DF74C2"/>
    <w:rsid w:val="00E01797"/>
    <w:rsid w:val="00E20623"/>
    <w:rsid w:val="00E211C7"/>
    <w:rsid w:val="00E4782E"/>
    <w:rsid w:val="00E52707"/>
    <w:rsid w:val="00E63C62"/>
    <w:rsid w:val="00E77362"/>
    <w:rsid w:val="00E83E44"/>
    <w:rsid w:val="00E85877"/>
    <w:rsid w:val="00EE64BF"/>
    <w:rsid w:val="00F065DA"/>
    <w:rsid w:val="00F07583"/>
    <w:rsid w:val="00F12B53"/>
    <w:rsid w:val="00F15F17"/>
    <w:rsid w:val="00F35233"/>
    <w:rsid w:val="00F84A4E"/>
    <w:rsid w:val="00F96355"/>
    <w:rsid w:val="00FA426A"/>
    <w:rsid w:val="00FB7975"/>
    <w:rsid w:val="00FF1E77"/>
    <w:rsid w:val="00FF5C1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7A1"/>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
    <w:name w:val="Unresolved Mention"/>
    <w:uiPriority w:val="99"/>
    <w:semiHidden/>
    <w:unhideWhenUsed/>
    <w:rPr>
      <w:color w:val="808080"/>
      <w:shd w:val="clear" w:color="auto" w:fill="E6E6E6"/>
    </w:rPr>
  </w:style>
  <w:style w:type="paragraph" w:styleId="PlainText">
    <w:name w:val="Plain Text"/>
    <w:basedOn w:val="Normal"/>
    <w:link w:val="PlainTextChar"/>
    <w:semiHidden/>
    <w:unhideWhenUsed/>
    <w:rsid w:val="00C33296"/>
    <w:rPr>
      <w:rFonts w:ascii="Courier New" w:hAnsi="Courier New" w:cs="Courier New"/>
      <w:sz w:val="20"/>
    </w:rPr>
  </w:style>
  <w:style w:type="character" w:customStyle="1" w:styleId="PlainTextChar">
    <w:name w:val="Plain Text Char"/>
    <w:link w:val="PlainText"/>
    <w:semiHidden/>
    <w:rsid w:val="00C3329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tracey.wilson@fcc.gov" TargetMode="External" /><Relationship Id="rId12" Type="http://schemas.openxmlformats.org/officeDocument/2006/relationships/hyperlink" Target="mailto:gregory.kwan@fcc.gov" TargetMode="External" /><Relationship Id="rId13" Type="http://schemas.openxmlformats.org/officeDocument/2006/relationships/hyperlink" Target="mailto:david.krech@fcc.gov" TargetMode="External" /><Relationship Id="rId14" Type="http://schemas.openxmlformats.org/officeDocument/2006/relationships/hyperlink" Target="mailto:sumita.mukhoty@fcc.gov" TargetMode="External" /><Relationship Id="rId15" Type="http://schemas.openxmlformats.org/officeDocument/2006/relationships/hyperlink" Target="mailto:jim.bird@fcc.gov" TargetMode="External" /><Relationship Id="rId16" Type="http://schemas.openxmlformats.org/officeDocument/2006/relationships/footer" Target="footer4.xml" /><Relationship Id="rId17" Type="http://schemas.openxmlformats.org/officeDocument/2006/relationships/header" Target="header4.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