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154175">
        <w:tblPrEx>
          <w:tblW w:w="0" w:type="auto"/>
          <w:tblLayout w:type="fixed"/>
          <w:tblLook w:val="04A0"/>
        </w:tblPrEx>
        <w:trPr>
          <w:trHeight w:val="281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Tele</w:t>
            </w:r>
            <w:r w:rsidR="006E3575">
              <w:rPr>
                <w:szCs w:val="22"/>
              </w:rPr>
              <w:t xml:space="preserve"> </w:t>
            </w:r>
            <w:r>
              <w:rPr>
                <w:szCs w:val="22"/>
              </w:rPr>
              <w:t>Circuit Network Corp</w:t>
            </w:r>
            <w:r w:rsidR="006E3575">
              <w:rPr>
                <w:szCs w:val="22"/>
              </w:rPr>
              <w:t>oration</w:t>
            </w:r>
          </w:p>
          <w:p w:rsidR="00543CA2">
            <w:pPr>
              <w:tabs>
                <w:tab w:val="center" w:pos="4680"/>
              </w:tabs>
              <w:suppressAutoHyphens/>
              <w:rPr>
                <w:szCs w:val="22"/>
              </w:rPr>
            </w:pPr>
          </w:p>
          <w:p w:rsidR="00543CA2">
            <w:pPr>
              <w:pStyle w:val="TOAHeading"/>
              <w:tabs>
                <w:tab w:val="center" w:pos="4680"/>
              </w:tabs>
              <w:rPr>
                <w:szCs w:val="22"/>
              </w:rPr>
            </w:pPr>
            <w:r>
              <w:rPr>
                <w:szCs w:val="22"/>
              </w:rPr>
              <w:t>Complaint</w:t>
            </w:r>
            <w:r w:rsidR="006E3575">
              <w:rPr>
                <w:szCs w:val="22"/>
              </w:rPr>
              <w:t>s</w:t>
            </w:r>
            <w:r>
              <w:rPr>
                <w:szCs w:val="22"/>
              </w:rPr>
              <w:t xml:space="preserve">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154175">
            <w:pPr>
              <w:tabs>
                <w:tab w:val="center" w:pos="4680"/>
              </w:tabs>
              <w:suppressAutoHyphens/>
              <w:rPr>
                <w:b/>
                <w:spacing w:val="-2"/>
                <w:szCs w:val="22"/>
              </w:rPr>
            </w:pPr>
            <w:r w:rsidRPr="00154175">
              <w:rPr>
                <w:b/>
                <w:spacing w:val="-2"/>
                <w:szCs w:val="22"/>
              </w:rPr>
              <w:t>)</w:t>
            </w:r>
          </w:p>
          <w:p w:rsidR="00154175" w:rsidRPr="00154175">
            <w:pPr>
              <w:tabs>
                <w:tab w:val="center" w:pos="4680"/>
              </w:tabs>
              <w:suppressAutoHyphens/>
              <w:rPr>
                <w:b/>
                <w:spacing w:val="-2"/>
                <w:szCs w:val="22"/>
              </w:rPr>
            </w:pPr>
            <w:r w:rsidRPr="00154175">
              <w:rPr>
                <w:b/>
                <w:spacing w:val="-2"/>
                <w:szCs w:val="22"/>
              </w:rPr>
              <w:t>)</w:t>
            </w:r>
          </w:p>
          <w:p w:rsidR="00154175">
            <w:pPr>
              <w:tabs>
                <w:tab w:val="center" w:pos="4680"/>
              </w:tabs>
              <w:suppressAutoHyphens/>
              <w:rPr>
                <w:spacing w:val="-2"/>
                <w:szCs w:val="22"/>
              </w:rPr>
            </w:pPr>
            <w:r w:rsidRPr="00154175">
              <w:rPr>
                <w:b/>
                <w:spacing w:val="-2"/>
                <w:szCs w:val="22"/>
              </w:rPr>
              <w:t>)</w:t>
            </w: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pPr>
              <w:pStyle w:val="TOAHeading"/>
              <w:rPr>
                <w:szCs w:val="22"/>
              </w:rPr>
            </w:pPr>
            <w:r>
              <w:rPr>
                <w:szCs w:val="22"/>
              </w:rPr>
              <w:t>Complaint No</w:t>
            </w:r>
            <w:r>
              <w:rPr>
                <w:szCs w:val="22"/>
              </w:rPr>
              <w:t>s</w:t>
            </w:r>
            <w:r>
              <w:rPr>
                <w:szCs w:val="22"/>
              </w:rPr>
              <w:t xml:space="preserve">. </w:t>
            </w:r>
            <w:r w:rsidR="00240D4F">
              <w:rPr>
                <w:szCs w:val="22"/>
              </w:rPr>
              <w:t xml:space="preserve"> </w:t>
            </w:r>
            <w:r>
              <w:rPr>
                <w:szCs w:val="22"/>
              </w:rPr>
              <w:t>723476</w:t>
            </w:r>
          </w:p>
          <w:p w:rsidR="006E3575">
            <w:pPr>
              <w:pStyle w:val="TOAHeading"/>
              <w:rPr>
                <w:szCs w:val="22"/>
              </w:rPr>
            </w:pPr>
            <w:r>
              <w:rPr>
                <w:szCs w:val="22"/>
              </w:rPr>
              <w:t xml:space="preserve">                           765834</w:t>
            </w:r>
          </w:p>
          <w:p w:rsidR="006E3575" w:rsidRPr="006E3575" w:rsidP="006E3575">
            <w:r>
              <w:t xml:space="preserve">                           829907</w:t>
            </w:r>
          </w:p>
          <w:p w:rsidR="006E3575" w:rsidRPr="006E3575" w:rsidP="006E3575">
            <w:r>
              <w:t xml:space="preserve">                           834364</w:t>
            </w:r>
          </w:p>
          <w:p w:rsidR="006E3575">
            <w:pPr>
              <w:pStyle w:val="TOAHeading"/>
              <w:rPr>
                <w:szCs w:val="22"/>
              </w:rPr>
            </w:pPr>
            <w:r>
              <w:rPr>
                <w:szCs w:val="22"/>
              </w:rPr>
              <w:t xml:space="preserve">                           875889</w:t>
            </w:r>
          </w:p>
          <w:p w:rsidR="006E3575">
            <w:pPr>
              <w:pStyle w:val="TOAHeading"/>
              <w:rPr>
                <w:szCs w:val="22"/>
              </w:rPr>
            </w:pPr>
            <w:r>
              <w:rPr>
                <w:szCs w:val="22"/>
              </w:rPr>
              <w:t xml:space="preserve">                           1017739</w:t>
            </w:r>
            <w:r w:rsidR="00A771A0">
              <w:rPr>
                <w:szCs w:val="22"/>
              </w:rPr>
              <w:t>/112</w:t>
            </w:r>
            <w:r w:rsidR="00E51455">
              <w:rPr>
                <w:szCs w:val="22"/>
              </w:rPr>
              <w:t>4563</w:t>
            </w:r>
          </w:p>
          <w:p w:rsidR="006E3575" w:rsidP="006E3575">
            <w:r>
              <w:t xml:space="preserve">                           2314960</w:t>
            </w:r>
          </w:p>
          <w:p w:rsidR="006E3575" w:rsidP="006E3575">
            <w:r>
              <w:t xml:space="preserve">                           2348203</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154175">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9627F9">
        <w:rPr>
          <w:b/>
          <w:spacing w:val="-2"/>
          <w:szCs w:val="22"/>
        </w:rPr>
        <w:t>April 19</w:t>
      </w:r>
      <w:r>
        <w:rPr>
          <w:b/>
          <w:spacing w:val="-2"/>
          <w:szCs w:val="22"/>
        </w:rPr>
        <w:t>, 201</w:t>
      </w:r>
      <w:r w:rsidR="006E3575">
        <w:rPr>
          <w:b/>
          <w:spacing w:val="-2"/>
          <w:szCs w:val="22"/>
        </w:rPr>
        <w:t>9</w:t>
      </w:r>
      <w:r>
        <w:rPr>
          <w:b/>
          <w:spacing w:val="-2"/>
          <w:szCs w:val="22"/>
        </w:rPr>
        <w:tab/>
      </w:r>
      <w:r w:rsidR="006E3575">
        <w:rPr>
          <w:b/>
          <w:spacing w:val="-2"/>
          <w:szCs w:val="22"/>
        </w:rPr>
        <w:tab/>
      </w:r>
      <w:r>
        <w:rPr>
          <w:b/>
          <w:spacing w:val="-2"/>
          <w:szCs w:val="22"/>
        </w:rPr>
        <w:t xml:space="preserve">Released: </w:t>
      </w:r>
      <w:r w:rsidR="009627F9">
        <w:rPr>
          <w:b/>
          <w:spacing w:val="-2"/>
          <w:szCs w:val="22"/>
        </w:rPr>
        <w:t>April 19</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FD581F">
        <w:rPr>
          <w:szCs w:val="22"/>
        </w:rPr>
        <w:t>eight</w:t>
      </w:r>
      <w:r>
        <w:rPr>
          <w:szCs w:val="22"/>
        </w:rPr>
        <w:t xml:space="preserve"> complaint</w:t>
      </w:r>
      <w:r w:rsidR="00240D4F">
        <w:rPr>
          <w:szCs w:val="22"/>
        </w:rPr>
        <w:t>s</w:t>
      </w:r>
      <w:r>
        <w:rPr>
          <w:rStyle w:val="FootnoteReference"/>
          <w:szCs w:val="22"/>
        </w:rPr>
        <w:footnoteReference w:id="3"/>
      </w:r>
      <w:r>
        <w:rPr>
          <w:szCs w:val="22"/>
        </w:rPr>
        <w:t xml:space="preserve"> alleging that Tele</w:t>
      </w:r>
      <w:r w:rsidR="00EA0FE3">
        <w:rPr>
          <w:szCs w:val="22"/>
        </w:rPr>
        <w:t xml:space="preserve"> </w:t>
      </w:r>
      <w:r>
        <w:rPr>
          <w:szCs w:val="22"/>
        </w:rPr>
        <w:t>Circuit Network Corp</w:t>
      </w:r>
      <w:r w:rsidR="00EA0FE3">
        <w:rPr>
          <w:szCs w:val="22"/>
        </w:rPr>
        <w:t>oration</w:t>
      </w:r>
      <w:r>
        <w:rPr>
          <w:szCs w:val="22"/>
        </w:rPr>
        <w:t xml:space="preserve"> (Tele</w:t>
      </w:r>
      <w:r w:rsidR="00EA0FE3">
        <w:rPr>
          <w:szCs w:val="22"/>
        </w:rPr>
        <w:t xml:space="preserve"> </w:t>
      </w:r>
      <w:r>
        <w:rPr>
          <w:szCs w:val="22"/>
        </w:rPr>
        <w:t>Circuit) changed Complainants</w:t>
      </w:r>
      <w:r w:rsidR="00EA0FE3">
        <w:rPr>
          <w:szCs w:val="22"/>
        </w:rPr>
        <w:t>’</w:t>
      </w:r>
      <w:r>
        <w:rPr>
          <w:szCs w:val="22"/>
        </w:rPr>
        <w:t xml:space="preserve"> telecommunications service provider</w:t>
      </w:r>
      <w:r w:rsidR="00EA0FE3">
        <w:rPr>
          <w:szCs w:val="22"/>
        </w:rPr>
        <w:t>s</w:t>
      </w:r>
      <w:r>
        <w:rPr>
          <w:szCs w:val="22"/>
        </w:rPr>
        <w:t xml:space="preserve"> without obtaining authorization and verification from Complainant</w:t>
      </w:r>
      <w:r w:rsidR="00EA0FE3">
        <w:rPr>
          <w:szCs w:val="22"/>
        </w:rPr>
        <w:t>s</w:t>
      </w:r>
      <w:r>
        <w:rPr>
          <w:szCs w:val="22"/>
        </w:rPr>
        <w:t xml:space="preserve">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 Tele</w:t>
      </w:r>
      <w:r w:rsidR="00EA0FE3">
        <w:rPr>
          <w:szCs w:val="22"/>
        </w:rPr>
        <w:t xml:space="preserve"> </w:t>
      </w:r>
      <w:r>
        <w:rPr>
          <w:szCs w:val="22"/>
        </w:rPr>
        <w:t>Circuit’s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E11822">
        <w:rPr>
          <w:szCs w:val="22"/>
        </w:rPr>
        <w:t>s’</w:t>
      </w:r>
      <w:r>
        <w:rPr>
          <w:szCs w:val="22"/>
        </w:rPr>
        <w:t xml:space="preserve"> complaint</w:t>
      </w:r>
      <w:r w:rsidR="00E11822">
        <w:rPr>
          <w:szCs w:val="22"/>
        </w:rPr>
        <w:t>s</w:t>
      </w:r>
      <w:r>
        <w:rPr>
          <w:szCs w:val="22"/>
        </w:rPr>
        <w: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Complainants’</w:t>
      </w:r>
      <w:r w:rsidRPr="00142D97">
        <w:t xml:space="preserve"> complaint</w:t>
      </w:r>
      <w:r>
        <w:t>s</w:t>
      </w:r>
      <w:r w:rsidRPr="00142D97">
        <w:t xml:space="preserve"> alleging that Complainant</w:t>
      </w:r>
      <w:r>
        <w:t>s’</w:t>
      </w:r>
      <w:r w:rsidRPr="00142D97">
        <w:t xml:space="preserve"> tele</w:t>
      </w:r>
      <w:r>
        <w:t>communications service providers</w:t>
      </w:r>
      <w:r w:rsidRPr="00142D97">
        <w:t xml:space="preserve"> had b</w:t>
      </w:r>
      <w:r>
        <w:t>een changed without Complainants’</w:t>
      </w:r>
      <w:r w:rsidRPr="00142D97">
        <w:t xml:space="preserve"> authorization.</w:t>
      </w:r>
      <w:r>
        <w:rPr>
          <w:rStyle w:val="FootnoteReference"/>
          <w:szCs w:val="22"/>
        </w:rPr>
        <w:footnoteReference w:id="9"/>
      </w:r>
      <w:r w:rsidRPr="00142D97">
        <w:t xml:space="preserve">  Pursuant to Sections 1.719</w:t>
      </w:r>
      <w:r>
        <w:t xml:space="preserve"> </w:t>
      </w:r>
      <w:r w:rsidRPr="00142D97">
        <w:t xml:space="preserve">and 64.1150 of our rules, we notified </w:t>
      </w:r>
      <w:r>
        <w:t>Tele Circuit of the complaints</w:t>
      </w:r>
      <w:r w:rsidRPr="00142D97">
        <w:t>.</w:t>
      </w:r>
      <w:r>
        <w:rPr>
          <w:rStyle w:val="FootnoteReference"/>
        </w:rPr>
        <w:footnoteReference w:id="10"/>
      </w:r>
      <w:r w:rsidRPr="00142D97">
        <w:t xml:space="preserve">  </w:t>
      </w:r>
      <w:r>
        <w:t>Tele Circuit responded to the complaints, stating that it</w:t>
      </w:r>
      <w:r w:rsidR="00154175">
        <w:t xml:space="preserve"> </w:t>
      </w:r>
      <w:r>
        <w:t>obtained authorization from the Complainants through third party verification (TPV).</w:t>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1A3542">
        <w:rPr>
          <w:szCs w:val="22"/>
        </w:rPr>
        <w:t>each of the</w:t>
      </w:r>
      <w:r w:rsidR="00154175">
        <w:rPr>
          <w:szCs w:val="22"/>
        </w:rPr>
        <w:t xml:space="preserve"> eight</w:t>
      </w:r>
      <w:r>
        <w:rPr>
          <w:szCs w:val="22"/>
        </w:rPr>
        <w:t xml:space="preserve"> TPV</w:t>
      </w:r>
      <w:r w:rsidR="00E11822">
        <w:rPr>
          <w:szCs w:val="22"/>
        </w:rPr>
        <w:t>s</w:t>
      </w:r>
      <w:r>
        <w:rPr>
          <w:szCs w:val="22"/>
        </w:rPr>
        <w:t xml:space="preserve"> at issue in th</w:t>
      </w:r>
      <w:r w:rsidR="00E11822">
        <w:rPr>
          <w:szCs w:val="22"/>
        </w:rPr>
        <w:t>ese</w:t>
      </w:r>
      <w:r>
        <w:rPr>
          <w:szCs w:val="22"/>
        </w:rPr>
        <w:t xml:space="preserve"> case</w:t>
      </w:r>
      <w:r w:rsidR="00E11822">
        <w:rPr>
          <w:szCs w:val="22"/>
        </w:rPr>
        <w:t>s</w:t>
      </w:r>
      <w:r>
        <w:rPr>
          <w:szCs w:val="22"/>
        </w:rPr>
        <w:t xml:space="preserve">, </w:t>
      </w:r>
      <w:r w:rsidR="00154175">
        <w:rPr>
          <w:szCs w:val="22"/>
        </w:rPr>
        <w:t>Tele Circuit’s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he/she is </w:t>
      </w:r>
      <w:r>
        <w:rPr>
          <w:szCs w:val="22"/>
        </w:rPr>
        <w:t>authorized to make changes</w:t>
      </w:r>
      <w:r w:rsidR="00562BA0">
        <w:rPr>
          <w:szCs w:val="22"/>
        </w:rPr>
        <w:t xml:space="preserve"> </w:t>
      </w:r>
      <w:r>
        <w:rPr>
          <w:szCs w:val="22"/>
        </w:rPr>
        <w:t xml:space="preserve">to the </w:t>
      </w:r>
      <w:r w:rsidR="001A3542">
        <w:rPr>
          <w:szCs w:val="22"/>
        </w:rPr>
        <w:t>“</w:t>
      </w:r>
      <w:r>
        <w:rPr>
          <w:szCs w:val="22"/>
        </w:rPr>
        <w:t>telephone account</w:t>
      </w:r>
      <w:r w:rsidR="00562BA0">
        <w:rPr>
          <w:szCs w:val="22"/>
        </w:rPr>
        <w:t>,</w:t>
      </w:r>
      <w:r w:rsidR="001A3542">
        <w:rPr>
          <w:szCs w:val="22"/>
        </w:rPr>
        <w:t>”</w:t>
      </w:r>
      <w:r w:rsidR="00562BA0">
        <w:rPr>
          <w:szCs w:val="22"/>
        </w:rPr>
        <w:t xml:space="preserve"> </w:t>
      </w:r>
      <w:r w:rsidR="001A3542">
        <w:rPr>
          <w:szCs w:val="22"/>
        </w:rPr>
        <w:t>“</w:t>
      </w:r>
      <w:r w:rsidR="00562BA0">
        <w:rPr>
          <w:szCs w:val="22"/>
        </w:rPr>
        <w:t>telephone number</w:t>
      </w:r>
      <w:r w:rsidR="00293132">
        <w:rPr>
          <w:szCs w:val="22"/>
        </w:rPr>
        <w:t>,</w:t>
      </w:r>
      <w:r w:rsidR="001A3542">
        <w:rPr>
          <w:szCs w:val="22"/>
        </w:rPr>
        <w:t>”</w:t>
      </w:r>
      <w:r w:rsidR="00562BA0">
        <w:rPr>
          <w:szCs w:val="22"/>
        </w:rPr>
        <w:t xml:space="preserve"> or </w:t>
      </w:r>
      <w:r w:rsidR="001A3542">
        <w:rPr>
          <w:szCs w:val="22"/>
        </w:rPr>
        <w:t>“</w:t>
      </w:r>
      <w:r w:rsidR="00562BA0">
        <w:rPr>
          <w:szCs w:val="22"/>
        </w:rPr>
        <w:t>telephone line.</w:t>
      </w:r>
      <w:r w:rsidR="001A3542">
        <w:rPr>
          <w:szCs w:val="22"/>
        </w:rPr>
        <w:t>”</w:t>
      </w:r>
      <w:r>
        <w:rPr>
          <w:rStyle w:val="FootnoteReference"/>
          <w:szCs w:val="22"/>
        </w:rPr>
        <w:footnoteReference w:id="11"/>
      </w:r>
      <w:r>
        <w:rPr>
          <w:szCs w:val="22"/>
        </w:rPr>
        <w:t xml:space="preserve">  </w:t>
      </w:r>
      <w:r w:rsidR="001A3542">
        <w:rPr>
          <w:szCs w:val="22"/>
        </w:rPr>
        <w:t xml:space="preserve">An </w:t>
      </w:r>
      <w:r>
        <w:rPr>
          <w:szCs w:val="22"/>
        </w:rPr>
        <w:t xml:space="preserve">affirmative response </w:t>
      </w:r>
      <w:r w:rsidR="00562BA0">
        <w:rPr>
          <w:szCs w:val="22"/>
        </w:rPr>
        <w:t xml:space="preserve">to these questions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on a telephone account</w:t>
      </w:r>
      <w:r w:rsidR="001A3542">
        <w:rPr>
          <w:szCs w:val="22"/>
        </w:rPr>
        <w:t>, number, or line</w:t>
      </w:r>
      <w:r>
        <w:rPr>
          <w:szCs w:val="22"/>
        </w:rPr>
        <w:t>.</w:t>
      </w:r>
      <w:r>
        <w:rPr>
          <w:rStyle w:val="FootnoteReference"/>
          <w:szCs w:val="22"/>
        </w:rPr>
        <w:footnoteReference w:id="12"/>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3"/>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4"/>
      </w:r>
      <w:r w:rsidR="00293132">
        <w:rPr>
          <w:szCs w:val="22"/>
        </w:rPr>
        <w:t xml:space="preserve">  The Commission further stated that “such practices are misleading and unreasonable, and warrant specific treatment in our rules.”</w:t>
      </w:r>
      <w:r>
        <w:rPr>
          <w:rStyle w:val="FootnoteReference"/>
          <w:szCs w:val="22"/>
        </w:rPr>
        <w:footnoteReference w:id="15"/>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find that Tele</w:t>
      </w:r>
      <w:r w:rsidR="00AD7D33">
        <w:rPr>
          <w:szCs w:val="22"/>
        </w:rPr>
        <w:t xml:space="preserve"> </w:t>
      </w:r>
      <w:r>
        <w:rPr>
          <w:szCs w:val="22"/>
        </w:rPr>
        <w:t>Circuit’s actions were in violation of our carrier change rules, and we discuss Tele</w:t>
      </w:r>
      <w:r w:rsidR="0018583C">
        <w:rPr>
          <w:szCs w:val="22"/>
        </w:rPr>
        <w:t xml:space="preserve"> </w:t>
      </w:r>
      <w:r>
        <w:rPr>
          <w:szCs w:val="22"/>
        </w:rPr>
        <w:t>Circuit’s liability below.</w:t>
      </w:r>
      <w:r>
        <w:rPr>
          <w:rStyle w:val="FootnoteReference"/>
          <w:szCs w:val="22"/>
        </w:rPr>
        <w:footnoteReference w:id="16"/>
      </w:r>
    </w:p>
    <w:p w:rsidR="00543CA2" w:rsidRPr="005457D3" w:rsidP="005457D3">
      <w:pPr>
        <w:numPr>
          <w:ilvl w:val="0"/>
          <w:numId w:val="7"/>
        </w:numPr>
        <w:snapToGrid w:val="0"/>
        <w:spacing w:after="120"/>
        <w:ind w:left="0" w:firstLine="720"/>
        <w:rPr>
          <w:szCs w:val="22"/>
        </w:rPr>
      </w:pPr>
      <w:r>
        <w:rPr>
          <w:szCs w:val="22"/>
        </w:rPr>
        <w:t>Tele</w:t>
      </w:r>
      <w:r w:rsidR="00AD7D33">
        <w:rPr>
          <w:szCs w:val="22"/>
        </w:rPr>
        <w:t xml:space="preserve"> </w:t>
      </w:r>
      <w:r>
        <w:rPr>
          <w:szCs w:val="22"/>
        </w:rPr>
        <w:t>Circuit must remove all charges incurred for service provided to Complainant</w:t>
      </w:r>
      <w:r w:rsidR="005B397C">
        <w:rPr>
          <w:szCs w:val="22"/>
        </w:rPr>
        <w:t>s</w:t>
      </w:r>
      <w:r>
        <w:rPr>
          <w:szCs w:val="22"/>
        </w:rPr>
        <w:t xml:space="preserve"> for the first thirty days after the alleged unauthorized change</w:t>
      </w:r>
      <w:r w:rsidR="005B397C">
        <w:rPr>
          <w:szCs w:val="22"/>
        </w:rPr>
        <w:t>s</w:t>
      </w:r>
      <w:r>
        <w:rPr>
          <w:szCs w:val="22"/>
        </w:rPr>
        <w:t xml:space="preserve"> in accordance with the Commission’s liability </w:t>
      </w:r>
      <w:r>
        <w:rPr>
          <w:szCs w:val="22"/>
        </w:rPr>
        <w:t>rules.</w:t>
      </w:r>
      <w:r>
        <w:rPr>
          <w:rStyle w:val="FootnoteReference"/>
          <w:szCs w:val="22"/>
        </w:rPr>
        <w:footnoteReference w:id="17"/>
      </w:r>
      <w:r>
        <w:rPr>
          <w:szCs w:val="22"/>
        </w:rPr>
        <w:t xml:space="preserve">  We have determined that Complainant</w:t>
      </w:r>
      <w:r w:rsidR="00763CD4">
        <w:rPr>
          <w:szCs w:val="22"/>
        </w:rPr>
        <w:t>s</w:t>
      </w:r>
      <w:r>
        <w:rPr>
          <w:szCs w:val="22"/>
        </w:rPr>
        <w:t xml:space="preserve"> </w:t>
      </w:r>
      <w:r w:rsidR="00763CD4">
        <w:rPr>
          <w:szCs w:val="22"/>
        </w:rPr>
        <w:t>are</w:t>
      </w:r>
      <w:r>
        <w:rPr>
          <w:szCs w:val="22"/>
        </w:rPr>
        <w:t xml:space="preserve"> entitled to absolution for the charges incurred during the first thirty days after the unauthorized change</w:t>
      </w:r>
      <w:r w:rsidR="00653081">
        <w:rPr>
          <w:szCs w:val="22"/>
        </w:rPr>
        <w:t>s</w:t>
      </w:r>
      <w:r>
        <w:rPr>
          <w:szCs w:val="22"/>
        </w:rPr>
        <w:t xml:space="preserve"> occurred and </w:t>
      </w:r>
      <w:r w:rsidR="00763CD4">
        <w:rPr>
          <w:szCs w:val="22"/>
        </w:rPr>
        <w:t>that</w:t>
      </w:r>
      <w:r>
        <w:rPr>
          <w:szCs w:val="22"/>
        </w:rPr>
        <w:t xml:space="preserve"> </w:t>
      </w:r>
      <w:r w:rsidR="00653081">
        <w:t xml:space="preserve">neither the Complainants’ authorized carriers nor </w:t>
      </w:r>
      <w:r>
        <w:rPr>
          <w:szCs w:val="22"/>
        </w:rPr>
        <w:t>Tele</w:t>
      </w:r>
      <w:r w:rsidR="00AD7D33">
        <w:rPr>
          <w:szCs w:val="22"/>
        </w:rPr>
        <w:t xml:space="preserve"> </w:t>
      </w:r>
      <w:r>
        <w:rPr>
          <w:szCs w:val="22"/>
        </w:rPr>
        <w:t>Circuit may pursue any collection against Complainant</w:t>
      </w:r>
      <w:r w:rsidR="00763CD4">
        <w:rPr>
          <w:szCs w:val="22"/>
        </w:rPr>
        <w:t>s</w:t>
      </w:r>
      <w:r>
        <w:rPr>
          <w:szCs w:val="22"/>
        </w:rPr>
        <w:t xml:space="preserve"> for those charges.</w:t>
      </w:r>
      <w:r>
        <w:rPr>
          <w:rStyle w:val="FootnoteReference"/>
          <w:szCs w:val="22"/>
        </w:rPr>
        <w:footnoteReference w:id="18"/>
      </w:r>
      <w:r>
        <w:rPr>
          <w:szCs w:val="22"/>
        </w:rPr>
        <w:t xml:space="preserve"> </w:t>
      </w:r>
      <w:r w:rsidR="00763CD4">
        <w:rPr>
          <w:szCs w:val="22"/>
        </w:rPr>
        <w:t xml:space="preserve"> </w:t>
      </w:r>
      <w:r>
        <w:rPr>
          <w:szCs w:val="22"/>
        </w:rPr>
        <w:t>Any charges imposed by Tele</w:t>
      </w:r>
      <w:r w:rsidR="00AD7D33">
        <w:rPr>
          <w:szCs w:val="22"/>
        </w:rPr>
        <w:t xml:space="preserve"> </w:t>
      </w:r>
      <w:r>
        <w:rPr>
          <w:szCs w:val="22"/>
        </w:rPr>
        <w:t>Circuit on the subscriber</w:t>
      </w:r>
      <w:r w:rsidR="00763CD4">
        <w:rPr>
          <w:szCs w:val="22"/>
        </w:rPr>
        <w:t>s</w:t>
      </w:r>
      <w:r>
        <w:rPr>
          <w:szCs w:val="22"/>
        </w:rPr>
        <w:t xml:space="preserve"> for service provided after this 30-day period shall be paid by the subscriber</w:t>
      </w:r>
      <w:r w:rsidR="00763CD4">
        <w:rPr>
          <w:szCs w:val="22"/>
        </w:rPr>
        <w:t>s</w:t>
      </w:r>
      <w:r>
        <w:rPr>
          <w:szCs w:val="22"/>
        </w:rPr>
        <w:t xml:space="preserve"> at the rates the subscriber</w:t>
      </w:r>
      <w:r w:rsidR="00763CD4">
        <w:rPr>
          <w:szCs w:val="22"/>
        </w:rPr>
        <w:t>s</w:t>
      </w:r>
      <w:r>
        <w:rPr>
          <w:szCs w:val="22"/>
        </w:rPr>
        <w:t xml:space="preserve"> w</w:t>
      </w:r>
      <w:r w:rsidR="00763CD4">
        <w:rPr>
          <w:szCs w:val="22"/>
        </w:rPr>
        <w:t>ere</w:t>
      </w:r>
      <w:r>
        <w:rPr>
          <w:szCs w:val="22"/>
        </w:rPr>
        <w:t xml:space="preserve"> paying to their authorized carrier</w:t>
      </w:r>
      <w:r w:rsidR="00763CD4">
        <w:rPr>
          <w:szCs w:val="22"/>
        </w:rPr>
        <w:t>s</w:t>
      </w:r>
      <w:r>
        <w:rPr>
          <w:szCs w:val="22"/>
        </w:rPr>
        <w:t xml:space="preserve"> at the time of the unauthorized change</w:t>
      </w:r>
      <w:r w:rsidR="00763CD4">
        <w:rPr>
          <w:szCs w:val="22"/>
        </w:rPr>
        <w:t>s</w:t>
      </w:r>
      <w:r>
        <w:rPr>
          <w:szCs w:val="22"/>
        </w:rPr>
        <w:t>.</w:t>
      </w:r>
      <w:r>
        <w:rPr>
          <w:rStyle w:val="FootnoteReference"/>
          <w:szCs w:val="22"/>
        </w:rPr>
        <w:footnoteReference w:id="19"/>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w:t>
      </w:r>
      <w:r w:rsidR="00AD7D33">
        <w:rPr>
          <w:szCs w:val="22"/>
        </w:rPr>
        <w:t>s</w:t>
      </w:r>
      <w:r>
        <w:rPr>
          <w:szCs w:val="22"/>
        </w:rPr>
        <w:t xml:space="preserve"> filed against Tele</w:t>
      </w:r>
      <w:r w:rsidR="00AD7D33">
        <w:rPr>
          <w:szCs w:val="22"/>
        </w:rPr>
        <w:t xml:space="preserve"> </w:t>
      </w:r>
      <w:r>
        <w:rPr>
          <w:szCs w:val="22"/>
        </w:rPr>
        <w:t xml:space="preserve">Circuit </w:t>
      </w:r>
      <w:r w:rsidR="00AD7D33">
        <w:rPr>
          <w:szCs w:val="22"/>
        </w:rPr>
        <w:t>Network Corporation ARE</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Complainant</w:t>
      </w:r>
      <w:r w:rsidR="00AD7D33">
        <w:rPr>
          <w:szCs w:val="22"/>
        </w:rPr>
        <w:t>s</w:t>
      </w:r>
      <w:r>
        <w:rPr>
          <w:szCs w:val="22"/>
        </w:rPr>
        <w:t xml:space="preserve"> </w:t>
      </w:r>
      <w:r w:rsidR="00AD7D33">
        <w:rPr>
          <w:szCs w:val="22"/>
        </w:rPr>
        <w:t>are</w:t>
      </w:r>
      <w:r>
        <w:rPr>
          <w:szCs w:val="22"/>
        </w:rPr>
        <w:t xml:space="preserve"> entitled to absolution for the charges incurred during the first thirty days after the unauthorized change</w:t>
      </w:r>
      <w:r w:rsidR="00763CD4">
        <w:rPr>
          <w:szCs w:val="22"/>
        </w:rPr>
        <w:t>s</w:t>
      </w:r>
      <w:r>
        <w:rPr>
          <w:szCs w:val="22"/>
        </w:rPr>
        <w:t xml:space="preserve"> occurred and </w:t>
      </w:r>
      <w:r w:rsidR="00AD7D33">
        <w:rPr>
          <w:szCs w:val="22"/>
        </w:rPr>
        <w:t xml:space="preserve">that </w:t>
      </w:r>
      <w:r w:rsidRPr="00AD7D33">
        <w:rPr>
          <w:szCs w:val="22"/>
        </w:rPr>
        <w:t>Tele</w:t>
      </w:r>
      <w:r w:rsidR="00AD7D33">
        <w:rPr>
          <w:szCs w:val="22"/>
        </w:rPr>
        <w:t xml:space="preserve"> </w:t>
      </w:r>
      <w:r w:rsidRPr="00AD7D33">
        <w:rPr>
          <w:szCs w:val="22"/>
        </w:rPr>
        <w:t>Circuit</w:t>
      </w:r>
      <w:r w:rsidR="00AD7D33">
        <w:rPr>
          <w:szCs w:val="22"/>
        </w:rPr>
        <w:t xml:space="preserve"> Network Corporation </w:t>
      </w:r>
      <w:r w:rsidRPr="00AD7D33">
        <w:rPr>
          <w:szCs w:val="22"/>
        </w:rPr>
        <w:t xml:space="preserve">may </w:t>
      </w:r>
      <w:r w:rsidR="00AD7D33">
        <w:rPr>
          <w:szCs w:val="22"/>
        </w:rPr>
        <w:t xml:space="preserve">not </w:t>
      </w:r>
      <w:r w:rsidRPr="00AD7D33">
        <w:rPr>
          <w:szCs w:val="22"/>
        </w:rPr>
        <w:t>pursue any collection against Complainant</w:t>
      </w:r>
      <w:r w:rsidR="00AD7D33">
        <w:rPr>
          <w:szCs w:val="22"/>
        </w:rPr>
        <w:t>s</w:t>
      </w:r>
      <w:r w:rsidRPr="00AD7D33">
        <w:rPr>
          <w:szCs w:val="22"/>
        </w:rPr>
        <w:t xml:space="preserve"> for those charges.</w:t>
      </w:r>
    </w:p>
    <w:p w:rsidR="00543CA2" w:rsidP="00681A1E">
      <w:pPr>
        <w:numPr>
          <w:ilvl w:val="0"/>
          <w:numId w:val="7"/>
        </w:numPr>
        <w:spacing w:after="120"/>
        <w:rPr>
          <w:szCs w:val="22"/>
        </w:rPr>
      </w:pPr>
      <w:r>
        <w:rPr>
          <w:szCs w:val="22"/>
        </w:rPr>
        <w:t>IT IS FURTHER ORDERED that this Order is effective upon release.</w:t>
      </w:r>
    </w:p>
    <w:p w:rsidR="00681A1E" w:rsidP="00681A1E">
      <w:pPr>
        <w:spacing w:after="120"/>
        <w:rPr>
          <w:szCs w:val="22"/>
        </w:rPr>
      </w:pPr>
    </w:p>
    <w:p w:rsidR="00681A1E" w:rsidP="00681A1E">
      <w:pPr>
        <w:spacing w:after="120"/>
        <w:rPr>
          <w:szCs w:val="22"/>
        </w:rPr>
      </w:pPr>
    </w:p>
    <w:p w:rsidR="00681A1E" w:rsidP="00681A1E">
      <w:pPr>
        <w:spacing w:after="120"/>
        <w:rPr>
          <w:szCs w:val="22"/>
        </w:rPr>
      </w:pPr>
    </w:p>
    <w:p w:rsidR="00681A1E" w:rsidP="00681A1E">
      <w:pPr>
        <w:spacing w:after="120"/>
        <w:ind w:left="504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p w:rsidR="00543CA2" w:rsidP="00543CA2">
      <w:pPr>
        <w:rPr>
          <w:szCs w:val="22"/>
        </w:rPr>
      </w:pPr>
    </w:p>
    <w:p w:rsidR="00872273" w:rsidRPr="009D7B75" w:rsidP="00872273">
      <w:pPr>
        <w:ind w:right="270"/>
        <w:jc w:val="center"/>
        <w:rPr>
          <w:b/>
          <w:szCs w:val="22"/>
        </w:rPr>
      </w:pPr>
      <w:r>
        <w:rPr>
          <w:szCs w:val="22"/>
        </w:rPr>
        <w:br w:type="page"/>
      </w:r>
      <w:r w:rsidRPr="009D7B75">
        <w:rPr>
          <w:b/>
          <w:szCs w:val="22"/>
        </w:rPr>
        <w:t xml:space="preserve">APPENDIX </w:t>
      </w:r>
    </w:p>
    <w:tbl>
      <w:tblPr>
        <w:tblW w:w="0" w:type="auto"/>
        <w:jc w:val="center"/>
        <w:tblCellMar>
          <w:left w:w="115" w:type="dxa"/>
          <w:right w:w="115" w:type="dxa"/>
        </w:tblCellMar>
        <w:tblLook w:val="00A0"/>
      </w:tblPr>
      <w:tblGrid>
        <w:gridCol w:w="2499"/>
        <w:gridCol w:w="2610"/>
        <w:gridCol w:w="2430"/>
      </w:tblGrid>
      <w:tr w:rsidTr="009E741A">
        <w:tblPrEx>
          <w:tblW w:w="0" w:type="auto"/>
          <w:jc w:val="center"/>
          <w:tblCellMar>
            <w:left w:w="115" w:type="dxa"/>
            <w:right w:w="115" w:type="dxa"/>
          </w:tblCellMar>
          <w:tblLook w:val="00A0"/>
        </w:tblPrEx>
        <w:trPr>
          <w:trHeight w:val="1050"/>
          <w:jc w:val="center"/>
        </w:trPr>
        <w:tc>
          <w:tcPr>
            <w:tcW w:w="2499" w:type="dxa"/>
            <w:shd w:val="clear" w:color="auto" w:fill="FFFFFF"/>
          </w:tcPr>
          <w:p w:rsidR="00872273" w:rsidRPr="009D7B75" w:rsidP="005D7D5F">
            <w:pPr>
              <w:widowControl/>
              <w:tabs>
                <w:tab w:val="left" w:pos="720"/>
                <w:tab w:val="left" w:pos="1440"/>
              </w:tabs>
              <w:spacing w:after="200"/>
              <w:ind w:right="144"/>
              <w:rPr>
                <w:snapToGrid/>
                <w:color w:val="000000"/>
                <w:kern w:val="0"/>
                <w:szCs w:val="22"/>
                <w:u w:val="single"/>
              </w:rPr>
            </w:pPr>
          </w:p>
          <w:p w:rsidR="00872273" w:rsidRPr="009D7B75" w:rsidP="005D7D5F">
            <w:pPr>
              <w:widowControl/>
              <w:tabs>
                <w:tab w:val="left" w:pos="720"/>
                <w:tab w:val="left" w:pos="1440"/>
              </w:tabs>
              <w:spacing w:after="200"/>
              <w:ind w:right="144"/>
              <w:rPr>
                <w:snapToGrid/>
                <w:color w:val="000000"/>
                <w:kern w:val="0"/>
                <w:szCs w:val="22"/>
                <w:u w:val="single"/>
              </w:rPr>
            </w:pPr>
            <w:r w:rsidRPr="009D7B75">
              <w:rPr>
                <w:snapToGrid/>
                <w:color w:val="000000"/>
                <w:kern w:val="0"/>
                <w:szCs w:val="22"/>
                <w:u w:val="single"/>
              </w:rPr>
              <w:t>COMPLAINT NUMBER</w:t>
            </w:r>
          </w:p>
        </w:tc>
        <w:tc>
          <w:tcPr>
            <w:tcW w:w="2610" w:type="dxa"/>
          </w:tcPr>
          <w:p w:rsidR="00872273" w:rsidRPr="009D7B75" w:rsidP="005D7D5F">
            <w:pPr>
              <w:widowControl/>
              <w:tabs>
                <w:tab w:val="left" w:pos="720"/>
                <w:tab w:val="left" w:pos="1440"/>
              </w:tabs>
              <w:spacing w:after="200"/>
              <w:ind w:right="144"/>
              <w:rPr>
                <w:snapToGrid/>
                <w:color w:val="FFFFFF"/>
                <w:kern w:val="0"/>
                <w:szCs w:val="22"/>
                <w:u w:val="single"/>
              </w:rPr>
            </w:pPr>
          </w:p>
          <w:p w:rsidR="00872273" w:rsidRPr="009D7B75" w:rsidP="005D7D5F">
            <w:pPr>
              <w:widowControl/>
              <w:tabs>
                <w:tab w:val="left" w:pos="720"/>
                <w:tab w:val="left" w:pos="1440"/>
              </w:tabs>
              <w:spacing w:after="200"/>
              <w:ind w:right="144"/>
              <w:rPr>
                <w:snapToGrid/>
                <w:color w:val="000000"/>
                <w:kern w:val="0"/>
                <w:szCs w:val="22"/>
                <w:u w:val="single"/>
              </w:rPr>
            </w:pPr>
            <w:r w:rsidRPr="009D7B75">
              <w:rPr>
                <w:snapToGrid/>
                <w:color w:val="000000"/>
                <w:kern w:val="0"/>
                <w:szCs w:val="22"/>
                <w:u w:val="single"/>
              </w:rPr>
              <w:t>DATE OF COMPLAINT</w:t>
            </w:r>
          </w:p>
        </w:tc>
        <w:tc>
          <w:tcPr>
            <w:tcW w:w="2430" w:type="dxa"/>
          </w:tcPr>
          <w:p w:rsidR="00872273" w:rsidRPr="009D7B75" w:rsidP="005D7D5F">
            <w:pPr>
              <w:widowControl/>
              <w:tabs>
                <w:tab w:val="left" w:pos="720"/>
                <w:tab w:val="left" w:pos="1440"/>
              </w:tabs>
              <w:spacing w:after="200"/>
              <w:ind w:right="144"/>
              <w:rPr>
                <w:snapToGrid/>
                <w:color w:val="FFFFFF"/>
                <w:kern w:val="0"/>
                <w:szCs w:val="22"/>
                <w:u w:val="single"/>
              </w:rPr>
            </w:pPr>
          </w:p>
          <w:p w:rsidR="00872273" w:rsidRPr="009D7B75" w:rsidP="005D7D5F">
            <w:pPr>
              <w:widowControl/>
              <w:tabs>
                <w:tab w:val="left" w:pos="720"/>
                <w:tab w:val="left" w:pos="1440"/>
              </w:tabs>
              <w:spacing w:after="200"/>
              <w:ind w:right="144"/>
              <w:rPr>
                <w:snapToGrid/>
                <w:color w:val="000000"/>
                <w:kern w:val="0"/>
                <w:szCs w:val="22"/>
                <w:u w:val="single"/>
              </w:rPr>
            </w:pPr>
            <w:r w:rsidRPr="009D7B75">
              <w:rPr>
                <w:snapToGrid/>
                <w:color w:val="000000"/>
                <w:kern w:val="0"/>
                <w:szCs w:val="22"/>
                <w:u w:val="single"/>
              </w:rPr>
              <w:t>DATE OF CARRIER</w:t>
            </w:r>
            <w:r w:rsidR="009E741A">
              <w:rPr>
                <w:snapToGrid/>
                <w:color w:val="000000"/>
                <w:kern w:val="0"/>
                <w:szCs w:val="22"/>
                <w:u w:val="single"/>
              </w:rPr>
              <w:t xml:space="preserve"> </w:t>
            </w:r>
            <w:r w:rsidRPr="009D7B75">
              <w:rPr>
                <w:snapToGrid/>
                <w:color w:val="000000"/>
                <w:kern w:val="0"/>
                <w:szCs w:val="22"/>
                <w:u w:val="single"/>
              </w:rPr>
              <w:t>RESPONSE</w:t>
            </w:r>
          </w:p>
        </w:tc>
      </w:tr>
      <w:tr w:rsidTr="009E741A">
        <w:tblPrEx>
          <w:tblW w:w="0" w:type="auto"/>
          <w:jc w:val="center"/>
          <w:tblCellMar>
            <w:left w:w="115" w:type="dxa"/>
            <w:right w:w="115" w:type="dxa"/>
          </w:tblCellMar>
          <w:tblLook w:val="00A0"/>
        </w:tblPrEx>
        <w:trPr>
          <w:trHeight w:val="3600"/>
          <w:jc w:val="center"/>
        </w:trPr>
        <w:tc>
          <w:tcPr>
            <w:tcW w:w="2499" w:type="dxa"/>
          </w:tcPr>
          <w:p w:rsidR="00E84D1A" w:rsidP="00E84D1A">
            <w:pPr>
              <w:pStyle w:val="TOAHeading"/>
              <w:rPr>
                <w:szCs w:val="22"/>
              </w:rPr>
            </w:pPr>
            <w:r w:rsidRPr="009D7B75">
              <w:rPr>
                <w:szCs w:val="22"/>
              </w:rPr>
              <w:t>723476</w:t>
            </w:r>
          </w:p>
          <w:p w:rsidR="009D7B75" w:rsidRPr="009D7B75" w:rsidP="009D7B75">
            <w:r>
              <w:t>765834</w:t>
            </w:r>
          </w:p>
          <w:p w:rsidR="00E84D1A" w:rsidRPr="009D7B75" w:rsidP="00E84D1A">
            <w:pPr>
              <w:pStyle w:val="TOAHeading"/>
              <w:rPr>
                <w:szCs w:val="22"/>
              </w:rPr>
            </w:pPr>
            <w:r>
              <w:rPr>
                <w:szCs w:val="22"/>
              </w:rPr>
              <w:t>829907</w:t>
            </w:r>
            <w:r w:rsidRPr="009D7B75">
              <w:rPr>
                <w:szCs w:val="22"/>
              </w:rPr>
              <w:t xml:space="preserve">                        </w:t>
            </w:r>
            <w:r>
              <w:rPr>
                <w:szCs w:val="22"/>
              </w:rPr>
              <w:t>834364</w:t>
            </w:r>
          </w:p>
          <w:p w:rsidR="00E84D1A" w:rsidRPr="009D7B75" w:rsidP="00E84D1A">
            <w:pPr>
              <w:rPr>
                <w:szCs w:val="22"/>
              </w:rPr>
            </w:pPr>
            <w:r>
              <w:rPr>
                <w:szCs w:val="22"/>
              </w:rPr>
              <w:t>875889</w:t>
            </w:r>
            <w:r w:rsidRPr="009D7B75">
              <w:rPr>
                <w:szCs w:val="22"/>
              </w:rPr>
              <w:t xml:space="preserve">                          </w:t>
            </w:r>
            <w:r>
              <w:rPr>
                <w:szCs w:val="22"/>
              </w:rPr>
              <w:t>1017739/1124563</w:t>
            </w:r>
          </w:p>
          <w:p w:rsidR="00E84D1A" w:rsidP="00E84D1A">
            <w:pPr>
              <w:rPr>
                <w:szCs w:val="22"/>
              </w:rPr>
            </w:pPr>
            <w:r>
              <w:rPr>
                <w:szCs w:val="22"/>
              </w:rPr>
              <w:t>2314960</w:t>
            </w:r>
            <w:r w:rsidRPr="009D7B75">
              <w:rPr>
                <w:szCs w:val="22"/>
              </w:rPr>
              <w:t xml:space="preserve">                          </w:t>
            </w:r>
          </w:p>
          <w:p w:rsidR="009D7B75" w:rsidRPr="009D7B75" w:rsidP="00E84D1A">
            <w:pPr>
              <w:rPr>
                <w:szCs w:val="22"/>
              </w:rPr>
            </w:pPr>
            <w:r>
              <w:rPr>
                <w:szCs w:val="22"/>
              </w:rPr>
              <w:t>2348203</w:t>
            </w:r>
          </w:p>
          <w:p w:rsidR="00E84D1A" w:rsidRPr="009D7B75" w:rsidP="009D7B75">
            <w:pPr>
              <w:pStyle w:val="TOAHeading"/>
              <w:rPr>
                <w:szCs w:val="22"/>
              </w:rPr>
            </w:pPr>
            <w:r w:rsidRPr="009D7B75">
              <w:rPr>
                <w:szCs w:val="22"/>
              </w:rPr>
              <w:t xml:space="preserve">                           </w:t>
            </w:r>
          </w:p>
          <w:p w:rsidR="00E84D1A" w:rsidRPr="009D7B75" w:rsidP="00E84D1A">
            <w:pPr>
              <w:tabs>
                <w:tab w:val="right" w:pos="9360"/>
              </w:tabs>
              <w:suppressAutoHyphens/>
              <w:rPr>
                <w:spacing w:val="-2"/>
                <w:szCs w:val="22"/>
              </w:rPr>
            </w:pPr>
          </w:p>
          <w:p w:rsidR="00872273" w:rsidRPr="009D7B75" w:rsidP="005D7D5F">
            <w:pPr>
              <w:tabs>
                <w:tab w:val="right" w:pos="9360"/>
              </w:tabs>
              <w:suppressAutoHyphens/>
              <w:rPr>
                <w:spacing w:val="-2"/>
                <w:szCs w:val="22"/>
              </w:rPr>
            </w:pPr>
          </w:p>
          <w:p w:rsidR="00872273" w:rsidRPr="009D7B75" w:rsidP="005D7D5F">
            <w:pPr>
              <w:tabs>
                <w:tab w:val="right" w:pos="9360"/>
              </w:tabs>
              <w:suppressAutoHyphens/>
              <w:rPr>
                <w:spacing w:val="-2"/>
                <w:szCs w:val="22"/>
              </w:rPr>
            </w:pPr>
          </w:p>
          <w:p w:rsidR="00872273" w:rsidRPr="009D7B75" w:rsidP="005D7D5F">
            <w:pPr>
              <w:tabs>
                <w:tab w:val="right" w:pos="9360"/>
              </w:tabs>
              <w:suppressAutoHyphens/>
              <w:rPr>
                <w:snapToGrid/>
                <w:kern w:val="0"/>
                <w:szCs w:val="22"/>
              </w:rPr>
            </w:pPr>
            <w:r w:rsidRPr="009D7B75">
              <w:rPr>
                <w:szCs w:val="22"/>
              </w:rPr>
              <w:t xml:space="preserve"> </w:t>
            </w:r>
          </w:p>
        </w:tc>
        <w:tc>
          <w:tcPr>
            <w:tcW w:w="2610" w:type="dxa"/>
          </w:tcPr>
          <w:p w:rsidR="00872273" w:rsidRPr="009D7B75" w:rsidP="005D7D5F">
            <w:pPr>
              <w:widowControl/>
              <w:tabs>
                <w:tab w:val="left" w:pos="720"/>
                <w:tab w:val="left" w:pos="1440"/>
              </w:tabs>
              <w:rPr>
                <w:snapToGrid/>
                <w:kern w:val="0"/>
                <w:szCs w:val="22"/>
              </w:rPr>
            </w:pPr>
            <w:r>
              <w:rPr>
                <w:snapToGrid/>
                <w:kern w:val="0"/>
                <w:szCs w:val="22"/>
              </w:rPr>
              <w:t>December 23, 2015</w:t>
            </w:r>
          </w:p>
          <w:p w:rsidR="00872273" w:rsidP="005D7D5F">
            <w:pPr>
              <w:widowControl/>
              <w:tabs>
                <w:tab w:val="left" w:pos="720"/>
                <w:tab w:val="left" w:pos="1440"/>
              </w:tabs>
              <w:rPr>
                <w:snapToGrid/>
                <w:kern w:val="0"/>
                <w:szCs w:val="22"/>
              </w:rPr>
            </w:pPr>
            <w:r>
              <w:rPr>
                <w:snapToGrid/>
                <w:kern w:val="0"/>
                <w:szCs w:val="22"/>
              </w:rPr>
              <w:t>January 21, 2016</w:t>
            </w:r>
          </w:p>
          <w:p w:rsidR="009D7B75" w:rsidRPr="009D7B75" w:rsidP="005D7D5F">
            <w:pPr>
              <w:widowControl/>
              <w:tabs>
                <w:tab w:val="left" w:pos="720"/>
                <w:tab w:val="left" w:pos="1440"/>
              </w:tabs>
              <w:rPr>
                <w:snapToGrid/>
                <w:kern w:val="0"/>
                <w:szCs w:val="22"/>
              </w:rPr>
            </w:pPr>
            <w:r>
              <w:rPr>
                <w:snapToGrid/>
                <w:kern w:val="0"/>
                <w:szCs w:val="22"/>
              </w:rPr>
              <w:t>February 24, 2016</w:t>
            </w:r>
          </w:p>
          <w:p w:rsidR="00872273" w:rsidRPr="009D7B75" w:rsidP="005D7D5F">
            <w:pPr>
              <w:widowControl/>
              <w:tabs>
                <w:tab w:val="left" w:pos="720"/>
                <w:tab w:val="left" w:pos="1440"/>
              </w:tabs>
              <w:rPr>
                <w:snapToGrid/>
                <w:kern w:val="0"/>
                <w:szCs w:val="22"/>
              </w:rPr>
            </w:pPr>
            <w:r>
              <w:rPr>
                <w:snapToGrid/>
                <w:kern w:val="0"/>
                <w:szCs w:val="22"/>
              </w:rPr>
              <w:t>February 26, 2016</w:t>
            </w:r>
          </w:p>
          <w:p w:rsidR="00872273" w:rsidRPr="009D7B75" w:rsidP="005D7D5F">
            <w:pPr>
              <w:widowControl/>
              <w:tabs>
                <w:tab w:val="left" w:pos="720"/>
                <w:tab w:val="left" w:pos="1440"/>
              </w:tabs>
              <w:rPr>
                <w:snapToGrid/>
                <w:kern w:val="0"/>
                <w:szCs w:val="22"/>
              </w:rPr>
            </w:pPr>
            <w:r>
              <w:rPr>
                <w:snapToGrid/>
                <w:kern w:val="0"/>
                <w:szCs w:val="22"/>
              </w:rPr>
              <w:t>March 24, 2016</w:t>
            </w:r>
          </w:p>
          <w:p w:rsidR="00872273" w:rsidRPr="009D7B75" w:rsidP="005D7D5F">
            <w:pPr>
              <w:widowControl/>
              <w:tabs>
                <w:tab w:val="left" w:pos="720"/>
                <w:tab w:val="left" w:pos="1440"/>
              </w:tabs>
              <w:rPr>
                <w:snapToGrid/>
                <w:kern w:val="0"/>
                <w:szCs w:val="22"/>
              </w:rPr>
            </w:pPr>
            <w:r>
              <w:rPr>
                <w:snapToGrid/>
                <w:kern w:val="0"/>
                <w:szCs w:val="22"/>
              </w:rPr>
              <w:t>June 3, 2016</w:t>
            </w:r>
          </w:p>
          <w:p w:rsidR="00872273" w:rsidRPr="009D7B75" w:rsidP="005D7D5F">
            <w:pPr>
              <w:widowControl/>
              <w:tabs>
                <w:tab w:val="left" w:pos="720"/>
                <w:tab w:val="left" w:pos="1440"/>
              </w:tabs>
              <w:rPr>
                <w:snapToGrid/>
                <w:kern w:val="0"/>
                <w:szCs w:val="22"/>
              </w:rPr>
            </w:pPr>
            <w:r>
              <w:rPr>
                <w:snapToGrid/>
                <w:kern w:val="0"/>
                <w:szCs w:val="22"/>
              </w:rPr>
              <w:t>March 20, 2018</w:t>
            </w:r>
          </w:p>
          <w:p w:rsidR="00872273" w:rsidRPr="009D7B75" w:rsidP="005D7D5F">
            <w:pPr>
              <w:widowControl/>
              <w:tabs>
                <w:tab w:val="left" w:pos="720"/>
                <w:tab w:val="left" w:pos="1440"/>
              </w:tabs>
              <w:rPr>
                <w:snapToGrid/>
                <w:kern w:val="0"/>
                <w:szCs w:val="22"/>
              </w:rPr>
            </w:pPr>
            <w:r>
              <w:rPr>
                <w:snapToGrid/>
                <w:kern w:val="0"/>
                <w:szCs w:val="22"/>
              </w:rPr>
              <w:t>April 3, 2018</w:t>
            </w:r>
          </w:p>
          <w:p w:rsidR="00872273" w:rsidRPr="009D7B75" w:rsidP="005D7D5F">
            <w:pPr>
              <w:widowControl/>
              <w:tabs>
                <w:tab w:val="left" w:pos="720"/>
                <w:tab w:val="left" w:pos="1440"/>
              </w:tabs>
              <w:rPr>
                <w:snapToGrid/>
                <w:kern w:val="0"/>
                <w:szCs w:val="22"/>
              </w:rPr>
            </w:pPr>
          </w:p>
          <w:p w:rsidR="00872273" w:rsidRPr="009D7B75" w:rsidP="005D7D5F">
            <w:pPr>
              <w:widowControl/>
              <w:tabs>
                <w:tab w:val="left" w:pos="720"/>
                <w:tab w:val="left" w:pos="1440"/>
              </w:tabs>
              <w:rPr>
                <w:snapToGrid/>
                <w:kern w:val="0"/>
                <w:szCs w:val="22"/>
              </w:rPr>
            </w:pPr>
          </w:p>
        </w:tc>
        <w:tc>
          <w:tcPr>
            <w:tcW w:w="2430" w:type="dxa"/>
          </w:tcPr>
          <w:p w:rsidR="00E84D1A" w:rsidP="005D7D5F">
            <w:pPr>
              <w:widowControl/>
              <w:tabs>
                <w:tab w:val="left" w:pos="720"/>
                <w:tab w:val="left" w:pos="1440"/>
              </w:tabs>
              <w:rPr>
                <w:snapToGrid/>
                <w:kern w:val="0"/>
                <w:szCs w:val="22"/>
              </w:rPr>
            </w:pPr>
            <w:r>
              <w:rPr>
                <w:snapToGrid/>
                <w:kern w:val="0"/>
                <w:szCs w:val="22"/>
              </w:rPr>
              <w:t>January 25, 2016</w:t>
            </w:r>
          </w:p>
          <w:p w:rsidR="009D7B75" w:rsidRPr="009D7B75" w:rsidP="005D7D5F">
            <w:pPr>
              <w:widowControl/>
              <w:tabs>
                <w:tab w:val="left" w:pos="720"/>
                <w:tab w:val="left" w:pos="1440"/>
              </w:tabs>
              <w:rPr>
                <w:snapToGrid/>
                <w:kern w:val="0"/>
                <w:szCs w:val="22"/>
              </w:rPr>
            </w:pPr>
            <w:r>
              <w:rPr>
                <w:snapToGrid/>
                <w:kern w:val="0"/>
                <w:szCs w:val="22"/>
              </w:rPr>
              <w:t>June 22, 2016</w:t>
            </w:r>
          </w:p>
          <w:p w:rsidR="00872273" w:rsidRPr="009D7B75" w:rsidP="005D7D5F">
            <w:pPr>
              <w:widowControl/>
              <w:tabs>
                <w:tab w:val="left" w:pos="720"/>
                <w:tab w:val="left" w:pos="1440"/>
              </w:tabs>
              <w:rPr>
                <w:snapToGrid/>
                <w:kern w:val="0"/>
                <w:szCs w:val="22"/>
              </w:rPr>
            </w:pPr>
            <w:r>
              <w:rPr>
                <w:snapToGrid/>
                <w:kern w:val="0"/>
                <w:szCs w:val="22"/>
              </w:rPr>
              <w:t>June 22, 2016</w:t>
            </w:r>
          </w:p>
          <w:p w:rsidR="00872273" w:rsidRPr="009D7B75" w:rsidP="005D7D5F">
            <w:pPr>
              <w:widowControl/>
              <w:tabs>
                <w:tab w:val="left" w:pos="720"/>
                <w:tab w:val="left" w:pos="1440"/>
              </w:tabs>
              <w:rPr>
                <w:snapToGrid/>
                <w:kern w:val="0"/>
                <w:szCs w:val="22"/>
              </w:rPr>
            </w:pPr>
            <w:r>
              <w:rPr>
                <w:snapToGrid/>
                <w:kern w:val="0"/>
                <w:szCs w:val="22"/>
              </w:rPr>
              <w:t>June 22, 2016</w:t>
            </w:r>
          </w:p>
          <w:p w:rsidR="00872273" w:rsidRPr="009D7B75" w:rsidP="005D7D5F">
            <w:pPr>
              <w:widowControl/>
              <w:tabs>
                <w:tab w:val="left" w:pos="720"/>
                <w:tab w:val="left" w:pos="1440"/>
              </w:tabs>
              <w:rPr>
                <w:snapToGrid/>
                <w:kern w:val="0"/>
                <w:szCs w:val="22"/>
              </w:rPr>
            </w:pPr>
            <w:r>
              <w:rPr>
                <w:snapToGrid/>
                <w:kern w:val="0"/>
                <w:szCs w:val="22"/>
              </w:rPr>
              <w:t>May 4, 2016</w:t>
            </w:r>
          </w:p>
          <w:p w:rsidR="00872273" w:rsidRPr="009D7B75" w:rsidP="005D7D5F">
            <w:pPr>
              <w:widowControl/>
              <w:tabs>
                <w:tab w:val="left" w:pos="720"/>
                <w:tab w:val="left" w:pos="1440"/>
              </w:tabs>
              <w:rPr>
                <w:snapToGrid/>
                <w:kern w:val="0"/>
                <w:szCs w:val="22"/>
              </w:rPr>
            </w:pPr>
            <w:r w:rsidRPr="009D7B75">
              <w:rPr>
                <w:snapToGrid/>
                <w:kern w:val="0"/>
                <w:szCs w:val="22"/>
              </w:rPr>
              <w:t>June 22,</w:t>
            </w:r>
            <w:r w:rsidR="009D7B75">
              <w:rPr>
                <w:snapToGrid/>
                <w:kern w:val="0"/>
                <w:szCs w:val="22"/>
              </w:rPr>
              <w:t xml:space="preserve"> 2016</w:t>
            </w:r>
          </w:p>
          <w:p w:rsidR="00872273" w:rsidRPr="009D7B75" w:rsidP="005D7D5F">
            <w:pPr>
              <w:widowControl/>
              <w:tabs>
                <w:tab w:val="left" w:pos="720"/>
                <w:tab w:val="left" w:pos="1440"/>
              </w:tabs>
              <w:rPr>
                <w:snapToGrid/>
                <w:kern w:val="0"/>
                <w:szCs w:val="22"/>
              </w:rPr>
            </w:pPr>
            <w:r>
              <w:rPr>
                <w:snapToGrid/>
                <w:kern w:val="0"/>
                <w:szCs w:val="22"/>
              </w:rPr>
              <w:t>April 6, 2018</w:t>
            </w:r>
          </w:p>
          <w:p w:rsidR="00872273" w:rsidRPr="009D7B75" w:rsidP="005D7D5F">
            <w:pPr>
              <w:widowControl/>
              <w:tabs>
                <w:tab w:val="left" w:pos="720"/>
                <w:tab w:val="left" w:pos="1440"/>
              </w:tabs>
              <w:rPr>
                <w:snapToGrid/>
                <w:kern w:val="0"/>
                <w:szCs w:val="22"/>
              </w:rPr>
            </w:pPr>
            <w:r w:rsidRPr="009D7B75">
              <w:rPr>
                <w:snapToGrid/>
                <w:kern w:val="0"/>
                <w:szCs w:val="22"/>
              </w:rPr>
              <w:t>A</w:t>
            </w:r>
            <w:r w:rsidR="009D7B75">
              <w:rPr>
                <w:snapToGrid/>
                <w:kern w:val="0"/>
                <w:szCs w:val="22"/>
              </w:rPr>
              <w:t>pril 16, 2018</w:t>
            </w:r>
          </w:p>
          <w:p w:rsidR="00872273" w:rsidRPr="009D7B75" w:rsidP="005D7D5F">
            <w:pPr>
              <w:widowControl/>
              <w:tabs>
                <w:tab w:val="left" w:pos="720"/>
                <w:tab w:val="left" w:pos="1440"/>
              </w:tabs>
              <w:rPr>
                <w:snapToGrid/>
                <w:kern w:val="0"/>
                <w:szCs w:val="22"/>
              </w:rPr>
            </w:pPr>
          </w:p>
          <w:p w:rsidR="00872273" w:rsidRPr="009D7B75" w:rsidP="005D7D5F">
            <w:pPr>
              <w:widowControl/>
              <w:tabs>
                <w:tab w:val="left" w:pos="720"/>
                <w:tab w:val="left" w:pos="1440"/>
              </w:tabs>
              <w:rPr>
                <w:snapToGrid/>
                <w:kern w:val="0"/>
                <w:szCs w:val="22"/>
              </w:rPr>
            </w:pPr>
          </w:p>
          <w:p w:rsidR="00872273" w:rsidRPr="009D7B75" w:rsidP="005D7D5F">
            <w:pPr>
              <w:widowControl/>
              <w:tabs>
                <w:tab w:val="left" w:pos="720"/>
                <w:tab w:val="left" w:pos="1440"/>
              </w:tabs>
              <w:rPr>
                <w:snapToGrid/>
                <w:kern w:val="0"/>
                <w:szCs w:val="22"/>
              </w:rPr>
            </w:pPr>
          </w:p>
        </w:tc>
      </w:tr>
    </w:tbl>
    <w:p w:rsidR="00543CA2" w:rsidP="00543CA2">
      <w:pPr>
        <w:ind w:left="3600" w:right="27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23BF">
      <w:r>
        <w:separator/>
      </w:r>
    </w:p>
  </w:footnote>
  <w:footnote w:type="continuationSeparator" w:id="1">
    <w:p w:rsidR="002723BF" w:rsidP="00C721AC">
      <w:pPr>
        <w:spacing w:before="120"/>
        <w:rPr>
          <w:sz w:val="20"/>
        </w:rPr>
      </w:pPr>
      <w:r>
        <w:rPr>
          <w:sz w:val="20"/>
        </w:rPr>
        <w:t xml:space="preserve">(Continued from previous page)  </w:t>
      </w:r>
      <w:r>
        <w:rPr>
          <w:sz w:val="20"/>
        </w:rPr>
        <w:separator/>
      </w:r>
    </w:p>
  </w:footnote>
  <w:footnote w:type="continuationNotice" w:id="2">
    <w:p w:rsidR="002723BF" w:rsidP="00C721AC">
      <w:pPr>
        <w:jc w:val="right"/>
        <w:rPr>
          <w:sz w:val="20"/>
        </w:rPr>
      </w:pPr>
      <w:r>
        <w:rPr>
          <w:sz w:val="20"/>
        </w:rPr>
        <w:t>(continued….)</w:t>
      </w:r>
    </w:p>
  </w:footnote>
  <w:footnote w:id="3">
    <w:p w:rsidR="00543CA2" w:rsidP="00240D4F">
      <w:pPr>
        <w:pStyle w:val="FootnoteText"/>
      </w:pPr>
      <w:r>
        <w:rPr>
          <w:rStyle w:val="FootnoteReference"/>
        </w:rPr>
        <w:footnoteRef/>
      </w:r>
      <w:r>
        <w:t xml:space="preserve"> </w:t>
      </w:r>
      <w:r w:rsidRPr="00D94CA7" w:rsidR="00240D4F">
        <w:rPr>
          <w:i/>
        </w:rPr>
        <w:t>See</w:t>
      </w:r>
      <w:r w:rsidR="00240D4F">
        <w:t xml:space="preserve"> Appendix</w:t>
      </w:r>
      <w:r>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rPr>
          <w:i/>
        </w:rPr>
        <w:t xml:space="preserve"> See </w:t>
      </w:r>
      <w:r>
        <w:t>Appendix.</w:t>
      </w:r>
    </w:p>
  </w:footnote>
  <w:footnote w:id="10">
    <w:p w:rsidR="00E11822" w:rsidP="00E11822">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1">
    <w:p w:rsidR="00562BA0">
      <w:pPr>
        <w:pStyle w:val="FootnoteText"/>
      </w:pPr>
      <w:r>
        <w:rPr>
          <w:rStyle w:val="FootnoteReference"/>
        </w:rPr>
        <w:footnoteRef/>
      </w:r>
      <w:r>
        <w:t xml:space="preserve"> </w:t>
      </w:r>
      <w:r w:rsidR="001A3542">
        <w:t xml:space="preserve">In one case, the verifier asks whether the person is authorized to make changes on the “phone service.”  </w:t>
      </w:r>
      <w:r w:rsidRPr="00562BA0">
        <w:rPr>
          <w:i/>
        </w:rPr>
        <w:t>See</w:t>
      </w:r>
      <w:r>
        <w:t xml:space="preserve"> Informal Complaint No. </w:t>
      </w:r>
      <w:r w:rsidR="001A3542">
        <w:t>829907</w:t>
      </w:r>
      <w:r>
        <w:t>.</w:t>
      </w:r>
    </w:p>
  </w:footnote>
  <w:footnote w:id="12">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3">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4">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5">
    <w:p w:rsidR="00293132" w:rsidP="00293132">
      <w:pPr>
        <w:pStyle w:val="FootnoteText"/>
      </w:pPr>
      <w:r>
        <w:rPr>
          <w:rStyle w:val="FootnoteReference"/>
        </w:rPr>
        <w:footnoteRef/>
      </w:r>
      <w:r>
        <w:t xml:space="preserve"> </w:t>
      </w:r>
      <w:r>
        <w:rPr>
          <w:i/>
        </w:rPr>
        <w:t>Id</w:t>
      </w:r>
      <w:r>
        <w:t>.</w:t>
      </w:r>
    </w:p>
  </w:footnote>
  <w:footnote w:id="16">
    <w:p w:rsidR="00543CA2" w:rsidP="00E11822">
      <w:pPr>
        <w:pStyle w:val="FootnoteText"/>
      </w:pPr>
      <w:r>
        <w:rPr>
          <w:rStyle w:val="FootnoteReference"/>
        </w:rPr>
        <w:footnoteRef/>
      </w:r>
      <w:r>
        <w:t xml:space="preserve"> If </w:t>
      </w:r>
      <w:r w:rsidR="00525E4A">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8">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9">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9627F9">
      <w:t>308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sidR="009627F9">
      <w:rPr>
        <w:spacing w:val="-2"/>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E05FE"/>
    <w:rsid w:val="000E3D42"/>
    <w:rsid w:val="00122BD5"/>
    <w:rsid w:val="00133F79"/>
    <w:rsid w:val="00142D97"/>
    <w:rsid w:val="00154175"/>
    <w:rsid w:val="0018583C"/>
    <w:rsid w:val="00194A66"/>
    <w:rsid w:val="001A3542"/>
    <w:rsid w:val="001D6BCF"/>
    <w:rsid w:val="001E01CA"/>
    <w:rsid w:val="00240D4F"/>
    <w:rsid w:val="002723BF"/>
    <w:rsid w:val="00275CF5"/>
    <w:rsid w:val="0028301F"/>
    <w:rsid w:val="00285017"/>
    <w:rsid w:val="00293132"/>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5E4A"/>
    <w:rsid w:val="00543CA2"/>
    <w:rsid w:val="005457D3"/>
    <w:rsid w:val="0055614C"/>
    <w:rsid w:val="00562BA0"/>
    <w:rsid w:val="00566D06"/>
    <w:rsid w:val="005B397C"/>
    <w:rsid w:val="005D7D5F"/>
    <w:rsid w:val="005E14C2"/>
    <w:rsid w:val="00607BA5"/>
    <w:rsid w:val="0061180A"/>
    <w:rsid w:val="00626EB6"/>
    <w:rsid w:val="00653081"/>
    <w:rsid w:val="00655D03"/>
    <w:rsid w:val="00681A1E"/>
    <w:rsid w:val="00683388"/>
    <w:rsid w:val="00683F84"/>
    <w:rsid w:val="006A6A81"/>
    <w:rsid w:val="006E3575"/>
    <w:rsid w:val="006F46B2"/>
    <w:rsid w:val="006F7393"/>
    <w:rsid w:val="0070224F"/>
    <w:rsid w:val="007115F7"/>
    <w:rsid w:val="00763CD4"/>
    <w:rsid w:val="0076720F"/>
    <w:rsid w:val="00785689"/>
    <w:rsid w:val="0079754B"/>
    <w:rsid w:val="007A1E6D"/>
    <w:rsid w:val="007B0EB2"/>
    <w:rsid w:val="00810B6F"/>
    <w:rsid w:val="00822CE0"/>
    <w:rsid w:val="008403C5"/>
    <w:rsid w:val="00841AB1"/>
    <w:rsid w:val="00872273"/>
    <w:rsid w:val="008B6AE4"/>
    <w:rsid w:val="008C68F1"/>
    <w:rsid w:val="00921803"/>
    <w:rsid w:val="00926503"/>
    <w:rsid w:val="00947CE3"/>
    <w:rsid w:val="009627F9"/>
    <w:rsid w:val="009726D8"/>
    <w:rsid w:val="009D7308"/>
    <w:rsid w:val="009D7B75"/>
    <w:rsid w:val="009E3DF7"/>
    <w:rsid w:val="009E741A"/>
    <w:rsid w:val="009F76DB"/>
    <w:rsid w:val="00A15D6E"/>
    <w:rsid w:val="00A32C3B"/>
    <w:rsid w:val="00A45F4F"/>
    <w:rsid w:val="00A600A9"/>
    <w:rsid w:val="00A771A0"/>
    <w:rsid w:val="00A8671C"/>
    <w:rsid w:val="00AA55B7"/>
    <w:rsid w:val="00AA5B9E"/>
    <w:rsid w:val="00AB2407"/>
    <w:rsid w:val="00AB53DF"/>
    <w:rsid w:val="00AD7D33"/>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51455"/>
    <w:rsid w:val="00E5409F"/>
    <w:rsid w:val="00E66984"/>
    <w:rsid w:val="00E84D1A"/>
    <w:rsid w:val="00EA0FE3"/>
    <w:rsid w:val="00EE17E7"/>
    <w:rsid w:val="00EE6488"/>
    <w:rsid w:val="00EF03A1"/>
    <w:rsid w:val="00F021FA"/>
    <w:rsid w:val="00F043B3"/>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