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rsidP="00C843FB">
      <w:pPr>
        <w:widowControl/>
        <w:jc w:val="center"/>
        <w:rPr>
          <w:b/>
        </w:rPr>
      </w:pPr>
      <w:r w:rsidRPr="0070224F">
        <w:rPr>
          <w:rFonts w:ascii="Times New Roman Bold" w:hAnsi="Times New Roman Bold"/>
          <w:b/>
          <w:kern w:val="0"/>
          <w:szCs w:val="22"/>
        </w:rPr>
        <w:t>Before</w:t>
      </w:r>
      <w:r>
        <w:rPr>
          <w:b/>
        </w:rPr>
        <w:t xml:space="preserve"> the</w:t>
      </w:r>
    </w:p>
    <w:p w:rsidR="00921803" w:rsidP="00C843FB">
      <w:pPr>
        <w:pStyle w:val="StyleBoldCentered"/>
        <w:widowControl/>
      </w:pPr>
      <w:r>
        <w:t>F</w:t>
      </w:r>
      <w:r>
        <w:rPr>
          <w:caps w:val="0"/>
        </w:rPr>
        <w:t>ederal Communications Commission</w:t>
      </w:r>
    </w:p>
    <w:p w:rsidR="004C2EE3" w:rsidP="00C843FB">
      <w:pPr>
        <w:pStyle w:val="StyleBoldCentered"/>
        <w:widowControl/>
      </w:pPr>
      <w:r>
        <w:rPr>
          <w:caps w:val="0"/>
        </w:rPr>
        <w:t>Washington, D.C. 20554</w:t>
      </w:r>
    </w:p>
    <w:p w:rsidR="004C2EE3" w:rsidP="00C843FB">
      <w:pPr>
        <w:widowControl/>
      </w:pPr>
    </w:p>
    <w:p w:rsidR="004C2EE3" w:rsidP="00C843FB">
      <w:pPr>
        <w:widowControl/>
      </w:pPr>
    </w:p>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rsidP="00C843FB">
            <w:pPr>
              <w:widowControl/>
              <w:tabs>
                <w:tab w:val="center" w:pos="4680"/>
              </w:tabs>
              <w:suppressAutoHyphens/>
              <w:rPr>
                <w:spacing w:val="-2"/>
              </w:rPr>
            </w:pPr>
            <w:r>
              <w:rPr>
                <w:spacing w:val="-2"/>
              </w:rPr>
              <w:t>In the Matter of</w:t>
            </w:r>
          </w:p>
          <w:p w:rsidR="004C2EE3" w:rsidP="00C843FB">
            <w:pPr>
              <w:widowControl/>
              <w:tabs>
                <w:tab w:val="center" w:pos="4680"/>
              </w:tabs>
              <w:suppressAutoHyphens/>
              <w:rPr>
                <w:spacing w:val="-2"/>
              </w:rPr>
            </w:pPr>
          </w:p>
          <w:p w:rsidR="00CB7CCC" w:rsidP="00C843FB">
            <w:pPr>
              <w:widowControl/>
              <w:tabs>
                <w:tab w:val="center" w:pos="4680"/>
              </w:tabs>
              <w:suppressAutoHyphens/>
              <w:rPr>
                <w:spacing w:val="-2"/>
              </w:rPr>
            </w:pPr>
            <w:r w:rsidRPr="00EC508D">
              <w:rPr>
                <w:spacing w:val="-2"/>
              </w:rPr>
              <w:t>ST. CROIX, COUNTY OF</w:t>
            </w:r>
          </w:p>
          <w:p w:rsidR="00EC508D" w:rsidRPr="002E27B5" w:rsidP="00C843FB">
            <w:pPr>
              <w:widowControl/>
              <w:tabs>
                <w:tab w:val="center" w:pos="4680"/>
              </w:tabs>
              <w:suppressAutoHyphens/>
              <w:rPr>
                <w:spacing w:val="-2"/>
              </w:rPr>
            </w:pPr>
          </w:p>
          <w:p w:rsidR="00EC508D" w:rsidP="00C843FB">
            <w:pPr>
              <w:widowControl/>
              <w:tabs>
                <w:tab w:val="center" w:pos="4680"/>
              </w:tabs>
              <w:suppressAutoHyphens/>
              <w:rPr>
                <w:spacing w:val="-2"/>
              </w:rPr>
            </w:pPr>
            <w:r w:rsidRPr="00CB7CCC">
              <w:rPr>
                <w:spacing w:val="-2"/>
              </w:rPr>
              <w:t xml:space="preserve">Request For Waiver of </w:t>
            </w:r>
            <w:r w:rsidRPr="00EC508D">
              <w:rPr>
                <w:spacing w:val="-2"/>
              </w:rPr>
              <w:t>Sections 90.20(d</w:t>
            </w:r>
            <w:r w:rsidRPr="00EC508D">
              <w:rPr>
                <w:spacing w:val="-2"/>
              </w:rPr>
              <w:t>)(</w:t>
            </w:r>
            <w:r w:rsidRPr="00EC508D">
              <w:rPr>
                <w:spacing w:val="-2"/>
              </w:rPr>
              <w:t xml:space="preserve">13) </w:t>
            </w:r>
          </w:p>
          <w:p w:rsidR="004C2EE3" w:rsidRPr="007115F7" w:rsidP="00C843FB">
            <w:pPr>
              <w:widowControl/>
              <w:tabs>
                <w:tab w:val="center" w:pos="4680"/>
              </w:tabs>
              <w:suppressAutoHyphens/>
              <w:rPr>
                <w:spacing w:val="-2"/>
              </w:rPr>
            </w:pPr>
            <w:r w:rsidRPr="00EC508D">
              <w:rPr>
                <w:spacing w:val="-2"/>
              </w:rPr>
              <w:t>and 90.20(d)(45)</w:t>
            </w:r>
            <w:r>
              <w:rPr>
                <w:spacing w:val="-2"/>
              </w:rPr>
              <w:t xml:space="preserve"> </w:t>
            </w:r>
            <w:r w:rsidRPr="00CB7CCC" w:rsidR="00CB7CCC">
              <w:rPr>
                <w:spacing w:val="-2"/>
              </w:rPr>
              <w:t>of the Commission’s Rules</w:t>
            </w:r>
          </w:p>
        </w:tc>
        <w:tc>
          <w:tcPr>
            <w:tcW w:w="630" w:type="dxa"/>
          </w:tcPr>
          <w:p w:rsidR="004C2EE3" w:rsidP="00C843FB">
            <w:pPr>
              <w:widowControl/>
              <w:tabs>
                <w:tab w:val="center" w:pos="4680"/>
              </w:tabs>
              <w:suppressAutoHyphens/>
              <w:rPr>
                <w:b/>
                <w:spacing w:val="-2"/>
              </w:rPr>
            </w:pPr>
            <w:r>
              <w:rPr>
                <w:b/>
                <w:spacing w:val="-2"/>
              </w:rPr>
              <w:t>)</w:t>
            </w:r>
          </w:p>
          <w:p w:rsidR="004C2EE3" w:rsidP="00C843FB">
            <w:pPr>
              <w:widowControl/>
              <w:tabs>
                <w:tab w:val="center" w:pos="4680"/>
              </w:tabs>
              <w:suppressAutoHyphens/>
              <w:rPr>
                <w:b/>
                <w:spacing w:val="-2"/>
              </w:rPr>
            </w:pPr>
            <w:r>
              <w:rPr>
                <w:b/>
                <w:spacing w:val="-2"/>
              </w:rPr>
              <w:t>)</w:t>
            </w:r>
          </w:p>
          <w:p w:rsidR="004C2EE3" w:rsidP="00C843FB">
            <w:pPr>
              <w:widowControl/>
              <w:tabs>
                <w:tab w:val="center" w:pos="4680"/>
              </w:tabs>
              <w:suppressAutoHyphens/>
              <w:rPr>
                <w:b/>
                <w:spacing w:val="-2"/>
              </w:rPr>
            </w:pPr>
            <w:r>
              <w:rPr>
                <w:b/>
                <w:spacing w:val="-2"/>
              </w:rPr>
              <w:t>)</w:t>
            </w:r>
          </w:p>
          <w:p w:rsidR="004C2EE3" w:rsidP="00C843FB">
            <w:pPr>
              <w:widowControl/>
              <w:tabs>
                <w:tab w:val="center" w:pos="4680"/>
              </w:tabs>
              <w:suppressAutoHyphens/>
              <w:rPr>
                <w:b/>
                <w:spacing w:val="-2"/>
              </w:rPr>
            </w:pPr>
            <w:r>
              <w:rPr>
                <w:b/>
                <w:spacing w:val="-2"/>
              </w:rPr>
              <w:t>)</w:t>
            </w:r>
          </w:p>
          <w:p w:rsidR="004C2EE3" w:rsidP="00C843FB">
            <w:pPr>
              <w:widowControl/>
              <w:tabs>
                <w:tab w:val="center" w:pos="4680"/>
              </w:tabs>
              <w:suppressAutoHyphens/>
              <w:rPr>
                <w:b/>
                <w:spacing w:val="-2"/>
              </w:rPr>
            </w:pPr>
            <w:r>
              <w:rPr>
                <w:b/>
                <w:spacing w:val="-2"/>
              </w:rPr>
              <w:t>)</w:t>
            </w:r>
          </w:p>
          <w:p w:rsidR="004C2EE3" w:rsidRPr="002E0B5A" w:rsidP="00C843FB">
            <w:pPr>
              <w:widowControl/>
              <w:tabs>
                <w:tab w:val="center" w:pos="4680"/>
              </w:tabs>
              <w:suppressAutoHyphens/>
              <w:rPr>
                <w:b/>
                <w:spacing w:val="-2"/>
              </w:rPr>
            </w:pPr>
            <w:r>
              <w:rPr>
                <w:b/>
                <w:spacing w:val="-2"/>
              </w:rPr>
              <w:t>)</w:t>
            </w:r>
          </w:p>
        </w:tc>
        <w:tc>
          <w:tcPr>
            <w:tcW w:w="4248" w:type="dxa"/>
          </w:tcPr>
          <w:p w:rsidR="004C2EE3" w:rsidP="00C843FB">
            <w:pPr>
              <w:widowControl/>
              <w:tabs>
                <w:tab w:val="center" w:pos="4680"/>
              </w:tabs>
              <w:suppressAutoHyphens/>
              <w:rPr>
                <w:spacing w:val="-2"/>
              </w:rPr>
            </w:pPr>
          </w:p>
          <w:p w:rsidR="004C2EE3" w:rsidP="00C843FB">
            <w:pPr>
              <w:pStyle w:val="TOAHeading"/>
              <w:widowControl/>
              <w:tabs>
                <w:tab w:val="center" w:pos="4680"/>
                <w:tab w:val="clear" w:pos="9360"/>
              </w:tabs>
              <w:rPr>
                <w:spacing w:val="-2"/>
              </w:rPr>
            </w:pPr>
          </w:p>
          <w:p w:rsidR="004C2EE3" w:rsidP="00C843FB">
            <w:pPr>
              <w:widowControl/>
              <w:tabs>
                <w:tab w:val="center" w:pos="4680"/>
              </w:tabs>
              <w:suppressAutoHyphens/>
              <w:rPr>
                <w:spacing w:val="-2"/>
              </w:rPr>
            </w:pPr>
            <w:r w:rsidRPr="002E27B5">
              <w:rPr>
                <w:spacing w:val="-2"/>
              </w:rPr>
              <w:t>File No</w:t>
            </w:r>
            <w:r w:rsidR="00EC508D">
              <w:rPr>
                <w:spacing w:val="-2"/>
              </w:rPr>
              <w:t>s</w:t>
            </w:r>
            <w:r w:rsidRPr="002E27B5">
              <w:rPr>
                <w:spacing w:val="-2"/>
              </w:rPr>
              <w:t>.</w:t>
            </w:r>
            <w:r w:rsidR="002D025A">
              <w:rPr>
                <w:spacing w:val="-2"/>
              </w:rPr>
              <w:t xml:space="preserve"> </w:t>
            </w:r>
            <w:r w:rsidRPr="00EC508D" w:rsidR="00EC508D">
              <w:rPr>
                <w:spacing w:val="-2"/>
              </w:rPr>
              <w:t>0008220219 and 0008220853</w:t>
            </w:r>
          </w:p>
        </w:tc>
      </w:tr>
    </w:tbl>
    <w:p w:rsidR="004C2EE3" w:rsidP="00C843FB">
      <w:pPr>
        <w:widowControl/>
      </w:pPr>
    </w:p>
    <w:p w:rsidR="00841AB1" w:rsidP="00C843FB">
      <w:pPr>
        <w:pStyle w:val="StyleBoldCentered"/>
        <w:widowControl/>
      </w:pPr>
      <w:r w:rsidRPr="002E27B5">
        <w:t>ORDER</w:t>
      </w:r>
    </w:p>
    <w:p w:rsidR="004C2EE3" w:rsidP="00C843FB">
      <w:pPr>
        <w:widowControl/>
        <w:tabs>
          <w:tab w:val="left" w:pos="-720"/>
        </w:tabs>
        <w:suppressAutoHyphens/>
        <w:spacing w:line="227" w:lineRule="auto"/>
        <w:rPr>
          <w:spacing w:val="-2"/>
        </w:rPr>
      </w:pPr>
    </w:p>
    <w:p w:rsidR="004C2EE3" w:rsidP="0034769F">
      <w:pPr>
        <w:widowControl/>
        <w:tabs>
          <w:tab w:val="left" w:pos="720"/>
          <w:tab w:val="right" w:pos="9360"/>
        </w:tabs>
        <w:suppressAutoHyphens/>
        <w:spacing w:line="227" w:lineRule="auto"/>
        <w:rPr>
          <w:spacing w:val="-2"/>
        </w:rPr>
      </w:pPr>
      <w:r>
        <w:rPr>
          <w:b/>
          <w:spacing w:val="-2"/>
        </w:rPr>
        <w:t xml:space="preserve">Adopted:  </w:t>
      </w:r>
      <w:r w:rsidR="000C311B">
        <w:rPr>
          <w:b/>
          <w:spacing w:val="-2"/>
        </w:rPr>
        <w:t>April 24</w:t>
      </w:r>
      <w:r w:rsidR="00721BA5">
        <w:rPr>
          <w:b/>
          <w:spacing w:val="-2"/>
        </w:rPr>
        <w:t xml:space="preserve">, </w:t>
      </w:r>
      <w:r w:rsidR="002E0B5A">
        <w:rPr>
          <w:b/>
          <w:spacing w:val="-2"/>
        </w:rPr>
        <w:t>201</w:t>
      </w:r>
      <w:r w:rsidR="005B5F4D">
        <w:rPr>
          <w:b/>
          <w:spacing w:val="-2"/>
        </w:rPr>
        <w:t>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C311B">
        <w:rPr>
          <w:b/>
          <w:spacing w:val="-2"/>
        </w:rPr>
        <w:t>April 25</w:t>
      </w:r>
      <w:r w:rsidR="002E0B5A">
        <w:rPr>
          <w:b/>
          <w:spacing w:val="-2"/>
        </w:rPr>
        <w:t>, 201</w:t>
      </w:r>
      <w:r w:rsidR="005B5F4D">
        <w:rPr>
          <w:b/>
          <w:spacing w:val="-2"/>
        </w:rPr>
        <w:t>9</w:t>
      </w:r>
    </w:p>
    <w:p w:rsidR="00822CE0" w:rsidP="0034769F">
      <w:pPr>
        <w:widowControl/>
      </w:pPr>
    </w:p>
    <w:p w:rsidR="00412FC5" w:rsidP="0034769F">
      <w:pPr>
        <w:widowControl/>
        <w:rPr>
          <w:spacing w:val="-2"/>
        </w:rPr>
      </w:pPr>
      <w:r w:rsidRPr="002E27B5">
        <w:t>By the Chief, Policy and Licensing Division, Public Safe</w:t>
      </w:r>
      <w:r>
        <w:t>ty and Homeland Security Bureau</w:t>
      </w:r>
      <w:r w:rsidR="004C2EE3">
        <w:rPr>
          <w:spacing w:val="-2"/>
        </w:rPr>
        <w:t>:</w:t>
      </w:r>
    </w:p>
    <w:p w:rsidR="009E55AF" w:rsidP="0034769F">
      <w:pPr>
        <w:widowControl/>
      </w:pPr>
    </w:p>
    <w:p w:rsidR="002C00E8" w:rsidP="0034769F">
      <w:pPr>
        <w:pStyle w:val="Heading1"/>
        <w:widowControl/>
      </w:pPr>
      <w:r>
        <w:t>introduction</w:t>
      </w:r>
      <w:r w:rsidR="005B5F4D">
        <w:t xml:space="preserve"> </w:t>
      </w:r>
    </w:p>
    <w:p w:rsidR="00727F2A" w:rsidP="00027C4A">
      <w:pPr>
        <w:pStyle w:val="ParaNum"/>
      </w:pPr>
      <w:r>
        <w:t xml:space="preserve">St. Croix </w:t>
      </w:r>
      <w:r w:rsidR="005B5F4D">
        <w:t xml:space="preserve">County, Wisconsin (St. Croix) </w:t>
      </w:r>
      <w:r>
        <w:t xml:space="preserve">filed two </w:t>
      </w:r>
      <w:r w:rsidR="00B228E5">
        <w:t xml:space="preserve">license </w:t>
      </w:r>
      <w:r>
        <w:t>applications</w:t>
      </w:r>
      <w:r>
        <w:rPr>
          <w:rStyle w:val="FootnoteReference"/>
        </w:rPr>
        <w:footnoteReference w:id="3"/>
      </w:r>
      <w:r w:rsidR="005B5F4D">
        <w:t xml:space="preserve"> </w:t>
      </w:r>
      <w:r>
        <w:t xml:space="preserve">to </w:t>
      </w:r>
      <w:r w:rsidR="00B228E5">
        <w:t xml:space="preserve">add </w:t>
      </w:r>
      <w:r w:rsidRPr="00AB6E20" w:rsidR="0034769F">
        <w:t xml:space="preserve">frequency 157.450 MHz </w:t>
      </w:r>
      <w:r w:rsidR="0034769F">
        <w:t xml:space="preserve">as </w:t>
      </w:r>
      <w:r>
        <w:t>a repeater output channel to the base stations comprising its VHF simulcast Private Land Mobile Radio (PLMR) system.</w:t>
      </w:r>
      <w:r>
        <w:rPr>
          <w:rStyle w:val="FootnoteReference"/>
        </w:rPr>
        <w:footnoteReference w:id="4"/>
      </w:r>
      <w:r>
        <w:t xml:space="preserve">  </w:t>
      </w:r>
      <w:r w:rsidRPr="00505EF7" w:rsidR="00ED0C07">
        <w:t xml:space="preserve">St. Croix seeks </w:t>
      </w:r>
      <w:bookmarkStart w:id="0" w:name="_Hlk277585"/>
      <w:r w:rsidRPr="00505EF7" w:rsidR="00ED0C07">
        <w:t>a waiver of Section 90.20(d)(13)</w:t>
      </w:r>
      <w:r w:rsidR="00ED0C07">
        <w:t xml:space="preserve"> </w:t>
      </w:r>
      <w:r w:rsidRPr="00505EF7" w:rsidR="00ED0C07">
        <w:t>so it can deploy frequency 157.450 MHz for base-to-mobile voice communications rather than paging transmissions</w:t>
      </w:r>
      <w:r w:rsidR="00ED0C07">
        <w:t>.</w:t>
      </w:r>
      <w:r>
        <w:rPr>
          <w:rStyle w:val="FootnoteReference"/>
        </w:rPr>
        <w:footnoteReference w:id="5"/>
      </w:r>
      <w:r w:rsidR="00ED0C07">
        <w:t xml:space="preserve">  </w:t>
      </w:r>
      <w:r w:rsidRPr="006C3729" w:rsidR="00ED0C07">
        <w:t xml:space="preserve">St. Croix </w:t>
      </w:r>
      <w:r w:rsidR="00ED0C07">
        <w:t xml:space="preserve">also </w:t>
      </w:r>
      <w:r w:rsidRPr="006C3729" w:rsidR="00ED0C07">
        <w:t xml:space="preserve">seeks a waiver of Section 90.20(d)(45) </w:t>
      </w:r>
      <w:r w:rsidR="00ED0C07">
        <w:t xml:space="preserve">so it can </w:t>
      </w:r>
      <w:r w:rsidRPr="006C3729" w:rsidR="00ED0C07">
        <w:t xml:space="preserve">operate </w:t>
      </w:r>
      <w:r w:rsidR="00ED0C07">
        <w:t xml:space="preserve">on the frequency </w:t>
      </w:r>
      <w:r w:rsidRPr="006C3729" w:rsidR="00ED0C07">
        <w:t>with a maximum transmitter output power of 100 watts.</w:t>
      </w:r>
      <w:r>
        <w:rPr>
          <w:rStyle w:val="FootnoteReference"/>
        </w:rPr>
        <w:footnoteReference w:id="6"/>
      </w:r>
      <w:r w:rsidR="00ED0C07">
        <w:t xml:space="preserve">  </w:t>
      </w:r>
      <w:r w:rsidR="00CA7C2F">
        <w:t xml:space="preserve">For the reasons provided below, we grant the request.  </w:t>
      </w:r>
    </w:p>
    <w:bookmarkEnd w:id="0"/>
    <w:p w:rsidR="008F26EA" w:rsidP="008F26EA">
      <w:pPr>
        <w:pStyle w:val="Heading1"/>
        <w:widowControl/>
      </w:pPr>
      <w:r>
        <w:t>Background</w:t>
      </w:r>
    </w:p>
    <w:p w:rsidR="0034769F" w:rsidP="00727F2A">
      <w:pPr>
        <w:pStyle w:val="ParaNum"/>
        <w:widowControl/>
      </w:pPr>
      <w:r>
        <w:t xml:space="preserve">In a statement attached to its applications, St. Croix represents that its simulcast system provides public safety dispatching service for “Fire, Emergency Medical Service (EMS), Rescue and Law Enforcement agencies” within the county and that it needs additional capacity to meet </w:t>
      </w:r>
      <w:r w:rsidR="00FF4E27">
        <w:t xml:space="preserve">the </w:t>
      </w:r>
      <w:r>
        <w:t>“current and future communication needs” of its users.</w:t>
      </w:r>
      <w:r>
        <w:rPr>
          <w:rStyle w:val="FootnoteReference"/>
        </w:rPr>
        <w:footnoteReference w:id="7"/>
      </w:r>
      <w:r w:rsidR="00727F2A">
        <w:t xml:space="preserve">  </w:t>
      </w:r>
      <w:r w:rsidRPr="00AB6E20">
        <w:t>St. Croix asserts that frequency 157.450 MHz is the “best choice” for deploying a new repeater output channel at each of the base stations in its county-wide simulcast system.</w:t>
      </w:r>
      <w:r>
        <w:rPr>
          <w:rStyle w:val="FootnoteReference"/>
        </w:rPr>
        <w:footnoteReference w:id="8"/>
      </w:r>
      <w:r>
        <w:t xml:space="preserve">  </w:t>
      </w:r>
      <w:r w:rsidRPr="00AB6E20">
        <w:t>It contends that frequency 157.450 MHz is a “currently underutilized” channel in and around the county.</w:t>
      </w:r>
      <w:r>
        <w:rPr>
          <w:rStyle w:val="FootnoteReference"/>
        </w:rPr>
        <w:footnoteReference w:id="9"/>
      </w:r>
      <w:r>
        <w:t xml:space="preserve">  </w:t>
      </w:r>
      <w:r w:rsidRPr="00AB6E20">
        <w:t xml:space="preserve">For example, it states it found no other licensee operating on </w:t>
      </w:r>
      <w:r w:rsidR="002F0A20">
        <w:t>frequency</w:t>
      </w:r>
      <w:r w:rsidRPr="00AB6E20">
        <w:t xml:space="preserve"> 157.450 </w:t>
      </w:r>
      <w:r w:rsidRPr="00AB6E20">
        <w:t>MHz within 100 miles of the county border.</w:t>
      </w:r>
      <w:r>
        <w:rPr>
          <w:rStyle w:val="FootnoteReference"/>
        </w:rPr>
        <w:footnoteReference w:id="10"/>
      </w:r>
      <w:r>
        <w:t xml:space="preserve">  </w:t>
      </w:r>
      <w:r w:rsidRPr="00AB6E20">
        <w:t>By contrast, St Croix says all other channels considered in its frequency search reflected “heavier usage.”</w:t>
      </w:r>
      <w:r>
        <w:rPr>
          <w:rStyle w:val="FootnoteReference"/>
        </w:rPr>
        <w:footnoteReference w:id="11"/>
      </w:r>
      <w:r w:rsidR="005D7259">
        <w:t xml:space="preserve">  </w:t>
      </w:r>
    </w:p>
    <w:p w:rsidR="00727F2A" w:rsidP="0034769F">
      <w:pPr>
        <w:pStyle w:val="ParaNum"/>
        <w:widowControl/>
      </w:pPr>
      <w:r>
        <w:t xml:space="preserve">In </w:t>
      </w:r>
      <w:r w:rsidR="0034769F">
        <w:t xml:space="preserve">support of </w:t>
      </w:r>
      <w:r>
        <w:t xml:space="preserve">its waiver request, </w:t>
      </w:r>
      <w:r w:rsidRPr="005D7259">
        <w:t xml:space="preserve">St. Croix </w:t>
      </w:r>
      <w:r w:rsidR="0034769F">
        <w:t xml:space="preserve">contends </w:t>
      </w:r>
      <w:r w:rsidRPr="005D7259">
        <w:t>there is “no better” or “more suitable” frequency within the Public Safety Pool to “fulfi</w:t>
      </w:r>
      <w:r w:rsidR="00285619">
        <w:t>l</w:t>
      </w:r>
      <w:r w:rsidRPr="005D7259">
        <w:t>l its public safety mission.”</w:t>
      </w:r>
      <w:r>
        <w:rPr>
          <w:rStyle w:val="FootnoteReference"/>
        </w:rPr>
        <w:footnoteReference w:id="12"/>
      </w:r>
      <w:r w:rsidR="008A0474">
        <w:t xml:space="preserve">  </w:t>
      </w:r>
      <w:r w:rsidR="0034769F">
        <w:t xml:space="preserve">It </w:t>
      </w:r>
      <w:r w:rsidR="00B228E5">
        <w:t xml:space="preserve">also </w:t>
      </w:r>
      <w:r w:rsidR="0034769F">
        <w:t xml:space="preserve">argues </w:t>
      </w:r>
      <w:r w:rsidRPr="00BF1D7B" w:rsidR="0034769F">
        <w:t>it would be contrary to the public interest to allow frequency 157.450 MHz to “remain unused while a pressing need for its use exists for alternative types of critical public safety communications.”</w:t>
      </w:r>
      <w:r>
        <w:rPr>
          <w:rStyle w:val="FootnoteReference"/>
        </w:rPr>
        <w:footnoteReference w:id="13"/>
      </w:r>
      <w:r w:rsidR="0034769F">
        <w:t xml:space="preserve"> </w:t>
      </w:r>
    </w:p>
    <w:p w:rsidR="006E582A" w:rsidP="005C00DD">
      <w:pPr>
        <w:pStyle w:val="ParaNum"/>
        <w:widowControl/>
      </w:pPr>
      <w:r w:rsidRPr="00082300">
        <w:t xml:space="preserve">St Croix includes with its applications a letter from its frequency coordinator, the International Municipal Signal Association (IMSA), confirming that IMSA recommended </w:t>
      </w:r>
      <w:r w:rsidR="002F0A20">
        <w:t>frequency</w:t>
      </w:r>
      <w:r w:rsidRPr="00082300">
        <w:t xml:space="preserve"> 157.450 MHz </w:t>
      </w:r>
      <w:r w:rsidR="00FF4E27">
        <w:t>a</w:t>
      </w:r>
      <w:r w:rsidRPr="00082300">
        <w:t>s the best available frequency for St. Croix’s proposed operation.</w:t>
      </w:r>
      <w:r>
        <w:rPr>
          <w:rStyle w:val="FootnoteReference"/>
        </w:rPr>
        <w:footnoteReference w:id="14"/>
      </w:r>
      <w:r>
        <w:t xml:space="preserve">  </w:t>
      </w:r>
      <w:r w:rsidRPr="00015A45" w:rsidR="00015A45">
        <w:t>In its letter, IMSA states: “there are no normally-assignable VHF public safety pool frequencies that can be readily assigned as the fourth simulcast base station frequency to [St Croix].</w:t>
      </w:r>
      <w:r w:rsidR="002F0A20">
        <w:t>”</w:t>
      </w:r>
      <w:r>
        <w:rPr>
          <w:rStyle w:val="FootnoteReference"/>
        </w:rPr>
        <w:footnoteReference w:id="15"/>
      </w:r>
      <w:r w:rsidR="00015A45">
        <w:t xml:space="preserve">  </w:t>
      </w:r>
      <w:r w:rsidRPr="00015A45" w:rsidR="00015A45">
        <w:t>IMSA says it analyzed channels from the Public Safety pool but found frequency 157.450 MHz “to be the only frequency available in the VHF public safety pool that can successfully meet frequency coordination methods and reasonable equipment/engineering constraints” for assignment at all eleven fixed locations in St. Croix’s simulcast system.</w:t>
      </w:r>
      <w:r>
        <w:rPr>
          <w:rStyle w:val="FootnoteReference"/>
        </w:rPr>
        <w:footnoteReference w:id="16"/>
      </w:r>
      <w:r w:rsidR="00BF1D7B">
        <w:t xml:space="preserve">  </w:t>
      </w:r>
    </w:p>
    <w:p w:rsidR="00253E0A" w:rsidP="00367255">
      <w:pPr>
        <w:pStyle w:val="ParaNum"/>
      </w:pPr>
      <w:r>
        <w:t>The Public Safety and Homeland Security Bureau (Bureau) issued a public notice</w:t>
      </w:r>
      <w:r w:rsidRPr="00BF1D7B" w:rsidR="00BF1D7B">
        <w:t xml:space="preserve"> </w:t>
      </w:r>
      <w:r>
        <w:t>o</w:t>
      </w:r>
      <w:r w:rsidR="00BF1D7B">
        <w:t>n October 22, 2018 seeking comment on St. Croix’s applications and waiver request.</w:t>
      </w:r>
      <w:r>
        <w:rPr>
          <w:rStyle w:val="FootnoteReference"/>
        </w:rPr>
        <w:footnoteReference w:id="17"/>
      </w:r>
      <w:r w:rsidR="00BF1D7B">
        <w:t xml:space="preserve">  </w:t>
      </w:r>
      <w:r w:rsidR="002F0A20">
        <w:t>T</w:t>
      </w:r>
      <w:r w:rsidR="00367255">
        <w:t xml:space="preserve">he Bureau asked for comment from </w:t>
      </w:r>
      <w:r w:rsidRPr="00367255" w:rsidR="00367255">
        <w:t xml:space="preserve">any party that would be adversely affected by St. Croix’s </w:t>
      </w:r>
      <w:r w:rsidR="00367255">
        <w:t xml:space="preserve">proposal to </w:t>
      </w:r>
      <w:r w:rsidRPr="00367255" w:rsidR="00367255">
        <w:t xml:space="preserve">use frequency 157.450 MHz for voice rather than paging transmissions </w:t>
      </w:r>
      <w:r w:rsidR="00367255">
        <w:t>and to operate at 100 watts transmitter output power.</w:t>
      </w:r>
      <w:r>
        <w:rPr>
          <w:rStyle w:val="FootnoteReference"/>
        </w:rPr>
        <w:footnoteReference w:id="18"/>
      </w:r>
      <w:r w:rsidR="00367255">
        <w:t xml:space="preserve">  </w:t>
      </w:r>
      <w:r w:rsidR="00BF1D7B">
        <w:t>The Bureau received no comments in response to its public notice.</w:t>
      </w:r>
      <w:r w:rsidR="00727F2A">
        <w:t xml:space="preserve">  </w:t>
      </w:r>
      <w:r w:rsidR="00BF1D7B">
        <w:t xml:space="preserve">  </w:t>
      </w:r>
    </w:p>
    <w:p w:rsidR="00320119" w:rsidP="0034769F">
      <w:pPr>
        <w:pStyle w:val="Heading1"/>
        <w:widowControl/>
      </w:pPr>
      <w:r>
        <w:t>Discussion</w:t>
      </w:r>
    </w:p>
    <w:p w:rsidR="00F66F2F" w:rsidRPr="00F66F2F" w:rsidP="0034769F">
      <w:pPr>
        <w:pStyle w:val="ParaNum"/>
        <w:widowControl/>
      </w:pPr>
      <w:r w:rsidRPr="00351121">
        <w:rPr>
          <w:spacing w:val="-2"/>
        </w:rPr>
        <w:t>To obtain a waiver of the Commission’s Rules, a petitioner must demonstrate either that (</w:t>
      </w:r>
      <w:r w:rsidRPr="00351121">
        <w:rPr>
          <w:spacing w:val="-2"/>
        </w:rPr>
        <w:t>i</w:t>
      </w:r>
      <w:r w:rsidRPr="00351121">
        <w:rPr>
          <w:spacing w:val="-2"/>
        </w:rPr>
        <w:t>) the underlying purpose of the rule(s) would not be served or would be frustrated by application to the present case, and that a grant of the waiver would be in the public interest;</w:t>
      </w:r>
      <w:r>
        <w:rPr>
          <w:spacing w:val="-2"/>
          <w:vertAlign w:val="superscript"/>
        </w:rPr>
        <w:footnoteReference w:id="19"/>
      </w:r>
      <w:r w:rsidRPr="00351121">
        <w:rPr>
          <w:spacing w:val="-2"/>
        </w:rPr>
        <w:t xml:space="preserve"> or (ii) in view of unique or unusual factual circumstances of the instant case, application of the rule(s) would be inequitable, unduly burdensome, or contrary to the public interest, or the applicant has no reasonable alternative.</w:t>
      </w:r>
      <w:r>
        <w:rPr>
          <w:spacing w:val="-2"/>
          <w:vertAlign w:val="superscript"/>
        </w:rPr>
        <w:footnoteReference w:id="20"/>
      </w:r>
      <w:r>
        <w:rPr>
          <w:spacing w:val="-2"/>
        </w:rPr>
        <w:t xml:space="preserve">  We conclude </w:t>
      </w:r>
      <w:r>
        <w:rPr>
          <w:spacing w:val="-2"/>
        </w:rPr>
        <w:t xml:space="preserve">St. Croix’s request for wavier of </w:t>
      </w:r>
      <w:r>
        <w:t xml:space="preserve">Section 90.20(d)(13) </w:t>
      </w:r>
      <w:r w:rsidRPr="00351121">
        <w:rPr>
          <w:spacing w:val="-2"/>
        </w:rPr>
        <w:t xml:space="preserve">should be granted under the </w:t>
      </w:r>
      <w:r w:rsidR="003C5702">
        <w:rPr>
          <w:spacing w:val="-2"/>
        </w:rPr>
        <w:t xml:space="preserve">second </w:t>
      </w:r>
      <w:r>
        <w:rPr>
          <w:spacing w:val="-2"/>
        </w:rPr>
        <w:t>prong of the waiver standard</w:t>
      </w:r>
      <w:r w:rsidRPr="008F751C" w:rsidR="008F751C">
        <w:t xml:space="preserve"> </w:t>
      </w:r>
      <w:r w:rsidR="008F751C">
        <w:t xml:space="preserve">and its request for a waiver of Section 90.20(d)(45) should be granted under the first prong of the waiver standard.    </w:t>
      </w:r>
    </w:p>
    <w:p w:rsidR="00BF31F7" w:rsidRPr="00BF31F7" w:rsidP="0034769F">
      <w:pPr>
        <w:pStyle w:val="ParaNum"/>
        <w:widowControl/>
      </w:pPr>
      <w:r>
        <w:rPr>
          <w:color w:val="000000"/>
          <w:szCs w:val="22"/>
        </w:rPr>
        <w:t>The Commission allocated frequency 157.450 MHz for limited area, hospital one-way paging systems.</w:t>
      </w:r>
      <w:r>
        <w:rPr>
          <w:rStyle w:val="FootnoteReference"/>
          <w:szCs w:val="22"/>
        </w:rPr>
        <w:footnoteReference w:id="21"/>
      </w:r>
      <w:r>
        <w:rPr>
          <w:color w:val="000000"/>
          <w:szCs w:val="22"/>
        </w:rPr>
        <w:t xml:space="preserve">  The Commission </w:t>
      </w:r>
      <w:r w:rsidR="00CF2B4D">
        <w:rPr>
          <w:color w:val="000000"/>
          <w:szCs w:val="22"/>
        </w:rPr>
        <w:t xml:space="preserve">made </w:t>
      </w:r>
      <w:r>
        <w:rPr>
          <w:color w:val="000000"/>
          <w:szCs w:val="22"/>
        </w:rPr>
        <w:t xml:space="preserve">this </w:t>
      </w:r>
      <w:r w:rsidR="002F0A20">
        <w:rPr>
          <w:color w:val="000000"/>
          <w:szCs w:val="22"/>
        </w:rPr>
        <w:t>frequency</w:t>
      </w:r>
      <w:r>
        <w:rPr>
          <w:color w:val="000000"/>
          <w:szCs w:val="22"/>
        </w:rPr>
        <w:t xml:space="preserve"> </w:t>
      </w:r>
      <w:r w:rsidR="00CF2B4D">
        <w:rPr>
          <w:color w:val="000000"/>
          <w:szCs w:val="22"/>
        </w:rPr>
        <w:t xml:space="preserve">available </w:t>
      </w:r>
      <w:r>
        <w:rPr>
          <w:color w:val="000000"/>
          <w:szCs w:val="22"/>
        </w:rPr>
        <w:t xml:space="preserve">exclusively for paging communications because paging transmissions </w:t>
      </w:r>
      <w:r>
        <w:rPr>
          <w:color w:val="000000"/>
          <w:szCs w:val="22"/>
        </w:rPr>
        <w:t xml:space="preserve">were found to be </w:t>
      </w:r>
      <w:r>
        <w:rPr>
          <w:color w:val="000000"/>
          <w:szCs w:val="22"/>
        </w:rPr>
        <w:t xml:space="preserve">disruptive to </w:t>
      </w:r>
      <w:r>
        <w:rPr>
          <w:color w:val="000000"/>
          <w:szCs w:val="22"/>
        </w:rPr>
        <w:t xml:space="preserve">voice communications </w:t>
      </w:r>
      <w:r>
        <w:rPr>
          <w:color w:val="000000"/>
          <w:szCs w:val="22"/>
        </w:rPr>
        <w:t>on regular two-way channels</w:t>
      </w:r>
      <w:r>
        <w:rPr>
          <w:szCs w:val="22"/>
        </w:rPr>
        <w:t>.</w:t>
      </w:r>
      <w:r>
        <w:rPr>
          <w:rStyle w:val="FootnoteReference"/>
          <w:szCs w:val="22"/>
        </w:rPr>
        <w:footnoteReference w:id="22"/>
      </w:r>
      <w:r>
        <w:rPr>
          <w:szCs w:val="22"/>
        </w:rPr>
        <w:t xml:space="preserve">  </w:t>
      </w:r>
      <w:r>
        <w:rPr>
          <w:color w:val="000000"/>
          <w:szCs w:val="22"/>
        </w:rPr>
        <w:t xml:space="preserve">The Commission envisioned medical paging operations </w:t>
      </w:r>
      <w:r>
        <w:rPr>
          <w:color w:val="000000"/>
          <w:szCs w:val="22"/>
        </w:rPr>
        <w:t xml:space="preserve">in the Special Emergency Radio Service shifting </w:t>
      </w:r>
      <w:r>
        <w:rPr>
          <w:color w:val="000000"/>
          <w:szCs w:val="22"/>
        </w:rPr>
        <w:t xml:space="preserve">to frequency 157.450 MHz if harmful interference </w:t>
      </w:r>
      <w:r>
        <w:rPr>
          <w:color w:val="000000"/>
          <w:szCs w:val="22"/>
        </w:rPr>
        <w:t xml:space="preserve">occurred </w:t>
      </w:r>
      <w:r>
        <w:rPr>
          <w:color w:val="000000"/>
          <w:szCs w:val="22"/>
        </w:rPr>
        <w:t xml:space="preserve">to voice operations </w:t>
      </w:r>
      <w:r>
        <w:rPr>
          <w:color w:val="000000"/>
          <w:szCs w:val="22"/>
        </w:rPr>
        <w:t>on other VHF channels</w:t>
      </w:r>
      <w:r>
        <w:rPr>
          <w:color w:val="000000"/>
          <w:szCs w:val="22"/>
        </w:rPr>
        <w:t>.</w:t>
      </w:r>
      <w:r>
        <w:rPr>
          <w:rStyle w:val="FootnoteReference"/>
          <w:szCs w:val="22"/>
        </w:rPr>
        <w:footnoteReference w:id="23"/>
      </w:r>
      <w:r>
        <w:rPr>
          <w:color w:val="000000"/>
          <w:szCs w:val="22"/>
        </w:rPr>
        <w:t xml:space="preserve">  To limit the possibility of </w:t>
      </w:r>
      <w:r w:rsidR="009329CF">
        <w:rPr>
          <w:color w:val="000000"/>
          <w:szCs w:val="22"/>
        </w:rPr>
        <w:t xml:space="preserve">interference to licensees operating on </w:t>
      </w:r>
      <w:r>
        <w:rPr>
          <w:color w:val="000000"/>
          <w:szCs w:val="22"/>
        </w:rPr>
        <w:t>adjacent channel</w:t>
      </w:r>
      <w:r w:rsidR="009329CF">
        <w:rPr>
          <w:color w:val="000000"/>
          <w:szCs w:val="22"/>
        </w:rPr>
        <w:t>s</w:t>
      </w:r>
      <w:r w:rsidR="00342253">
        <w:rPr>
          <w:color w:val="000000"/>
          <w:szCs w:val="22"/>
        </w:rPr>
        <w:t xml:space="preserve"> and to promote frequency reuse</w:t>
      </w:r>
      <w:r>
        <w:rPr>
          <w:color w:val="000000"/>
          <w:szCs w:val="22"/>
        </w:rPr>
        <w:t xml:space="preserve">, the Commission limited paging operations </w:t>
      </w:r>
      <w:r>
        <w:rPr>
          <w:color w:val="000000"/>
          <w:szCs w:val="22"/>
        </w:rPr>
        <w:t>on frequency 157.450 MHz t</w:t>
      </w:r>
      <w:r>
        <w:rPr>
          <w:color w:val="000000"/>
          <w:szCs w:val="22"/>
        </w:rPr>
        <w:t xml:space="preserve">o </w:t>
      </w:r>
      <w:r w:rsidR="0051505D">
        <w:rPr>
          <w:color w:val="000000"/>
          <w:szCs w:val="22"/>
        </w:rPr>
        <w:t xml:space="preserve">a maximum transmitter output power of </w:t>
      </w:r>
      <w:r>
        <w:rPr>
          <w:color w:val="000000"/>
          <w:szCs w:val="22"/>
        </w:rPr>
        <w:t>30 watts.</w:t>
      </w:r>
      <w:r>
        <w:rPr>
          <w:rStyle w:val="FootnoteReference"/>
          <w:szCs w:val="22"/>
        </w:rPr>
        <w:footnoteReference w:id="24"/>
      </w:r>
      <w:r w:rsidR="0061591C">
        <w:rPr>
          <w:color w:val="000000"/>
          <w:szCs w:val="22"/>
        </w:rPr>
        <w:t xml:space="preserve">  The Commission believed this power level appropriate to accommodate the coverage needs of most hospital campuses.</w:t>
      </w:r>
      <w:r>
        <w:rPr>
          <w:rStyle w:val="FootnoteReference"/>
          <w:szCs w:val="22"/>
        </w:rPr>
        <w:footnoteReference w:id="25"/>
      </w:r>
      <w:r w:rsidR="0061591C">
        <w:rPr>
          <w:color w:val="000000"/>
          <w:szCs w:val="22"/>
        </w:rPr>
        <w:t xml:space="preserve">  </w:t>
      </w:r>
    </w:p>
    <w:p w:rsidR="007F631B" w:rsidP="0034769F">
      <w:pPr>
        <w:pStyle w:val="ParaNum"/>
        <w:widowControl/>
      </w:pPr>
      <w:r w:rsidRPr="008F751C">
        <w:rPr>
          <w:i/>
          <w:spacing w:val="-2"/>
        </w:rPr>
        <w:t>Section 90.20(d)(13)</w:t>
      </w:r>
      <w:r>
        <w:rPr>
          <w:spacing w:val="-2"/>
        </w:rPr>
        <w:t xml:space="preserve">:  </w:t>
      </w:r>
      <w:r w:rsidR="00CE094D">
        <w:rPr>
          <w:spacing w:val="-2"/>
        </w:rPr>
        <w:t>In this instance</w:t>
      </w:r>
      <w:r w:rsidR="00CF2B4D">
        <w:rPr>
          <w:spacing w:val="-2"/>
        </w:rPr>
        <w:t xml:space="preserve"> </w:t>
      </w:r>
      <w:r w:rsidR="00CE094D">
        <w:rPr>
          <w:spacing w:val="-2"/>
        </w:rPr>
        <w:t xml:space="preserve">we find St. Croix has no reasonable alternative </w:t>
      </w:r>
      <w:r w:rsidR="00CF2B4D">
        <w:rPr>
          <w:spacing w:val="-2"/>
        </w:rPr>
        <w:t xml:space="preserve">to </w:t>
      </w:r>
      <w:r w:rsidR="00CE094D">
        <w:rPr>
          <w:spacing w:val="-2"/>
        </w:rPr>
        <w:t xml:space="preserve">deploying </w:t>
      </w:r>
      <w:r w:rsidR="00CF2B4D">
        <w:rPr>
          <w:spacing w:val="-2"/>
        </w:rPr>
        <w:t xml:space="preserve">frequency 157.450 MHz as </w:t>
      </w:r>
      <w:r w:rsidR="00CE094D">
        <w:rPr>
          <w:spacing w:val="-2"/>
        </w:rPr>
        <w:t>a</w:t>
      </w:r>
      <w:r w:rsidR="000D73C8">
        <w:rPr>
          <w:spacing w:val="-2"/>
        </w:rPr>
        <w:t>n additional</w:t>
      </w:r>
      <w:r w:rsidR="00CE094D">
        <w:rPr>
          <w:spacing w:val="-2"/>
        </w:rPr>
        <w:t xml:space="preserve"> </w:t>
      </w:r>
      <w:r w:rsidR="000D73C8">
        <w:rPr>
          <w:spacing w:val="-2"/>
        </w:rPr>
        <w:t xml:space="preserve">repeater output </w:t>
      </w:r>
      <w:r w:rsidR="00CE094D">
        <w:rPr>
          <w:spacing w:val="-2"/>
        </w:rPr>
        <w:t xml:space="preserve">channel </w:t>
      </w:r>
      <w:r>
        <w:rPr>
          <w:spacing w:val="-2"/>
        </w:rPr>
        <w:t xml:space="preserve">if it is to increase the capacity of </w:t>
      </w:r>
      <w:r w:rsidR="000D73C8">
        <w:rPr>
          <w:spacing w:val="-2"/>
        </w:rPr>
        <w:t xml:space="preserve">its simulcast PLMR </w:t>
      </w:r>
      <w:r w:rsidR="00617E0A">
        <w:rPr>
          <w:spacing w:val="-2"/>
        </w:rPr>
        <w:t>network</w:t>
      </w:r>
      <w:r w:rsidR="000D73C8">
        <w:rPr>
          <w:spacing w:val="-2"/>
        </w:rPr>
        <w:t xml:space="preserve">.  </w:t>
      </w:r>
      <w:r w:rsidR="00234E33">
        <w:rPr>
          <w:spacing w:val="-2"/>
        </w:rPr>
        <w:t xml:space="preserve">In reaching our conclusion, we find </w:t>
      </w:r>
      <w:r w:rsidR="00CF2B4D">
        <w:rPr>
          <w:spacing w:val="-2"/>
        </w:rPr>
        <w:t>particular</w:t>
      </w:r>
      <w:r w:rsidR="00234E33">
        <w:rPr>
          <w:spacing w:val="-2"/>
        </w:rPr>
        <w:t xml:space="preserve">ly </w:t>
      </w:r>
      <w:r w:rsidR="00CF2B4D">
        <w:rPr>
          <w:spacing w:val="-2"/>
        </w:rPr>
        <w:t xml:space="preserve">persuasive the statement from St. Croix’s frequency coordinator </w:t>
      </w:r>
      <w:r w:rsidR="00C900E6">
        <w:rPr>
          <w:spacing w:val="-2"/>
        </w:rPr>
        <w:t xml:space="preserve">indicating that </w:t>
      </w:r>
      <w:r w:rsidR="00234E33">
        <w:rPr>
          <w:spacing w:val="-2"/>
        </w:rPr>
        <w:t xml:space="preserve">157.450 MHz is the best available Public Safety Pool </w:t>
      </w:r>
      <w:r>
        <w:rPr>
          <w:spacing w:val="-2"/>
        </w:rPr>
        <w:t xml:space="preserve">channel </w:t>
      </w:r>
      <w:r w:rsidR="00234E33">
        <w:rPr>
          <w:spacing w:val="-2"/>
        </w:rPr>
        <w:t xml:space="preserve">for St. Croix to increase capacity since </w:t>
      </w:r>
      <w:r w:rsidR="00CF2B4D">
        <w:rPr>
          <w:spacing w:val="-2"/>
        </w:rPr>
        <w:t xml:space="preserve">no other </w:t>
      </w:r>
      <w:r w:rsidR="00617E0A">
        <w:rPr>
          <w:spacing w:val="-2"/>
        </w:rPr>
        <w:t xml:space="preserve">VHF </w:t>
      </w:r>
      <w:r w:rsidR="00CF2B4D">
        <w:rPr>
          <w:spacing w:val="-2"/>
        </w:rPr>
        <w:t xml:space="preserve">Public Safety Pool channel </w:t>
      </w:r>
      <w:r>
        <w:rPr>
          <w:spacing w:val="-2"/>
        </w:rPr>
        <w:t>satisf</w:t>
      </w:r>
      <w:r>
        <w:rPr>
          <w:spacing w:val="-2"/>
        </w:rPr>
        <w:t xml:space="preserve">ies </w:t>
      </w:r>
      <w:r w:rsidR="00CF2B4D">
        <w:rPr>
          <w:spacing w:val="-2"/>
        </w:rPr>
        <w:t>“</w:t>
      </w:r>
      <w:r w:rsidRPr="00015A45" w:rsidR="00CF2B4D">
        <w:t>frequency coordination methods</w:t>
      </w:r>
      <w:r w:rsidR="00CF2B4D">
        <w:t xml:space="preserve">” </w:t>
      </w:r>
      <w:r w:rsidR="00217E78">
        <w:t xml:space="preserve">and </w:t>
      </w:r>
      <w:r w:rsidR="00E4028B">
        <w:t>“</w:t>
      </w:r>
      <w:r w:rsidRPr="00015A45" w:rsidR="00E4028B">
        <w:t>reasonable equipment/engineering constraints</w:t>
      </w:r>
      <w:r w:rsidR="00E4028B">
        <w:t xml:space="preserve">” </w:t>
      </w:r>
      <w:r w:rsidR="00CF2B4D">
        <w:t>at all eleven sites in St. Croix’s system.</w:t>
      </w:r>
      <w:r>
        <w:rPr>
          <w:rStyle w:val="FootnoteReference"/>
        </w:rPr>
        <w:footnoteReference w:id="26"/>
      </w:r>
      <w:r w:rsidR="00234E33">
        <w:t xml:space="preserve">  </w:t>
      </w:r>
    </w:p>
    <w:p w:rsidR="007F631B" w:rsidRPr="007F631B" w:rsidP="0034769F">
      <w:pPr>
        <w:pStyle w:val="ParaNum"/>
        <w:widowControl/>
      </w:pPr>
      <w:r>
        <w:t xml:space="preserve">Furthermore, </w:t>
      </w:r>
      <w:r w:rsidR="00234E33">
        <w:t xml:space="preserve">staff performed a </w:t>
      </w:r>
      <w:r w:rsidR="0061591C">
        <w:t xml:space="preserve">database </w:t>
      </w:r>
      <w:r w:rsidR="00234E33">
        <w:t xml:space="preserve">search of licensees </w:t>
      </w:r>
      <w:r w:rsidR="009329CF">
        <w:t xml:space="preserve">operating </w:t>
      </w:r>
      <w:r w:rsidR="00234E33">
        <w:t>on frequency 157.450 MHz</w:t>
      </w:r>
      <w:r>
        <w:t xml:space="preserve"> </w:t>
      </w:r>
      <w:r w:rsidR="00342253">
        <w:t>and found no other licensee</w:t>
      </w:r>
      <w:r w:rsidR="0061591C">
        <w:t xml:space="preserve"> operating on the channel </w:t>
      </w:r>
      <w:r w:rsidR="00342253">
        <w:t xml:space="preserve">within 180 kilometers of the border of </w:t>
      </w:r>
      <w:r w:rsidR="0061591C">
        <w:t>St. Croix County.</w:t>
      </w:r>
      <w:r>
        <w:rPr>
          <w:rStyle w:val="FootnoteReference"/>
        </w:rPr>
        <w:footnoteReference w:id="27"/>
      </w:r>
      <w:r w:rsidR="00234E33">
        <w:t xml:space="preserve"> </w:t>
      </w:r>
      <w:r w:rsidR="007C7523">
        <w:t xml:space="preserve"> </w:t>
      </w:r>
      <w:r w:rsidR="004A5675">
        <w:t xml:space="preserve">As such, </w:t>
      </w:r>
      <w:r w:rsidR="007C7523">
        <w:t>St. Croix’s proposal</w:t>
      </w:r>
      <w:r>
        <w:t xml:space="preserve"> to deploy </w:t>
      </w:r>
      <w:r w:rsidR="002F0A20">
        <w:t>frequency</w:t>
      </w:r>
      <w:r w:rsidR="0094279C">
        <w:t xml:space="preserve"> </w:t>
      </w:r>
      <w:r>
        <w:t>157.450 MHz as a repeater output channel for voice communications</w:t>
      </w:r>
      <w:r w:rsidRPr="007F631B" w:rsidR="007C7523">
        <w:rPr>
          <w:spacing w:val="-2"/>
        </w:rPr>
        <w:t xml:space="preserve"> will </w:t>
      </w:r>
      <w:r w:rsidR="0094279C">
        <w:rPr>
          <w:spacing w:val="-2"/>
        </w:rPr>
        <w:t xml:space="preserve">likely </w:t>
      </w:r>
      <w:r w:rsidRPr="007F631B" w:rsidR="007C7523">
        <w:rPr>
          <w:spacing w:val="-2"/>
        </w:rPr>
        <w:t xml:space="preserve">have no negative impact on </w:t>
      </w:r>
      <w:r w:rsidR="0061591C">
        <w:rPr>
          <w:spacing w:val="-2"/>
        </w:rPr>
        <w:t xml:space="preserve">any </w:t>
      </w:r>
      <w:r w:rsidR="00342253">
        <w:rPr>
          <w:spacing w:val="-2"/>
        </w:rPr>
        <w:t xml:space="preserve">licensee </w:t>
      </w:r>
      <w:r w:rsidR="0061591C">
        <w:rPr>
          <w:spacing w:val="-2"/>
        </w:rPr>
        <w:t>currently us</w:t>
      </w:r>
      <w:r w:rsidR="00342253">
        <w:rPr>
          <w:spacing w:val="-2"/>
        </w:rPr>
        <w:t xml:space="preserve">ing the </w:t>
      </w:r>
      <w:r w:rsidR="00542063">
        <w:rPr>
          <w:spacing w:val="-2"/>
        </w:rPr>
        <w:t xml:space="preserve">frequency 157.450 MHz for paging operations.  </w:t>
      </w:r>
      <w:r>
        <w:rPr>
          <w:spacing w:val="-2"/>
        </w:rPr>
        <w:t xml:space="preserve">We also note that no party objected to St. Croix’s applications or waiver request.  </w:t>
      </w:r>
    </w:p>
    <w:p w:rsidR="00C900E6" w:rsidP="0034769F">
      <w:pPr>
        <w:pStyle w:val="ParaNum"/>
        <w:widowControl/>
      </w:pPr>
      <w:r>
        <w:rPr>
          <w:spacing w:val="-2"/>
        </w:rPr>
        <w:t>W</w:t>
      </w:r>
      <w:r>
        <w:t xml:space="preserve">e </w:t>
      </w:r>
      <w:r w:rsidR="007F631B">
        <w:t xml:space="preserve">find </w:t>
      </w:r>
      <w:r w:rsidR="008F751C">
        <w:t xml:space="preserve">it </w:t>
      </w:r>
      <w:r w:rsidRPr="007F631B">
        <w:rPr>
          <w:spacing w:val="-2"/>
        </w:rPr>
        <w:t>unduly burdensome</w:t>
      </w:r>
      <w:r w:rsidR="00CF2B4D">
        <w:t xml:space="preserve"> </w:t>
      </w:r>
      <w:r w:rsidR="00FF4E27">
        <w:t xml:space="preserve">for </w:t>
      </w:r>
      <w:r>
        <w:t xml:space="preserve">St. Croix to </w:t>
      </w:r>
      <w:r w:rsidR="008F751C">
        <w:t xml:space="preserve">either </w:t>
      </w:r>
      <w:r w:rsidR="00FF4E27">
        <w:t>for</w:t>
      </w:r>
      <w:r w:rsidR="00D77B34">
        <w:t>e</w:t>
      </w:r>
      <w:r w:rsidR="00FF4E27">
        <w:t>go increasing the capacity</w:t>
      </w:r>
      <w:r w:rsidR="00E4028B">
        <w:t xml:space="preserve"> </w:t>
      </w:r>
      <w:r w:rsidR="008F751C">
        <w:t xml:space="preserve">of its network </w:t>
      </w:r>
      <w:r w:rsidR="00E4028B">
        <w:t xml:space="preserve">or </w:t>
      </w:r>
      <w:r w:rsidR="00C87A15">
        <w:t xml:space="preserve">for it </w:t>
      </w:r>
      <w:r w:rsidR="00E4028B">
        <w:t xml:space="preserve">to </w:t>
      </w:r>
      <w:r w:rsidR="00C87A15">
        <w:t xml:space="preserve">deploy a </w:t>
      </w:r>
      <w:r w:rsidR="00E4028B">
        <w:t xml:space="preserve">channel which </w:t>
      </w:r>
      <w:r w:rsidR="0027489E">
        <w:t xml:space="preserve">is less than optimal from an </w:t>
      </w:r>
      <w:r w:rsidR="00E4028B">
        <w:t xml:space="preserve">interference or engineering </w:t>
      </w:r>
      <w:r w:rsidR="0027489E">
        <w:t xml:space="preserve">perspective </w:t>
      </w:r>
      <w:r w:rsidR="00E4028B">
        <w:t xml:space="preserve">when </w:t>
      </w:r>
      <w:r w:rsidR="009329CF">
        <w:t xml:space="preserve">Public Safety Pool </w:t>
      </w:r>
      <w:r w:rsidR="002F0A20">
        <w:t>frequency</w:t>
      </w:r>
      <w:r w:rsidR="009329CF">
        <w:t xml:space="preserve"> </w:t>
      </w:r>
      <w:r w:rsidR="00E4028B">
        <w:t xml:space="preserve">157.450 MHz is available </w:t>
      </w:r>
      <w:r w:rsidR="00617E0A">
        <w:t xml:space="preserve">for use </w:t>
      </w:r>
      <w:r w:rsidR="007F631B">
        <w:t>and capable of meeting</w:t>
      </w:r>
      <w:r w:rsidR="00617E0A">
        <w:t xml:space="preserve"> its capacity needs.</w:t>
      </w:r>
      <w:r>
        <w:rPr>
          <w:rStyle w:val="FootnoteReference"/>
        </w:rPr>
        <w:footnoteReference w:id="28"/>
      </w:r>
      <w:r w:rsidR="00617E0A">
        <w:t xml:space="preserve">  </w:t>
      </w:r>
      <w:r w:rsidR="006E6F1B">
        <w:t>Therefore, we grant St. Croix’s request for waiver of Section 90.20(d)(13)</w:t>
      </w:r>
      <w:r w:rsidR="00542063">
        <w:t xml:space="preserve"> and allow it to </w:t>
      </w:r>
      <w:r w:rsidR="00367255">
        <w:t xml:space="preserve">use </w:t>
      </w:r>
      <w:r w:rsidR="002F0A20">
        <w:t>frequency</w:t>
      </w:r>
      <w:r w:rsidR="00367255">
        <w:t xml:space="preserve"> 157.450 MHz for </w:t>
      </w:r>
      <w:r w:rsidR="00542063">
        <w:t>voice communications.</w:t>
      </w:r>
      <w:r w:rsidR="006E6F1B">
        <w:t xml:space="preserve">  </w:t>
      </w:r>
    </w:p>
    <w:p w:rsidR="0075189D" w:rsidRPr="0075189D" w:rsidP="0034769F">
      <w:pPr>
        <w:pStyle w:val="ParaNum"/>
        <w:widowControl/>
      </w:pPr>
      <w:r w:rsidRPr="000F6D36">
        <w:rPr>
          <w:i/>
        </w:rPr>
        <w:t>Section 90.20(d)(45)</w:t>
      </w:r>
      <w:r>
        <w:t xml:space="preserve">.  </w:t>
      </w:r>
      <w:r w:rsidR="00911406">
        <w:t xml:space="preserve">Having granted St. Croix a waiver to </w:t>
      </w:r>
      <w:r w:rsidR="00363529">
        <w:t xml:space="preserve">use </w:t>
      </w:r>
      <w:r w:rsidR="002F0A20">
        <w:t>frequency</w:t>
      </w:r>
      <w:r w:rsidR="00363529">
        <w:t xml:space="preserve"> 157.450 MHz for </w:t>
      </w:r>
      <w:r w:rsidR="00911406">
        <w:t>voice communications, we</w:t>
      </w:r>
      <w:r w:rsidR="005F1688">
        <w:t xml:space="preserve"> </w:t>
      </w:r>
      <w:r w:rsidR="00911406">
        <w:t xml:space="preserve">now turn to its request to operate on the </w:t>
      </w:r>
      <w:r w:rsidR="002F0A20">
        <w:t>frequency</w:t>
      </w:r>
      <w:r w:rsidR="00911406">
        <w:t xml:space="preserve"> </w:t>
      </w:r>
      <w:r w:rsidR="005120EB">
        <w:t>with a</w:t>
      </w:r>
      <w:r w:rsidR="00A47E4A">
        <w:t>n</w:t>
      </w:r>
      <w:r w:rsidR="005120EB">
        <w:t xml:space="preserve"> </w:t>
      </w:r>
      <w:r w:rsidR="00A47E4A">
        <w:t xml:space="preserve">output power </w:t>
      </w:r>
      <w:r w:rsidR="00911406">
        <w:t>greater than 30 watts.</w:t>
      </w:r>
      <w:r w:rsidR="00363529">
        <w:t xml:space="preserve">  </w:t>
      </w:r>
      <w:r w:rsidR="00A47E4A">
        <w:t>Here w</w:t>
      </w:r>
      <w:r w:rsidR="00363529">
        <w:t>e find the underlying purpose of Section 90.20(d</w:t>
      </w:r>
      <w:r w:rsidR="00363529">
        <w:t>)(</w:t>
      </w:r>
      <w:r w:rsidR="00363529">
        <w:t>45) would not be served by application to the present case.  As note</w:t>
      </w:r>
      <w:r w:rsidR="00A47E4A">
        <w:t>d</w:t>
      </w:r>
      <w:r w:rsidR="00363529">
        <w:t xml:space="preserve"> above, the purpose of limiting </w:t>
      </w:r>
      <w:r w:rsidR="00A47E4A">
        <w:t xml:space="preserve">licensees to 30 watts </w:t>
      </w:r>
      <w:r w:rsidR="002740AD">
        <w:t xml:space="preserve">transmitter output power </w:t>
      </w:r>
      <w:r w:rsidR="00A47E4A">
        <w:t xml:space="preserve">when operating on frequency </w:t>
      </w:r>
      <w:r w:rsidR="00363529">
        <w:t xml:space="preserve">157.450 MHz is </w:t>
      </w:r>
      <w:r w:rsidR="00342253">
        <w:t xml:space="preserve">to </w:t>
      </w:r>
      <w:r w:rsidR="005120EB">
        <w:t xml:space="preserve">reduce </w:t>
      </w:r>
      <w:r w:rsidR="005120EB">
        <w:rPr>
          <w:color w:val="000000"/>
          <w:szCs w:val="22"/>
        </w:rPr>
        <w:t xml:space="preserve">the possibility of </w:t>
      </w:r>
      <w:r w:rsidR="00A47E4A">
        <w:rPr>
          <w:color w:val="000000"/>
          <w:szCs w:val="22"/>
        </w:rPr>
        <w:t xml:space="preserve">paging operations causing </w:t>
      </w:r>
      <w:r w:rsidR="005120EB">
        <w:rPr>
          <w:color w:val="000000"/>
          <w:szCs w:val="22"/>
        </w:rPr>
        <w:t xml:space="preserve">interference to </w:t>
      </w:r>
      <w:r w:rsidR="006E6F1B">
        <w:rPr>
          <w:color w:val="000000"/>
          <w:szCs w:val="22"/>
        </w:rPr>
        <w:t xml:space="preserve">voice communications on </w:t>
      </w:r>
      <w:r w:rsidR="005120EB">
        <w:rPr>
          <w:color w:val="000000"/>
          <w:szCs w:val="22"/>
        </w:rPr>
        <w:t>adjacent channels</w:t>
      </w:r>
      <w:r>
        <w:rPr>
          <w:color w:val="000000"/>
          <w:szCs w:val="22"/>
        </w:rPr>
        <w:t xml:space="preserve"> and to promote reuse of </w:t>
      </w:r>
      <w:r w:rsidR="008A61BB">
        <w:rPr>
          <w:color w:val="000000"/>
          <w:szCs w:val="22"/>
        </w:rPr>
        <w:t>the channel</w:t>
      </w:r>
      <w:r>
        <w:t xml:space="preserve">.  </w:t>
      </w:r>
      <w:r w:rsidR="006E6F1B">
        <w:rPr>
          <w:color w:val="000000"/>
          <w:szCs w:val="22"/>
        </w:rPr>
        <w:t>We find the purpose of the restriction does not apply in this case</w:t>
      </w:r>
      <w:r>
        <w:rPr>
          <w:color w:val="000000"/>
          <w:szCs w:val="22"/>
        </w:rPr>
        <w:t xml:space="preserve">.  </w:t>
      </w:r>
    </w:p>
    <w:p w:rsidR="00E4028B" w:rsidRPr="004C6618" w:rsidP="0034769F">
      <w:pPr>
        <w:pStyle w:val="ParaNum"/>
        <w:widowControl/>
      </w:pPr>
      <w:r w:rsidRPr="0030723A">
        <w:rPr>
          <w:color w:val="000000"/>
          <w:szCs w:val="22"/>
        </w:rPr>
        <w:t xml:space="preserve">First, </w:t>
      </w:r>
      <w:bookmarkStart w:id="2" w:name="_Hlk277853"/>
      <w:r w:rsidRPr="0030723A" w:rsidR="005120EB">
        <w:rPr>
          <w:color w:val="000000"/>
          <w:szCs w:val="22"/>
        </w:rPr>
        <w:t>St. Croix</w:t>
      </w:r>
      <w:r w:rsidRPr="0030723A" w:rsidR="0064071E">
        <w:rPr>
          <w:color w:val="000000"/>
          <w:szCs w:val="22"/>
        </w:rPr>
        <w:t xml:space="preserve"> intends to</w:t>
      </w:r>
      <w:r w:rsidRPr="0030723A" w:rsidR="005120EB">
        <w:rPr>
          <w:color w:val="000000"/>
          <w:szCs w:val="22"/>
        </w:rPr>
        <w:t xml:space="preserve"> </w:t>
      </w:r>
      <w:r w:rsidRPr="0030723A" w:rsidR="00FA014F">
        <w:rPr>
          <w:color w:val="000000"/>
          <w:szCs w:val="22"/>
        </w:rPr>
        <w:t xml:space="preserve">use </w:t>
      </w:r>
      <w:r w:rsidR="002F0A20">
        <w:rPr>
          <w:color w:val="000000"/>
          <w:szCs w:val="22"/>
        </w:rPr>
        <w:t>frequency</w:t>
      </w:r>
      <w:r w:rsidRPr="0030723A" w:rsidR="005120EB">
        <w:rPr>
          <w:color w:val="000000"/>
          <w:szCs w:val="22"/>
        </w:rPr>
        <w:t xml:space="preserve"> 157.450 MHz for voice rather than paging communications</w:t>
      </w:r>
      <w:r w:rsidRPr="0030723A" w:rsidR="006E6F1B">
        <w:rPr>
          <w:color w:val="000000"/>
          <w:szCs w:val="22"/>
        </w:rPr>
        <w:t xml:space="preserve">.  </w:t>
      </w:r>
      <w:r w:rsidRPr="0030723A">
        <w:rPr>
          <w:color w:val="000000"/>
          <w:szCs w:val="22"/>
        </w:rPr>
        <w:t>Therefore</w:t>
      </w:r>
      <w:r w:rsidRPr="0030723A" w:rsidR="00021435">
        <w:rPr>
          <w:color w:val="000000"/>
          <w:szCs w:val="22"/>
        </w:rPr>
        <w:t>,</w:t>
      </w:r>
      <w:r w:rsidRPr="0030723A">
        <w:rPr>
          <w:color w:val="000000"/>
          <w:szCs w:val="22"/>
        </w:rPr>
        <w:t xml:space="preserve"> we see little risk of interference to adjacent-channel users from St. Croix’s </w:t>
      </w:r>
      <w:r w:rsidRPr="0030723A" w:rsidR="00021435">
        <w:rPr>
          <w:color w:val="000000"/>
          <w:szCs w:val="22"/>
        </w:rPr>
        <w:t xml:space="preserve">proposal to operate </w:t>
      </w:r>
      <w:r w:rsidRPr="0030723A" w:rsidR="00C50746">
        <w:rPr>
          <w:color w:val="000000"/>
          <w:szCs w:val="22"/>
        </w:rPr>
        <w:t>at 100 watts transmitter output power</w:t>
      </w:r>
      <w:bookmarkEnd w:id="2"/>
      <w:r w:rsidR="00C50746">
        <w:rPr>
          <w:color w:val="000000"/>
          <w:szCs w:val="22"/>
        </w:rPr>
        <w:t xml:space="preserve"> </w:t>
      </w:r>
      <w:r w:rsidRPr="0030723A" w:rsidR="00021435">
        <w:rPr>
          <w:color w:val="000000"/>
          <w:szCs w:val="22"/>
        </w:rPr>
        <w:t xml:space="preserve">on </w:t>
      </w:r>
      <w:r w:rsidR="00980E5E">
        <w:rPr>
          <w:color w:val="000000"/>
          <w:szCs w:val="22"/>
        </w:rPr>
        <w:t xml:space="preserve">the </w:t>
      </w:r>
      <w:r w:rsidRPr="0030723A" w:rsidR="00021435">
        <w:rPr>
          <w:color w:val="000000"/>
          <w:szCs w:val="22"/>
        </w:rPr>
        <w:t xml:space="preserve">channel </w:t>
      </w:r>
      <w:r w:rsidR="00481E1E">
        <w:rPr>
          <w:color w:val="000000"/>
          <w:szCs w:val="22"/>
        </w:rPr>
        <w:t>for voice communications</w:t>
      </w:r>
      <w:r w:rsidR="004C6618">
        <w:rPr>
          <w:color w:val="000000"/>
          <w:szCs w:val="22"/>
        </w:rPr>
        <w:t>.  W</w:t>
      </w:r>
      <w:r w:rsidR="00E83706">
        <w:rPr>
          <w:color w:val="000000"/>
          <w:szCs w:val="22"/>
        </w:rPr>
        <w:t xml:space="preserve">e note </w:t>
      </w:r>
      <w:r w:rsidRPr="0030723A" w:rsidR="0030723A">
        <w:rPr>
          <w:color w:val="000000"/>
          <w:szCs w:val="22"/>
        </w:rPr>
        <w:t>St. Croix</w:t>
      </w:r>
      <w:r w:rsidR="005B6DF9">
        <w:rPr>
          <w:color w:val="000000"/>
          <w:szCs w:val="22"/>
        </w:rPr>
        <w:t xml:space="preserve">’s frequency coordinator confirmed </w:t>
      </w:r>
      <w:r w:rsidR="00481E1E">
        <w:rPr>
          <w:color w:val="000000"/>
          <w:szCs w:val="22"/>
        </w:rPr>
        <w:t xml:space="preserve">the </w:t>
      </w:r>
      <w:r w:rsidR="007865D3">
        <w:rPr>
          <w:color w:val="000000"/>
          <w:szCs w:val="22"/>
        </w:rPr>
        <w:t xml:space="preserve">channel </w:t>
      </w:r>
      <w:r w:rsidR="005B6DF9">
        <w:rPr>
          <w:color w:val="000000"/>
          <w:szCs w:val="22"/>
        </w:rPr>
        <w:t xml:space="preserve">satisfies frequency </w:t>
      </w:r>
      <w:r w:rsidR="004C7229">
        <w:rPr>
          <w:color w:val="000000"/>
          <w:szCs w:val="22"/>
        </w:rPr>
        <w:t xml:space="preserve">coordination </w:t>
      </w:r>
      <w:r w:rsidR="00980E5E">
        <w:rPr>
          <w:color w:val="000000"/>
          <w:szCs w:val="22"/>
        </w:rPr>
        <w:t xml:space="preserve">standards </w:t>
      </w:r>
      <w:r w:rsidR="00E83706">
        <w:rPr>
          <w:color w:val="000000"/>
          <w:szCs w:val="22"/>
        </w:rPr>
        <w:t xml:space="preserve">at all eleven sites in </w:t>
      </w:r>
      <w:r w:rsidR="004C7229">
        <w:rPr>
          <w:color w:val="000000"/>
          <w:szCs w:val="22"/>
        </w:rPr>
        <w:t xml:space="preserve">St. Croix’s </w:t>
      </w:r>
      <w:r w:rsidR="00E83706">
        <w:rPr>
          <w:color w:val="000000"/>
          <w:szCs w:val="22"/>
        </w:rPr>
        <w:t>network</w:t>
      </w:r>
      <w:r w:rsidR="004C7229">
        <w:rPr>
          <w:color w:val="000000"/>
          <w:szCs w:val="22"/>
        </w:rPr>
        <w:t>.</w:t>
      </w:r>
      <w:r>
        <w:rPr>
          <w:rStyle w:val="FootnoteReference"/>
          <w:szCs w:val="22"/>
        </w:rPr>
        <w:footnoteReference w:id="29"/>
      </w:r>
      <w:r w:rsidR="004C7229">
        <w:rPr>
          <w:color w:val="000000"/>
          <w:szCs w:val="22"/>
        </w:rPr>
        <w:t xml:space="preserve">  </w:t>
      </w:r>
      <w:r w:rsidR="0040696E">
        <w:rPr>
          <w:color w:val="000000"/>
          <w:szCs w:val="22"/>
        </w:rPr>
        <w:t>W</w:t>
      </w:r>
      <w:r w:rsidR="004C7229">
        <w:rPr>
          <w:color w:val="000000"/>
          <w:szCs w:val="22"/>
        </w:rPr>
        <w:t xml:space="preserve">e </w:t>
      </w:r>
      <w:r w:rsidR="0040696E">
        <w:rPr>
          <w:color w:val="000000"/>
          <w:szCs w:val="22"/>
        </w:rPr>
        <w:t xml:space="preserve">also </w:t>
      </w:r>
      <w:r w:rsidR="004C7229">
        <w:rPr>
          <w:color w:val="000000"/>
          <w:szCs w:val="22"/>
        </w:rPr>
        <w:t xml:space="preserve">note </w:t>
      </w:r>
      <w:r w:rsidR="00E83706">
        <w:rPr>
          <w:color w:val="000000"/>
          <w:szCs w:val="22"/>
        </w:rPr>
        <w:t>St. Croix is</w:t>
      </w:r>
      <w:r w:rsidRPr="0030723A" w:rsidR="0030723A">
        <w:rPr>
          <w:color w:val="000000"/>
          <w:szCs w:val="22"/>
        </w:rPr>
        <w:t xml:space="preserve"> </w:t>
      </w:r>
      <w:r w:rsidR="004C6618">
        <w:rPr>
          <w:color w:val="000000"/>
          <w:szCs w:val="22"/>
        </w:rPr>
        <w:t xml:space="preserve">already </w:t>
      </w:r>
      <w:r w:rsidRPr="0030723A" w:rsidR="0030723A">
        <w:rPr>
          <w:color w:val="000000"/>
          <w:szCs w:val="22"/>
        </w:rPr>
        <w:t xml:space="preserve">authorized to operate at 100 watts transmitter output power on </w:t>
      </w:r>
      <w:r w:rsidR="00980E5E">
        <w:rPr>
          <w:color w:val="000000"/>
          <w:szCs w:val="22"/>
        </w:rPr>
        <w:t xml:space="preserve">each </w:t>
      </w:r>
      <w:r w:rsidR="00481E1E">
        <w:rPr>
          <w:color w:val="000000"/>
          <w:szCs w:val="22"/>
        </w:rPr>
        <w:t>of its currently licensed channels</w:t>
      </w:r>
      <w:r w:rsidR="00910765">
        <w:rPr>
          <w:color w:val="000000"/>
          <w:szCs w:val="22"/>
        </w:rPr>
        <w:t xml:space="preserve"> without any apparent impact to adjacent-channel users</w:t>
      </w:r>
      <w:r w:rsidR="00481E1E">
        <w:rPr>
          <w:color w:val="000000"/>
          <w:szCs w:val="22"/>
        </w:rPr>
        <w:t>.</w:t>
      </w:r>
      <w:r>
        <w:rPr>
          <w:rStyle w:val="FootnoteReference"/>
          <w:szCs w:val="22"/>
        </w:rPr>
        <w:footnoteReference w:id="30"/>
      </w:r>
      <w:r w:rsidRPr="0030723A" w:rsidR="0064071E">
        <w:rPr>
          <w:color w:val="000000"/>
          <w:szCs w:val="22"/>
        </w:rPr>
        <w:t xml:space="preserve">  </w:t>
      </w:r>
    </w:p>
    <w:p w:rsidR="00910765" w:rsidRPr="00910765" w:rsidP="0034769F">
      <w:pPr>
        <w:pStyle w:val="ParaNum"/>
        <w:widowControl/>
      </w:pPr>
      <w:r>
        <w:rPr>
          <w:color w:val="000000"/>
          <w:szCs w:val="22"/>
        </w:rPr>
        <w:t xml:space="preserve">Second, </w:t>
      </w:r>
      <w:r w:rsidR="00980E5E">
        <w:rPr>
          <w:color w:val="000000"/>
          <w:szCs w:val="22"/>
        </w:rPr>
        <w:t xml:space="preserve">we </w:t>
      </w:r>
      <w:r w:rsidR="00562C2F">
        <w:rPr>
          <w:color w:val="000000"/>
          <w:szCs w:val="22"/>
        </w:rPr>
        <w:t xml:space="preserve">believe </w:t>
      </w:r>
      <w:r w:rsidR="00980E5E">
        <w:rPr>
          <w:color w:val="000000"/>
          <w:szCs w:val="22"/>
        </w:rPr>
        <w:t xml:space="preserve">St. Croix’s operation </w:t>
      </w:r>
      <w:r w:rsidR="0040696E">
        <w:rPr>
          <w:color w:val="000000"/>
          <w:szCs w:val="22"/>
        </w:rPr>
        <w:t xml:space="preserve">at 100 watts output power </w:t>
      </w:r>
      <w:r w:rsidR="00562C2F">
        <w:rPr>
          <w:color w:val="000000"/>
          <w:szCs w:val="22"/>
        </w:rPr>
        <w:t xml:space="preserve">will </w:t>
      </w:r>
      <w:r w:rsidR="00671ADC">
        <w:rPr>
          <w:color w:val="000000"/>
          <w:szCs w:val="22"/>
        </w:rPr>
        <w:t xml:space="preserve">have little impact on the ability of other licensees to </w:t>
      </w:r>
      <w:r w:rsidR="00980E5E">
        <w:rPr>
          <w:color w:val="000000"/>
          <w:szCs w:val="22"/>
        </w:rPr>
        <w:t xml:space="preserve">reuse </w:t>
      </w:r>
      <w:r w:rsidR="002F0A20">
        <w:rPr>
          <w:color w:val="000000"/>
          <w:szCs w:val="22"/>
        </w:rPr>
        <w:t>frequency</w:t>
      </w:r>
      <w:r w:rsidR="00E57BA6">
        <w:rPr>
          <w:color w:val="000000"/>
          <w:szCs w:val="22"/>
        </w:rPr>
        <w:t xml:space="preserve"> </w:t>
      </w:r>
      <w:r w:rsidR="00980E5E">
        <w:rPr>
          <w:color w:val="000000"/>
          <w:szCs w:val="22"/>
        </w:rPr>
        <w:t xml:space="preserve">157.450 MHz for paging operations.  </w:t>
      </w:r>
      <w:r w:rsidR="003F5392">
        <w:rPr>
          <w:color w:val="000000"/>
          <w:szCs w:val="22"/>
        </w:rPr>
        <w:t xml:space="preserve">Although St Croix increases the size of its composite contour footprint </w:t>
      </w:r>
      <w:r w:rsidR="000D0D44">
        <w:rPr>
          <w:color w:val="000000"/>
          <w:szCs w:val="22"/>
        </w:rPr>
        <w:t xml:space="preserve">by </w:t>
      </w:r>
      <w:r w:rsidR="003F5392">
        <w:rPr>
          <w:color w:val="000000"/>
          <w:szCs w:val="22"/>
        </w:rPr>
        <w:t>operat</w:t>
      </w:r>
      <w:r w:rsidR="000D0D44">
        <w:rPr>
          <w:color w:val="000000"/>
          <w:szCs w:val="22"/>
        </w:rPr>
        <w:t xml:space="preserve">ing </w:t>
      </w:r>
      <w:r w:rsidR="003F5392">
        <w:rPr>
          <w:color w:val="000000"/>
          <w:szCs w:val="22"/>
        </w:rPr>
        <w:t xml:space="preserve">its base station at 100 watts rather than 30 watts </w:t>
      </w:r>
      <w:r w:rsidR="00D41D64">
        <w:rPr>
          <w:color w:val="000000"/>
          <w:szCs w:val="22"/>
        </w:rPr>
        <w:t xml:space="preserve">transmitter </w:t>
      </w:r>
      <w:r w:rsidR="003F5392">
        <w:rPr>
          <w:color w:val="000000"/>
          <w:szCs w:val="22"/>
        </w:rPr>
        <w:t>output power,</w:t>
      </w:r>
      <w:r>
        <w:rPr>
          <w:color w:val="000000"/>
          <w:szCs w:val="22"/>
        </w:rPr>
        <w:t xml:space="preserve"> </w:t>
      </w:r>
      <w:r w:rsidR="002F0A20">
        <w:rPr>
          <w:color w:val="000000"/>
          <w:szCs w:val="22"/>
        </w:rPr>
        <w:t>frequency</w:t>
      </w:r>
      <w:r w:rsidR="00671ADC">
        <w:rPr>
          <w:color w:val="000000"/>
          <w:szCs w:val="22"/>
        </w:rPr>
        <w:t xml:space="preserve"> 157.450 MHz </w:t>
      </w:r>
      <w:r w:rsidR="003F5392">
        <w:rPr>
          <w:color w:val="000000"/>
          <w:szCs w:val="22"/>
        </w:rPr>
        <w:t xml:space="preserve">continues to remain available for licensing in </w:t>
      </w:r>
      <w:r w:rsidR="002F0A20">
        <w:rPr>
          <w:color w:val="000000"/>
          <w:szCs w:val="22"/>
        </w:rPr>
        <w:t>most</w:t>
      </w:r>
      <w:r w:rsidR="00D41D64">
        <w:rPr>
          <w:color w:val="000000"/>
          <w:szCs w:val="22"/>
        </w:rPr>
        <w:t xml:space="preserve"> </w:t>
      </w:r>
      <w:r w:rsidR="003F5392">
        <w:rPr>
          <w:color w:val="000000"/>
          <w:szCs w:val="22"/>
        </w:rPr>
        <w:t>counties</w:t>
      </w:r>
      <w:r w:rsidR="000D0D44">
        <w:rPr>
          <w:color w:val="000000"/>
          <w:szCs w:val="22"/>
        </w:rPr>
        <w:t xml:space="preserve"> outside St. Croix </w:t>
      </w:r>
      <w:r w:rsidR="003F5392">
        <w:rPr>
          <w:color w:val="000000"/>
          <w:szCs w:val="22"/>
        </w:rPr>
        <w:t>in Wisconsin and neighboring Minnesota.</w:t>
      </w:r>
      <w:r>
        <w:rPr>
          <w:rStyle w:val="FootnoteReference"/>
          <w:szCs w:val="22"/>
        </w:rPr>
        <w:footnoteReference w:id="31"/>
      </w:r>
      <w:r w:rsidR="00F41B41">
        <w:rPr>
          <w:color w:val="000000"/>
          <w:szCs w:val="22"/>
        </w:rPr>
        <w:t xml:space="preserve">    </w:t>
      </w:r>
      <w:r w:rsidR="003F5392">
        <w:rPr>
          <w:color w:val="000000"/>
          <w:szCs w:val="22"/>
        </w:rPr>
        <w:t xml:space="preserve">  </w:t>
      </w:r>
    </w:p>
    <w:p w:rsidR="003C5702" w:rsidRPr="005B4569" w:rsidP="0034769F">
      <w:pPr>
        <w:pStyle w:val="ParaNum"/>
        <w:widowControl/>
      </w:pPr>
      <w:r w:rsidRPr="003C31D4">
        <w:rPr>
          <w:i/>
        </w:rPr>
        <w:t>Public Interest</w:t>
      </w:r>
      <w:r>
        <w:t>.</w:t>
      </w:r>
      <w:r w:rsidR="00F41B41">
        <w:t xml:space="preserve">  </w:t>
      </w:r>
      <w:r>
        <w:t xml:space="preserve"> </w:t>
      </w:r>
      <w:r w:rsidR="00E57BA6">
        <w:t xml:space="preserve">Finally, we find </w:t>
      </w:r>
      <w:r w:rsidR="008017F1">
        <w:t xml:space="preserve">granting St. Croix a waiver of Sections 90.20(d)(13) and 90.20(d)(45) </w:t>
      </w:r>
      <w:r w:rsidR="00367255">
        <w:t xml:space="preserve">to be </w:t>
      </w:r>
      <w:r w:rsidR="008017F1">
        <w:t xml:space="preserve">in the public interest so </w:t>
      </w:r>
      <w:r w:rsidR="00BA5558">
        <w:t xml:space="preserve">St. Croix </w:t>
      </w:r>
      <w:r w:rsidR="008017F1">
        <w:t>can add additional capacity to its simulcast network in order to meet the communication needs of the “Fire, Emergency Medical Service (EMS), Rescue and Law Enforcement agencies” which rely on its network for their first responder communications.</w:t>
      </w:r>
      <w:r>
        <w:rPr>
          <w:rStyle w:val="FootnoteReference"/>
        </w:rPr>
        <w:footnoteReference w:id="32"/>
      </w:r>
      <w:r w:rsidR="008017F1">
        <w:t xml:space="preserve">  </w:t>
      </w:r>
    </w:p>
    <w:p w:rsidR="0074239C" w:rsidP="0034769F">
      <w:pPr>
        <w:pStyle w:val="Heading1"/>
        <w:widowControl/>
      </w:pPr>
      <w:r>
        <w:t>Ordering clauses</w:t>
      </w:r>
    </w:p>
    <w:p w:rsidR="00777026" w:rsidP="00BA5558">
      <w:pPr>
        <w:pStyle w:val="ParaNum"/>
        <w:rPr>
          <w:spacing w:val="-2"/>
        </w:rPr>
      </w:pPr>
      <w:r>
        <w:t>Accordingly, IT IS ORDERED</w:t>
      </w:r>
      <w:r w:rsidR="00EE6631">
        <w:t>, pursuant to Section</w:t>
      </w:r>
      <w:r w:rsidR="003A1EEA">
        <w:t>s</w:t>
      </w:r>
      <w:r w:rsidR="00EE6631">
        <w:t xml:space="preserve"> 4(</w:t>
      </w:r>
      <w:r w:rsidR="00EE6631">
        <w:t>i</w:t>
      </w:r>
      <w:r w:rsidR="00EE6631">
        <w:t xml:space="preserve">) </w:t>
      </w:r>
      <w:r w:rsidR="003A1EEA">
        <w:t xml:space="preserve">and 303(c) </w:t>
      </w:r>
      <w:r w:rsidR="00EE6631">
        <w:t>of the Communications Act of 1934</w:t>
      </w:r>
      <w:r w:rsidR="001D6794">
        <w:t xml:space="preserve">, as amended, 47 U.S.C. </w:t>
      </w:r>
      <w:r w:rsidR="003A1EEA">
        <w:t xml:space="preserve">§§ </w:t>
      </w:r>
      <w:r w:rsidR="00EE6631">
        <w:t>154(</w:t>
      </w:r>
      <w:r w:rsidR="00EE6631">
        <w:t>i</w:t>
      </w:r>
      <w:r w:rsidR="00EE6631">
        <w:t>)</w:t>
      </w:r>
      <w:r w:rsidR="001D6794">
        <w:t xml:space="preserve">, 303(c), and Section 1.925 of the Commission’s rules, 47 CFR § 1.925, </w:t>
      </w:r>
      <w:r>
        <w:t xml:space="preserve">that the waiver request associated with ULS </w:t>
      </w:r>
      <w:r w:rsidRPr="00C6523A">
        <w:t>File No</w:t>
      </w:r>
      <w:r w:rsidR="00BA5558">
        <w:t>s</w:t>
      </w:r>
      <w:r w:rsidRPr="00C6523A">
        <w:t xml:space="preserve">. </w:t>
      </w:r>
      <w:r w:rsidRPr="00BA5558" w:rsidR="00BA5558">
        <w:rPr>
          <w:spacing w:val="-2"/>
        </w:rPr>
        <w:t>0008220219 and 0008220853</w:t>
      </w:r>
      <w:r w:rsidR="00BA5558">
        <w:rPr>
          <w:spacing w:val="-2"/>
        </w:rPr>
        <w:t xml:space="preserve"> </w:t>
      </w:r>
      <w:r>
        <w:t xml:space="preserve">filed by </w:t>
      </w:r>
      <w:r w:rsidR="00612FF7">
        <w:t xml:space="preserve">the </w:t>
      </w:r>
      <w:r w:rsidR="00BA5558">
        <w:t>County of St. Croix, Wisconsin</w:t>
      </w:r>
      <w:r>
        <w:t xml:space="preserve">, </w:t>
      </w:r>
      <w:r w:rsidR="00AD0E56">
        <w:t>IS</w:t>
      </w:r>
      <w:r>
        <w:t xml:space="preserve"> GRANTED and the associated application</w:t>
      </w:r>
      <w:r w:rsidR="00BA5558">
        <w:t>s</w:t>
      </w:r>
      <w:r>
        <w:t xml:space="preserve"> SHALL BE PROCESSED accordingly</w:t>
      </w:r>
      <w:r w:rsidRPr="004674D7">
        <w:rPr>
          <w:spacing w:val="-2"/>
        </w:rPr>
        <w:t>.</w:t>
      </w:r>
      <w:r>
        <w:rPr>
          <w:spacing w:val="-2"/>
        </w:rPr>
        <w:br w:type="page"/>
      </w:r>
    </w:p>
    <w:p w:rsidR="0074239C" w:rsidP="0034769F">
      <w:pPr>
        <w:pStyle w:val="ParaNum"/>
        <w:widowControl/>
      </w:pPr>
      <w:r>
        <w:t xml:space="preserve">This action is taken under delegated authority pursuant </w:t>
      </w:r>
      <w:r w:rsidR="00EE6631">
        <w:t>to Section 155(c) of the Communications Act of 1934, as amended, 47 U.S.C. § 155(c)</w:t>
      </w:r>
      <w:r w:rsidR="00687309">
        <w:t xml:space="preserve"> and</w:t>
      </w:r>
      <w:r w:rsidR="00EE6631">
        <w:t xml:space="preserve"> Sections 0.191 and 0.392 of the Commission’s rules, 47 CFR §§ 0.191, 0.392. </w:t>
      </w:r>
    </w:p>
    <w:p w:rsidR="00DA2826" w:rsidP="00027C4A">
      <w:pPr>
        <w:pStyle w:val="ParaNum"/>
        <w:widowControl/>
        <w:numPr>
          <w:ilvl w:val="0"/>
          <w:numId w:val="0"/>
        </w:numPr>
        <w:spacing w:after="0"/>
        <w:ind w:left="3600" w:firstLine="720"/>
      </w:pPr>
      <w:r>
        <w:t xml:space="preserve">FEDERAL COMMUNICATIONS COMMISSION </w:t>
      </w:r>
    </w:p>
    <w:p w:rsidR="00DA2826" w:rsidP="0034769F">
      <w:pPr>
        <w:pStyle w:val="ParaNum"/>
        <w:widowControl/>
        <w:numPr>
          <w:ilvl w:val="0"/>
          <w:numId w:val="0"/>
        </w:numPr>
        <w:spacing w:after="0"/>
        <w:ind w:left="720"/>
      </w:pPr>
    </w:p>
    <w:p w:rsidR="00DA2826" w:rsidP="0034769F">
      <w:pPr>
        <w:pStyle w:val="ParaNum"/>
        <w:widowControl/>
        <w:numPr>
          <w:ilvl w:val="0"/>
          <w:numId w:val="0"/>
        </w:numPr>
        <w:spacing w:after="0"/>
        <w:ind w:left="720"/>
      </w:pPr>
    </w:p>
    <w:p w:rsidR="00777026" w:rsidP="0034769F">
      <w:pPr>
        <w:pStyle w:val="ParaNum"/>
        <w:widowControl/>
        <w:numPr>
          <w:ilvl w:val="0"/>
          <w:numId w:val="0"/>
        </w:numPr>
        <w:spacing w:after="0"/>
        <w:ind w:left="720"/>
      </w:pPr>
    </w:p>
    <w:p w:rsidR="00777026" w:rsidP="0034769F">
      <w:pPr>
        <w:pStyle w:val="ParaNum"/>
        <w:widowControl/>
        <w:numPr>
          <w:ilvl w:val="0"/>
          <w:numId w:val="0"/>
        </w:numPr>
        <w:spacing w:after="0"/>
        <w:ind w:left="720"/>
      </w:pPr>
    </w:p>
    <w:p w:rsidR="00DA2826" w:rsidP="0034769F">
      <w:pPr>
        <w:pStyle w:val="ParaNum"/>
        <w:widowControl/>
        <w:numPr>
          <w:ilvl w:val="0"/>
          <w:numId w:val="0"/>
        </w:numPr>
        <w:spacing w:after="0"/>
        <w:ind w:left="3600" w:firstLine="720"/>
      </w:pPr>
      <w:r>
        <w:t xml:space="preserve">Michael J. Wilhelm  </w:t>
      </w:r>
    </w:p>
    <w:p w:rsidR="00DA2826" w:rsidP="0034769F">
      <w:pPr>
        <w:pStyle w:val="ParaNum"/>
        <w:widowControl/>
        <w:numPr>
          <w:ilvl w:val="0"/>
          <w:numId w:val="0"/>
        </w:numPr>
        <w:spacing w:after="0"/>
        <w:ind w:left="3600" w:firstLine="720"/>
      </w:pPr>
      <w:r>
        <w:t xml:space="preserve">Chief, Policy and Licensing Division </w:t>
      </w:r>
    </w:p>
    <w:p w:rsidR="009364FC" w:rsidP="00027C4A">
      <w:pPr>
        <w:pStyle w:val="ParaNum"/>
        <w:widowControl/>
        <w:numPr>
          <w:ilvl w:val="0"/>
          <w:numId w:val="0"/>
        </w:numPr>
        <w:spacing w:after="0"/>
        <w:ind w:left="3600" w:firstLine="720"/>
      </w:pPr>
      <w:r>
        <w:t>Public Safety and Homeland Security Bureau</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7F0F" w:rsidP="0055614C">
    <w:pPr>
      <w:pStyle w:val="Footer"/>
      <w:framePr w:wrap="around" w:vAnchor="text" w:hAnchor="margin" w:xAlign="center" w:y="1"/>
    </w:pPr>
    <w:r>
      <w:fldChar w:fldCharType="begin"/>
    </w:r>
    <w:r>
      <w:instrText xml:space="preserve">PAGE  </w:instrText>
    </w:r>
    <w:r>
      <w:fldChar w:fldCharType="separate"/>
    </w:r>
    <w:r w:rsidR="00EC7084">
      <w:rPr>
        <w:noProof/>
      </w:rPr>
      <w:t>3</w:t>
    </w:r>
    <w:r>
      <w:fldChar w:fldCharType="end"/>
    </w:r>
  </w:p>
  <w:p w:rsidR="00037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7F0F" w:rsidP="0055614C">
    <w:pPr>
      <w:pStyle w:val="Footer"/>
      <w:framePr w:wrap="around" w:vAnchor="text" w:hAnchor="margin" w:xAlign="center" w:y="1"/>
    </w:pPr>
    <w:r>
      <w:fldChar w:fldCharType="begin"/>
    </w:r>
    <w:r>
      <w:instrText xml:space="preserve">PAGE  </w:instrText>
    </w:r>
    <w:r>
      <w:fldChar w:fldCharType="separate"/>
    </w:r>
    <w:r w:rsidR="007F6527">
      <w:rPr>
        <w:noProof/>
      </w:rPr>
      <w:t>2</w:t>
    </w:r>
    <w:r>
      <w:fldChar w:fldCharType="end"/>
    </w:r>
  </w:p>
  <w:p w:rsidR="00037F0F">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7F0F">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979DC">
      <w:r>
        <w:separator/>
      </w:r>
    </w:p>
  </w:footnote>
  <w:footnote w:type="continuationSeparator" w:id="1">
    <w:p w:rsidR="007979DC" w:rsidP="00C721AC">
      <w:pPr>
        <w:spacing w:before="120"/>
        <w:rPr>
          <w:sz w:val="20"/>
        </w:rPr>
      </w:pPr>
      <w:r>
        <w:rPr>
          <w:sz w:val="20"/>
        </w:rPr>
        <w:t xml:space="preserve">(Continued from previous page)  </w:t>
      </w:r>
      <w:r>
        <w:rPr>
          <w:sz w:val="20"/>
        </w:rPr>
        <w:separator/>
      </w:r>
    </w:p>
  </w:footnote>
  <w:footnote w:type="continuationNotice" w:id="2">
    <w:p w:rsidR="007979DC" w:rsidP="00C721AC">
      <w:pPr>
        <w:jc w:val="right"/>
        <w:rPr>
          <w:sz w:val="20"/>
        </w:rPr>
      </w:pPr>
    </w:p>
  </w:footnote>
  <w:footnote w:id="3">
    <w:p w:rsidR="005B5F4D" w:rsidRPr="00D87268" w:rsidP="005B5F4D">
      <w:pPr>
        <w:pStyle w:val="FootnoteText"/>
      </w:pPr>
      <w:r>
        <w:rPr>
          <w:rStyle w:val="FootnoteReference"/>
        </w:rPr>
        <w:footnoteRef/>
      </w:r>
      <w:r>
        <w:t xml:space="preserve"> </w:t>
      </w:r>
      <w:r w:rsidRPr="007E65E4">
        <w:rPr>
          <w:i/>
        </w:rPr>
        <w:t>See</w:t>
      </w:r>
      <w:r>
        <w:t xml:space="preserve"> ULS applications nos. </w:t>
      </w:r>
      <w:r w:rsidRPr="007E65E4">
        <w:t>0008220219 and 0008220853</w:t>
      </w:r>
      <w:r>
        <w:t xml:space="preserve">, filed May 22, 2018 (St. Croix Applications).    </w:t>
      </w:r>
    </w:p>
  </w:footnote>
  <w:footnote w:id="4">
    <w:p w:rsidR="00AB6E20" w:rsidP="00AB6E20">
      <w:pPr>
        <w:pStyle w:val="FootnoteText"/>
      </w:pPr>
      <w:r>
        <w:rPr>
          <w:rStyle w:val="FootnoteReference"/>
        </w:rPr>
        <w:footnoteRef/>
      </w:r>
      <w:r>
        <w:t xml:space="preserve"> </w:t>
      </w:r>
      <w:r w:rsidRPr="00A70406" w:rsidR="00B228E5">
        <w:rPr>
          <w:i/>
        </w:rPr>
        <w:t>Id</w:t>
      </w:r>
      <w:r w:rsidR="00B228E5">
        <w:t>.</w:t>
      </w:r>
      <w:r>
        <w:t xml:space="preserve"> </w:t>
      </w:r>
      <w:r w:rsidR="00B228E5">
        <w:t xml:space="preserve"> St. Croix’s simulcast network is licensed under call signs </w:t>
      </w:r>
      <w:r w:rsidRPr="00123E8F" w:rsidR="00B228E5">
        <w:t>WQZN231</w:t>
      </w:r>
      <w:r w:rsidR="00B228E5">
        <w:t xml:space="preserve"> and WQZH562.</w:t>
      </w:r>
      <w:r>
        <w:t xml:space="preserve"> </w:t>
      </w:r>
    </w:p>
  </w:footnote>
  <w:footnote w:id="5">
    <w:p w:rsidR="00ED0C07" w:rsidP="00ED0C07">
      <w:pPr>
        <w:pStyle w:val="FootnoteText"/>
      </w:pPr>
      <w:r>
        <w:rPr>
          <w:rStyle w:val="FootnoteReference"/>
        </w:rPr>
        <w:footnoteRef/>
      </w:r>
      <w:r w:rsidR="00505EF7">
        <w:t xml:space="preserve"> </w:t>
      </w:r>
      <w:r w:rsidR="006C3729">
        <w:t>Waiver Request at 3.</w:t>
      </w:r>
      <w:r>
        <w:t xml:space="preserve"> </w:t>
      </w:r>
      <w:r w:rsidRPr="00727F2A">
        <w:rPr>
          <w:i/>
        </w:rPr>
        <w:t>See</w:t>
      </w:r>
      <w:r>
        <w:t xml:space="preserve"> 47 CFR § 90.20(d</w:t>
      </w:r>
      <w:r>
        <w:t>)(</w:t>
      </w:r>
      <w:r>
        <w:t>13)(</w:t>
      </w:r>
      <w:r w:rsidRPr="008A00B0">
        <w:t>limit</w:t>
      </w:r>
      <w:r>
        <w:t>ing</w:t>
      </w:r>
      <w:r w:rsidRPr="008A00B0">
        <w:t xml:space="preserve"> operations on frequency 157.450 MHz to one-way paging communications</w:t>
      </w:r>
      <w:r>
        <w:t>)</w:t>
      </w:r>
      <w:r w:rsidR="002F0A20">
        <w:t>.</w:t>
      </w:r>
      <w:r>
        <w:t xml:space="preserve"> </w:t>
      </w:r>
      <w:r w:rsidRPr="007E65E4">
        <w:rPr>
          <w:i/>
        </w:rPr>
        <w:t>See</w:t>
      </w:r>
      <w:r>
        <w:t xml:space="preserve"> </w:t>
      </w:r>
      <w:r w:rsidRPr="003434A0">
        <w:rPr>
          <w:i/>
        </w:rPr>
        <w:t>also</w:t>
      </w:r>
      <w:r>
        <w:t xml:space="preserve"> attachment to St. Croix Applications labeled “Waiver Request” at 3.  </w:t>
      </w:r>
    </w:p>
  </w:footnote>
  <w:footnote w:id="6">
    <w:p w:rsidR="00ED0C07" w:rsidP="00ED0C07">
      <w:pPr>
        <w:pStyle w:val="FootnoteText"/>
      </w:pPr>
      <w:r>
        <w:rPr>
          <w:rStyle w:val="FootnoteReference"/>
        </w:rPr>
        <w:footnoteRef/>
      </w:r>
      <w:r>
        <w:t xml:space="preserve"> </w:t>
      </w:r>
      <w:r w:rsidRPr="00727F2A">
        <w:rPr>
          <w:i/>
        </w:rPr>
        <w:t>See</w:t>
      </w:r>
      <w:r>
        <w:t xml:space="preserve"> 47 CFR §90.20(45) (</w:t>
      </w:r>
      <w:r w:rsidRPr="006C3729">
        <w:t>limit</w:t>
      </w:r>
      <w:r>
        <w:t>ing</w:t>
      </w:r>
      <w:r w:rsidRPr="006C3729">
        <w:t xml:space="preserve"> licensees operating on frequency 157.450 MHz to a maximum transmitter output power of 30 watts</w:t>
      </w:r>
      <w:r>
        <w:t>).  St. Croix also seeks a waiver of Section 90.20(d</w:t>
      </w:r>
      <w:r>
        <w:t>)(</w:t>
      </w:r>
      <w:r>
        <w:t xml:space="preserve">30) to operate on </w:t>
      </w:r>
      <w:r w:rsidR="002F0A20">
        <w:t>frequency</w:t>
      </w:r>
      <w:r>
        <w:t xml:space="preserve"> 157.450 MHz with a bandwidth less than 25 kHz, but such a waiver is unnecessary because licensees may operate on any channel with less than the maximum permitted bandwidth.</w:t>
      </w:r>
      <w:r w:rsidR="00727F2A">
        <w:t xml:space="preserve">  </w:t>
      </w:r>
      <w:r w:rsidRPr="00727F2A" w:rsidR="00727F2A">
        <w:rPr>
          <w:i/>
        </w:rPr>
        <w:t xml:space="preserve">See </w:t>
      </w:r>
      <w:r w:rsidR="00727F2A">
        <w:t xml:space="preserve">Waiver Request </w:t>
      </w:r>
      <w:r w:rsidRPr="00FE191F" w:rsidR="00FE191F">
        <w:t>at 3.</w:t>
      </w:r>
    </w:p>
  </w:footnote>
  <w:footnote w:id="7">
    <w:p w:rsidR="00AB6E20" w:rsidP="00AB6E20">
      <w:pPr>
        <w:pStyle w:val="FootnoteText"/>
      </w:pPr>
      <w:r>
        <w:rPr>
          <w:rStyle w:val="FootnoteReference"/>
        </w:rPr>
        <w:footnoteRef/>
      </w:r>
      <w:r>
        <w:t xml:space="preserve"> Waiver Request at 1.</w:t>
      </w:r>
    </w:p>
  </w:footnote>
  <w:footnote w:id="8">
    <w:p w:rsidR="00AB6E20">
      <w:pPr>
        <w:pStyle w:val="FootnoteText"/>
      </w:pPr>
      <w:r>
        <w:rPr>
          <w:rStyle w:val="FootnoteReference"/>
        </w:rPr>
        <w:footnoteRef/>
      </w:r>
      <w:r>
        <w:t xml:space="preserve"> </w:t>
      </w:r>
      <w:r w:rsidRPr="00A70406">
        <w:rPr>
          <w:i/>
        </w:rPr>
        <w:t>Id</w:t>
      </w:r>
      <w:r>
        <w:t>. at 2.</w:t>
      </w:r>
    </w:p>
  </w:footnote>
  <w:footnote w:id="9">
    <w:p w:rsidR="00AB6E20">
      <w:pPr>
        <w:pStyle w:val="FootnoteText"/>
      </w:pPr>
      <w:r>
        <w:rPr>
          <w:rStyle w:val="FootnoteReference"/>
        </w:rPr>
        <w:footnoteRef/>
      </w:r>
      <w:r>
        <w:t xml:space="preserve"> </w:t>
      </w:r>
      <w:r w:rsidRPr="00A70406">
        <w:rPr>
          <w:i/>
        </w:rPr>
        <w:t>Id</w:t>
      </w:r>
      <w:r>
        <w:t>.</w:t>
      </w:r>
    </w:p>
  </w:footnote>
  <w:footnote w:id="10">
    <w:p w:rsidR="00AB6E20">
      <w:pPr>
        <w:pStyle w:val="FootnoteText"/>
      </w:pPr>
      <w:r>
        <w:rPr>
          <w:rStyle w:val="FootnoteReference"/>
        </w:rPr>
        <w:footnoteRef/>
      </w:r>
      <w:r>
        <w:t xml:space="preserve"> </w:t>
      </w:r>
      <w:r w:rsidR="008A00B0">
        <w:t xml:space="preserve">St. Croix claims that the closest licensee operating on </w:t>
      </w:r>
      <w:r w:rsidR="002F0A20">
        <w:t>frequency</w:t>
      </w:r>
      <w:r w:rsidR="008A00B0">
        <w:t xml:space="preserve"> 157.450 MHz is Pine River, Minnesota which operates on the frequency under call sign WQAJ381, 105 miles from the St. Croix </w:t>
      </w:r>
      <w:r w:rsidR="00285619">
        <w:t>C</w:t>
      </w:r>
      <w:r w:rsidR="008A00B0">
        <w:t xml:space="preserve">ounty border.  </w:t>
      </w:r>
      <w:r w:rsidRPr="00A70406" w:rsidR="008A00B0">
        <w:rPr>
          <w:i/>
        </w:rPr>
        <w:t>Id</w:t>
      </w:r>
      <w:r w:rsidR="008A00B0">
        <w:t>.</w:t>
      </w:r>
    </w:p>
  </w:footnote>
  <w:footnote w:id="11">
    <w:p w:rsidR="008A00B0">
      <w:pPr>
        <w:pStyle w:val="FootnoteText"/>
      </w:pPr>
      <w:r>
        <w:rPr>
          <w:rStyle w:val="FootnoteReference"/>
        </w:rPr>
        <w:footnoteRef/>
      </w:r>
      <w:r>
        <w:t xml:space="preserve"> </w:t>
      </w:r>
      <w:r w:rsidRPr="00A70406">
        <w:rPr>
          <w:i/>
        </w:rPr>
        <w:t>Id</w:t>
      </w:r>
      <w:r>
        <w:t>.</w:t>
      </w:r>
    </w:p>
  </w:footnote>
  <w:footnote w:id="12">
    <w:p w:rsidR="008A0474">
      <w:pPr>
        <w:pStyle w:val="FootnoteText"/>
      </w:pPr>
      <w:r>
        <w:rPr>
          <w:rStyle w:val="FootnoteReference"/>
        </w:rPr>
        <w:footnoteRef/>
      </w:r>
      <w:r>
        <w:t xml:space="preserve"> Waiver Request at 3.</w:t>
      </w:r>
    </w:p>
  </w:footnote>
  <w:footnote w:id="13">
    <w:p w:rsidR="0034769F" w:rsidP="0034769F">
      <w:pPr>
        <w:pStyle w:val="FootnoteText"/>
      </w:pPr>
      <w:r>
        <w:rPr>
          <w:rStyle w:val="FootnoteReference"/>
        </w:rPr>
        <w:footnoteRef/>
      </w:r>
      <w:r>
        <w:t xml:space="preserve"> </w:t>
      </w:r>
      <w:r w:rsidRPr="00A70406">
        <w:rPr>
          <w:i/>
        </w:rPr>
        <w:t>Id</w:t>
      </w:r>
      <w:r>
        <w:t>.</w:t>
      </w:r>
    </w:p>
  </w:footnote>
  <w:footnote w:id="14">
    <w:p w:rsidR="00082300">
      <w:pPr>
        <w:pStyle w:val="FootnoteText"/>
      </w:pPr>
      <w:r>
        <w:rPr>
          <w:rStyle w:val="FootnoteReference"/>
        </w:rPr>
        <w:footnoteRef/>
      </w:r>
      <w:r>
        <w:t xml:space="preserve"> </w:t>
      </w:r>
      <w:r w:rsidRPr="00FB7875">
        <w:rPr>
          <w:i/>
        </w:rPr>
        <w:t>See</w:t>
      </w:r>
      <w:r>
        <w:t xml:space="preserve"> attachment to St. Croix Applications labeled “IMSA - Coordinator Statement”</w:t>
      </w:r>
      <w:r w:rsidR="00C900E6">
        <w:t xml:space="preserve"> (IMSA Statement).</w:t>
      </w:r>
    </w:p>
  </w:footnote>
  <w:footnote w:id="15">
    <w:p w:rsidR="00015A45">
      <w:pPr>
        <w:pStyle w:val="FootnoteText"/>
      </w:pPr>
      <w:r>
        <w:rPr>
          <w:rStyle w:val="FootnoteReference"/>
        </w:rPr>
        <w:footnoteRef/>
      </w:r>
      <w:r>
        <w:t xml:space="preserve"> </w:t>
      </w:r>
      <w:r w:rsidRPr="00FB7875">
        <w:rPr>
          <w:i/>
        </w:rPr>
        <w:t>Id</w:t>
      </w:r>
      <w:r>
        <w:t>. at 1.</w:t>
      </w:r>
    </w:p>
  </w:footnote>
  <w:footnote w:id="16">
    <w:p w:rsidR="00015A45">
      <w:pPr>
        <w:pStyle w:val="FootnoteText"/>
      </w:pPr>
      <w:r>
        <w:rPr>
          <w:rStyle w:val="FootnoteReference"/>
        </w:rPr>
        <w:footnoteRef/>
      </w:r>
      <w:r>
        <w:t xml:space="preserve"> </w:t>
      </w:r>
      <w:r w:rsidRPr="00FB7875">
        <w:rPr>
          <w:i/>
        </w:rPr>
        <w:t>Id</w:t>
      </w:r>
      <w:r>
        <w:t xml:space="preserve">. at 2.  IMSA says its analysis of the four best alternative channels to frequency 157.450 MHz revealed that each alternative caused co-channel or adjacent-channel interference concerns relative to incumbent licensees.  </w:t>
      </w:r>
      <w:r w:rsidRPr="0042342E">
        <w:rPr>
          <w:i/>
        </w:rPr>
        <w:t>Id</w:t>
      </w:r>
      <w:r>
        <w:t>. at 1.</w:t>
      </w:r>
    </w:p>
  </w:footnote>
  <w:footnote w:id="17">
    <w:p w:rsidR="00BF1D7B" w:rsidRPr="00F66F2F">
      <w:pPr>
        <w:pStyle w:val="FootnoteText"/>
      </w:pPr>
      <w:r>
        <w:rPr>
          <w:rStyle w:val="FootnoteReference"/>
        </w:rPr>
        <w:footnoteRef/>
      </w:r>
      <w:r>
        <w:t xml:space="preserve"> </w:t>
      </w:r>
      <w:r w:rsidRPr="00F66F2F" w:rsidR="00F66F2F">
        <w:rPr>
          <w:i/>
        </w:rPr>
        <w:t>The Public Safety and Homeland Security Bureau Seeks Comment on Two Applications and a Waiver Request Filed by the County of St. Croix, Wisconsin to Use a Paging-Only Channel for Non-Paging Repeater Output Communications</w:t>
      </w:r>
      <w:r w:rsidR="00F66F2F">
        <w:t>, Public Notice, DA 18-1076 (PSHSB 2018).</w:t>
      </w:r>
    </w:p>
  </w:footnote>
  <w:footnote w:id="18">
    <w:p w:rsidR="00367255">
      <w:pPr>
        <w:pStyle w:val="FootnoteText"/>
      </w:pPr>
      <w:r>
        <w:rPr>
          <w:rStyle w:val="FootnoteReference"/>
        </w:rPr>
        <w:footnoteRef/>
      </w:r>
      <w:r>
        <w:t xml:space="preserve"> </w:t>
      </w:r>
      <w:r w:rsidRPr="00367255">
        <w:rPr>
          <w:i/>
        </w:rPr>
        <w:t>Id</w:t>
      </w:r>
      <w:r>
        <w:t>. at 2.</w:t>
      </w:r>
    </w:p>
  </w:footnote>
  <w:footnote w:id="19">
    <w:p w:rsidR="00037F0F" w:rsidP="003622DA">
      <w:pPr>
        <w:pStyle w:val="FootnoteText"/>
      </w:pPr>
      <w:r>
        <w:rPr>
          <w:rStyle w:val="FootnoteReference"/>
        </w:rPr>
        <w:footnoteRef/>
      </w:r>
      <w:r>
        <w:t xml:space="preserve"> 47 </w:t>
      </w:r>
      <w:r w:rsidR="00C843FB">
        <w:t>CFR</w:t>
      </w:r>
      <w:r>
        <w:t xml:space="preserve"> § 1.925(b)(3)(</w:t>
      </w:r>
      <w:r>
        <w:t>i</w:t>
      </w:r>
      <w:r>
        <w:t>).</w:t>
      </w:r>
    </w:p>
  </w:footnote>
  <w:footnote w:id="20">
    <w:p w:rsidR="00037F0F" w:rsidRPr="00284FC2" w:rsidP="003622DA">
      <w:pPr>
        <w:pStyle w:val="FootnoteText"/>
        <w:rPr>
          <w:sz w:val="22"/>
          <w:szCs w:val="22"/>
        </w:rPr>
      </w:pPr>
      <w:r>
        <w:rPr>
          <w:rStyle w:val="FootnoteReference"/>
        </w:rPr>
        <w:footnoteRef/>
      </w:r>
      <w:r w:rsidRPr="00284FC2">
        <w:t xml:space="preserve"> 47 </w:t>
      </w:r>
      <w:r w:rsidRPr="00284FC2" w:rsidR="00C843FB">
        <w:t>CFR</w:t>
      </w:r>
      <w:r w:rsidRPr="00284FC2">
        <w:t xml:space="preserve"> § 1.925(b)(3)(ii).</w:t>
      </w:r>
    </w:p>
  </w:footnote>
  <w:footnote w:id="21">
    <w:p w:rsidR="00FB0DB2" w:rsidP="00FB0DB2">
      <w:pPr>
        <w:spacing w:after="120"/>
        <w:rPr>
          <w:snapToGrid/>
          <w:color w:val="000000"/>
          <w:kern w:val="0"/>
          <w:sz w:val="20"/>
        </w:rPr>
      </w:pPr>
      <w:r>
        <w:rPr>
          <w:rStyle w:val="FootnoteReference"/>
        </w:rPr>
        <w:footnoteRef/>
      </w:r>
      <w:r>
        <w:rPr>
          <w:sz w:val="20"/>
        </w:rPr>
        <w:t xml:space="preserve"> </w:t>
      </w:r>
      <w:r w:rsidRPr="00D661E3">
        <w:rPr>
          <w:i/>
          <w:color w:val="000000"/>
          <w:sz w:val="20"/>
        </w:rPr>
        <w:t>Amendment of Parts 2 and 89 to Allocate 157.450 MHz to the Special Emergency Medical Radio Service for Medical Paging Systems in Hospitals</w:t>
      </w:r>
      <w:bookmarkStart w:id="1" w:name="SR;95"/>
      <w:bookmarkEnd w:id="1"/>
      <w:r w:rsidRPr="00D661E3">
        <w:rPr>
          <w:i/>
          <w:color w:val="000000"/>
          <w:sz w:val="20"/>
        </w:rPr>
        <w:t>, Docket No. 19643</w:t>
      </w:r>
      <w:r>
        <w:rPr>
          <w:color w:val="000000"/>
          <w:sz w:val="20"/>
        </w:rPr>
        <w:t xml:space="preserve">, RM-1884, </w:t>
      </w:r>
      <w:r w:rsidRPr="00D661E3">
        <w:rPr>
          <w:color w:val="000000"/>
          <w:sz w:val="20"/>
        </w:rPr>
        <w:t>Memorandum Opinion and Order and Notice of Proposed Rulemaking</w:t>
      </w:r>
      <w:r>
        <w:rPr>
          <w:color w:val="000000"/>
          <w:sz w:val="20"/>
        </w:rPr>
        <w:t xml:space="preserve">, 38 FCC 2d 147, 149 </w:t>
      </w:r>
      <w:r w:rsidR="002F0A20">
        <w:rPr>
          <w:color w:val="000000"/>
          <w:sz w:val="20"/>
        </w:rPr>
        <w:t>para</w:t>
      </w:r>
      <w:r w:rsidR="002F0A20">
        <w:rPr>
          <w:color w:val="000000"/>
          <w:sz w:val="20"/>
        </w:rPr>
        <w:t>.</w:t>
      </w:r>
      <w:r>
        <w:rPr>
          <w:color w:val="000000"/>
          <w:sz w:val="20"/>
        </w:rPr>
        <w:t xml:space="preserve"> 6 (1972); </w:t>
      </w:r>
      <w:r w:rsidRPr="00D661E3">
        <w:rPr>
          <w:i/>
          <w:snapToGrid/>
          <w:color w:val="000000"/>
          <w:kern w:val="0"/>
          <w:sz w:val="20"/>
        </w:rPr>
        <w:t>Amendment of Subpart P, Part 89 of the Commission’s Rules (Eligibility of Comprehensive Health Services); Amendment of Parts 2 and 89 of the Commission’s Rules to Allocate 157.450 MHz to the Special Emergency Radio Service for Medical Paging Systems in Hospitals; Amendment of Parts 2 and 89 of the Commission’s Rules and Regulations Relating to Communications for Emergency Medical Services</w:t>
      </w:r>
      <w:r>
        <w:rPr>
          <w:snapToGrid/>
          <w:color w:val="000000"/>
          <w:kern w:val="0"/>
          <w:sz w:val="20"/>
        </w:rPr>
        <w:t xml:space="preserve">, Docket 19576 RM-2017; Docket 19643; Docket 19880, </w:t>
      </w:r>
      <w:r w:rsidRPr="00D661E3">
        <w:rPr>
          <w:snapToGrid/>
          <w:color w:val="000000"/>
          <w:kern w:val="0"/>
          <w:sz w:val="20"/>
        </w:rPr>
        <w:t>Report and Order</w:t>
      </w:r>
      <w:r>
        <w:rPr>
          <w:snapToGrid/>
          <w:color w:val="000000"/>
          <w:kern w:val="0"/>
          <w:sz w:val="20"/>
        </w:rPr>
        <w:t xml:space="preserve">, </w:t>
      </w:r>
      <w:r>
        <w:rPr>
          <w:color w:val="000000"/>
          <w:sz w:val="20"/>
        </w:rPr>
        <w:t xml:space="preserve">47 FCC 2d 676, 687 </w:t>
      </w:r>
      <w:r w:rsidR="002F0A20">
        <w:rPr>
          <w:color w:val="000000"/>
          <w:sz w:val="20"/>
        </w:rPr>
        <w:t>para.</w:t>
      </w:r>
      <w:r>
        <w:rPr>
          <w:color w:val="000000"/>
          <w:sz w:val="20"/>
        </w:rPr>
        <w:t xml:space="preserve"> 36</w:t>
      </w:r>
      <w:r>
        <w:rPr>
          <w:snapToGrid/>
          <w:color w:val="000000"/>
          <w:kern w:val="0"/>
          <w:sz w:val="20"/>
        </w:rPr>
        <w:t xml:space="preserve"> (1974).</w:t>
      </w:r>
    </w:p>
  </w:footnote>
  <w:footnote w:id="22">
    <w:p w:rsidR="00FB0DB2" w:rsidP="00FB0DB2">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23">
    <w:p w:rsidR="00FB0DB2" w:rsidP="00FB0DB2">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24">
    <w:p w:rsidR="00FB0DB2" w:rsidP="00FB0DB2">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25">
    <w:p w:rsidR="0061591C">
      <w:pPr>
        <w:pStyle w:val="FootnoteText"/>
      </w:pPr>
      <w:r>
        <w:rPr>
          <w:rStyle w:val="FootnoteReference"/>
        </w:rPr>
        <w:footnoteRef/>
      </w:r>
      <w:r>
        <w:t xml:space="preserve"> </w:t>
      </w:r>
      <w:r>
        <w:rPr>
          <w:i/>
        </w:rPr>
        <w:t>Id</w:t>
      </w:r>
      <w:r>
        <w:t>.</w:t>
      </w:r>
    </w:p>
  </w:footnote>
  <w:footnote w:id="26">
    <w:p w:rsidR="00CF2B4D">
      <w:pPr>
        <w:pStyle w:val="FootnoteText"/>
      </w:pPr>
      <w:r>
        <w:rPr>
          <w:rStyle w:val="FootnoteReference"/>
        </w:rPr>
        <w:footnoteRef/>
      </w:r>
      <w:r>
        <w:t xml:space="preserve"> </w:t>
      </w:r>
      <w:r w:rsidR="00C900E6">
        <w:t xml:space="preserve">IMSA Statement at 2.  </w:t>
      </w:r>
    </w:p>
  </w:footnote>
  <w:footnote w:id="27">
    <w:p w:rsidR="00342253">
      <w:pPr>
        <w:pStyle w:val="FootnoteText"/>
      </w:pPr>
      <w:r>
        <w:rPr>
          <w:rStyle w:val="FootnoteReference"/>
        </w:rPr>
        <w:footnoteRef/>
      </w:r>
      <w:r>
        <w:t xml:space="preserve"> Bureau staff performed a ULS search of licensees operating on frequency 157.450 MHz in both Wisconsin and Minnesota.  </w:t>
      </w:r>
    </w:p>
  </w:footnote>
  <w:footnote w:id="28">
    <w:p w:rsidR="00715B9A">
      <w:pPr>
        <w:pStyle w:val="FootnoteText"/>
      </w:pPr>
      <w:r>
        <w:rPr>
          <w:rStyle w:val="FootnoteReference"/>
        </w:rPr>
        <w:footnoteRef/>
      </w:r>
      <w:r>
        <w:t xml:space="preserve"> St. Croix is licensed under call sign </w:t>
      </w:r>
      <w:r w:rsidR="00E501FC">
        <w:t>WZC738</w:t>
      </w:r>
      <w:r>
        <w:t xml:space="preserve"> to operate on frequency 157.450 MHz for paging operations but says </w:t>
      </w:r>
      <w:r w:rsidR="00E501FC">
        <w:t xml:space="preserve">it no longer needs the channel for “campus medical paging purposes.”  Waiver request at 2.  </w:t>
      </w:r>
    </w:p>
  </w:footnote>
  <w:footnote w:id="29">
    <w:p w:rsidR="004A5675">
      <w:pPr>
        <w:pStyle w:val="FootnoteText"/>
      </w:pPr>
      <w:r>
        <w:rPr>
          <w:rStyle w:val="FootnoteReference"/>
        </w:rPr>
        <w:footnoteRef/>
      </w:r>
      <w:r w:rsidR="0011570E">
        <w:t xml:space="preserve"> </w:t>
      </w:r>
      <w:r w:rsidRPr="0011570E" w:rsidR="0011570E">
        <w:t>IMSA Statement</w:t>
      </w:r>
      <w:r>
        <w:t xml:space="preserve"> </w:t>
      </w:r>
      <w:r w:rsidR="0011570E">
        <w:t>at 1.</w:t>
      </w:r>
    </w:p>
  </w:footnote>
  <w:footnote w:id="30">
    <w:p w:rsidR="00F90A52">
      <w:pPr>
        <w:pStyle w:val="FootnoteText"/>
      </w:pPr>
      <w:r>
        <w:rPr>
          <w:rStyle w:val="FootnoteReference"/>
        </w:rPr>
        <w:footnoteRef/>
      </w:r>
      <w:r>
        <w:t xml:space="preserve"> See call signs </w:t>
      </w:r>
      <w:r w:rsidRPr="00123E8F">
        <w:t>WQZN231</w:t>
      </w:r>
      <w:r>
        <w:t xml:space="preserve"> and WQZH562.</w:t>
      </w:r>
      <w:r w:rsidR="00367255">
        <w:t xml:space="preserve">  Bureau staff is aware of no interference issues stemming from St. Croix’s current operations.  </w:t>
      </w:r>
    </w:p>
  </w:footnote>
  <w:footnote w:id="31">
    <w:p w:rsidR="00135308">
      <w:pPr>
        <w:pStyle w:val="FootnoteText"/>
      </w:pPr>
      <w:r>
        <w:rPr>
          <w:rStyle w:val="FootnoteReference"/>
        </w:rPr>
        <w:footnoteRef/>
      </w:r>
      <w:r>
        <w:t xml:space="preserve"> St. Croix increases the </w:t>
      </w:r>
      <w:r w:rsidR="00C330C5">
        <w:t xml:space="preserve">size of its network’s </w:t>
      </w:r>
      <w:r w:rsidR="00D661E3">
        <w:t xml:space="preserve">composite </w:t>
      </w:r>
      <w:r>
        <w:t xml:space="preserve">21 dBu F(50,10) contour footprint approximately twenty percent by operating its base stations at 100 watts rather than 30 watts transmitter output power. </w:t>
      </w:r>
      <w:r w:rsidR="00C330C5">
        <w:t xml:space="preserve">  </w:t>
      </w:r>
      <w:r w:rsidR="00687FBF">
        <w:t xml:space="preserve">At the increased power, </w:t>
      </w:r>
      <w:r w:rsidR="00C330C5">
        <w:t xml:space="preserve">St. Croix’s composite 21 dBu F(50,10) contour overlaps </w:t>
      </w:r>
      <w:r w:rsidR="00687FBF">
        <w:t xml:space="preserve">completely or partially </w:t>
      </w:r>
      <w:r w:rsidR="008071ED">
        <w:t xml:space="preserve">eleven </w:t>
      </w:r>
      <w:r w:rsidR="00C330C5">
        <w:t xml:space="preserve">adjacent counties in Wisconsin and </w:t>
      </w:r>
      <w:r w:rsidR="008071ED">
        <w:t xml:space="preserve">twelve adjacent counties </w:t>
      </w:r>
      <w:r w:rsidR="00C330C5">
        <w:t xml:space="preserve">in Minnesota.  </w:t>
      </w:r>
      <w:r w:rsidR="00687FBF">
        <w:t xml:space="preserve">Nonetheless, </w:t>
      </w:r>
      <w:r w:rsidR="002F0A20">
        <w:t>frequency</w:t>
      </w:r>
      <w:r w:rsidR="00687FBF">
        <w:t xml:space="preserve"> 157.450 MHz remains unlicensed in </w:t>
      </w:r>
      <w:r w:rsidR="0039096D">
        <w:t>58</w:t>
      </w:r>
      <w:r w:rsidR="00687FBF">
        <w:t xml:space="preserve"> of </w:t>
      </w:r>
      <w:r w:rsidR="0039096D">
        <w:t xml:space="preserve">the </w:t>
      </w:r>
      <w:r w:rsidR="00687FBF">
        <w:t>6</w:t>
      </w:r>
      <w:r w:rsidR="0039096D">
        <w:t>0</w:t>
      </w:r>
      <w:r w:rsidR="00687FBF">
        <w:t xml:space="preserve"> counties in Wisconsin and </w:t>
      </w:r>
      <w:r w:rsidR="008071ED">
        <w:t>70</w:t>
      </w:r>
      <w:r w:rsidR="00687FBF">
        <w:t xml:space="preserve"> of </w:t>
      </w:r>
      <w:r w:rsidR="008071ED">
        <w:t>the 75</w:t>
      </w:r>
      <w:r w:rsidR="00687FBF">
        <w:t xml:space="preserve"> counties in Minnesota outside St. Croix’s composite contour footprint.  </w:t>
      </w:r>
      <w:r>
        <w:t xml:space="preserve"> </w:t>
      </w:r>
    </w:p>
  </w:footnote>
  <w:footnote w:id="32">
    <w:p w:rsidR="00CF18D4">
      <w:pPr>
        <w:pStyle w:val="FootnoteText"/>
      </w:pPr>
      <w:r>
        <w:rPr>
          <w:rStyle w:val="FootnoteReference"/>
        </w:rPr>
        <w:footnoteRef/>
      </w:r>
      <w:r>
        <w:t xml:space="preserve"> Waiver Request at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7F0F" w:rsidP="00810B6F">
    <w:pPr>
      <w:pStyle w:val="Header"/>
      <w:rPr>
        <w:b w:val="0"/>
      </w:rPr>
    </w:pPr>
    <w:r>
      <w:tab/>
      <w:t>Federal Communications Commission</w:t>
    </w:r>
    <w:r>
      <w:tab/>
    </w:r>
    <w:r w:rsidR="002E0B5A">
      <w:t xml:space="preserve">DA </w:t>
    </w:r>
    <w:r w:rsidRPr="002B724A" w:rsidR="002B724A">
      <w:t>1</w:t>
    </w:r>
    <w:r w:rsidR="00714A2F">
      <w:t>9</w:t>
    </w:r>
    <w:r w:rsidRPr="002B724A" w:rsidR="002B724A">
      <w:t>-</w:t>
    </w:r>
    <w:r w:rsidR="00B12448">
      <w:t>329</w:t>
    </w:r>
    <w:bookmarkStart w:id="3" w:name="_GoBack"/>
    <w:bookmarkEnd w:id="3"/>
  </w:p>
  <w:p w:rsidR="00037F0F">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037F0F">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7F0F"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485C03">
      <w:rPr>
        <w:spacing w:val="-2"/>
      </w:rPr>
      <w:t xml:space="preserve">DA </w:t>
    </w:r>
    <w:r w:rsidRPr="002B724A" w:rsidR="002B724A">
      <w:rPr>
        <w:spacing w:val="-2"/>
      </w:rPr>
      <w:t>1</w:t>
    </w:r>
    <w:r w:rsidR="00714A2F">
      <w:rPr>
        <w:spacing w:val="-2"/>
      </w:rPr>
      <w:t>9</w:t>
    </w:r>
    <w:r w:rsidRPr="002B724A" w:rsidR="002B724A">
      <w:rPr>
        <w:spacing w:val="-2"/>
      </w:rPr>
      <w:t>-</w:t>
    </w:r>
    <w:r w:rsidR="00B12448">
      <w:rPr>
        <w:spacing w:val="-2"/>
      </w:rPr>
      <w:t>329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6D516E"/>
    <w:multiLevelType w:val="hybridMultilevel"/>
    <w:tmpl w:val="02025E96"/>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color w:val="auto"/>
      </w:r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7"/>
    <w:lvlOverride w:ilvl="0">
      <w:startOverride w:val="1"/>
    </w:lvlOverride>
  </w:num>
  <w:num w:numId="8">
    <w:abstractNumId w:val="0"/>
  </w:num>
  <w:num w:numId="9">
    <w:abstractNumId w:val="7"/>
    <w:lvlOverride w:ilvl="0">
      <w:startOverride w:val="1"/>
    </w:lvlOverride>
  </w:num>
  <w:num w:numId="10">
    <w:abstractNumId w:val="6"/>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78F"/>
    <w:rsid w:val="0000376A"/>
    <w:rsid w:val="00003BE7"/>
    <w:rsid w:val="0001497E"/>
    <w:rsid w:val="00015A45"/>
    <w:rsid w:val="00021435"/>
    <w:rsid w:val="00025314"/>
    <w:rsid w:val="00027C4A"/>
    <w:rsid w:val="00031273"/>
    <w:rsid w:val="00036039"/>
    <w:rsid w:val="0003649B"/>
    <w:rsid w:val="00037F0F"/>
    <w:rsid w:val="00037F90"/>
    <w:rsid w:val="00041C3E"/>
    <w:rsid w:val="00044C0A"/>
    <w:rsid w:val="00050FCF"/>
    <w:rsid w:val="00051BD6"/>
    <w:rsid w:val="000529BD"/>
    <w:rsid w:val="00063935"/>
    <w:rsid w:val="00081A8B"/>
    <w:rsid w:val="00082300"/>
    <w:rsid w:val="000875BF"/>
    <w:rsid w:val="00096D8C"/>
    <w:rsid w:val="000A0167"/>
    <w:rsid w:val="000A0559"/>
    <w:rsid w:val="000A0AC4"/>
    <w:rsid w:val="000A7D45"/>
    <w:rsid w:val="000C0B65"/>
    <w:rsid w:val="000C0DEA"/>
    <w:rsid w:val="000C2D1C"/>
    <w:rsid w:val="000C311B"/>
    <w:rsid w:val="000D0D44"/>
    <w:rsid w:val="000D3C5E"/>
    <w:rsid w:val="000D528F"/>
    <w:rsid w:val="000D7294"/>
    <w:rsid w:val="000D73C8"/>
    <w:rsid w:val="000D7A67"/>
    <w:rsid w:val="000E0181"/>
    <w:rsid w:val="000E05FE"/>
    <w:rsid w:val="000E3D42"/>
    <w:rsid w:val="000E596C"/>
    <w:rsid w:val="000F6D36"/>
    <w:rsid w:val="000F7E02"/>
    <w:rsid w:val="00114223"/>
    <w:rsid w:val="00114C27"/>
    <w:rsid w:val="0011570E"/>
    <w:rsid w:val="00115BC0"/>
    <w:rsid w:val="001221E1"/>
    <w:rsid w:val="00122BD5"/>
    <w:rsid w:val="00123B8C"/>
    <w:rsid w:val="00123E8F"/>
    <w:rsid w:val="00126105"/>
    <w:rsid w:val="00131511"/>
    <w:rsid w:val="00132492"/>
    <w:rsid w:val="00132E36"/>
    <w:rsid w:val="00133A96"/>
    <w:rsid w:val="00133F79"/>
    <w:rsid w:val="00135308"/>
    <w:rsid w:val="00137BE1"/>
    <w:rsid w:val="0015154F"/>
    <w:rsid w:val="0016158F"/>
    <w:rsid w:val="00162444"/>
    <w:rsid w:val="00167849"/>
    <w:rsid w:val="00181407"/>
    <w:rsid w:val="00194A66"/>
    <w:rsid w:val="00196091"/>
    <w:rsid w:val="001A348F"/>
    <w:rsid w:val="001A4144"/>
    <w:rsid w:val="001B6F07"/>
    <w:rsid w:val="001B7111"/>
    <w:rsid w:val="001C45F4"/>
    <w:rsid w:val="001D0DA2"/>
    <w:rsid w:val="001D4A27"/>
    <w:rsid w:val="001D4B77"/>
    <w:rsid w:val="001D6794"/>
    <w:rsid w:val="001D6BCF"/>
    <w:rsid w:val="001E01CA"/>
    <w:rsid w:val="001E2E98"/>
    <w:rsid w:val="001E62E2"/>
    <w:rsid w:val="001F173C"/>
    <w:rsid w:val="001F1D7F"/>
    <w:rsid w:val="001F396B"/>
    <w:rsid w:val="0020000B"/>
    <w:rsid w:val="00203B89"/>
    <w:rsid w:val="00203F05"/>
    <w:rsid w:val="002047DF"/>
    <w:rsid w:val="0020583E"/>
    <w:rsid w:val="00214EC7"/>
    <w:rsid w:val="002164BA"/>
    <w:rsid w:val="00217E78"/>
    <w:rsid w:val="002271BD"/>
    <w:rsid w:val="00231356"/>
    <w:rsid w:val="002321A1"/>
    <w:rsid w:val="00234751"/>
    <w:rsid w:val="00234E33"/>
    <w:rsid w:val="0023616F"/>
    <w:rsid w:val="00236C3B"/>
    <w:rsid w:val="0024169A"/>
    <w:rsid w:val="00242AB8"/>
    <w:rsid w:val="00244961"/>
    <w:rsid w:val="002506B1"/>
    <w:rsid w:val="00250AE4"/>
    <w:rsid w:val="00253E0A"/>
    <w:rsid w:val="00255584"/>
    <w:rsid w:val="002563D8"/>
    <w:rsid w:val="0026321D"/>
    <w:rsid w:val="00264030"/>
    <w:rsid w:val="002740AD"/>
    <w:rsid w:val="0027489E"/>
    <w:rsid w:val="00275CF5"/>
    <w:rsid w:val="0028301F"/>
    <w:rsid w:val="00284FC2"/>
    <w:rsid w:val="00285017"/>
    <w:rsid w:val="00285619"/>
    <w:rsid w:val="0029053E"/>
    <w:rsid w:val="00294D02"/>
    <w:rsid w:val="0029584E"/>
    <w:rsid w:val="002A2D2E"/>
    <w:rsid w:val="002A71BB"/>
    <w:rsid w:val="002B061C"/>
    <w:rsid w:val="002B724A"/>
    <w:rsid w:val="002C00E8"/>
    <w:rsid w:val="002D025A"/>
    <w:rsid w:val="002D1008"/>
    <w:rsid w:val="002E0B5A"/>
    <w:rsid w:val="002E27B5"/>
    <w:rsid w:val="002F0A20"/>
    <w:rsid w:val="002F14CB"/>
    <w:rsid w:val="002F68C0"/>
    <w:rsid w:val="002F762C"/>
    <w:rsid w:val="002F7B7E"/>
    <w:rsid w:val="0030525A"/>
    <w:rsid w:val="003066E8"/>
    <w:rsid w:val="0030723A"/>
    <w:rsid w:val="00320119"/>
    <w:rsid w:val="00325773"/>
    <w:rsid w:val="00332062"/>
    <w:rsid w:val="003376EC"/>
    <w:rsid w:val="00337ED6"/>
    <w:rsid w:val="00342253"/>
    <w:rsid w:val="003434A0"/>
    <w:rsid w:val="00343749"/>
    <w:rsid w:val="00345DC2"/>
    <w:rsid w:val="0034769F"/>
    <w:rsid w:val="00351121"/>
    <w:rsid w:val="0036104F"/>
    <w:rsid w:val="003622DA"/>
    <w:rsid w:val="00363529"/>
    <w:rsid w:val="003660ED"/>
    <w:rsid w:val="00367255"/>
    <w:rsid w:val="00367824"/>
    <w:rsid w:val="00370AC1"/>
    <w:rsid w:val="003861DD"/>
    <w:rsid w:val="0039096D"/>
    <w:rsid w:val="003A1EEA"/>
    <w:rsid w:val="003A7DC8"/>
    <w:rsid w:val="003B0550"/>
    <w:rsid w:val="003B694F"/>
    <w:rsid w:val="003C31D4"/>
    <w:rsid w:val="003C3CA4"/>
    <w:rsid w:val="003C5702"/>
    <w:rsid w:val="003D100A"/>
    <w:rsid w:val="003D2CFF"/>
    <w:rsid w:val="003E17DE"/>
    <w:rsid w:val="003E185E"/>
    <w:rsid w:val="003E210B"/>
    <w:rsid w:val="003E4404"/>
    <w:rsid w:val="003E4841"/>
    <w:rsid w:val="003F0250"/>
    <w:rsid w:val="003F171C"/>
    <w:rsid w:val="003F5392"/>
    <w:rsid w:val="00402327"/>
    <w:rsid w:val="0040680E"/>
    <w:rsid w:val="0040696E"/>
    <w:rsid w:val="00407655"/>
    <w:rsid w:val="00412FC5"/>
    <w:rsid w:val="00420C71"/>
    <w:rsid w:val="00422276"/>
    <w:rsid w:val="0042342E"/>
    <w:rsid w:val="004242F1"/>
    <w:rsid w:val="00426286"/>
    <w:rsid w:val="00430292"/>
    <w:rsid w:val="00431CF6"/>
    <w:rsid w:val="004405FB"/>
    <w:rsid w:val="00445A00"/>
    <w:rsid w:val="00446B97"/>
    <w:rsid w:val="00451B0F"/>
    <w:rsid w:val="00455192"/>
    <w:rsid w:val="004674D7"/>
    <w:rsid w:val="00481E1E"/>
    <w:rsid w:val="004834AE"/>
    <w:rsid w:val="00484564"/>
    <w:rsid w:val="00485C03"/>
    <w:rsid w:val="00492079"/>
    <w:rsid w:val="00496D5A"/>
    <w:rsid w:val="004A4449"/>
    <w:rsid w:val="004A4A3E"/>
    <w:rsid w:val="004A5675"/>
    <w:rsid w:val="004A6821"/>
    <w:rsid w:val="004A7FCC"/>
    <w:rsid w:val="004B3315"/>
    <w:rsid w:val="004B49B2"/>
    <w:rsid w:val="004C105A"/>
    <w:rsid w:val="004C2EE3"/>
    <w:rsid w:val="004C6618"/>
    <w:rsid w:val="004C7229"/>
    <w:rsid w:val="004E2387"/>
    <w:rsid w:val="004E3737"/>
    <w:rsid w:val="004E4A22"/>
    <w:rsid w:val="004E5F04"/>
    <w:rsid w:val="004E71C6"/>
    <w:rsid w:val="004F0E8A"/>
    <w:rsid w:val="004F3A48"/>
    <w:rsid w:val="00500E70"/>
    <w:rsid w:val="00501736"/>
    <w:rsid w:val="00502F93"/>
    <w:rsid w:val="0050392D"/>
    <w:rsid w:val="00503EF1"/>
    <w:rsid w:val="00505EF7"/>
    <w:rsid w:val="00511968"/>
    <w:rsid w:val="005120EB"/>
    <w:rsid w:val="00512113"/>
    <w:rsid w:val="005125B9"/>
    <w:rsid w:val="005140D7"/>
    <w:rsid w:val="0051505D"/>
    <w:rsid w:val="00527C9F"/>
    <w:rsid w:val="00530681"/>
    <w:rsid w:val="00541EC8"/>
    <w:rsid w:val="00542063"/>
    <w:rsid w:val="00554340"/>
    <w:rsid w:val="0055614C"/>
    <w:rsid w:val="005572EC"/>
    <w:rsid w:val="00562C2F"/>
    <w:rsid w:val="005656C0"/>
    <w:rsid w:val="005657A2"/>
    <w:rsid w:val="005709D0"/>
    <w:rsid w:val="00571145"/>
    <w:rsid w:val="00571B1C"/>
    <w:rsid w:val="00580A3A"/>
    <w:rsid w:val="005811F6"/>
    <w:rsid w:val="00597DA3"/>
    <w:rsid w:val="005A2511"/>
    <w:rsid w:val="005B07C4"/>
    <w:rsid w:val="005B1B63"/>
    <w:rsid w:val="005B4569"/>
    <w:rsid w:val="005B5F4D"/>
    <w:rsid w:val="005B6DF9"/>
    <w:rsid w:val="005C00DD"/>
    <w:rsid w:val="005C6F82"/>
    <w:rsid w:val="005D7259"/>
    <w:rsid w:val="005E14C2"/>
    <w:rsid w:val="005F1688"/>
    <w:rsid w:val="005F661E"/>
    <w:rsid w:val="005F67A7"/>
    <w:rsid w:val="0060012F"/>
    <w:rsid w:val="00603D18"/>
    <w:rsid w:val="00607BA5"/>
    <w:rsid w:val="0061180A"/>
    <w:rsid w:val="00612FF7"/>
    <w:rsid w:val="0061591C"/>
    <w:rsid w:val="0061697C"/>
    <w:rsid w:val="00617E0A"/>
    <w:rsid w:val="006215F8"/>
    <w:rsid w:val="00625F33"/>
    <w:rsid w:val="00626EB6"/>
    <w:rsid w:val="00635A50"/>
    <w:rsid w:val="0064071E"/>
    <w:rsid w:val="00642BD0"/>
    <w:rsid w:val="00642E69"/>
    <w:rsid w:val="006462D9"/>
    <w:rsid w:val="00655D03"/>
    <w:rsid w:val="00670713"/>
    <w:rsid w:val="00671ADC"/>
    <w:rsid w:val="00677744"/>
    <w:rsid w:val="00682123"/>
    <w:rsid w:val="00683388"/>
    <w:rsid w:val="00683F84"/>
    <w:rsid w:val="00687309"/>
    <w:rsid w:val="00687FBF"/>
    <w:rsid w:val="006A6A81"/>
    <w:rsid w:val="006B779E"/>
    <w:rsid w:val="006C1388"/>
    <w:rsid w:val="006C3729"/>
    <w:rsid w:val="006C443A"/>
    <w:rsid w:val="006C4F6D"/>
    <w:rsid w:val="006C5234"/>
    <w:rsid w:val="006D249B"/>
    <w:rsid w:val="006D579C"/>
    <w:rsid w:val="006D5E81"/>
    <w:rsid w:val="006E259A"/>
    <w:rsid w:val="006E582A"/>
    <w:rsid w:val="006E6F1B"/>
    <w:rsid w:val="006F66B2"/>
    <w:rsid w:val="006F66D0"/>
    <w:rsid w:val="006F7393"/>
    <w:rsid w:val="007016F8"/>
    <w:rsid w:val="0070224F"/>
    <w:rsid w:val="007115F7"/>
    <w:rsid w:val="00714A2F"/>
    <w:rsid w:val="00715B9A"/>
    <w:rsid w:val="00721BA5"/>
    <w:rsid w:val="00721C5D"/>
    <w:rsid w:val="007241D0"/>
    <w:rsid w:val="007252FB"/>
    <w:rsid w:val="00727F2A"/>
    <w:rsid w:val="00734DF2"/>
    <w:rsid w:val="00735465"/>
    <w:rsid w:val="0074239C"/>
    <w:rsid w:val="00744351"/>
    <w:rsid w:val="0075189D"/>
    <w:rsid w:val="00751BBE"/>
    <w:rsid w:val="007527B4"/>
    <w:rsid w:val="0075337B"/>
    <w:rsid w:val="00764FCD"/>
    <w:rsid w:val="00765A0A"/>
    <w:rsid w:val="00771316"/>
    <w:rsid w:val="00777026"/>
    <w:rsid w:val="00785689"/>
    <w:rsid w:val="007865D3"/>
    <w:rsid w:val="00792668"/>
    <w:rsid w:val="00796A0B"/>
    <w:rsid w:val="0079754B"/>
    <w:rsid w:val="007979DC"/>
    <w:rsid w:val="007A1E6D"/>
    <w:rsid w:val="007A2AA7"/>
    <w:rsid w:val="007B0EB2"/>
    <w:rsid w:val="007C7523"/>
    <w:rsid w:val="007E1346"/>
    <w:rsid w:val="007E20CE"/>
    <w:rsid w:val="007E65E4"/>
    <w:rsid w:val="007F1411"/>
    <w:rsid w:val="007F5B8C"/>
    <w:rsid w:val="007F631B"/>
    <w:rsid w:val="007F6527"/>
    <w:rsid w:val="008017F1"/>
    <w:rsid w:val="008065FA"/>
    <w:rsid w:val="008071ED"/>
    <w:rsid w:val="00810B6F"/>
    <w:rsid w:val="008200D0"/>
    <w:rsid w:val="00821CE1"/>
    <w:rsid w:val="00822CE0"/>
    <w:rsid w:val="00823CF3"/>
    <w:rsid w:val="008270AA"/>
    <w:rsid w:val="00830B73"/>
    <w:rsid w:val="00830CD5"/>
    <w:rsid w:val="008314FB"/>
    <w:rsid w:val="00833F7E"/>
    <w:rsid w:val="00834D89"/>
    <w:rsid w:val="00841AB1"/>
    <w:rsid w:val="00844EC8"/>
    <w:rsid w:val="00845899"/>
    <w:rsid w:val="00846926"/>
    <w:rsid w:val="008554AF"/>
    <w:rsid w:val="008606BC"/>
    <w:rsid w:val="00867D39"/>
    <w:rsid w:val="0087405F"/>
    <w:rsid w:val="00875E3E"/>
    <w:rsid w:val="008764DD"/>
    <w:rsid w:val="00876907"/>
    <w:rsid w:val="00876D17"/>
    <w:rsid w:val="00881505"/>
    <w:rsid w:val="00884563"/>
    <w:rsid w:val="008958D0"/>
    <w:rsid w:val="008A00B0"/>
    <w:rsid w:val="008A0474"/>
    <w:rsid w:val="008A61BB"/>
    <w:rsid w:val="008B162A"/>
    <w:rsid w:val="008B3BA4"/>
    <w:rsid w:val="008B3DE7"/>
    <w:rsid w:val="008B6C90"/>
    <w:rsid w:val="008B72CE"/>
    <w:rsid w:val="008C68F1"/>
    <w:rsid w:val="008D118C"/>
    <w:rsid w:val="008D2DA2"/>
    <w:rsid w:val="008D6E58"/>
    <w:rsid w:val="008E2E3D"/>
    <w:rsid w:val="008F26EA"/>
    <w:rsid w:val="008F34DF"/>
    <w:rsid w:val="008F751C"/>
    <w:rsid w:val="00904C18"/>
    <w:rsid w:val="00910765"/>
    <w:rsid w:val="00911406"/>
    <w:rsid w:val="00920224"/>
    <w:rsid w:val="00921803"/>
    <w:rsid w:val="00921E06"/>
    <w:rsid w:val="00926503"/>
    <w:rsid w:val="009276C0"/>
    <w:rsid w:val="0093004D"/>
    <w:rsid w:val="009329CF"/>
    <w:rsid w:val="009333AB"/>
    <w:rsid w:val="00933AED"/>
    <w:rsid w:val="00934154"/>
    <w:rsid w:val="009364FC"/>
    <w:rsid w:val="009375BE"/>
    <w:rsid w:val="0094279C"/>
    <w:rsid w:val="00950853"/>
    <w:rsid w:val="009528D5"/>
    <w:rsid w:val="009637CC"/>
    <w:rsid w:val="00970007"/>
    <w:rsid w:val="009726D8"/>
    <w:rsid w:val="0097355C"/>
    <w:rsid w:val="00980E5E"/>
    <w:rsid w:val="00995AAC"/>
    <w:rsid w:val="009A76C2"/>
    <w:rsid w:val="009C77D0"/>
    <w:rsid w:val="009D57BB"/>
    <w:rsid w:val="009D78A8"/>
    <w:rsid w:val="009E1DC5"/>
    <w:rsid w:val="009E4BEF"/>
    <w:rsid w:val="009E55AF"/>
    <w:rsid w:val="009E7868"/>
    <w:rsid w:val="009F2878"/>
    <w:rsid w:val="009F76DB"/>
    <w:rsid w:val="00A0253D"/>
    <w:rsid w:val="00A03229"/>
    <w:rsid w:val="00A03850"/>
    <w:rsid w:val="00A039A8"/>
    <w:rsid w:val="00A0540E"/>
    <w:rsid w:val="00A2452C"/>
    <w:rsid w:val="00A251B3"/>
    <w:rsid w:val="00A32C3B"/>
    <w:rsid w:val="00A33122"/>
    <w:rsid w:val="00A360EC"/>
    <w:rsid w:val="00A45F4F"/>
    <w:rsid w:val="00A474BA"/>
    <w:rsid w:val="00A47E4A"/>
    <w:rsid w:val="00A5243A"/>
    <w:rsid w:val="00A600A9"/>
    <w:rsid w:val="00A62983"/>
    <w:rsid w:val="00A63D92"/>
    <w:rsid w:val="00A67CA0"/>
    <w:rsid w:val="00A70406"/>
    <w:rsid w:val="00A72635"/>
    <w:rsid w:val="00A72900"/>
    <w:rsid w:val="00A76BD7"/>
    <w:rsid w:val="00A77195"/>
    <w:rsid w:val="00A85ADD"/>
    <w:rsid w:val="00A93744"/>
    <w:rsid w:val="00AA55B7"/>
    <w:rsid w:val="00AA5B9E"/>
    <w:rsid w:val="00AA7913"/>
    <w:rsid w:val="00AB2407"/>
    <w:rsid w:val="00AB53DF"/>
    <w:rsid w:val="00AB54FB"/>
    <w:rsid w:val="00AB6E20"/>
    <w:rsid w:val="00AC5A6C"/>
    <w:rsid w:val="00AD0E56"/>
    <w:rsid w:val="00AD1EB3"/>
    <w:rsid w:val="00AE038E"/>
    <w:rsid w:val="00AE5F47"/>
    <w:rsid w:val="00AF0FF1"/>
    <w:rsid w:val="00AF11B0"/>
    <w:rsid w:val="00AF6B0B"/>
    <w:rsid w:val="00AF74FA"/>
    <w:rsid w:val="00B00DB5"/>
    <w:rsid w:val="00B01A3E"/>
    <w:rsid w:val="00B02E7E"/>
    <w:rsid w:val="00B07E5C"/>
    <w:rsid w:val="00B12448"/>
    <w:rsid w:val="00B13F9B"/>
    <w:rsid w:val="00B15273"/>
    <w:rsid w:val="00B15E55"/>
    <w:rsid w:val="00B1723F"/>
    <w:rsid w:val="00B228E5"/>
    <w:rsid w:val="00B236DA"/>
    <w:rsid w:val="00B272BF"/>
    <w:rsid w:val="00B305D3"/>
    <w:rsid w:val="00B3264E"/>
    <w:rsid w:val="00B342BD"/>
    <w:rsid w:val="00B34D71"/>
    <w:rsid w:val="00B35E97"/>
    <w:rsid w:val="00B37DDC"/>
    <w:rsid w:val="00B42811"/>
    <w:rsid w:val="00B4582B"/>
    <w:rsid w:val="00B56806"/>
    <w:rsid w:val="00B61148"/>
    <w:rsid w:val="00B71237"/>
    <w:rsid w:val="00B7333D"/>
    <w:rsid w:val="00B76097"/>
    <w:rsid w:val="00B811F7"/>
    <w:rsid w:val="00B8705E"/>
    <w:rsid w:val="00B873E7"/>
    <w:rsid w:val="00B923B0"/>
    <w:rsid w:val="00BA23E0"/>
    <w:rsid w:val="00BA5558"/>
    <w:rsid w:val="00BA591B"/>
    <w:rsid w:val="00BA5DC6"/>
    <w:rsid w:val="00BA6196"/>
    <w:rsid w:val="00BB04D8"/>
    <w:rsid w:val="00BB4136"/>
    <w:rsid w:val="00BC06C4"/>
    <w:rsid w:val="00BC3733"/>
    <w:rsid w:val="00BC5893"/>
    <w:rsid w:val="00BC6D8C"/>
    <w:rsid w:val="00BD532B"/>
    <w:rsid w:val="00BD6791"/>
    <w:rsid w:val="00BD6FF0"/>
    <w:rsid w:val="00BD7DE3"/>
    <w:rsid w:val="00BE072A"/>
    <w:rsid w:val="00BE334A"/>
    <w:rsid w:val="00BE6BC3"/>
    <w:rsid w:val="00BF1D7B"/>
    <w:rsid w:val="00BF3021"/>
    <w:rsid w:val="00BF31F7"/>
    <w:rsid w:val="00BF3209"/>
    <w:rsid w:val="00BF522F"/>
    <w:rsid w:val="00BF5A35"/>
    <w:rsid w:val="00C2683C"/>
    <w:rsid w:val="00C26C1D"/>
    <w:rsid w:val="00C30210"/>
    <w:rsid w:val="00C330C5"/>
    <w:rsid w:val="00C34006"/>
    <w:rsid w:val="00C358FE"/>
    <w:rsid w:val="00C3636A"/>
    <w:rsid w:val="00C36CCB"/>
    <w:rsid w:val="00C407E8"/>
    <w:rsid w:val="00C426B1"/>
    <w:rsid w:val="00C50746"/>
    <w:rsid w:val="00C527C8"/>
    <w:rsid w:val="00C5559F"/>
    <w:rsid w:val="00C6378F"/>
    <w:rsid w:val="00C6523A"/>
    <w:rsid w:val="00C655E6"/>
    <w:rsid w:val="00C66160"/>
    <w:rsid w:val="00C663FC"/>
    <w:rsid w:val="00C715C2"/>
    <w:rsid w:val="00C721AC"/>
    <w:rsid w:val="00C843FB"/>
    <w:rsid w:val="00C849D8"/>
    <w:rsid w:val="00C8632A"/>
    <w:rsid w:val="00C86DE9"/>
    <w:rsid w:val="00C87A15"/>
    <w:rsid w:val="00C900E6"/>
    <w:rsid w:val="00C90D6A"/>
    <w:rsid w:val="00C92D00"/>
    <w:rsid w:val="00C92F67"/>
    <w:rsid w:val="00C9485F"/>
    <w:rsid w:val="00C950D9"/>
    <w:rsid w:val="00C958EE"/>
    <w:rsid w:val="00CA1B55"/>
    <w:rsid w:val="00CA2186"/>
    <w:rsid w:val="00CA247E"/>
    <w:rsid w:val="00CA5E2F"/>
    <w:rsid w:val="00CA7C2F"/>
    <w:rsid w:val="00CA7EA6"/>
    <w:rsid w:val="00CB0777"/>
    <w:rsid w:val="00CB26C1"/>
    <w:rsid w:val="00CB3E6F"/>
    <w:rsid w:val="00CB48BE"/>
    <w:rsid w:val="00CB7CCC"/>
    <w:rsid w:val="00CC72B6"/>
    <w:rsid w:val="00CD2C00"/>
    <w:rsid w:val="00CD3F49"/>
    <w:rsid w:val="00CD3F54"/>
    <w:rsid w:val="00CD3FA7"/>
    <w:rsid w:val="00CD710B"/>
    <w:rsid w:val="00CE094D"/>
    <w:rsid w:val="00CE5E29"/>
    <w:rsid w:val="00CF18D4"/>
    <w:rsid w:val="00CF2B4D"/>
    <w:rsid w:val="00CF59ED"/>
    <w:rsid w:val="00D00CC5"/>
    <w:rsid w:val="00D014DA"/>
    <w:rsid w:val="00D0218D"/>
    <w:rsid w:val="00D05652"/>
    <w:rsid w:val="00D119E3"/>
    <w:rsid w:val="00D158A4"/>
    <w:rsid w:val="00D25FB5"/>
    <w:rsid w:val="00D37C74"/>
    <w:rsid w:val="00D41D64"/>
    <w:rsid w:val="00D44223"/>
    <w:rsid w:val="00D467A5"/>
    <w:rsid w:val="00D51FEA"/>
    <w:rsid w:val="00D52B5F"/>
    <w:rsid w:val="00D659B6"/>
    <w:rsid w:val="00D661E3"/>
    <w:rsid w:val="00D66A84"/>
    <w:rsid w:val="00D71904"/>
    <w:rsid w:val="00D73A74"/>
    <w:rsid w:val="00D73AC5"/>
    <w:rsid w:val="00D77B34"/>
    <w:rsid w:val="00D87268"/>
    <w:rsid w:val="00D922A1"/>
    <w:rsid w:val="00D92575"/>
    <w:rsid w:val="00DA12CC"/>
    <w:rsid w:val="00DA21E0"/>
    <w:rsid w:val="00DA2529"/>
    <w:rsid w:val="00DA2826"/>
    <w:rsid w:val="00DB130A"/>
    <w:rsid w:val="00DB2EBB"/>
    <w:rsid w:val="00DC10A1"/>
    <w:rsid w:val="00DC5CE8"/>
    <w:rsid w:val="00DC655F"/>
    <w:rsid w:val="00DC70BC"/>
    <w:rsid w:val="00DD0B59"/>
    <w:rsid w:val="00DD5491"/>
    <w:rsid w:val="00DD555F"/>
    <w:rsid w:val="00DD7EBD"/>
    <w:rsid w:val="00DE61DA"/>
    <w:rsid w:val="00DF0E60"/>
    <w:rsid w:val="00DF62B6"/>
    <w:rsid w:val="00DF75A3"/>
    <w:rsid w:val="00E02EF6"/>
    <w:rsid w:val="00E07225"/>
    <w:rsid w:val="00E10990"/>
    <w:rsid w:val="00E26709"/>
    <w:rsid w:val="00E32CD6"/>
    <w:rsid w:val="00E36320"/>
    <w:rsid w:val="00E37BE1"/>
    <w:rsid w:val="00E4028B"/>
    <w:rsid w:val="00E41917"/>
    <w:rsid w:val="00E501FC"/>
    <w:rsid w:val="00E50213"/>
    <w:rsid w:val="00E5409F"/>
    <w:rsid w:val="00E57BA6"/>
    <w:rsid w:val="00E63127"/>
    <w:rsid w:val="00E65A3B"/>
    <w:rsid w:val="00E7449E"/>
    <w:rsid w:val="00E80A38"/>
    <w:rsid w:val="00E83706"/>
    <w:rsid w:val="00E87A70"/>
    <w:rsid w:val="00EA6D0E"/>
    <w:rsid w:val="00EB6106"/>
    <w:rsid w:val="00EC508D"/>
    <w:rsid w:val="00EC7084"/>
    <w:rsid w:val="00EC7DDC"/>
    <w:rsid w:val="00ED0C07"/>
    <w:rsid w:val="00EE5451"/>
    <w:rsid w:val="00EE6488"/>
    <w:rsid w:val="00EE6631"/>
    <w:rsid w:val="00EF17D9"/>
    <w:rsid w:val="00EF4BF1"/>
    <w:rsid w:val="00EF7173"/>
    <w:rsid w:val="00EF79C6"/>
    <w:rsid w:val="00F021FA"/>
    <w:rsid w:val="00F07342"/>
    <w:rsid w:val="00F147BA"/>
    <w:rsid w:val="00F31B2B"/>
    <w:rsid w:val="00F32C3F"/>
    <w:rsid w:val="00F411BD"/>
    <w:rsid w:val="00F41B41"/>
    <w:rsid w:val="00F50772"/>
    <w:rsid w:val="00F62E97"/>
    <w:rsid w:val="00F64209"/>
    <w:rsid w:val="00F66F2F"/>
    <w:rsid w:val="00F776FC"/>
    <w:rsid w:val="00F817DE"/>
    <w:rsid w:val="00F857CB"/>
    <w:rsid w:val="00F87D67"/>
    <w:rsid w:val="00F90A52"/>
    <w:rsid w:val="00F93BF5"/>
    <w:rsid w:val="00F95706"/>
    <w:rsid w:val="00F9612C"/>
    <w:rsid w:val="00FA014F"/>
    <w:rsid w:val="00FA0B0B"/>
    <w:rsid w:val="00FA224B"/>
    <w:rsid w:val="00FA3B59"/>
    <w:rsid w:val="00FA4C49"/>
    <w:rsid w:val="00FA5083"/>
    <w:rsid w:val="00FA5C67"/>
    <w:rsid w:val="00FB0C65"/>
    <w:rsid w:val="00FB0DB2"/>
    <w:rsid w:val="00FB3A79"/>
    <w:rsid w:val="00FB7875"/>
    <w:rsid w:val="00FB7D59"/>
    <w:rsid w:val="00FC219E"/>
    <w:rsid w:val="00FD5D4A"/>
    <w:rsid w:val="00FE191F"/>
    <w:rsid w:val="00FE370B"/>
    <w:rsid w:val="00FE76C1"/>
    <w:rsid w:val="00FF05B4"/>
    <w:rsid w:val="00FF30D6"/>
    <w:rsid w:val="00FF4E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448"/>
    <w:pPr>
      <w:widowControl w:val="0"/>
    </w:pPr>
    <w:rPr>
      <w:snapToGrid w:val="0"/>
      <w:kern w:val="28"/>
      <w:sz w:val="22"/>
    </w:rPr>
  </w:style>
  <w:style w:type="paragraph" w:styleId="Heading1">
    <w:name w:val="heading 1"/>
    <w:basedOn w:val="Normal"/>
    <w:next w:val="ParaNum"/>
    <w:qFormat/>
    <w:rsid w:val="00B1244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12448"/>
    <w:pPr>
      <w:keepNext/>
      <w:numPr>
        <w:ilvl w:val="1"/>
        <w:numId w:val="3"/>
      </w:numPr>
      <w:spacing w:after="120"/>
      <w:outlineLvl w:val="1"/>
    </w:pPr>
    <w:rPr>
      <w:b/>
    </w:rPr>
  </w:style>
  <w:style w:type="paragraph" w:styleId="Heading3">
    <w:name w:val="heading 3"/>
    <w:basedOn w:val="Normal"/>
    <w:next w:val="ParaNum"/>
    <w:qFormat/>
    <w:rsid w:val="00B12448"/>
    <w:pPr>
      <w:keepNext/>
      <w:numPr>
        <w:ilvl w:val="2"/>
        <w:numId w:val="3"/>
      </w:numPr>
      <w:tabs>
        <w:tab w:val="left" w:pos="2160"/>
      </w:tabs>
      <w:spacing w:after="120"/>
      <w:outlineLvl w:val="2"/>
    </w:pPr>
    <w:rPr>
      <w:b/>
    </w:rPr>
  </w:style>
  <w:style w:type="paragraph" w:styleId="Heading4">
    <w:name w:val="heading 4"/>
    <w:basedOn w:val="Normal"/>
    <w:next w:val="ParaNum"/>
    <w:qFormat/>
    <w:rsid w:val="00B12448"/>
    <w:pPr>
      <w:keepNext/>
      <w:numPr>
        <w:ilvl w:val="3"/>
        <w:numId w:val="3"/>
      </w:numPr>
      <w:tabs>
        <w:tab w:val="left" w:pos="2880"/>
      </w:tabs>
      <w:spacing w:after="120"/>
      <w:outlineLvl w:val="3"/>
    </w:pPr>
    <w:rPr>
      <w:b/>
    </w:rPr>
  </w:style>
  <w:style w:type="paragraph" w:styleId="Heading5">
    <w:name w:val="heading 5"/>
    <w:basedOn w:val="Normal"/>
    <w:next w:val="ParaNum"/>
    <w:qFormat/>
    <w:rsid w:val="00B1244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12448"/>
    <w:pPr>
      <w:numPr>
        <w:ilvl w:val="5"/>
        <w:numId w:val="3"/>
      </w:numPr>
      <w:tabs>
        <w:tab w:val="left" w:pos="4320"/>
      </w:tabs>
      <w:spacing w:after="120"/>
      <w:outlineLvl w:val="5"/>
    </w:pPr>
    <w:rPr>
      <w:b/>
    </w:rPr>
  </w:style>
  <w:style w:type="paragraph" w:styleId="Heading7">
    <w:name w:val="heading 7"/>
    <w:basedOn w:val="Normal"/>
    <w:next w:val="ParaNum"/>
    <w:qFormat/>
    <w:rsid w:val="00B1244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1244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1244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124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2448"/>
  </w:style>
  <w:style w:type="paragraph" w:customStyle="1" w:styleId="ParaNum">
    <w:name w:val="ParaNum"/>
    <w:basedOn w:val="Normal"/>
    <w:rsid w:val="00B12448"/>
    <w:pPr>
      <w:numPr>
        <w:numId w:val="2"/>
      </w:numPr>
      <w:tabs>
        <w:tab w:val="clear" w:pos="1080"/>
        <w:tab w:val="num" w:pos="1440"/>
      </w:tabs>
      <w:spacing w:after="120"/>
    </w:pPr>
  </w:style>
  <w:style w:type="paragraph" w:styleId="EndnoteText">
    <w:name w:val="endnote text"/>
    <w:basedOn w:val="Normal"/>
    <w:semiHidden/>
    <w:rsid w:val="00B12448"/>
    <w:rPr>
      <w:sz w:val="20"/>
    </w:rPr>
  </w:style>
  <w:style w:type="character" w:styleId="EndnoteReference">
    <w:name w:val="endnote reference"/>
    <w:semiHidden/>
    <w:rsid w:val="00B12448"/>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rsid w:val="00B12448"/>
    <w:pPr>
      <w:spacing w:after="120"/>
    </w:pPr>
  </w:style>
  <w:style w:type="character" w:styleId="FootnoteReference">
    <w:name w:val="footnote reference"/>
    <w:aliases w:val="(NECG) Footnote Reference,Appel note de bas de p,FR,Footnote Reference/,Style 12,Style 124,Style 13,Style 17,Style 3,Style 6,Style 7,fr,o"/>
    <w:rsid w:val="00B12448"/>
    <w:rPr>
      <w:rFonts w:ascii="Times New Roman" w:hAnsi="Times New Roman"/>
      <w:dstrike w:val="0"/>
      <w:color w:val="auto"/>
      <w:sz w:val="20"/>
      <w:vertAlign w:val="superscript"/>
    </w:rPr>
  </w:style>
  <w:style w:type="paragraph" w:styleId="TOC1">
    <w:name w:val="toc 1"/>
    <w:basedOn w:val="Normal"/>
    <w:next w:val="Normal"/>
    <w:semiHidden/>
    <w:rsid w:val="00B1244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12448"/>
    <w:pPr>
      <w:tabs>
        <w:tab w:val="left" w:pos="720"/>
        <w:tab w:val="right" w:leader="dot" w:pos="9360"/>
      </w:tabs>
      <w:suppressAutoHyphens/>
      <w:ind w:left="720" w:right="720" w:hanging="360"/>
    </w:pPr>
    <w:rPr>
      <w:noProof/>
    </w:rPr>
  </w:style>
  <w:style w:type="paragraph" w:styleId="TOC3">
    <w:name w:val="toc 3"/>
    <w:basedOn w:val="Normal"/>
    <w:next w:val="Normal"/>
    <w:semiHidden/>
    <w:rsid w:val="00B1244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1244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1244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1244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1244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1244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1244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12448"/>
    <w:pPr>
      <w:tabs>
        <w:tab w:val="right" w:pos="9360"/>
      </w:tabs>
      <w:suppressAutoHyphens/>
    </w:pPr>
  </w:style>
  <w:style w:type="character" w:customStyle="1" w:styleId="EquationCaption">
    <w:name w:val="_Equation Caption"/>
    <w:rsid w:val="00B12448"/>
  </w:style>
  <w:style w:type="paragraph" w:styleId="Header">
    <w:name w:val="header"/>
    <w:basedOn w:val="Normal"/>
    <w:autoRedefine/>
    <w:rsid w:val="00B12448"/>
    <w:pPr>
      <w:tabs>
        <w:tab w:val="center" w:pos="4680"/>
        <w:tab w:val="right" w:pos="9360"/>
      </w:tabs>
    </w:pPr>
    <w:rPr>
      <w:b/>
    </w:rPr>
  </w:style>
  <w:style w:type="paragraph" w:styleId="Footer">
    <w:name w:val="footer"/>
    <w:basedOn w:val="Normal"/>
    <w:link w:val="FooterChar"/>
    <w:uiPriority w:val="99"/>
    <w:rsid w:val="00B12448"/>
    <w:pPr>
      <w:tabs>
        <w:tab w:val="center" w:pos="4320"/>
        <w:tab w:val="right" w:pos="8640"/>
      </w:tabs>
    </w:pPr>
  </w:style>
  <w:style w:type="character" w:styleId="PageNumber">
    <w:name w:val="page number"/>
    <w:basedOn w:val="DefaultParagraphFont"/>
    <w:rsid w:val="00B12448"/>
  </w:style>
  <w:style w:type="paragraph" w:styleId="BlockText">
    <w:name w:val="Block Text"/>
    <w:basedOn w:val="Normal"/>
    <w:rsid w:val="00B12448"/>
    <w:pPr>
      <w:spacing w:after="240"/>
      <w:ind w:left="1440" w:right="1440"/>
    </w:pPr>
  </w:style>
  <w:style w:type="paragraph" w:customStyle="1" w:styleId="Paratitle">
    <w:name w:val="Para title"/>
    <w:basedOn w:val="Normal"/>
    <w:rsid w:val="00B12448"/>
    <w:pPr>
      <w:tabs>
        <w:tab w:val="center" w:pos="9270"/>
      </w:tabs>
      <w:spacing w:after="240"/>
    </w:pPr>
    <w:rPr>
      <w:spacing w:val="-2"/>
    </w:rPr>
  </w:style>
  <w:style w:type="paragraph" w:customStyle="1" w:styleId="Bullet">
    <w:name w:val="Bullet"/>
    <w:basedOn w:val="Normal"/>
    <w:rsid w:val="00B12448"/>
    <w:pPr>
      <w:tabs>
        <w:tab w:val="left" w:pos="2160"/>
      </w:tabs>
      <w:spacing w:after="220"/>
      <w:ind w:left="2160" w:hanging="720"/>
    </w:pPr>
  </w:style>
  <w:style w:type="paragraph" w:customStyle="1" w:styleId="TableFormat">
    <w:name w:val="TableFormat"/>
    <w:basedOn w:val="Bullet"/>
    <w:rsid w:val="00B12448"/>
    <w:pPr>
      <w:tabs>
        <w:tab w:val="clear" w:pos="2160"/>
        <w:tab w:val="left" w:pos="5040"/>
      </w:tabs>
      <w:ind w:left="5040" w:hanging="3600"/>
    </w:pPr>
  </w:style>
  <w:style w:type="paragraph" w:customStyle="1" w:styleId="TOCTitle">
    <w:name w:val="TOC Title"/>
    <w:basedOn w:val="Normal"/>
    <w:rsid w:val="00B1244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12448"/>
    <w:pPr>
      <w:jc w:val="center"/>
    </w:pPr>
    <w:rPr>
      <w:rFonts w:ascii="Times New Roman Bold" w:hAnsi="Times New Roman Bold"/>
      <w:b/>
      <w:bCs/>
      <w:caps/>
      <w:szCs w:val="22"/>
    </w:rPr>
  </w:style>
  <w:style w:type="character" w:styleId="Hyperlink">
    <w:name w:val="Hyperlink"/>
    <w:rsid w:val="00B12448"/>
    <w:rPr>
      <w:color w:val="0000FF"/>
      <w:u w:val="single"/>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basedOn w:val="DefaultParagraphFont"/>
    <w:link w:val="FootnoteText"/>
    <w:rsid w:val="002E27B5"/>
  </w:style>
  <w:style w:type="character" w:styleId="PlaceholderText">
    <w:name w:val="Placeholder Text"/>
    <w:basedOn w:val="DefaultParagraphFont"/>
    <w:uiPriority w:val="99"/>
    <w:semiHidden/>
    <w:rsid w:val="002321A1"/>
    <w:rPr>
      <w:color w:val="808080"/>
    </w:rPr>
  </w:style>
  <w:style w:type="paragraph" w:styleId="BalloonText">
    <w:name w:val="Balloon Text"/>
    <w:basedOn w:val="Normal"/>
    <w:link w:val="BalloonTextChar"/>
    <w:rsid w:val="002321A1"/>
    <w:rPr>
      <w:rFonts w:ascii="Tahoma" w:hAnsi="Tahoma" w:cs="Tahoma"/>
      <w:sz w:val="16"/>
      <w:szCs w:val="16"/>
    </w:rPr>
  </w:style>
  <w:style w:type="character" w:customStyle="1" w:styleId="BalloonTextChar">
    <w:name w:val="Balloon Text Char"/>
    <w:basedOn w:val="DefaultParagraphFont"/>
    <w:link w:val="BalloonText"/>
    <w:rsid w:val="002321A1"/>
    <w:rPr>
      <w:rFonts w:ascii="Tahoma" w:hAnsi="Tahoma" w:cs="Tahoma"/>
      <w:snapToGrid w:val="0"/>
      <w:kern w:val="28"/>
      <w:sz w:val="16"/>
      <w:szCs w:val="16"/>
    </w:rPr>
  </w:style>
  <w:style w:type="character" w:styleId="CommentReference">
    <w:name w:val="annotation reference"/>
    <w:basedOn w:val="DefaultParagraphFont"/>
    <w:semiHidden/>
    <w:unhideWhenUsed/>
    <w:rsid w:val="00E63127"/>
    <w:rPr>
      <w:sz w:val="16"/>
      <w:szCs w:val="16"/>
    </w:rPr>
  </w:style>
  <w:style w:type="paragraph" w:styleId="CommentText">
    <w:name w:val="annotation text"/>
    <w:basedOn w:val="Normal"/>
    <w:link w:val="CommentTextChar"/>
    <w:semiHidden/>
    <w:unhideWhenUsed/>
    <w:rsid w:val="00E63127"/>
    <w:rPr>
      <w:sz w:val="20"/>
    </w:rPr>
  </w:style>
  <w:style w:type="character" w:customStyle="1" w:styleId="CommentTextChar">
    <w:name w:val="Comment Text Char"/>
    <w:basedOn w:val="DefaultParagraphFont"/>
    <w:link w:val="CommentText"/>
    <w:semiHidden/>
    <w:rsid w:val="00E63127"/>
    <w:rPr>
      <w:snapToGrid w:val="0"/>
      <w:kern w:val="28"/>
    </w:rPr>
  </w:style>
  <w:style w:type="paragraph" w:styleId="CommentSubject">
    <w:name w:val="annotation subject"/>
    <w:basedOn w:val="CommentText"/>
    <w:next w:val="CommentText"/>
    <w:link w:val="CommentSubjectChar"/>
    <w:semiHidden/>
    <w:unhideWhenUsed/>
    <w:rsid w:val="00E63127"/>
    <w:rPr>
      <w:b/>
      <w:bCs/>
    </w:rPr>
  </w:style>
  <w:style w:type="character" w:customStyle="1" w:styleId="CommentSubjectChar">
    <w:name w:val="Comment Subject Char"/>
    <w:basedOn w:val="CommentTextChar"/>
    <w:link w:val="CommentSubject"/>
    <w:semiHidden/>
    <w:rsid w:val="00E63127"/>
    <w:rPr>
      <w:b/>
      <w:bCs/>
      <w:snapToGrid w:val="0"/>
      <w:kern w:val="28"/>
    </w:rPr>
  </w:style>
  <w:style w:type="table" w:styleId="TableGrid">
    <w:name w:val="Table Grid"/>
    <w:basedOn w:val="TableNormal"/>
    <w:uiPriority w:val="59"/>
    <w:rsid w:val="009364F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1244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