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13EF3" w:rsidRPr="006D5400">
      <w:pPr>
        <w:pStyle w:val="Title"/>
        <w:rPr>
          <w:szCs w:val="22"/>
        </w:rPr>
      </w:pPr>
      <w:r w:rsidRPr="006D5400">
        <w:rPr>
          <w:szCs w:val="22"/>
        </w:rPr>
        <w:t>Before the</w:t>
      </w:r>
    </w:p>
    <w:p w:rsidR="00313EF3" w:rsidRPr="006D5400">
      <w:pPr>
        <w:pStyle w:val="Subtitle"/>
        <w:ind w:firstLine="0"/>
        <w:rPr>
          <w:szCs w:val="22"/>
        </w:rPr>
      </w:pPr>
      <w:r w:rsidRPr="006D5400">
        <w:rPr>
          <w:szCs w:val="22"/>
        </w:rPr>
        <w:t>Federal Communications Commission</w:t>
      </w:r>
    </w:p>
    <w:p w:rsidR="00313EF3" w:rsidRPr="006D5400">
      <w:pPr>
        <w:jc w:val="center"/>
        <w:rPr>
          <w:b/>
          <w:szCs w:val="22"/>
        </w:rPr>
      </w:pPr>
      <w:r w:rsidRPr="006D5400">
        <w:rPr>
          <w:b/>
          <w:szCs w:val="22"/>
        </w:rPr>
        <w:t>Washington, D.C. 20554</w:t>
      </w:r>
    </w:p>
    <w:p w:rsidR="00313EF3" w:rsidRPr="006D5400">
      <w:pPr>
        <w:tabs>
          <w:tab w:val="left" w:pos="-720"/>
        </w:tabs>
        <w:suppressAutoHyphens/>
        <w:spacing w:line="227" w:lineRule="auto"/>
        <w:rPr>
          <w:spacing w:val="-2"/>
          <w:szCs w:val="22"/>
        </w:rPr>
      </w:pPr>
    </w:p>
    <w:p w:rsidR="00313EF3" w:rsidRPr="006D5400">
      <w:pPr>
        <w:tabs>
          <w:tab w:val="left" w:pos="-720"/>
        </w:tabs>
        <w:suppressAutoHyphens/>
        <w:spacing w:line="227" w:lineRule="auto"/>
        <w:rPr>
          <w:spacing w:val="-2"/>
          <w:szCs w:val="22"/>
        </w:rPr>
      </w:pPr>
    </w:p>
    <w:tbl>
      <w:tblPr>
        <w:tblW w:w="0" w:type="auto"/>
        <w:tblLayout w:type="fixed"/>
        <w:tblCellMar>
          <w:top w:w="0" w:type="dxa"/>
          <w:bottom w:w="0" w:type="dxa"/>
        </w:tblCellMar>
        <w:tblLook w:val="0000"/>
      </w:tblPr>
      <w:tblGrid>
        <w:gridCol w:w="4698"/>
        <w:gridCol w:w="630"/>
        <w:gridCol w:w="4248"/>
      </w:tblGrid>
      <w:tr w:rsidTr="00DE1F08">
        <w:tblPrEx>
          <w:tblW w:w="0" w:type="auto"/>
          <w:tblLayout w:type="fixed"/>
          <w:tblCellMar>
            <w:top w:w="0" w:type="dxa"/>
            <w:bottom w:w="0" w:type="dxa"/>
          </w:tblCellMar>
          <w:tblLook w:val="0000"/>
        </w:tblPrEx>
        <w:tc>
          <w:tcPr>
            <w:tcW w:w="4698" w:type="dxa"/>
          </w:tcPr>
          <w:p w:rsidR="00313EF3" w:rsidRPr="006D5400">
            <w:pPr>
              <w:pStyle w:val="TOAHeading"/>
              <w:tabs>
                <w:tab w:val="center" w:pos="4680"/>
                <w:tab w:val="clear" w:pos="9360"/>
              </w:tabs>
              <w:rPr>
                <w:spacing w:val="-2"/>
                <w:szCs w:val="22"/>
              </w:rPr>
            </w:pPr>
            <w:r w:rsidRPr="006D5400">
              <w:rPr>
                <w:spacing w:val="-2"/>
                <w:szCs w:val="22"/>
              </w:rPr>
              <w:t>In the Matter of</w:t>
            </w:r>
          </w:p>
          <w:p w:rsidR="00313EF3" w:rsidRPr="006D5400">
            <w:pPr>
              <w:tabs>
                <w:tab w:val="center" w:pos="4680"/>
              </w:tabs>
              <w:suppressAutoHyphens/>
              <w:rPr>
                <w:spacing w:val="-2"/>
                <w:szCs w:val="22"/>
              </w:rPr>
            </w:pPr>
          </w:p>
          <w:p w:rsidR="00422B9B" w:rsidRPr="006D5400" w:rsidP="00422B9B">
            <w:pPr>
              <w:tabs>
                <w:tab w:val="center" w:pos="4680"/>
              </w:tabs>
              <w:suppressAutoHyphens/>
              <w:rPr>
                <w:szCs w:val="22"/>
              </w:rPr>
            </w:pPr>
            <w:r>
              <w:rPr>
                <w:szCs w:val="22"/>
              </w:rPr>
              <w:t>Long Distance Access, Inc.</w:t>
            </w:r>
          </w:p>
          <w:p w:rsidR="001C67AE" w:rsidRPr="006D5400" w:rsidP="00422B9B">
            <w:pPr>
              <w:tabs>
                <w:tab w:val="center" w:pos="4680"/>
              </w:tabs>
              <w:suppressAutoHyphens/>
              <w:rPr>
                <w:szCs w:val="22"/>
              </w:rPr>
            </w:pPr>
          </w:p>
          <w:p w:rsidR="00313EF3" w:rsidRPr="006D5400">
            <w:pPr>
              <w:pStyle w:val="TOAHeading"/>
              <w:tabs>
                <w:tab w:val="center" w:pos="4680"/>
                <w:tab w:val="clear" w:pos="9360"/>
              </w:tabs>
              <w:rPr>
                <w:szCs w:val="22"/>
              </w:rPr>
            </w:pPr>
            <w:r w:rsidRPr="006D5400">
              <w:rPr>
                <w:szCs w:val="22"/>
              </w:rPr>
              <w:t xml:space="preserve">Complaint Regarding </w:t>
            </w:r>
          </w:p>
          <w:p w:rsidR="00313EF3" w:rsidRPr="006D5400">
            <w:pPr>
              <w:pStyle w:val="TOAHeading"/>
              <w:tabs>
                <w:tab w:val="center" w:pos="4680"/>
                <w:tab w:val="clear" w:pos="9360"/>
              </w:tabs>
              <w:rPr>
                <w:szCs w:val="22"/>
              </w:rPr>
            </w:pPr>
            <w:r w:rsidRPr="006D5400">
              <w:rPr>
                <w:szCs w:val="22"/>
              </w:rPr>
              <w:t>Unauthorized Change of</w:t>
            </w:r>
          </w:p>
          <w:p w:rsidR="00313EF3" w:rsidRPr="006D5400">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313EF3" w:rsidRPr="006D5400">
            <w:pPr>
              <w:tabs>
                <w:tab w:val="center" w:pos="4680"/>
              </w:tabs>
              <w:suppressAutoHyphens/>
              <w:rPr>
                <w:b/>
                <w:spacing w:val="-2"/>
                <w:szCs w:val="22"/>
              </w:rPr>
            </w:pPr>
            <w:r w:rsidRPr="006D5400">
              <w:rPr>
                <w:b/>
                <w:spacing w:val="-2"/>
                <w:szCs w:val="22"/>
              </w:rPr>
              <w:t>)</w:t>
            </w:r>
          </w:p>
          <w:p w:rsidR="00DE1F08" w:rsidRPr="006D5400">
            <w:pPr>
              <w:tabs>
                <w:tab w:val="center" w:pos="4680"/>
              </w:tabs>
              <w:suppressAutoHyphens/>
              <w:rPr>
                <w:b/>
                <w:spacing w:val="-2"/>
                <w:szCs w:val="22"/>
              </w:rPr>
            </w:pPr>
          </w:p>
          <w:p w:rsidR="00E84E6A" w:rsidRPr="006D5400">
            <w:pPr>
              <w:tabs>
                <w:tab w:val="center" w:pos="4680"/>
              </w:tabs>
              <w:suppressAutoHyphens/>
              <w:rPr>
                <w:b/>
                <w:spacing w:val="-2"/>
                <w:szCs w:val="22"/>
              </w:rPr>
            </w:pPr>
          </w:p>
        </w:tc>
        <w:tc>
          <w:tcPr>
            <w:tcW w:w="4248" w:type="dxa"/>
          </w:tcPr>
          <w:p w:rsidR="00313EF3" w:rsidRPr="006D5400">
            <w:pPr>
              <w:tabs>
                <w:tab w:val="center" w:pos="4680"/>
              </w:tabs>
              <w:suppressAutoHyphens/>
              <w:rPr>
                <w:spacing w:val="-2"/>
                <w:szCs w:val="22"/>
              </w:rPr>
            </w:pPr>
          </w:p>
          <w:p w:rsidR="00313EF3" w:rsidRPr="006D5400">
            <w:pPr>
              <w:tabs>
                <w:tab w:val="center" w:pos="4680"/>
              </w:tabs>
              <w:suppressAutoHyphens/>
              <w:rPr>
                <w:spacing w:val="-2"/>
                <w:szCs w:val="22"/>
              </w:rPr>
            </w:pPr>
          </w:p>
          <w:p w:rsidR="00697A80" w:rsidRPr="006D5400" w:rsidP="00C81A17">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140317">
              <w:rPr>
                <w:szCs w:val="22"/>
              </w:rPr>
              <w:t>323114</w:t>
            </w:r>
          </w:p>
          <w:p w:rsidR="00DE1F08" w:rsidRPr="006D5400" w:rsidP="00DE1F08">
            <w:pPr>
              <w:rPr>
                <w:szCs w:val="22"/>
              </w:rPr>
            </w:pPr>
            <w:r w:rsidRPr="006D5400">
              <w:rPr>
                <w:szCs w:val="22"/>
              </w:rPr>
              <w:t xml:space="preserve">              </w:t>
            </w:r>
            <w:r w:rsidRPr="006D5400" w:rsidR="000715F6">
              <w:rPr>
                <w:szCs w:val="22"/>
              </w:rPr>
              <w:t xml:space="preserve">             </w:t>
            </w:r>
          </w:p>
          <w:p w:rsidR="00E84E6A" w:rsidRPr="006D5400" w:rsidP="00E84E6A">
            <w:pPr>
              <w:rPr>
                <w:szCs w:val="22"/>
              </w:rPr>
            </w:pPr>
          </w:p>
        </w:tc>
      </w:tr>
    </w:tbl>
    <w:p w:rsidR="00313EF3" w:rsidRPr="006D5400" w:rsidP="00CD6BB8">
      <w:pPr>
        <w:jc w:val="center"/>
        <w:rPr>
          <w:b/>
          <w:szCs w:val="22"/>
        </w:rPr>
      </w:pPr>
      <w:r w:rsidRPr="006D5400">
        <w:rPr>
          <w:b/>
          <w:szCs w:val="22"/>
        </w:rPr>
        <w:t>O</w:t>
      </w:r>
      <w:r w:rsidRPr="006D5400">
        <w:rPr>
          <w:b/>
          <w:szCs w:val="22"/>
        </w:rPr>
        <w:t>RDER</w:t>
      </w:r>
    </w:p>
    <w:p w:rsidR="00313EF3" w:rsidRPr="006D5400">
      <w:pPr>
        <w:tabs>
          <w:tab w:val="left" w:pos="-720"/>
        </w:tabs>
        <w:suppressAutoHyphens/>
        <w:spacing w:line="227" w:lineRule="auto"/>
        <w:ind w:left="720"/>
        <w:rPr>
          <w:spacing w:val="-2"/>
          <w:szCs w:val="22"/>
        </w:rPr>
      </w:pPr>
    </w:p>
    <w:p w:rsidR="00313EF3" w:rsidRPr="006D5400">
      <w:pPr>
        <w:tabs>
          <w:tab w:val="left" w:pos="0"/>
          <w:tab w:val="left" w:pos="5760"/>
        </w:tabs>
        <w:suppressAutoHyphens/>
        <w:spacing w:line="227" w:lineRule="auto"/>
        <w:jc w:val="left"/>
        <w:rPr>
          <w:spacing w:val="-2"/>
          <w:szCs w:val="22"/>
        </w:rPr>
      </w:pPr>
      <w:r w:rsidRPr="006D5400">
        <w:rPr>
          <w:b/>
          <w:spacing w:val="-2"/>
          <w:szCs w:val="22"/>
        </w:rPr>
        <w:t xml:space="preserve">Adopted: </w:t>
      </w:r>
      <w:r w:rsidR="000E58F2">
        <w:rPr>
          <w:b/>
          <w:spacing w:val="-2"/>
          <w:szCs w:val="22"/>
        </w:rPr>
        <w:t xml:space="preserve"> April 24</w:t>
      </w:r>
      <w:r w:rsidRPr="006D5400" w:rsidR="00236AA1">
        <w:rPr>
          <w:b/>
          <w:spacing w:val="-2"/>
          <w:szCs w:val="22"/>
        </w:rPr>
        <w:t xml:space="preserve">, </w:t>
      </w:r>
      <w:r w:rsidRPr="006D5400" w:rsidR="00454DF3">
        <w:rPr>
          <w:b/>
          <w:spacing w:val="-2"/>
          <w:szCs w:val="22"/>
        </w:rPr>
        <w:t>201</w:t>
      </w:r>
      <w:r w:rsidRPr="006D5400" w:rsidR="00E84E6A">
        <w:rPr>
          <w:b/>
          <w:spacing w:val="-2"/>
          <w:szCs w:val="22"/>
        </w:rPr>
        <w:t>9</w:t>
      </w:r>
      <w:r w:rsidRPr="006D5400">
        <w:rPr>
          <w:b/>
          <w:spacing w:val="-2"/>
          <w:szCs w:val="22"/>
        </w:rPr>
        <w:tab/>
        <w:t>Released:</w:t>
      </w:r>
      <w:r w:rsidRPr="006D5400" w:rsidR="00676CB9">
        <w:rPr>
          <w:b/>
          <w:spacing w:val="-2"/>
          <w:szCs w:val="22"/>
        </w:rPr>
        <w:t xml:space="preserve"> </w:t>
      </w:r>
      <w:r w:rsidR="000E58F2">
        <w:rPr>
          <w:b/>
          <w:spacing w:val="-2"/>
          <w:szCs w:val="22"/>
        </w:rPr>
        <w:t xml:space="preserve"> April 25</w:t>
      </w:r>
      <w:r w:rsidRPr="006D5400" w:rsidR="00236AA1">
        <w:rPr>
          <w:b/>
          <w:spacing w:val="-2"/>
          <w:szCs w:val="22"/>
        </w:rPr>
        <w:t xml:space="preserve">, </w:t>
      </w:r>
      <w:r w:rsidRPr="006D5400">
        <w:rPr>
          <w:b/>
          <w:spacing w:val="-2"/>
          <w:szCs w:val="22"/>
        </w:rPr>
        <w:t>20</w:t>
      </w:r>
      <w:r w:rsidRPr="006D5400" w:rsidR="00454DF3">
        <w:rPr>
          <w:b/>
          <w:spacing w:val="-2"/>
          <w:szCs w:val="22"/>
        </w:rPr>
        <w:t>1</w:t>
      </w:r>
      <w:r w:rsidRPr="006D5400" w:rsidR="00E84E6A">
        <w:rPr>
          <w:b/>
          <w:spacing w:val="-2"/>
          <w:szCs w:val="22"/>
        </w:rPr>
        <w:t>9</w:t>
      </w:r>
    </w:p>
    <w:p w:rsidR="00313EF3" w:rsidRPr="006D5400">
      <w:pPr>
        <w:rPr>
          <w:szCs w:val="22"/>
        </w:rPr>
      </w:pPr>
    </w:p>
    <w:p w:rsidR="000B7A45" w:rsidRPr="006D5400">
      <w:pPr>
        <w:rPr>
          <w:szCs w:val="22"/>
        </w:rPr>
      </w:pPr>
      <w:r w:rsidRPr="006D5400">
        <w:rPr>
          <w:szCs w:val="22"/>
        </w:rPr>
        <w:t xml:space="preserve">By the </w:t>
      </w:r>
      <w:r w:rsidRPr="006D5400" w:rsidR="00F84D1D">
        <w:rPr>
          <w:szCs w:val="22"/>
        </w:rPr>
        <w:t xml:space="preserve">Deputy </w:t>
      </w:r>
      <w:r w:rsidRPr="006D5400">
        <w:rPr>
          <w:szCs w:val="22"/>
        </w:rPr>
        <w:t xml:space="preserve">Chief, </w:t>
      </w:r>
      <w:r w:rsidRPr="006D5400" w:rsidR="004914A3">
        <w:rPr>
          <w:szCs w:val="22"/>
        </w:rPr>
        <w:t xml:space="preserve">Consumer Policy Division, </w:t>
      </w:r>
      <w:r w:rsidRPr="006D5400">
        <w:rPr>
          <w:szCs w:val="22"/>
        </w:rPr>
        <w:t xml:space="preserve">Consumer </w:t>
      </w:r>
      <w:r w:rsidRPr="006D5400" w:rsidR="0074254C">
        <w:rPr>
          <w:szCs w:val="22"/>
        </w:rPr>
        <w:t>and</w:t>
      </w:r>
      <w:r w:rsidRPr="006D5400">
        <w:rPr>
          <w:szCs w:val="22"/>
        </w:rPr>
        <w:t xml:space="preserve"> Governmental Affairs Bureau:</w:t>
      </w:r>
    </w:p>
    <w:p w:rsidR="00313EF3" w:rsidRPr="006D5400">
      <w:pPr>
        <w:tabs>
          <w:tab w:val="left" w:pos="432"/>
        </w:tabs>
        <w:ind w:firstLine="72"/>
        <w:rPr>
          <w:szCs w:val="22"/>
        </w:rPr>
      </w:pPr>
    </w:p>
    <w:p w:rsidR="00313EF3" w:rsidRPr="006D5400" w:rsidP="006D5400">
      <w:pPr>
        <w:numPr>
          <w:ilvl w:val="0"/>
          <w:numId w:val="4"/>
        </w:numPr>
        <w:tabs>
          <w:tab w:val="num" w:pos="0"/>
          <w:tab w:val="clear" w:pos="1440"/>
        </w:tabs>
        <w:spacing w:after="120"/>
        <w:ind w:left="0" w:firstLine="720"/>
        <w:jc w:val="left"/>
        <w:rPr>
          <w:szCs w:val="22"/>
        </w:rPr>
      </w:pPr>
      <w:r w:rsidRPr="006D5400">
        <w:rPr>
          <w:szCs w:val="22"/>
        </w:rPr>
        <w:t>In this Order, we consider the complaint</w:t>
      </w:r>
      <w:r>
        <w:rPr>
          <w:rStyle w:val="FootnoteReference"/>
          <w:szCs w:val="22"/>
        </w:rPr>
        <w:footnoteReference w:id="3"/>
      </w:r>
      <w:r w:rsidRPr="006D5400">
        <w:rPr>
          <w:szCs w:val="22"/>
        </w:rPr>
        <w:t xml:space="preserve"> alleging that</w:t>
      </w:r>
      <w:r w:rsidRPr="006D5400" w:rsidR="00DD5275">
        <w:rPr>
          <w:szCs w:val="22"/>
        </w:rPr>
        <w:t xml:space="preserve"> </w:t>
      </w:r>
      <w:r w:rsidR="00C335BA">
        <w:rPr>
          <w:szCs w:val="22"/>
        </w:rPr>
        <w:t>Long Distance</w:t>
      </w:r>
      <w:r w:rsidR="00C335BA">
        <w:rPr>
          <w:szCs w:val="22"/>
        </w:rPr>
        <w:t xml:space="preserve"> Access, Inc. </w:t>
      </w:r>
      <w:r w:rsidRPr="006D5400" w:rsidR="001204B1">
        <w:rPr>
          <w:szCs w:val="22"/>
        </w:rPr>
        <w:t>(</w:t>
      </w:r>
      <w:r w:rsidR="00C335BA">
        <w:rPr>
          <w:szCs w:val="22"/>
        </w:rPr>
        <w:t>LDA</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in violation of the Commission’s rules.</w:t>
      </w:r>
      <w:r>
        <w:rPr>
          <w:rStyle w:val="FootnoteReference"/>
          <w:szCs w:val="22"/>
        </w:rPr>
        <w:footnoteReference w:id="4"/>
      </w:r>
      <w:r w:rsidRPr="006D5400">
        <w:rPr>
          <w:szCs w:val="22"/>
        </w:rPr>
        <w:t xml:space="preserve">  We conclude that</w:t>
      </w:r>
      <w:r w:rsidRPr="006D5400" w:rsidR="004914A3">
        <w:rPr>
          <w:szCs w:val="22"/>
        </w:rPr>
        <w:t xml:space="preserve"> </w:t>
      </w:r>
      <w:r w:rsidR="00C335BA">
        <w:rPr>
          <w:szCs w:val="22"/>
        </w:rPr>
        <w:t>LDA</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D5400">
      <w:pPr>
        <w:numPr>
          <w:ilvl w:val="0"/>
          <w:numId w:val="4"/>
        </w:numPr>
        <w:spacing w:after="120"/>
        <w:ind w:left="0" w:firstLine="720"/>
        <w:jc w:val="left"/>
        <w:rPr>
          <w:szCs w:val="22"/>
        </w:rPr>
      </w:pPr>
      <w:r w:rsidRPr="006D5400">
        <w:rPr>
          <w:szCs w:val="22"/>
        </w:rPr>
        <w:t>Section 258 of the Communications Act of 1934 (</w:t>
      </w:r>
      <w:r w:rsidRPr="006D5400" w:rsidR="00EB38E9">
        <w:rPr>
          <w:szCs w:val="22"/>
        </w:rPr>
        <w:t xml:space="preserve">the </w:t>
      </w:r>
      <w:r w:rsidRPr="006D5400">
        <w:rPr>
          <w:szCs w:val="22"/>
        </w:rPr>
        <w:t>Act), as amended</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w:t>
      </w:r>
      <w:bookmarkStart w:id="0" w:name="_GoBack"/>
      <w:bookmarkEnd w:id="0"/>
      <w:r w:rsidRPr="006D5400">
        <w:rPr>
          <w:szCs w:val="22"/>
        </w:rPr>
        <w:t>ange in a subscriber’s selection of a provider of telephone exchange service or telephone toll service.</w:t>
      </w:r>
      <w:r>
        <w:rPr>
          <w:rStyle w:val="FootnoteReference"/>
          <w:szCs w:val="22"/>
        </w:rPr>
        <w:footnoteReference w:id="5"/>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6"/>
      </w:r>
      <w:r w:rsidRPr="006D5400">
        <w:rPr>
          <w:szCs w:val="22"/>
        </w:rPr>
        <w:t xml:space="preserve">  Specifically, a carrier must:  (1) obtain the subscriber's written or electronically signed authorization in a format that meets the requirements of</w:t>
      </w:r>
      <w:r w:rsidRPr="006D5400" w:rsidR="00EB38E9">
        <w:rPr>
          <w:szCs w:val="22"/>
        </w:rPr>
        <w:t xml:space="preserve"> </w:t>
      </w:r>
      <w:r w:rsidRPr="006D5400">
        <w:rPr>
          <w:szCs w:val="22"/>
        </w:rPr>
        <w:t>Section 64.1130</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subscriber's order.</w:t>
      </w:r>
      <w:r>
        <w:rPr>
          <w:rStyle w:val="FootnoteReference"/>
          <w:szCs w:val="22"/>
        </w:rPr>
        <w:footnoteReference w:id="7"/>
      </w:r>
      <w:r w:rsidRPr="006D5400" w:rsidR="00775878">
        <w:rPr>
          <w:szCs w:val="22"/>
        </w:rPr>
        <w:t xml:space="preserve">  The Commission also has adopted rules to limit the liability of subscribers when a carrier change occurs, and to require carriers involved in slamming practices to compensate subscribers whose carriers were changed without authorization.</w:t>
      </w:r>
      <w:r>
        <w:rPr>
          <w:rStyle w:val="FootnoteReference"/>
          <w:szCs w:val="22"/>
        </w:rPr>
        <w:footnoteReference w:id="8"/>
      </w:r>
      <w:r w:rsidRPr="006D5400" w:rsidR="00775878">
        <w:rPr>
          <w:szCs w:val="22"/>
        </w:rPr>
        <w:t xml:space="preserve"> </w:t>
      </w:r>
      <w:r w:rsidRPr="006D5400">
        <w:rPr>
          <w:szCs w:val="22"/>
        </w:rPr>
        <w:t xml:space="preserve">  </w:t>
      </w:r>
    </w:p>
    <w:p w:rsidR="002C332E" w:rsidRPr="006D5400" w:rsidP="006D5400">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  </w:t>
      </w:r>
      <w:r w:rsidRPr="00142D97" w:rsidR="00C335BA">
        <w:t>Pursuant to Sections 1.719</w:t>
      </w:r>
      <w:r w:rsidR="00C335BA">
        <w:t xml:space="preserve"> </w:t>
      </w:r>
      <w:r w:rsidRPr="00142D97" w:rsidR="00C335BA">
        <w:t xml:space="preserve">and 64.1150 of our rules, we notified </w:t>
      </w:r>
      <w:r w:rsidR="00C335BA">
        <w:t>LDA of the complaint</w:t>
      </w:r>
      <w:r w:rsidRPr="00142D97" w:rsidR="00C335BA">
        <w:t>.</w:t>
      </w:r>
      <w:r>
        <w:rPr>
          <w:rStyle w:val="FootnoteReference"/>
        </w:rPr>
        <w:footnoteReference w:id="9"/>
      </w:r>
      <w:r w:rsidRPr="00142D97" w:rsidR="00C335BA">
        <w:t xml:space="preserve">  </w:t>
      </w:r>
      <w:r w:rsidR="00C335BA">
        <w:t>LDA responded to the complaint, stating that it obtained authorization from Complainant through third party verification (TPV).</w:t>
      </w:r>
      <w:r>
        <w:rPr>
          <w:rStyle w:val="FootnoteReference"/>
        </w:rPr>
        <w:footnoteReference w:id="10"/>
      </w:r>
      <w:r w:rsidR="00C335BA">
        <w:rPr>
          <w:szCs w:val="22"/>
        </w:rPr>
        <w:t xml:space="preserve"> </w:t>
      </w:r>
      <w:r w:rsidRPr="006D5400" w:rsidR="00C335BA">
        <w:rPr>
          <w:szCs w:val="22"/>
        </w:rPr>
        <w:t xml:space="preserve"> </w:t>
      </w:r>
      <w:r w:rsidRPr="006D5400" w:rsidR="00454DF3">
        <w:rPr>
          <w:szCs w:val="22"/>
        </w:rPr>
        <w:t xml:space="preserve">We have reviewed the TPV and find that </w:t>
      </w:r>
      <w:r w:rsidRPr="006D5400" w:rsidR="00F904D4">
        <w:rPr>
          <w:szCs w:val="22"/>
        </w:rPr>
        <w:t xml:space="preserve">the TPV meets the verification procedures in the Commission’s rules. </w:t>
      </w:r>
      <w:r w:rsidR="00C335BA">
        <w:rPr>
          <w:szCs w:val="22"/>
        </w:rPr>
        <w:t xml:space="preserve"> </w:t>
      </w:r>
      <w:r w:rsidRPr="006D5400" w:rsidR="00454DF3">
        <w:rPr>
          <w:szCs w:val="22"/>
        </w:rPr>
        <w:t xml:space="preserve">Therefore, we find that </w:t>
      </w:r>
      <w:r w:rsidR="00C335BA">
        <w:rPr>
          <w:szCs w:val="22"/>
        </w:rPr>
        <w:t>LDA</w:t>
      </w:r>
      <w:r w:rsidRPr="006D5400" w:rsidR="00454DF3">
        <w:rPr>
          <w:szCs w:val="22"/>
        </w:rPr>
        <w:t xml:space="preserve">’s actions 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1"/>
      </w:r>
      <w:r w:rsidRPr="006D5400" w:rsidR="00454DF3">
        <w:rPr>
          <w:szCs w:val="22"/>
        </w:rPr>
        <w:t xml:space="preserve">  </w:t>
      </w:r>
    </w:p>
    <w:p w:rsidR="00454DF3" w:rsidRPr="006D5400" w:rsidP="006D5400">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Section 258 of the Communications Act of 1934, as amended, 47 U.S.C. § 258, and Sections 0.141, 0.361 and 1.719 of the Commission’s rules, 47 CFR §§ 0.141, 0.361, 1.719, the complaint filed against </w:t>
      </w:r>
      <w:r w:rsidR="00C335BA">
        <w:rPr>
          <w:szCs w:val="22"/>
        </w:rPr>
        <w:t>Long Distance Access, Inc.</w:t>
      </w:r>
      <w:r w:rsidRPr="006D5400" w:rsidR="00E84E6A">
        <w:rPr>
          <w:szCs w:val="22"/>
        </w:rPr>
        <w:t xml:space="preserve"> </w:t>
      </w:r>
      <w:r w:rsidRPr="006D5400" w:rsidR="002137D1">
        <w:rPr>
          <w:szCs w:val="22"/>
        </w:rPr>
        <w:t>IS</w:t>
      </w:r>
      <w:r w:rsidRPr="006D5400">
        <w:rPr>
          <w:szCs w:val="22"/>
        </w:rPr>
        <w:t xml:space="preserve"> DENIED.</w:t>
      </w:r>
    </w:p>
    <w:p w:rsidR="00454DF3" w:rsidRPr="006D5400" w:rsidP="006D5400">
      <w:pPr>
        <w:numPr>
          <w:ilvl w:val="0"/>
          <w:numId w:val="4"/>
        </w:numPr>
        <w:spacing w:after="120"/>
        <w:jc w:val="left"/>
        <w:rPr>
          <w:szCs w:val="22"/>
        </w:rPr>
      </w:pPr>
      <w:r w:rsidRPr="006D5400">
        <w:rPr>
          <w:szCs w:val="22"/>
        </w:rPr>
        <w:t>IT IS FURTHER ORDERED that this Order is effective upon release.</w:t>
      </w:r>
    </w:p>
    <w:p w:rsidR="00313EF3" w:rsidRPr="006D5400">
      <w:pPr>
        <w:ind w:right="270"/>
        <w:rPr>
          <w:szCs w:val="22"/>
        </w:rPr>
      </w:pPr>
      <w:r w:rsidRPr="006D5400">
        <w:rPr>
          <w:szCs w:val="22"/>
        </w:rPr>
        <w:tab/>
      </w:r>
      <w:r w:rsidRPr="006D5400">
        <w:rPr>
          <w:szCs w:val="22"/>
        </w:rPr>
        <w:tab/>
      </w:r>
      <w:r w:rsidRPr="006D5400">
        <w:rPr>
          <w:szCs w:val="22"/>
        </w:rPr>
        <w:tab/>
      </w:r>
      <w:r w:rsidRPr="006D5400">
        <w:rPr>
          <w:szCs w:val="22"/>
        </w:rPr>
        <w:tab/>
      </w:r>
    </w:p>
    <w:p w:rsidR="00313EF3" w:rsidRPr="006D5400" w:rsidP="00965328">
      <w:pPr>
        <w:ind w:left="3600" w:firstLine="720"/>
        <w:rPr>
          <w:szCs w:val="22"/>
        </w:rPr>
      </w:pPr>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My Signature"/>
          </v:shape>
        </w:pict>
      </w:r>
      <w:r w:rsidRPr="006D5400" w:rsidR="00422B9B">
        <w:rPr>
          <w:szCs w:val="22"/>
        </w:rPr>
        <w:tab/>
      </w:r>
      <w:r w:rsidRPr="006D5400" w:rsidR="00454DF3">
        <w:rPr>
          <w:szCs w:val="22"/>
        </w:rPr>
        <w:tab/>
      </w:r>
    </w:p>
    <w:sectPr>
      <w:headerReference w:type="default" r:id="rId6"/>
      <w:footerReference w:type="even" r:id="rId7"/>
      <w:footerReference w:type="default" r:id="rId8"/>
      <w:head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fldChar w:fldCharType="end"/>
    </w:r>
  </w:p>
  <w:p w:rsidR="00EC4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pPr>
      <w:spacing w:before="140" w:line="100" w:lineRule="exact"/>
      <w:rPr>
        <w:sz w:val="10"/>
      </w:rPr>
    </w:pPr>
  </w:p>
  <w:p w:rsidR="00EC44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14282">
      <w:r>
        <w:separator/>
      </w:r>
    </w:p>
  </w:footnote>
  <w:footnote w:type="continuationSeparator" w:id="1">
    <w:p w:rsidR="00314282">
      <w:pPr>
        <w:rPr>
          <w:sz w:val="20"/>
        </w:rPr>
      </w:pPr>
      <w:r>
        <w:rPr>
          <w:sz w:val="20"/>
        </w:rPr>
        <w:t xml:space="preserve">(Continued from previous page)  </w:t>
      </w:r>
      <w:r>
        <w:rPr>
          <w:sz w:val="20"/>
        </w:rPr>
        <w:separator/>
      </w:r>
    </w:p>
  </w:footnote>
  <w:footnote w:type="continuationNotice" w:id="2">
    <w:p w:rsidR="00314282" w:rsidP="006D5400">
      <w:pPr>
        <w:jc w:val="right"/>
        <w:rPr>
          <w:sz w:val="20"/>
        </w:rPr>
      </w:pPr>
      <w:r>
        <w:rPr>
          <w:sz w:val="20"/>
        </w:rPr>
        <w:t>(continued…)</w:t>
      </w:r>
    </w:p>
  </w:footnote>
  <w:footnote w:id="3">
    <w:p w:rsidR="00EC4494" w:rsidP="00510F6C">
      <w:pPr>
        <w:pStyle w:val="FootnoteText"/>
        <w:spacing w:after="120"/>
      </w:pPr>
      <w:r>
        <w:rPr>
          <w:rStyle w:val="FootnoteReference"/>
        </w:rPr>
        <w:footnoteRef/>
      </w:r>
      <w:r>
        <w:t xml:space="preserve"> </w:t>
      </w:r>
      <w:r w:rsidRPr="00140317" w:rsidR="00140317">
        <w:rPr>
          <w:i/>
        </w:rPr>
        <w:t xml:space="preserve">See </w:t>
      </w:r>
      <w:r w:rsidR="00140317">
        <w:t xml:space="preserve">Informal </w:t>
      </w:r>
      <w:r w:rsidR="00DE1F08">
        <w:t>Complaint No</w:t>
      </w:r>
      <w:r>
        <w:t>.</w:t>
      </w:r>
      <w:r w:rsidR="00DE1F08">
        <w:t xml:space="preserve"> </w:t>
      </w:r>
      <w:r w:rsidR="00140317">
        <w:t xml:space="preserve">323114, </w:t>
      </w:r>
      <w:r w:rsidR="00DB373D">
        <w:t>filed Ju</w:t>
      </w:r>
      <w:r w:rsidR="00140317">
        <w:t>ne 4, 2015</w:t>
      </w:r>
      <w:r w:rsidR="00DE1F08">
        <w:t>.</w:t>
      </w:r>
    </w:p>
  </w:footnote>
  <w:footnote w:id="4">
    <w:p w:rsidR="00EC4494" w:rsidP="00510F6C">
      <w:pPr>
        <w:pStyle w:val="FootnoteText"/>
        <w:spacing w:after="120"/>
      </w:pPr>
      <w:r>
        <w:rPr>
          <w:rStyle w:val="FootnoteReference"/>
        </w:rPr>
        <w:footnoteRef/>
      </w:r>
      <w:r>
        <w:t xml:space="preserve"> </w:t>
      </w:r>
      <w:r>
        <w:rPr>
          <w:i/>
        </w:rPr>
        <w:t>See</w:t>
      </w:r>
      <w:r>
        <w:t xml:space="preserve"> 47 CFR §§ 64.1100 – 64.1190.</w:t>
      </w:r>
    </w:p>
  </w:footnote>
  <w:footnote w:id="5">
    <w:p w:rsidR="00EC4494" w:rsidP="00510F6C">
      <w:pPr>
        <w:pStyle w:val="FootnoteText"/>
        <w:spacing w:after="120"/>
      </w:pPr>
      <w:r>
        <w:rPr>
          <w:rStyle w:val="FootnoteReference"/>
        </w:rPr>
        <w:footnoteRef/>
      </w:r>
      <w:r>
        <w:t xml:space="preserve"> 47 U.S.C. § 258(a).</w:t>
      </w:r>
    </w:p>
  </w:footnote>
  <w:footnote w:id="6">
    <w:p w:rsidR="00EC4494" w:rsidP="00510F6C">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7">
    <w:p w:rsidR="00EC4494" w:rsidP="00510F6C">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8">
    <w:p w:rsidR="00775878" w:rsidRPr="00CF10D8" w:rsidP="00510F6C">
      <w:pPr>
        <w:pStyle w:val="FootnoteText"/>
        <w:spacing w:after="120"/>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C335BA" w:rsidP="00C335BA">
      <w:pPr>
        <w:pStyle w:val="FootnoteText"/>
      </w:pPr>
      <w:r>
        <w:rPr>
          <w:rStyle w:val="FootnoteReference"/>
        </w:rPr>
        <w:footnoteRef/>
      </w:r>
      <w:r>
        <w:t xml:space="preserve"> </w:t>
      </w:r>
      <w:r w:rsidRPr="00F86B2C">
        <w:t xml:space="preserve">47 CFR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C335BA" w:rsidP="00C335BA">
      <w:pPr>
        <w:pStyle w:val="FootnoteText"/>
      </w:pPr>
      <w:r>
        <w:rPr>
          <w:rStyle w:val="FootnoteReference"/>
        </w:rPr>
        <w:footnoteRef/>
      </w:r>
      <w:r>
        <w:t xml:space="preserve"> </w:t>
      </w:r>
      <w:r w:rsidRPr="00EA1421">
        <w:rPr>
          <w:i/>
        </w:rPr>
        <w:t xml:space="preserve">See </w:t>
      </w:r>
      <w:r>
        <w:t>LDA Response to Informal Complaint No. 323114, filed July 13, 2015.</w:t>
      </w:r>
    </w:p>
  </w:footnote>
  <w:footnote w:id="11">
    <w:p w:rsidR="00EC4494" w:rsidP="00510F6C">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47 CFR § 64.11</w:t>
      </w:r>
      <w:r w:rsidR="00C3654F">
        <w:t>0</w:t>
      </w:r>
      <w:r w:rsidR="007368C0">
        <w:t xml:space="preserve">0(e).  </w:t>
      </w:r>
      <w:r>
        <w:t xml:space="preserve">If </w:t>
      </w:r>
      <w:r w:rsidR="009D3461">
        <w:t>either</w:t>
      </w:r>
      <w:r>
        <w:t xml:space="preserve"> Complainant is unsatisfied with the resolution of its complaint, such Complainant may file a formal complaint with the Commission pursuant to Section 1.721 of the Commission’s rules, </w:t>
      </w:r>
      <w:r w:rsidRPr="007D7FBB" w:rsidR="007D7FBB">
        <w:rPr>
          <w:i/>
        </w:rPr>
        <w:t>id</w:t>
      </w:r>
      <w:r w:rsidR="007D7FBB">
        <w:t>.</w:t>
      </w:r>
      <w:r w:rsidR="009C6B1F">
        <w:t xml:space="preserve"> </w:t>
      </w:r>
      <w:r>
        <w:t xml:space="preserve">§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DA 1</w:t>
    </w:r>
    <w:r w:rsidR="00E84E6A">
      <w:rPr>
        <w:b/>
        <w:spacing w:val="-2"/>
      </w:rPr>
      <w:t>9</w:t>
    </w:r>
    <w:r>
      <w:rPr>
        <w:b/>
        <w:spacing w:val="-2"/>
      </w:rPr>
      <w:t>-</w:t>
    </w:r>
    <w:r w:rsidR="000E58F2">
      <w:rPr>
        <w:b/>
        <w:spacing w:val="-2"/>
      </w:rPr>
      <w:t>333</w:t>
    </w:r>
  </w:p>
  <w:p w:rsidR="00EC4494">
    <w:pPr>
      <w:tabs>
        <w:tab w:val="left" w:pos="-720"/>
      </w:tabs>
      <w:suppressAutoHyphens/>
      <w:spacing w:line="19" w:lineRule="exact"/>
      <w:rPr>
        <w:spacing w:val="-2"/>
      </w:rPr>
    </w:pPr>
    <w:r>
      <w:rPr>
        <w:noProof/>
        <w:snapToGrid/>
      </w:rPr>
      <w:pict>
        <v:rect id="_x0000_s2049" style="width:468pt;height:0.95pt;margin-top:0;margin-left:0;mso-position-horizontal-relative:margin;position:absolute;z-index:-251658240" o:allowincell="f" fillcolor="black" stroked="f" strokeweight="0.05pt">
          <v:fill color2="black"/>
          <w10:wrap anchorx="margin"/>
        </v:rect>
      </w:pict>
    </w:r>
  </w:p>
  <w:p w:rsidR="00EC4494">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pPr>
      <w:pStyle w:val="Header"/>
      <w:pBdr>
        <w:bottom w:val="single" w:sz="12" w:space="1" w:color="auto"/>
      </w:pBdr>
      <w:rPr>
        <w:b w:val="0"/>
      </w:rPr>
    </w:pPr>
    <w:r>
      <w:tab/>
      <w:t>Federal</w:t>
    </w:r>
    <w:r w:rsidR="00385691">
      <w:t xml:space="preserve"> Communications Commission</w:t>
    </w:r>
    <w:r w:rsidR="00385691">
      <w:tab/>
      <w:t>DA 1</w:t>
    </w:r>
    <w:r w:rsidR="00E84E6A">
      <w:t>9</w:t>
    </w:r>
    <w:r>
      <w:t>-</w:t>
    </w:r>
    <w:r w:rsidR="000E58F2">
      <w:t>333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BodyTextIndent2"/>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3B"/>
    <w:rsid w:val="000228F2"/>
    <w:rsid w:val="00023C8E"/>
    <w:rsid w:val="0002797A"/>
    <w:rsid w:val="00034B5F"/>
    <w:rsid w:val="000436C2"/>
    <w:rsid w:val="0005108E"/>
    <w:rsid w:val="000609D0"/>
    <w:rsid w:val="000715F6"/>
    <w:rsid w:val="000B7A45"/>
    <w:rsid w:val="000D6FF3"/>
    <w:rsid w:val="000E58F2"/>
    <w:rsid w:val="000E6D51"/>
    <w:rsid w:val="001204B1"/>
    <w:rsid w:val="00120529"/>
    <w:rsid w:val="00140317"/>
    <w:rsid w:val="001414E3"/>
    <w:rsid w:val="00142D97"/>
    <w:rsid w:val="00162727"/>
    <w:rsid w:val="001717CE"/>
    <w:rsid w:val="00190163"/>
    <w:rsid w:val="00195161"/>
    <w:rsid w:val="001A0861"/>
    <w:rsid w:val="001A7A2C"/>
    <w:rsid w:val="001C36B6"/>
    <w:rsid w:val="001C67AE"/>
    <w:rsid w:val="001E4CAB"/>
    <w:rsid w:val="001F2E5C"/>
    <w:rsid w:val="002137D1"/>
    <w:rsid w:val="0021434E"/>
    <w:rsid w:val="002354D5"/>
    <w:rsid w:val="002357D3"/>
    <w:rsid w:val="00236AA1"/>
    <w:rsid w:val="00236EDD"/>
    <w:rsid w:val="00237BAA"/>
    <w:rsid w:val="002439C1"/>
    <w:rsid w:val="002479AB"/>
    <w:rsid w:val="00283DF4"/>
    <w:rsid w:val="002A3B0B"/>
    <w:rsid w:val="002C332E"/>
    <w:rsid w:val="002F4B88"/>
    <w:rsid w:val="00310BAA"/>
    <w:rsid w:val="00313EF3"/>
    <w:rsid w:val="00314282"/>
    <w:rsid w:val="003427C1"/>
    <w:rsid w:val="00353700"/>
    <w:rsid w:val="00360D54"/>
    <w:rsid w:val="00385691"/>
    <w:rsid w:val="003A1EBA"/>
    <w:rsid w:val="003C5092"/>
    <w:rsid w:val="003E5B69"/>
    <w:rsid w:val="003F7602"/>
    <w:rsid w:val="003F7D44"/>
    <w:rsid w:val="00422B9B"/>
    <w:rsid w:val="00454DF3"/>
    <w:rsid w:val="0047594E"/>
    <w:rsid w:val="004914A3"/>
    <w:rsid w:val="004A1686"/>
    <w:rsid w:val="004C3D84"/>
    <w:rsid w:val="004C7040"/>
    <w:rsid w:val="00510F6C"/>
    <w:rsid w:val="005265B9"/>
    <w:rsid w:val="005561FD"/>
    <w:rsid w:val="00563A90"/>
    <w:rsid w:val="00566D7F"/>
    <w:rsid w:val="005772B2"/>
    <w:rsid w:val="00586E06"/>
    <w:rsid w:val="005B796C"/>
    <w:rsid w:val="005C203E"/>
    <w:rsid w:val="005C4098"/>
    <w:rsid w:val="005D78D7"/>
    <w:rsid w:val="005E78CA"/>
    <w:rsid w:val="00623693"/>
    <w:rsid w:val="00623E7A"/>
    <w:rsid w:val="0063192B"/>
    <w:rsid w:val="00676CB9"/>
    <w:rsid w:val="00685FD6"/>
    <w:rsid w:val="00697A80"/>
    <w:rsid w:val="006B0F44"/>
    <w:rsid w:val="006D5400"/>
    <w:rsid w:val="006E4C47"/>
    <w:rsid w:val="00727230"/>
    <w:rsid w:val="007368C0"/>
    <w:rsid w:val="0074254C"/>
    <w:rsid w:val="00750DAE"/>
    <w:rsid w:val="007546EE"/>
    <w:rsid w:val="00774600"/>
    <w:rsid w:val="00775878"/>
    <w:rsid w:val="00780927"/>
    <w:rsid w:val="007831C1"/>
    <w:rsid w:val="00795CE2"/>
    <w:rsid w:val="007B65C8"/>
    <w:rsid w:val="007B67D3"/>
    <w:rsid w:val="007D2B0E"/>
    <w:rsid w:val="007D7FBB"/>
    <w:rsid w:val="007E0B90"/>
    <w:rsid w:val="007E5AF2"/>
    <w:rsid w:val="008101C7"/>
    <w:rsid w:val="00816066"/>
    <w:rsid w:val="0083033B"/>
    <w:rsid w:val="00831E67"/>
    <w:rsid w:val="00870845"/>
    <w:rsid w:val="00876880"/>
    <w:rsid w:val="008E6C8C"/>
    <w:rsid w:val="008F1B97"/>
    <w:rsid w:val="008F47DB"/>
    <w:rsid w:val="008F4E04"/>
    <w:rsid w:val="00916312"/>
    <w:rsid w:val="00927544"/>
    <w:rsid w:val="00941EA5"/>
    <w:rsid w:val="00965328"/>
    <w:rsid w:val="0097045E"/>
    <w:rsid w:val="00983C4E"/>
    <w:rsid w:val="009A1060"/>
    <w:rsid w:val="009C46EC"/>
    <w:rsid w:val="009C6B1F"/>
    <w:rsid w:val="009D3461"/>
    <w:rsid w:val="009E4E88"/>
    <w:rsid w:val="009F49B4"/>
    <w:rsid w:val="00A029BD"/>
    <w:rsid w:val="00A15D6E"/>
    <w:rsid w:val="00A17B73"/>
    <w:rsid w:val="00A25B67"/>
    <w:rsid w:val="00A36B33"/>
    <w:rsid w:val="00A42E60"/>
    <w:rsid w:val="00A574EA"/>
    <w:rsid w:val="00A6088E"/>
    <w:rsid w:val="00A728EC"/>
    <w:rsid w:val="00A75410"/>
    <w:rsid w:val="00A75458"/>
    <w:rsid w:val="00A841B1"/>
    <w:rsid w:val="00AD583F"/>
    <w:rsid w:val="00AE2D7C"/>
    <w:rsid w:val="00B0254C"/>
    <w:rsid w:val="00B030B5"/>
    <w:rsid w:val="00B25D8D"/>
    <w:rsid w:val="00B329ED"/>
    <w:rsid w:val="00B46EF1"/>
    <w:rsid w:val="00B46FCC"/>
    <w:rsid w:val="00BA0244"/>
    <w:rsid w:val="00BC643E"/>
    <w:rsid w:val="00BD2451"/>
    <w:rsid w:val="00C04D95"/>
    <w:rsid w:val="00C335BA"/>
    <w:rsid w:val="00C3654F"/>
    <w:rsid w:val="00C403BC"/>
    <w:rsid w:val="00C447BD"/>
    <w:rsid w:val="00C5129C"/>
    <w:rsid w:val="00C53380"/>
    <w:rsid w:val="00C81A17"/>
    <w:rsid w:val="00CA575D"/>
    <w:rsid w:val="00CB11F0"/>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5AC6"/>
    <w:rsid w:val="00DB373D"/>
    <w:rsid w:val="00DB40D9"/>
    <w:rsid w:val="00DB4EAF"/>
    <w:rsid w:val="00DD26EF"/>
    <w:rsid w:val="00DD5275"/>
    <w:rsid w:val="00DE04F2"/>
    <w:rsid w:val="00DE1F08"/>
    <w:rsid w:val="00E0746D"/>
    <w:rsid w:val="00E12641"/>
    <w:rsid w:val="00E12DF2"/>
    <w:rsid w:val="00E35C29"/>
    <w:rsid w:val="00E54D57"/>
    <w:rsid w:val="00E62B5D"/>
    <w:rsid w:val="00E67930"/>
    <w:rsid w:val="00E84E6A"/>
    <w:rsid w:val="00E961F6"/>
    <w:rsid w:val="00EA1421"/>
    <w:rsid w:val="00EA795E"/>
    <w:rsid w:val="00EB38E9"/>
    <w:rsid w:val="00EC408A"/>
    <w:rsid w:val="00EC4494"/>
    <w:rsid w:val="00EC75FC"/>
    <w:rsid w:val="00EF15C3"/>
    <w:rsid w:val="00F416D5"/>
    <w:rsid w:val="00F7752B"/>
    <w:rsid w:val="00F84D1D"/>
    <w:rsid w:val="00F86B2C"/>
    <w:rsid w:val="00F904D4"/>
    <w:rsid w:val="00FA2D00"/>
    <w:rsid w:val="00FA53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1FA1564-C804-4BAA-AEFB-AB8F0B5A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 Char Char1,Footnote Text Char1 Char1,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