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Spectrotel</w:t>
            </w:r>
            <w:r>
              <w:rPr>
                <w:szCs w:val="22"/>
              </w:rPr>
              <w:t>, Inc. d/b/a/ Touchbase Communications</w:t>
            </w:r>
          </w:p>
          <w:p w:rsidR="00543CA2">
            <w:pPr>
              <w:tabs>
                <w:tab w:val="center" w:pos="4680"/>
              </w:tabs>
              <w:suppressAutoHyphens/>
              <w:rPr>
                <w:szCs w:val="22"/>
              </w:rPr>
            </w:pPr>
          </w:p>
          <w:p w:rsidR="00543CA2">
            <w:pPr>
              <w:pStyle w:val="TOAHeading"/>
              <w:tabs>
                <w:tab w:val="center" w:pos="4680"/>
              </w:tabs>
              <w:rPr>
                <w:szCs w:val="22"/>
              </w:rPr>
            </w:pPr>
            <w:r>
              <w:rPr>
                <w:szCs w:val="22"/>
              </w:rPr>
              <w:t>Complaint</w:t>
            </w:r>
            <w:r w:rsidR="00A36C32">
              <w:rPr>
                <w:szCs w:val="22"/>
              </w:rPr>
              <w:t>s</w:t>
            </w:r>
            <w:r>
              <w:rPr>
                <w:szCs w:val="22"/>
              </w:rPr>
              <w:t xml:space="preserve">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F454AE">
            <w:pPr>
              <w:tabs>
                <w:tab w:val="center" w:pos="4680"/>
              </w:tabs>
              <w:suppressAutoHyphens/>
              <w:rPr>
                <w:b/>
                <w:spacing w:val="-2"/>
                <w:szCs w:val="22"/>
              </w:rPr>
            </w:pP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6E3575" w:rsidP="002A6F1F">
            <w:pPr>
              <w:pStyle w:val="TOAHeading"/>
              <w:rPr>
                <w:szCs w:val="22"/>
              </w:rPr>
            </w:pPr>
            <w:r>
              <w:rPr>
                <w:szCs w:val="22"/>
              </w:rPr>
              <w:t>Complaint No</w:t>
            </w:r>
            <w:r w:rsidR="009F31B8">
              <w:rPr>
                <w:szCs w:val="22"/>
              </w:rPr>
              <w:t>s</w:t>
            </w:r>
            <w:r>
              <w:rPr>
                <w:szCs w:val="22"/>
              </w:rPr>
              <w:t xml:space="preserve">. </w:t>
            </w:r>
            <w:r w:rsidR="00240D4F">
              <w:rPr>
                <w:szCs w:val="22"/>
              </w:rPr>
              <w:t xml:space="preserve"> </w:t>
            </w:r>
            <w:r w:rsidR="00723BB9">
              <w:rPr>
                <w:szCs w:val="22"/>
              </w:rPr>
              <w:t>613496</w:t>
            </w:r>
          </w:p>
          <w:p w:rsidR="009F31B8" w:rsidP="009F31B8">
            <w:r>
              <w:t xml:space="preserve">                          </w:t>
            </w:r>
            <w:r w:rsidR="00723BB9">
              <w:t xml:space="preserve"> 777224</w:t>
            </w:r>
          </w:p>
          <w:p w:rsidR="004F4649" w:rsidRPr="009F31B8" w:rsidP="009F31B8">
            <w:r>
              <w:t xml:space="preserve">                          </w:t>
            </w:r>
            <w:r w:rsidR="00723BB9">
              <w:t xml:space="preserve"> 1182010</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F454AE">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A8478E">
        <w:rPr>
          <w:b/>
          <w:spacing w:val="-2"/>
          <w:szCs w:val="22"/>
        </w:rPr>
        <w:t>April 26</w:t>
      </w:r>
      <w:r>
        <w:rPr>
          <w:b/>
          <w:spacing w:val="-2"/>
          <w:szCs w:val="22"/>
        </w:rPr>
        <w:t>, 201</w:t>
      </w:r>
      <w:r w:rsidR="006E3575">
        <w:rPr>
          <w:b/>
          <w:spacing w:val="-2"/>
          <w:szCs w:val="22"/>
        </w:rPr>
        <w:t>9</w:t>
      </w:r>
      <w:r>
        <w:rPr>
          <w:b/>
          <w:spacing w:val="-2"/>
          <w:szCs w:val="22"/>
        </w:rPr>
        <w:tab/>
      </w:r>
      <w:r w:rsidR="006E3575">
        <w:rPr>
          <w:b/>
          <w:spacing w:val="-2"/>
          <w:szCs w:val="22"/>
        </w:rPr>
        <w:tab/>
      </w:r>
      <w:r>
        <w:rPr>
          <w:b/>
          <w:spacing w:val="-2"/>
          <w:szCs w:val="22"/>
        </w:rPr>
        <w:t xml:space="preserve">Released:  </w:t>
      </w:r>
      <w:r w:rsidR="00A8478E">
        <w:rPr>
          <w:b/>
          <w:spacing w:val="-2"/>
          <w:szCs w:val="22"/>
        </w:rPr>
        <w:t>April 26</w:t>
      </w:r>
      <w:bookmarkStart w:id="0" w:name="_GoBack"/>
      <w:bookmarkEnd w:id="0"/>
      <w:r>
        <w:rPr>
          <w:b/>
          <w:spacing w:val="-2"/>
          <w:szCs w:val="22"/>
        </w:rPr>
        <w:t>, 201</w:t>
      </w:r>
      <w:r w:rsidR="006E3575">
        <w:rPr>
          <w:b/>
          <w:spacing w:val="-2"/>
          <w:szCs w:val="22"/>
        </w:rPr>
        <w:t>9</w:t>
      </w:r>
    </w:p>
    <w:p w:rsidR="00543CA2" w:rsidP="00543CA2">
      <w:pPr>
        <w:rPr>
          <w:szCs w:val="22"/>
        </w:rPr>
      </w:pPr>
    </w:p>
    <w:p w:rsidR="00543CA2" w:rsidP="00543CA2">
      <w:pPr>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P="00543CA2">
      <w:pPr>
        <w:tabs>
          <w:tab w:val="left" w:pos="432"/>
        </w:tabs>
        <w:ind w:firstLine="72"/>
        <w:rPr>
          <w:szCs w:val="22"/>
        </w:rPr>
      </w:pPr>
    </w:p>
    <w:p w:rsidR="00543CA2" w:rsidRPr="005457D3" w:rsidP="005457D3">
      <w:pPr>
        <w:numPr>
          <w:ilvl w:val="0"/>
          <w:numId w:val="7"/>
        </w:numPr>
        <w:tabs>
          <w:tab w:val="num" w:pos="0"/>
        </w:tabs>
        <w:snapToGrid w:val="0"/>
        <w:spacing w:after="120"/>
        <w:ind w:left="0" w:firstLine="720"/>
        <w:rPr>
          <w:kern w:val="0"/>
          <w:szCs w:val="22"/>
        </w:rPr>
      </w:pPr>
      <w:r>
        <w:rPr>
          <w:szCs w:val="22"/>
        </w:rPr>
        <w:t xml:space="preserve">In this Order, we consider </w:t>
      </w:r>
      <w:r w:rsidR="009F31B8">
        <w:rPr>
          <w:szCs w:val="22"/>
        </w:rPr>
        <w:t>t</w:t>
      </w:r>
      <w:r w:rsidR="004F4649">
        <w:rPr>
          <w:szCs w:val="22"/>
        </w:rPr>
        <w:t>hree</w:t>
      </w:r>
      <w:r w:rsidR="003C3A54">
        <w:rPr>
          <w:szCs w:val="22"/>
        </w:rPr>
        <w:t xml:space="preserve"> </w:t>
      </w:r>
      <w:r>
        <w:rPr>
          <w:szCs w:val="22"/>
        </w:rPr>
        <w:t>complaint</w:t>
      </w:r>
      <w:r w:rsidR="009F31B8">
        <w:rPr>
          <w:szCs w:val="22"/>
        </w:rPr>
        <w:t>s</w:t>
      </w:r>
      <w:r>
        <w:rPr>
          <w:rStyle w:val="FootnoteReference"/>
          <w:szCs w:val="22"/>
        </w:rPr>
        <w:footnoteReference w:id="3"/>
      </w:r>
      <w:r>
        <w:rPr>
          <w:szCs w:val="22"/>
        </w:rPr>
        <w:t xml:space="preserve"> alleging that</w:t>
      </w:r>
      <w:r w:rsidR="00CB4EAA">
        <w:rPr>
          <w:szCs w:val="22"/>
        </w:rPr>
        <w:t xml:space="preserve"> </w:t>
      </w:r>
      <w:r w:rsidR="00723BB9">
        <w:rPr>
          <w:szCs w:val="22"/>
        </w:rPr>
        <w:t>Spectrotel</w:t>
      </w:r>
      <w:r w:rsidR="00723BB9">
        <w:rPr>
          <w:szCs w:val="22"/>
        </w:rPr>
        <w:t>, Inc. d/b/a Touchbase Communications</w:t>
      </w:r>
      <w:r>
        <w:rPr>
          <w:szCs w:val="22"/>
        </w:rPr>
        <w:t xml:space="preserve"> (</w:t>
      </w:r>
      <w:r w:rsidR="00723BB9">
        <w:rPr>
          <w:szCs w:val="22"/>
        </w:rPr>
        <w:t>Touchbase</w:t>
      </w:r>
      <w:r>
        <w:rPr>
          <w:szCs w:val="22"/>
        </w:rPr>
        <w:t>) changed Complainant</w:t>
      </w:r>
      <w:r w:rsidR="00CB4EAA">
        <w:rPr>
          <w:szCs w:val="22"/>
        </w:rPr>
        <w:t>s’</w:t>
      </w:r>
      <w:r>
        <w:rPr>
          <w:szCs w:val="22"/>
        </w:rPr>
        <w:t xml:space="preserve"> telecommunications service provider</w:t>
      </w:r>
      <w:r w:rsidR="00CB4EAA">
        <w:rPr>
          <w:szCs w:val="22"/>
        </w:rPr>
        <w:t>s</w:t>
      </w:r>
      <w:r>
        <w:rPr>
          <w:szCs w:val="22"/>
        </w:rPr>
        <w:t xml:space="preserve"> without obtaining authorization and verification from Complainant</w:t>
      </w:r>
      <w:r w:rsidR="00CB4EAA">
        <w:rPr>
          <w:szCs w:val="22"/>
        </w:rPr>
        <w:t>s</w:t>
      </w:r>
      <w:r>
        <w:rPr>
          <w:szCs w:val="22"/>
        </w:rPr>
        <w:t xml:space="preserve"> in violation of the Commission’s rules.</w:t>
      </w:r>
      <w:r>
        <w:rPr>
          <w:rStyle w:val="FootnoteReference"/>
          <w:szCs w:val="22"/>
        </w:rPr>
        <w:footnoteReference w:id="4"/>
      </w:r>
      <w:r>
        <w:rPr>
          <w:szCs w:val="22"/>
        </w:rPr>
        <w:t xml:space="preserve">  We </w:t>
      </w:r>
      <w:r w:rsidR="00E11822">
        <w:rPr>
          <w:szCs w:val="22"/>
        </w:rPr>
        <w:t>find</w:t>
      </w:r>
      <w:r>
        <w:rPr>
          <w:szCs w:val="22"/>
        </w:rPr>
        <w:t xml:space="preserve"> that</w:t>
      </w:r>
      <w:r w:rsidR="003C3A54">
        <w:rPr>
          <w:szCs w:val="22"/>
        </w:rPr>
        <w:t xml:space="preserve"> </w:t>
      </w:r>
      <w:r w:rsidR="00723BB9">
        <w:rPr>
          <w:szCs w:val="22"/>
        </w:rPr>
        <w:t>Touchbase</w:t>
      </w:r>
      <w:r w:rsidR="004F4649">
        <w:rPr>
          <w:szCs w:val="22"/>
        </w:rPr>
        <w:t>’s</w:t>
      </w:r>
      <w:r>
        <w:rPr>
          <w:szCs w:val="22"/>
        </w:rPr>
        <w:t xml:space="preserve"> actions violated the Commission’s carrier change rules</w:t>
      </w:r>
      <w:r w:rsidR="00E11822">
        <w:rPr>
          <w:szCs w:val="22"/>
        </w:rPr>
        <w:t>,</w:t>
      </w:r>
      <w:r>
        <w:rPr>
          <w:szCs w:val="22"/>
        </w:rPr>
        <w:t xml:space="preserve"> and we </w:t>
      </w:r>
      <w:r w:rsidR="00E11822">
        <w:rPr>
          <w:szCs w:val="22"/>
        </w:rPr>
        <w:t xml:space="preserve">therefore </w:t>
      </w:r>
      <w:r>
        <w:rPr>
          <w:szCs w:val="22"/>
        </w:rPr>
        <w:t>grant Complainant</w:t>
      </w:r>
      <w:r w:rsidR="00CB4EAA">
        <w:rPr>
          <w:szCs w:val="22"/>
        </w:rPr>
        <w:t>s’</w:t>
      </w:r>
      <w:r>
        <w:rPr>
          <w:szCs w:val="22"/>
        </w:rPr>
        <w:t xml:space="preserve"> complaint</w:t>
      </w:r>
      <w:r w:rsidR="00CB4EAA">
        <w:rPr>
          <w:szCs w:val="22"/>
        </w:rPr>
        <w:t>s</w:t>
      </w:r>
      <w:r>
        <w:rPr>
          <w:szCs w:val="22"/>
        </w:rPr>
        <w:t>.</w:t>
      </w:r>
    </w:p>
    <w:p w:rsidR="00543CA2" w:rsidRPr="00154175" w:rsidP="005457D3">
      <w:pPr>
        <w:numPr>
          <w:ilvl w:val="0"/>
          <w:numId w:val="7"/>
        </w:numPr>
        <w:tabs>
          <w:tab w:val="num" w:pos="0"/>
        </w:tabs>
        <w:snapToGrid w:val="0"/>
        <w:spacing w:after="120"/>
        <w:ind w:left="0" w:firstLine="720"/>
        <w:rPr>
          <w:szCs w:val="22"/>
        </w:rPr>
      </w:pPr>
      <w:r w:rsidRPr="00142D97">
        <w:t>Section 258 of the Communications Act of 1934 (</w:t>
      </w:r>
      <w:r>
        <w:t xml:space="preserve">the </w:t>
      </w:r>
      <w:r w:rsidRPr="00142D97">
        <w:t>Act), as amended</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562BA0" w:rsidRPr="005457D3" w:rsidP="005457D3">
      <w:pPr>
        <w:numPr>
          <w:ilvl w:val="0"/>
          <w:numId w:val="7"/>
        </w:numPr>
        <w:snapToGrid w:val="0"/>
        <w:spacing w:after="120"/>
        <w:ind w:left="0" w:firstLine="720"/>
        <w:rPr>
          <w:szCs w:val="22"/>
        </w:rPr>
      </w:pPr>
      <w:r w:rsidRPr="00142D97">
        <w:t xml:space="preserve">We received </w:t>
      </w:r>
      <w:r>
        <w:t>Complainant</w:t>
      </w:r>
      <w:r w:rsidR="00CB4EAA">
        <w:t>s’</w:t>
      </w:r>
      <w:r w:rsidRPr="00142D97">
        <w:t xml:space="preserve"> complaint</w:t>
      </w:r>
      <w:r w:rsidR="00CB4EAA">
        <w:t>s</w:t>
      </w:r>
      <w:r w:rsidRPr="00142D97">
        <w:t xml:space="preserve"> alleging that Complainan</w:t>
      </w:r>
      <w:r w:rsidR="003C3A54">
        <w:t>ts</w:t>
      </w:r>
      <w:r w:rsidR="00CB4EAA">
        <w:t>’</w:t>
      </w:r>
      <w:r w:rsidRPr="00142D97">
        <w:t xml:space="preserve"> tele</w:t>
      </w:r>
      <w:r>
        <w:t>communications service provider</w:t>
      </w:r>
      <w:r w:rsidR="00CB4EAA">
        <w:t>s</w:t>
      </w:r>
      <w:r w:rsidRPr="00142D97">
        <w:t xml:space="preserve"> had b</w:t>
      </w:r>
      <w:r>
        <w:t>een changed without Complainant</w:t>
      </w:r>
      <w:r w:rsidR="00CB4EAA">
        <w:t>s’</w:t>
      </w:r>
      <w:r w:rsidRPr="00142D97">
        <w:t xml:space="preserve"> authorization.  Pursuant to Sections 1.719</w:t>
      </w:r>
      <w:r>
        <w:t xml:space="preserve"> </w:t>
      </w:r>
      <w:r w:rsidRPr="00142D97">
        <w:t xml:space="preserve">and 64.1150 of our rules, we notified </w:t>
      </w:r>
      <w:r w:rsidR="00723BB9">
        <w:t>Touchbase</w:t>
      </w:r>
      <w:r>
        <w:t xml:space="preserve"> of the complaint</w:t>
      </w:r>
      <w:r w:rsidR="00CB4EAA">
        <w:t>s.</w:t>
      </w:r>
      <w:r>
        <w:rPr>
          <w:rStyle w:val="FootnoteReference"/>
        </w:rPr>
        <w:footnoteReference w:id="9"/>
      </w:r>
      <w:r w:rsidRPr="00142D97">
        <w:t xml:space="preserve">  </w:t>
      </w:r>
      <w:r w:rsidR="00723BB9">
        <w:t>Touchbase</w:t>
      </w:r>
      <w:r>
        <w:t xml:space="preserve"> responded to the complaint</w:t>
      </w:r>
      <w:r w:rsidR="00CB4EAA">
        <w:t>s</w:t>
      </w:r>
      <w:r>
        <w:t>, stating that it</w:t>
      </w:r>
      <w:r w:rsidR="00154175">
        <w:t xml:space="preserve"> </w:t>
      </w:r>
      <w:r>
        <w:t>obtained authorization from Complainant</w:t>
      </w:r>
      <w:r w:rsidR="00CB4EAA">
        <w:t>s</w:t>
      </w:r>
      <w:r>
        <w:t xml:space="preserve"> through third</w:t>
      </w:r>
      <w:r w:rsidR="001506F9">
        <w:t>-</w:t>
      </w:r>
      <w:r>
        <w:t>party verification (TPV).</w:t>
      </w:r>
      <w:r>
        <w:rPr>
          <w:rStyle w:val="FootnoteReference"/>
        </w:rPr>
        <w:footnoteReference w:id="10"/>
      </w:r>
      <w:r>
        <w:rPr>
          <w:szCs w:val="22"/>
        </w:rPr>
        <w:t xml:space="preserve">  </w:t>
      </w:r>
    </w:p>
    <w:p w:rsidR="00543CA2" w:rsidRPr="005457D3" w:rsidP="005457D3">
      <w:pPr>
        <w:numPr>
          <w:ilvl w:val="0"/>
          <w:numId w:val="7"/>
        </w:numPr>
        <w:snapToGrid w:val="0"/>
        <w:spacing w:after="120"/>
        <w:ind w:left="0" w:firstLine="720"/>
        <w:rPr>
          <w:szCs w:val="22"/>
        </w:rPr>
      </w:pPr>
      <w:r>
        <w:rPr>
          <w:szCs w:val="22"/>
        </w:rPr>
        <w:t xml:space="preserve">We have reviewed each TPV, and find that Touchbase’s </w:t>
      </w:r>
      <w:r w:rsidR="00BA06DD">
        <w:rPr>
          <w:szCs w:val="22"/>
        </w:rPr>
        <w:t>third</w:t>
      </w:r>
      <w:r w:rsidR="001D12A7">
        <w:rPr>
          <w:szCs w:val="22"/>
        </w:rPr>
        <w:t>-</w:t>
      </w:r>
      <w:r w:rsidR="00BA06DD">
        <w:rPr>
          <w:szCs w:val="22"/>
        </w:rPr>
        <w:t>party automated verification system did not comply with the Commission’s verification procedures.</w:t>
      </w:r>
      <w:r>
        <w:rPr>
          <w:rStyle w:val="FootnoteReference"/>
          <w:szCs w:val="22"/>
        </w:rPr>
        <w:footnoteReference w:id="11"/>
      </w:r>
      <w:r w:rsidR="00BA06DD">
        <w:rPr>
          <w:szCs w:val="22"/>
        </w:rPr>
        <w:t xml:space="preserve">  Under the rules, a carrier’s third-party verifier must elicit “the telephone numbers to be switched.”</w:t>
      </w:r>
      <w:r>
        <w:rPr>
          <w:rStyle w:val="FootnoteReference"/>
          <w:szCs w:val="22"/>
        </w:rPr>
        <w:footnoteReference w:id="12"/>
      </w:r>
      <w:r w:rsidR="00BA06DD">
        <w:rPr>
          <w:szCs w:val="22"/>
        </w:rPr>
        <w:t xml:space="preserve">  </w:t>
      </w:r>
      <w:r>
        <w:rPr>
          <w:szCs w:val="22"/>
        </w:rPr>
        <w:t xml:space="preserve">In </w:t>
      </w:r>
      <w:r w:rsidR="00701167">
        <w:rPr>
          <w:szCs w:val="22"/>
        </w:rPr>
        <w:t>each</w:t>
      </w:r>
      <w:r w:rsidR="00732ADE">
        <w:rPr>
          <w:szCs w:val="22"/>
        </w:rPr>
        <w:t xml:space="preserve"> </w:t>
      </w:r>
      <w:r w:rsidR="00BA06DD">
        <w:rPr>
          <w:szCs w:val="22"/>
        </w:rPr>
        <w:t xml:space="preserve">of Touchbase’s </w:t>
      </w:r>
      <w:r w:rsidR="00732ADE">
        <w:rPr>
          <w:szCs w:val="22"/>
        </w:rPr>
        <w:t>TPV</w:t>
      </w:r>
      <w:r w:rsidR="00BA06DD">
        <w:rPr>
          <w:szCs w:val="22"/>
        </w:rPr>
        <w:t>s</w:t>
      </w:r>
      <w:r>
        <w:rPr>
          <w:szCs w:val="22"/>
        </w:rPr>
        <w:t xml:space="preserve">, </w:t>
      </w:r>
      <w:r w:rsidR="00BA06DD">
        <w:rPr>
          <w:szCs w:val="22"/>
        </w:rPr>
        <w:t xml:space="preserve">the </w:t>
      </w:r>
      <w:r>
        <w:rPr>
          <w:szCs w:val="22"/>
        </w:rPr>
        <w:t xml:space="preserve">verifier </w:t>
      </w:r>
      <w:r w:rsidR="00FD25D6">
        <w:rPr>
          <w:szCs w:val="22"/>
        </w:rPr>
        <w:t xml:space="preserve">identifies </w:t>
      </w:r>
      <w:r w:rsidR="001D12A7">
        <w:rPr>
          <w:szCs w:val="22"/>
        </w:rPr>
        <w:t>one</w:t>
      </w:r>
      <w:r w:rsidR="00FD25D6">
        <w:rPr>
          <w:szCs w:val="22"/>
        </w:rPr>
        <w:t xml:space="preserve"> telephone number but fails </w:t>
      </w:r>
      <w:r w:rsidR="001D12A7">
        <w:rPr>
          <w:szCs w:val="22"/>
        </w:rPr>
        <w:t xml:space="preserve">either </w:t>
      </w:r>
      <w:r w:rsidR="00FD25D6">
        <w:rPr>
          <w:szCs w:val="22"/>
        </w:rPr>
        <w:t xml:space="preserve">to elicit from the consumer or </w:t>
      </w:r>
      <w:r w:rsidR="001D12A7">
        <w:rPr>
          <w:szCs w:val="22"/>
        </w:rPr>
        <w:t xml:space="preserve">to </w:t>
      </w:r>
      <w:r w:rsidR="00FD25D6">
        <w:rPr>
          <w:szCs w:val="22"/>
        </w:rPr>
        <w:t>list all of the telephone numbers that Touchbase ultimately switched.  Instead, the verifiers simply state they are confirming a switch for the “telephone numbers associated with this order.”  Confirming numbers “associated with this order” does not elicit each telephone number the consumer authorizes to be switched.</w:t>
      </w:r>
      <w:r>
        <w:rPr>
          <w:rStyle w:val="FootnoteReference"/>
          <w:szCs w:val="22"/>
        </w:rPr>
        <w:footnoteReference w:id="13"/>
      </w:r>
      <w:r w:rsidR="00FD25D6">
        <w:rPr>
          <w:szCs w:val="22"/>
        </w:rPr>
        <w:t xml:space="preserve">  </w:t>
      </w:r>
      <w:r>
        <w:rPr>
          <w:szCs w:val="22"/>
        </w:rPr>
        <w:t xml:space="preserve">We </w:t>
      </w:r>
      <w:r w:rsidR="00525E4A">
        <w:rPr>
          <w:szCs w:val="22"/>
        </w:rPr>
        <w:t xml:space="preserve">therefore </w:t>
      </w:r>
      <w:r>
        <w:rPr>
          <w:szCs w:val="22"/>
        </w:rPr>
        <w:t xml:space="preserve">find that </w:t>
      </w:r>
      <w:r w:rsidR="00692277">
        <w:rPr>
          <w:szCs w:val="22"/>
        </w:rPr>
        <w:t>Touchbase</w:t>
      </w:r>
      <w:r>
        <w:rPr>
          <w:szCs w:val="22"/>
        </w:rPr>
        <w:t xml:space="preserve">’s actions were in violation of our carrier change rules, and we discuss </w:t>
      </w:r>
      <w:r w:rsidR="00692277">
        <w:rPr>
          <w:szCs w:val="22"/>
        </w:rPr>
        <w:t>Touchbase</w:t>
      </w:r>
      <w:r>
        <w:rPr>
          <w:szCs w:val="22"/>
        </w:rPr>
        <w:t>’s liability below.</w:t>
      </w:r>
      <w:r>
        <w:rPr>
          <w:rStyle w:val="FootnoteReference"/>
          <w:szCs w:val="22"/>
        </w:rPr>
        <w:footnoteReference w:id="14"/>
      </w:r>
    </w:p>
    <w:p w:rsidR="00543CA2" w:rsidRPr="005457D3" w:rsidP="005457D3">
      <w:pPr>
        <w:numPr>
          <w:ilvl w:val="0"/>
          <w:numId w:val="7"/>
        </w:numPr>
        <w:snapToGrid w:val="0"/>
        <w:spacing w:after="120"/>
        <w:ind w:left="0" w:firstLine="720"/>
        <w:rPr>
          <w:szCs w:val="22"/>
        </w:rPr>
      </w:pPr>
      <w:r>
        <w:rPr>
          <w:szCs w:val="22"/>
        </w:rPr>
        <w:t>Touchbase</w:t>
      </w:r>
      <w:r>
        <w:rPr>
          <w:szCs w:val="22"/>
        </w:rPr>
        <w:t xml:space="preserve"> must remove all charges incurred for service provided to Complainant</w:t>
      </w:r>
      <w:r w:rsidR="0060144A">
        <w:rPr>
          <w:szCs w:val="22"/>
        </w:rPr>
        <w:t>s</w:t>
      </w:r>
      <w:r>
        <w:rPr>
          <w:szCs w:val="22"/>
        </w:rPr>
        <w:t xml:space="preserve"> for the first thirty days after the alleged unauthorized change</w:t>
      </w:r>
      <w:r w:rsidR="0060144A">
        <w:rPr>
          <w:szCs w:val="22"/>
        </w:rPr>
        <w:t>s</w:t>
      </w:r>
      <w:r>
        <w:rPr>
          <w:szCs w:val="22"/>
        </w:rPr>
        <w:t xml:space="preserve"> in accordance with the Commission’s liability rules.</w:t>
      </w:r>
      <w:r>
        <w:rPr>
          <w:rStyle w:val="FootnoteReference"/>
          <w:szCs w:val="22"/>
        </w:rPr>
        <w:footnoteReference w:id="15"/>
      </w:r>
      <w:r>
        <w:rPr>
          <w:szCs w:val="22"/>
        </w:rPr>
        <w:t xml:space="preserve">  We have determined that Complainant</w:t>
      </w:r>
      <w:r w:rsidR="0060144A">
        <w:rPr>
          <w:szCs w:val="22"/>
        </w:rPr>
        <w:t>s</w:t>
      </w:r>
      <w:r>
        <w:rPr>
          <w:szCs w:val="22"/>
        </w:rPr>
        <w:t xml:space="preserve"> </w:t>
      </w:r>
      <w:r w:rsidR="0060144A">
        <w:rPr>
          <w:szCs w:val="22"/>
        </w:rPr>
        <w:t>are</w:t>
      </w:r>
      <w:r>
        <w:rPr>
          <w:szCs w:val="22"/>
        </w:rPr>
        <w:t xml:space="preserve"> entitled to absolution for the charges incurred during the first thirty days after the unauthorized change</w:t>
      </w:r>
      <w:r w:rsidR="0060144A">
        <w:rPr>
          <w:szCs w:val="22"/>
        </w:rPr>
        <w:t>s</w:t>
      </w:r>
      <w:r>
        <w:rPr>
          <w:szCs w:val="22"/>
        </w:rPr>
        <w:t xml:space="preserve"> occurred and </w:t>
      </w:r>
      <w:r w:rsidR="00763CD4">
        <w:rPr>
          <w:szCs w:val="22"/>
        </w:rPr>
        <w:t>that</w:t>
      </w:r>
      <w:r>
        <w:rPr>
          <w:szCs w:val="22"/>
        </w:rPr>
        <w:t xml:space="preserve"> </w:t>
      </w:r>
      <w:r w:rsidR="00653081">
        <w:t>neither the Complainant</w:t>
      </w:r>
      <w:r w:rsidR="0060144A">
        <w:t>s’</w:t>
      </w:r>
      <w:r w:rsidR="00653081">
        <w:t xml:space="preserve"> authorized carrier</w:t>
      </w:r>
      <w:r w:rsidR="0060144A">
        <w:t>s</w:t>
      </w:r>
      <w:r w:rsidR="00653081">
        <w:t xml:space="preserve"> nor </w:t>
      </w:r>
      <w:r>
        <w:rPr>
          <w:szCs w:val="22"/>
        </w:rPr>
        <w:t>Touchbase</w:t>
      </w:r>
      <w:r>
        <w:rPr>
          <w:szCs w:val="22"/>
        </w:rPr>
        <w:t xml:space="preserve"> may pursue any collection against Complainant</w:t>
      </w:r>
      <w:r w:rsidR="0060144A">
        <w:rPr>
          <w:szCs w:val="22"/>
        </w:rPr>
        <w:t>s</w:t>
      </w:r>
      <w:r>
        <w:rPr>
          <w:szCs w:val="22"/>
        </w:rPr>
        <w:t xml:space="preserve"> for those charges.</w:t>
      </w:r>
      <w:r>
        <w:rPr>
          <w:rStyle w:val="FootnoteReference"/>
          <w:szCs w:val="22"/>
        </w:rPr>
        <w:footnoteReference w:id="16"/>
      </w:r>
      <w:r>
        <w:rPr>
          <w:szCs w:val="22"/>
        </w:rPr>
        <w:t xml:space="preserve"> </w:t>
      </w:r>
      <w:r w:rsidR="00763CD4">
        <w:rPr>
          <w:szCs w:val="22"/>
        </w:rPr>
        <w:t xml:space="preserve"> </w:t>
      </w:r>
      <w:r>
        <w:rPr>
          <w:szCs w:val="22"/>
        </w:rPr>
        <w:t xml:space="preserve">Any charges imposed by </w:t>
      </w:r>
      <w:r>
        <w:rPr>
          <w:szCs w:val="22"/>
        </w:rPr>
        <w:t>Touchbase</w:t>
      </w:r>
      <w:r>
        <w:rPr>
          <w:szCs w:val="22"/>
        </w:rPr>
        <w:t xml:space="preserve"> on the subscriber</w:t>
      </w:r>
      <w:r w:rsidR="0060144A">
        <w:rPr>
          <w:szCs w:val="22"/>
        </w:rPr>
        <w:t>s</w:t>
      </w:r>
      <w:r>
        <w:rPr>
          <w:szCs w:val="22"/>
        </w:rPr>
        <w:t xml:space="preserve"> for service provided after this 30-day period shall be paid by the subscriber</w:t>
      </w:r>
      <w:r w:rsidR="0060144A">
        <w:rPr>
          <w:szCs w:val="22"/>
        </w:rPr>
        <w:t>s</w:t>
      </w:r>
      <w:r>
        <w:rPr>
          <w:szCs w:val="22"/>
        </w:rPr>
        <w:t xml:space="preserve"> at the rates the subscriber</w:t>
      </w:r>
      <w:r w:rsidR="0060144A">
        <w:rPr>
          <w:szCs w:val="22"/>
        </w:rPr>
        <w:t>s</w:t>
      </w:r>
      <w:r>
        <w:rPr>
          <w:szCs w:val="22"/>
        </w:rPr>
        <w:t xml:space="preserve"> w</w:t>
      </w:r>
      <w:r w:rsidR="0060144A">
        <w:rPr>
          <w:szCs w:val="22"/>
        </w:rPr>
        <w:t>ere</w:t>
      </w:r>
      <w:r>
        <w:rPr>
          <w:szCs w:val="22"/>
        </w:rPr>
        <w:t xml:space="preserve"> paying to </w:t>
      </w:r>
      <w:r w:rsidR="0060144A">
        <w:rPr>
          <w:szCs w:val="22"/>
        </w:rPr>
        <w:t xml:space="preserve">their </w:t>
      </w:r>
      <w:r>
        <w:rPr>
          <w:szCs w:val="22"/>
        </w:rPr>
        <w:t>authorized carrier</w:t>
      </w:r>
      <w:r w:rsidR="0060144A">
        <w:rPr>
          <w:szCs w:val="22"/>
        </w:rPr>
        <w:t>s</w:t>
      </w:r>
      <w:r>
        <w:rPr>
          <w:szCs w:val="22"/>
        </w:rPr>
        <w:t xml:space="preserve"> at the time of the unauthorized change</w:t>
      </w:r>
      <w:r w:rsidR="0060144A">
        <w:rPr>
          <w:szCs w:val="22"/>
        </w:rPr>
        <w:t>s</w:t>
      </w:r>
      <w:r>
        <w:rPr>
          <w:szCs w:val="22"/>
        </w:rPr>
        <w:t>.</w:t>
      </w:r>
      <w:r>
        <w:rPr>
          <w:rStyle w:val="FootnoteReference"/>
          <w:szCs w:val="22"/>
        </w:rPr>
        <w:footnoteReference w:id="17"/>
      </w:r>
    </w:p>
    <w:p w:rsidR="00543CA2" w:rsidRPr="005457D3" w:rsidP="005457D3">
      <w:pPr>
        <w:numPr>
          <w:ilvl w:val="0"/>
          <w:numId w:val="7"/>
        </w:numPr>
        <w:snapToGrid w:val="0"/>
        <w:spacing w:after="120"/>
        <w:ind w:left="0" w:firstLine="720"/>
        <w:rPr>
          <w:szCs w:val="22"/>
        </w:rPr>
      </w:pPr>
      <w:r>
        <w:rPr>
          <w:szCs w:val="22"/>
        </w:rPr>
        <w:t xml:space="preserve">Accordingly, IT IS ORDERED that, pursuant to Section 258 of the Communications Act </w:t>
      </w:r>
      <w:r>
        <w:rPr>
          <w:szCs w:val="22"/>
        </w:rPr>
        <w:t>of 1934, as amended, 47 U.S.C. § 258, and Sections 0.141, 0.361 and 1.719 of the Commission’s rules, 47 CFR §§ 0.141, 0.361</w:t>
      </w:r>
      <w:r w:rsidR="00E66984">
        <w:rPr>
          <w:szCs w:val="22"/>
        </w:rPr>
        <w:t>,</w:t>
      </w:r>
      <w:r>
        <w:rPr>
          <w:szCs w:val="22"/>
        </w:rPr>
        <w:t xml:space="preserve"> 1.719, the complaint</w:t>
      </w:r>
      <w:r w:rsidR="0060144A">
        <w:rPr>
          <w:szCs w:val="22"/>
        </w:rPr>
        <w:t>s</w:t>
      </w:r>
      <w:r>
        <w:rPr>
          <w:szCs w:val="22"/>
        </w:rPr>
        <w:t xml:space="preserve"> filed against </w:t>
      </w:r>
      <w:r w:rsidR="00692277">
        <w:rPr>
          <w:szCs w:val="22"/>
        </w:rPr>
        <w:t>Spectrotel</w:t>
      </w:r>
      <w:r w:rsidR="00692277">
        <w:rPr>
          <w:szCs w:val="22"/>
        </w:rPr>
        <w:t>, Inc. d/b/a/ Touchbase Communications</w:t>
      </w:r>
      <w:r w:rsidR="00AD7D33">
        <w:rPr>
          <w:szCs w:val="22"/>
        </w:rPr>
        <w:t xml:space="preserve"> </w:t>
      </w:r>
      <w:r w:rsidR="0060144A">
        <w:rPr>
          <w:szCs w:val="22"/>
        </w:rPr>
        <w:t>ARE</w:t>
      </w:r>
      <w:r>
        <w:rPr>
          <w:szCs w:val="22"/>
        </w:rPr>
        <w:t xml:space="preserve"> GRANTED.</w:t>
      </w:r>
    </w:p>
    <w:p w:rsidR="00543CA2" w:rsidRPr="005457D3" w:rsidP="005457D3">
      <w:pPr>
        <w:numPr>
          <w:ilvl w:val="0"/>
          <w:numId w:val="7"/>
        </w:numPr>
        <w:snapToGrid w:val="0"/>
        <w:spacing w:after="120"/>
        <w:ind w:left="0" w:firstLine="720"/>
        <w:rPr>
          <w:szCs w:val="22"/>
        </w:rPr>
      </w:pPr>
      <w:r>
        <w:rPr>
          <w:szCs w:val="22"/>
        </w:rPr>
        <w:t xml:space="preserve">IT IS FURTHER ORDERED that, pursuant to Section 64.1170(d) of the Commission’s rules, 47 CFR § 64.1170(d), </w:t>
      </w:r>
      <w:r w:rsidR="00AD7D33">
        <w:rPr>
          <w:szCs w:val="22"/>
        </w:rPr>
        <w:t xml:space="preserve">the </w:t>
      </w:r>
      <w:r>
        <w:rPr>
          <w:szCs w:val="22"/>
        </w:rPr>
        <w:t>Complainant</w:t>
      </w:r>
      <w:r w:rsidR="0060144A">
        <w:rPr>
          <w:szCs w:val="22"/>
        </w:rPr>
        <w:t>s</w:t>
      </w:r>
      <w:r>
        <w:rPr>
          <w:szCs w:val="22"/>
        </w:rPr>
        <w:t xml:space="preserve"> </w:t>
      </w:r>
      <w:r w:rsidR="0060144A">
        <w:rPr>
          <w:szCs w:val="22"/>
        </w:rPr>
        <w:t>are</w:t>
      </w:r>
      <w:r>
        <w:rPr>
          <w:szCs w:val="22"/>
        </w:rPr>
        <w:t xml:space="preserve"> entitled to absolution for the charges incurred during the first thirty days after the unauthorized change</w:t>
      </w:r>
      <w:r w:rsidR="0060144A">
        <w:rPr>
          <w:szCs w:val="22"/>
        </w:rPr>
        <w:t>s</w:t>
      </w:r>
      <w:r>
        <w:rPr>
          <w:szCs w:val="22"/>
        </w:rPr>
        <w:t xml:space="preserve"> occurred and </w:t>
      </w:r>
      <w:r w:rsidR="00AD7D33">
        <w:rPr>
          <w:szCs w:val="22"/>
        </w:rPr>
        <w:t xml:space="preserve">that </w:t>
      </w:r>
      <w:r w:rsidR="00692277">
        <w:rPr>
          <w:szCs w:val="22"/>
        </w:rPr>
        <w:t>Spectrotel</w:t>
      </w:r>
      <w:r w:rsidR="00692277">
        <w:rPr>
          <w:szCs w:val="22"/>
        </w:rPr>
        <w:t>, Inc. d/b/a Touchbase Communications</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w:t>
      </w:r>
      <w:r w:rsidR="0060144A">
        <w:rPr>
          <w:szCs w:val="22"/>
        </w:rPr>
        <w:t>s</w:t>
      </w:r>
      <w:r w:rsidRPr="00AD7D33">
        <w:rPr>
          <w:szCs w:val="22"/>
        </w:rPr>
        <w:t xml:space="preserve"> for those charges.</w:t>
      </w:r>
    </w:p>
    <w:p w:rsidR="00543CA2" w:rsidP="005457D3">
      <w:pPr>
        <w:spacing w:after="120"/>
        <w:ind w:firstLine="720"/>
        <w:rPr>
          <w:szCs w:val="22"/>
        </w:rPr>
      </w:pPr>
      <w:r>
        <w:rPr>
          <w:szCs w:val="22"/>
        </w:rPr>
        <w:t>8.</w:t>
      </w:r>
      <w:r>
        <w:rPr>
          <w:szCs w:val="22"/>
        </w:rPr>
        <w:tab/>
        <w:t>IT IS FURTHER ORDERED that this Order is effective upon release.</w:t>
      </w:r>
    </w:p>
    <w:p w:rsidR="00543CA2" w:rsidP="00543CA2">
      <w:pPr>
        <w:rPr>
          <w:szCs w:val="22"/>
        </w:rPr>
      </w:pPr>
    </w:p>
    <w:p w:rsidR="00543CA2" w:rsidP="008162CE">
      <w:pPr>
        <w:ind w:left="3600" w:right="270" w:firstLine="720"/>
        <w:rPr>
          <w:szCs w:val="22"/>
        </w:rPr>
      </w:pPr>
      <w:r>
        <w:rPr>
          <w:noProof/>
          <w:szCs w:val="22"/>
        </w:rPr>
        <w:drawing>
          <wp:inline distT="0" distB="0" distL="0" distR="0">
            <wp:extent cx="2695575" cy="1400175"/>
            <wp:effectExtent l="0" t="0" r="0" b="0"/>
            <wp:docPr id="3" name="Picture 1"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60113" name="Picture 1" descr="My Signatur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0DE3">
      <w:r>
        <w:separator/>
      </w:r>
    </w:p>
  </w:footnote>
  <w:footnote w:type="continuationSeparator" w:id="1">
    <w:p w:rsidR="00580DE3" w:rsidP="00C721AC">
      <w:pPr>
        <w:spacing w:before="120"/>
        <w:rPr>
          <w:sz w:val="20"/>
        </w:rPr>
      </w:pPr>
      <w:r>
        <w:rPr>
          <w:sz w:val="20"/>
        </w:rPr>
        <w:t xml:space="preserve">(Continued from previous page)  </w:t>
      </w:r>
      <w:r>
        <w:rPr>
          <w:sz w:val="20"/>
        </w:rPr>
        <w:separator/>
      </w:r>
    </w:p>
  </w:footnote>
  <w:footnote w:type="continuationNotice" w:id="2">
    <w:p w:rsidR="00580DE3"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See</w:t>
      </w:r>
      <w:r>
        <w:t xml:space="preserve"> Informal Complaint No. </w:t>
      </w:r>
      <w:r w:rsidR="00723BB9">
        <w:t>613496</w:t>
      </w:r>
      <w:r>
        <w:t xml:space="preserve">, filed </w:t>
      </w:r>
      <w:r w:rsidR="00723BB9">
        <w:t>Oct</w:t>
      </w:r>
      <w:r>
        <w:t xml:space="preserve">. </w:t>
      </w:r>
      <w:r w:rsidR="00723BB9">
        <w:t>26</w:t>
      </w:r>
      <w:r>
        <w:t>, 201</w:t>
      </w:r>
      <w:r w:rsidR="009F31B8">
        <w:t xml:space="preserve">5; Informal Complaint No. </w:t>
      </w:r>
      <w:r w:rsidR="00723BB9">
        <w:t>777224</w:t>
      </w:r>
      <w:r w:rsidR="009F31B8">
        <w:t xml:space="preserve">, filed </w:t>
      </w:r>
      <w:r w:rsidR="00723BB9">
        <w:t>Jan</w:t>
      </w:r>
      <w:r w:rsidR="009F31B8">
        <w:t xml:space="preserve">. </w:t>
      </w:r>
      <w:r w:rsidR="00723BB9">
        <w:t>27</w:t>
      </w:r>
      <w:r w:rsidR="009F31B8">
        <w:t>, 201</w:t>
      </w:r>
      <w:r w:rsidR="00723BB9">
        <w:t>6</w:t>
      </w:r>
      <w:r w:rsidR="004F4649">
        <w:t xml:space="preserve">; Informal Complaint No. </w:t>
      </w:r>
      <w:r w:rsidR="00723BB9">
        <w:t>1182010</w:t>
      </w:r>
      <w:r w:rsidR="004F4649">
        <w:t xml:space="preserve">, filed </w:t>
      </w:r>
      <w:r w:rsidR="00723BB9">
        <w:t>Sept</w:t>
      </w:r>
      <w:r w:rsidR="004F4649">
        <w:t xml:space="preserve">. </w:t>
      </w:r>
      <w:r w:rsidR="00723BB9">
        <w:t>8</w:t>
      </w:r>
      <w:r w:rsidR="004F4649">
        <w:t>, 201</w:t>
      </w:r>
      <w:r w:rsidR="00723BB9">
        <w:t>6</w:t>
      </w:r>
      <w:r w:rsidR="004F4649">
        <w:t>.</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1D12A7" w:rsidR="001D12A7">
        <w:rPr>
          <w:i/>
        </w:rPr>
        <w:t>Id.</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00723BB9">
        <w:t>Touchbase</w:t>
      </w:r>
      <w:r>
        <w:t xml:space="preserve"> Response to Informal Complaint</w:t>
      </w:r>
      <w:r w:rsidR="00EA1421">
        <w:t xml:space="preserve"> No.</w:t>
      </w:r>
      <w:r>
        <w:t xml:space="preserve"> </w:t>
      </w:r>
      <w:r w:rsidR="004F4649">
        <w:t>6</w:t>
      </w:r>
      <w:r w:rsidR="00723BB9">
        <w:t>13496</w:t>
      </w:r>
      <w:r w:rsidR="00EA1421">
        <w:t xml:space="preserve">, filed </w:t>
      </w:r>
      <w:r w:rsidR="004F4649">
        <w:t xml:space="preserve">Dec. </w:t>
      </w:r>
      <w:r w:rsidR="00723BB9">
        <w:t>8</w:t>
      </w:r>
      <w:r w:rsidR="00CB4EAA">
        <w:t xml:space="preserve">, 2015; </w:t>
      </w:r>
      <w:r w:rsidR="001D12A7">
        <w:t xml:space="preserve">Touchbase </w:t>
      </w:r>
      <w:r w:rsidR="00CB4EAA">
        <w:t xml:space="preserve">Response to Informal Complaint No. </w:t>
      </w:r>
      <w:r w:rsidR="00723BB9">
        <w:t>777224</w:t>
      </w:r>
      <w:r w:rsidR="00CB4EAA">
        <w:t xml:space="preserve">, filed </w:t>
      </w:r>
      <w:r w:rsidR="004F4649">
        <w:t xml:space="preserve">Feb. </w:t>
      </w:r>
      <w:r w:rsidR="00723BB9">
        <w:t>5</w:t>
      </w:r>
      <w:r w:rsidR="00CB4EAA">
        <w:t>, 201</w:t>
      </w:r>
      <w:r w:rsidR="00723BB9">
        <w:t>6</w:t>
      </w:r>
      <w:r w:rsidR="004F4649">
        <w:t xml:space="preserve">; </w:t>
      </w:r>
      <w:r w:rsidR="001D12A7">
        <w:t xml:space="preserve">Touchbase </w:t>
      </w:r>
      <w:r w:rsidR="004F4649">
        <w:t xml:space="preserve">Response to Informal Complaint No. </w:t>
      </w:r>
      <w:r w:rsidR="00723BB9">
        <w:t>1182010</w:t>
      </w:r>
      <w:r w:rsidR="004F4649">
        <w:t xml:space="preserve">, filed </w:t>
      </w:r>
      <w:r w:rsidR="00723BB9">
        <w:t>Sept</w:t>
      </w:r>
      <w:r w:rsidR="004F4649">
        <w:t xml:space="preserve">. </w:t>
      </w:r>
      <w:r w:rsidR="00723BB9">
        <w:t>21</w:t>
      </w:r>
      <w:r w:rsidR="004F4649">
        <w:t>, 201</w:t>
      </w:r>
      <w:r w:rsidR="00723BB9">
        <w:t>6</w:t>
      </w:r>
      <w:r w:rsidR="004F4649">
        <w:t>.</w:t>
      </w:r>
    </w:p>
  </w:footnote>
  <w:footnote w:id="11">
    <w:p w:rsidR="00BA06DD">
      <w:pPr>
        <w:pStyle w:val="FootnoteText"/>
      </w:pPr>
      <w:r>
        <w:rPr>
          <w:rStyle w:val="FootnoteReference"/>
        </w:rPr>
        <w:footnoteRef/>
      </w:r>
      <w:r>
        <w:t xml:space="preserve"> </w:t>
      </w:r>
      <w:r w:rsidRPr="00BA06DD">
        <w:rPr>
          <w:i/>
        </w:rPr>
        <w:t>See</w:t>
      </w:r>
      <w:r>
        <w:t xml:space="preserve"> 47 CFR </w:t>
      </w:r>
      <w:r w:rsidRPr="00F86B2C">
        <w:t>§</w:t>
      </w:r>
      <w:r>
        <w:t xml:space="preserve"> 64.1120(c)(3)(iii).</w:t>
      </w:r>
    </w:p>
  </w:footnote>
  <w:footnote w:id="12">
    <w:p w:rsidR="00BA06DD">
      <w:pPr>
        <w:pStyle w:val="FootnoteText"/>
      </w:pPr>
      <w:r>
        <w:rPr>
          <w:rStyle w:val="FootnoteReference"/>
        </w:rPr>
        <w:footnoteRef/>
      </w:r>
      <w:r>
        <w:t xml:space="preserve"> </w:t>
      </w:r>
      <w:r w:rsidRPr="00BA06DD">
        <w:rPr>
          <w:i/>
        </w:rPr>
        <w:t>Id</w:t>
      </w:r>
      <w:r>
        <w:t>.</w:t>
      </w:r>
    </w:p>
  </w:footnote>
  <w:footnote w:id="13">
    <w:p w:rsidR="00FD25D6">
      <w:pPr>
        <w:pStyle w:val="FootnoteText"/>
      </w:pPr>
      <w:r>
        <w:rPr>
          <w:rStyle w:val="FootnoteReference"/>
        </w:rPr>
        <w:footnoteRef/>
      </w:r>
      <w:r>
        <w:t xml:space="preserve"> </w:t>
      </w:r>
      <w:r w:rsidRPr="003D52AE">
        <w:rPr>
          <w:i/>
        </w:rPr>
        <w:t>See</w:t>
      </w:r>
      <w:r w:rsidR="001D12A7">
        <w:rPr>
          <w:i/>
        </w:rPr>
        <w:t>, e.g.,</w:t>
      </w:r>
      <w:r w:rsidRPr="003D52AE">
        <w:rPr>
          <w:i/>
        </w:rPr>
        <w:t xml:space="preserve"> </w:t>
      </w:r>
      <w:r>
        <w:rPr>
          <w:i/>
        </w:rPr>
        <w:t xml:space="preserve">Birch Telecom, Complaint Regarding Unauthorized Change of Subscriber’s Telecommunications </w:t>
      </w:r>
      <w:r w:rsidRPr="008A6847">
        <w:t>Carrier</w:t>
      </w:r>
      <w:r>
        <w:t xml:space="preserve">, Order, 23 FCC </w:t>
      </w:r>
      <w:r>
        <w:t>Rcd</w:t>
      </w:r>
      <w:r>
        <w:t xml:space="preserve"> 18111, 18113 (CGB 2008) (granting consumer complaint because </w:t>
      </w:r>
      <w:r w:rsidR="001D12A7">
        <w:t xml:space="preserve">the </w:t>
      </w:r>
      <w:r>
        <w:t xml:space="preserve">verifier failed to confirm with the consumer all the telephone numbers to be switched); </w:t>
      </w:r>
      <w:r w:rsidRPr="009A034B">
        <w:rPr>
          <w:i/>
        </w:rPr>
        <w:t xml:space="preserve">Birch </w:t>
      </w:r>
      <w:r>
        <w:rPr>
          <w:i/>
        </w:rPr>
        <w:t xml:space="preserve">Communications, Inc., Complaint Regarding Unauthorized Change of Subscriber’s Telecommunications </w:t>
      </w:r>
      <w:r w:rsidRPr="009A034B">
        <w:t>Carrier</w:t>
      </w:r>
      <w:r>
        <w:t xml:space="preserve">, Order, 25 FCC </w:t>
      </w:r>
      <w:r>
        <w:t>Rcd</w:t>
      </w:r>
      <w:r>
        <w:t xml:space="preserve"> 10147, 10149, para. 4 (CGB 2010) (granting complaint because </w:t>
      </w:r>
      <w:r w:rsidR="001D12A7">
        <w:t xml:space="preserve">the </w:t>
      </w:r>
      <w:r>
        <w:t>verifier failed to confirm with the consumer each of the telephone numbers to be switched</w:t>
      </w:r>
      <w:r w:rsidR="00F30D07">
        <w:t>).</w:t>
      </w:r>
    </w:p>
  </w:footnote>
  <w:footnote w:id="14">
    <w:p w:rsidR="00543CA2" w:rsidP="00E11822">
      <w:pPr>
        <w:pStyle w:val="FootnoteText"/>
      </w:pPr>
      <w:r>
        <w:rPr>
          <w:rStyle w:val="FootnoteReference"/>
        </w:rPr>
        <w:footnoteRef/>
      </w:r>
      <w:r>
        <w:t xml:space="preserve"> If </w:t>
      </w:r>
      <w:r w:rsidR="00525E4A">
        <w:t xml:space="preserve">any </w:t>
      </w:r>
      <w:r>
        <w:t>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5">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6">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7">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A8478E">
      <w:t>338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457D3">
      <w:rPr>
        <w:spacing w:val="-2"/>
      </w:rPr>
      <w:t>DA 19-</w:t>
    </w:r>
    <w:r w:rsidR="00A8478E">
      <w:rPr>
        <w:spacing w:val="-2"/>
      </w:rPr>
      <w:t>338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A2"/>
    <w:rsid w:val="00036039"/>
    <w:rsid w:val="00037F90"/>
    <w:rsid w:val="000875BF"/>
    <w:rsid w:val="00096D8C"/>
    <w:rsid w:val="000C0B65"/>
    <w:rsid w:val="000E05FE"/>
    <w:rsid w:val="000E3D42"/>
    <w:rsid w:val="00122BD5"/>
    <w:rsid w:val="00126190"/>
    <w:rsid w:val="00133F79"/>
    <w:rsid w:val="00142D97"/>
    <w:rsid w:val="001506F9"/>
    <w:rsid w:val="00154175"/>
    <w:rsid w:val="0018583C"/>
    <w:rsid w:val="00194A66"/>
    <w:rsid w:val="001A3542"/>
    <w:rsid w:val="001D12A7"/>
    <w:rsid w:val="001D6BCF"/>
    <w:rsid w:val="001E01CA"/>
    <w:rsid w:val="00240D4F"/>
    <w:rsid w:val="00275CF5"/>
    <w:rsid w:val="0028301F"/>
    <w:rsid w:val="00285017"/>
    <w:rsid w:val="00293132"/>
    <w:rsid w:val="002A2D2E"/>
    <w:rsid w:val="002A6F1F"/>
    <w:rsid w:val="002C00E8"/>
    <w:rsid w:val="00343749"/>
    <w:rsid w:val="003660ED"/>
    <w:rsid w:val="003B0550"/>
    <w:rsid w:val="003B694F"/>
    <w:rsid w:val="003C3A54"/>
    <w:rsid w:val="003D52AE"/>
    <w:rsid w:val="003F0EBC"/>
    <w:rsid w:val="003F171C"/>
    <w:rsid w:val="00412FC5"/>
    <w:rsid w:val="00422276"/>
    <w:rsid w:val="004242F1"/>
    <w:rsid w:val="00445A00"/>
    <w:rsid w:val="00451B0F"/>
    <w:rsid w:val="004C2EE3"/>
    <w:rsid w:val="004E4A22"/>
    <w:rsid w:val="004F4649"/>
    <w:rsid w:val="00511968"/>
    <w:rsid w:val="00525E4A"/>
    <w:rsid w:val="00543CA2"/>
    <w:rsid w:val="005457D3"/>
    <w:rsid w:val="0055614C"/>
    <w:rsid w:val="005576DD"/>
    <w:rsid w:val="00562BA0"/>
    <w:rsid w:val="00566D06"/>
    <w:rsid w:val="00580DE3"/>
    <w:rsid w:val="005B397C"/>
    <w:rsid w:val="005C2CF7"/>
    <w:rsid w:val="005E14C2"/>
    <w:rsid w:val="005F4DFF"/>
    <w:rsid w:val="0060144A"/>
    <w:rsid w:val="00607BA5"/>
    <w:rsid w:val="0061180A"/>
    <w:rsid w:val="00626EB6"/>
    <w:rsid w:val="00653081"/>
    <w:rsid w:val="00655D03"/>
    <w:rsid w:val="00683388"/>
    <w:rsid w:val="00683F84"/>
    <w:rsid w:val="00692277"/>
    <w:rsid w:val="006A6A81"/>
    <w:rsid w:val="006E3575"/>
    <w:rsid w:val="006F46B2"/>
    <w:rsid w:val="006F7393"/>
    <w:rsid w:val="00701167"/>
    <w:rsid w:val="0070224F"/>
    <w:rsid w:val="007115F7"/>
    <w:rsid w:val="00723BB9"/>
    <w:rsid w:val="00732ADE"/>
    <w:rsid w:val="00763CD4"/>
    <w:rsid w:val="0076720F"/>
    <w:rsid w:val="00785689"/>
    <w:rsid w:val="0079754B"/>
    <w:rsid w:val="007A1E6D"/>
    <w:rsid w:val="007B0EB2"/>
    <w:rsid w:val="00810B6F"/>
    <w:rsid w:val="008162CE"/>
    <w:rsid w:val="00822CE0"/>
    <w:rsid w:val="008403C5"/>
    <w:rsid w:val="00841AB1"/>
    <w:rsid w:val="00872273"/>
    <w:rsid w:val="008A6847"/>
    <w:rsid w:val="008B6AE4"/>
    <w:rsid w:val="008C68F1"/>
    <w:rsid w:val="008F37B4"/>
    <w:rsid w:val="00921803"/>
    <w:rsid w:val="00926503"/>
    <w:rsid w:val="00947CE3"/>
    <w:rsid w:val="009726D8"/>
    <w:rsid w:val="00984041"/>
    <w:rsid w:val="009A034B"/>
    <w:rsid w:val="009D7308"/>
    <w:rsid w:val="009D7B75"/>
    <w:rsid w:val="009E3DF7"/>
    <w:rsid w:val="009E741A"/>
    <w:rsid w:val="009F31B8"/>
    <w:rsid w:val="009F76DB"/>
    <w:rsid w:val="00A15D6E"/>
    <w:rsid w:val="00A32C3B"/>
    <w:rsid w:val="00A36C32"/>
    <w:rsid w:val="00A45F4F"/>
    <w:rsid w:val="00A600A9"/>
    <w:rsid w:val="00A771A0"/>
    <w:rsid w:val="00A8478E"/>
    <w:rsid w:val="00A8671C"/>
    <w:rsid w:val="00AA55B7"/>
    <w:rsid w:val="00AA5B9E"/>
    <w:rsid w:val="00AB2407"/>
    <w:rsid w:val="00AB53DF"/>
    <w:rsid w:val="00AD7D33"/>
    <w:rsid w:val="00B07E5C"/>
    <w:rsid w:val="00B76489"/>
    <w:rsid w:val="00B811F7"/>
    <w:rsid w:val="00BA06DD"/>
    <w:rsid w:val="00BA5DC6"/>
    <w:rsid w:val="00BA6196"/>
    <w:rsid w:val="00BC6D8C"/>
    <w:rsid w:val="00C34006"/>
    <w:rsid w:val="00C36B4C"/>
    <w:rsid w:val="00C426B1"/>
    <w:rsid w:val="00C66160"/>
    <w:rsid w:val="00C721AC"/>
    <w:rsid w:val="00C90D6A"/>
    <w:rsid w:val="00CA247E"/>
    <w:rsid w:val="00CA6D21"/>
    <w:rsid w:val="00CB4EAA"/>
    <w:rsid w:val="00CC72B6"/>
    <w:rsid w:val="00CF10D8"/>
    <w:rsid w:val="00D0218D"/>
    <w:rsid w:val="00D25FB5"/>
    <w:rsid w:val="00D44223"/>
    <w:rsid w:val="00D94CA7"/>
    <w:rsid w:val="00DA2529"/>
    <w:rsid w:val="00DB130A"/>
    <w:rsid w:val="00DB2EBB"/>
    <w:rsid w:val="00DC10A1"/>
    <w:rsid w:val="00DC655F"/>
    <w:rsid w:val="00DD0B59"/>
    <w:rsid w:val="00DD7EBD"/>
    <w:rsid w:val="00DF62B6"/>
    <w:rsid w:val="00E07225"/>
    <w:rsid w:val="00E11822"/>
    <w:rsid w:val="00E45328"/>
    <w:rsid w:val="00E51455"/>
    <w:rsid w:val="00E5409F"/>
    <w:rsid w:val="00E66984"/>
    <w:rsid w:val="00E84D1A"/>
    <w:rsid w:val="00EA0FE3"/>
    <w:rsid w:val="00EA1421"/>
    <w:rsid w:val="00EE17E7"/>
    <w:rsid w:val="00EE6488"/>
    <w:rsid w:val="00EF03A1"/>
    <w:rsid w:val="00F021FA"/>
    <w:rsid w:val="00F043B3"/>
    <w:rsid w:val="00F30D07"/>
    <w:rsid w:val="00F454AE"/>
    <w:rsid w:val="00F62E97"/>
    <w:rsid w:val="00F64209"/>
    <w:rsid w:val="00F86B2C"/>
    <w:rsid w:val="00F93BF5"/>
    <w:rsid w:val="00FD25D6"/>
    <w:rsid w:val="00FD58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basedOn w:val="DefaultParagraphFont"/>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basedOn w:val="DefaultParagraphFont"/>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