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bookmarkStart w:id="0" w:name="_GoBack"/>
      <w:bookmarkEnd w:id="0"/>
    </w:p>
    <w:p w:rsidR="004F5FE9" w:rsidP="004F5FE9">
      <w:pPr>
        <w:jc w:val="right"/>
        <w:rPr>
          <w:sz w:val="24"/>
        </w:rPr>
      </w:pPr>
      <w:r>
        <w:rPr>
          <w:sz w:val="24"/>
        </w:rPr>
        <w:t>DA 19-351</w:t>
      </w:r>
    </w:p>
    <w:p w:rsidR="004F5FE9" w:rsidP="004F5FE9">
      <w:pPr>
        <w:spacing w:before="60"/>
        <w:jc w:val="right"/>
        <w:rPr>
          <w:sz w:val="24"/>
        </w:rPr>
      </w:pPr>
      <w:r>
        <w:rPr>
          <w:sz w:val="24"/>
        </w:rPr>
        <w:t>Released:  April 29, 2019</w:t>
      </w:r>
    </w:p>
    <w:p w:rsidR="00013A8B" w:rsidP="00013A8B">
      <w:pPr>
        <w:jc w:val="right"/>
        <w:rPr>
          <w:sz w:val="24"/>
        </w:rPr>
      </w:pPr>
    </w:p>
    <w:p w:rsidR="004F5FE9" w:rsidP="004F5FE9">
      <w:pPr>
        <w:spacing w:after="120"/>
        <w:jc w:val="center"/>
        <w:rPr>
          <w:b/>
        </w:rPr>
      </w:pPr>
      <w:r>
        <w:rPr>
          <w:b/>
        </w:rPr>
        <w:t>WIRELESS TELECOMMUNICATIONS BUREAU SEEKS COMMENT ON REQUEST BY MIMOMAX WIRELESS LIMITED FOR WAIVER TO PERMIT PART 90 USE OF A CERTAIN EMISSION DESIGNATOR FOR TELEMETRY RADIOS</w:t>
      </w:r>
    </w:p>
    <w:p w:rsidR="00F96F63" w:rsidRPr="00930ECF" w:rsidP="004F5FE9">
      <w:pPr>
        <w:jc w:val="center"/>
        <w:rPr>
          <w:sz w:val="24"/>
        </w:rPr>
      </w:pPr>
      <w:bookmarkStart w:id="1" w:name="TOChere"/>
      <w:r>
        <w:rPr>
          <w:b/>
        </w:rPr>
        <w:t>WT Docket No. 19-122</w:t>
      </w:r>
    </w:p>
    <w:bookmarkEnd w:id="1"/>
    <w:p w:rsidR="00F96F63" w:rsidP="00F96F63">
      <w:pPr>
        <w:rPr>
          <w:sz w:val="24"/>
        </w:rPr>
      </w:pPr>
    </w:p>
    <w:p w:rsidR="004F5FE9" w:rsidP="004F5FE9">
      <w:pPr>
        <w:spacing w:after="120"/>
        <w:rPr>
          <w:b/>
        </w:rPr>
      </w:pPr>
      <w:r>
        <w:rPr>
          <w:b/>
        </w:rPr>
        <w:t>Comment Date:  May 29, 2019</w:t>
      </w:r>
      <w:r>
        <w:rPr>
          <w:b/>
        </w:rPr>
        <w:tab/>
      </w:r>
      <w:r>
        <w:rPr>
          <w:b/>
        </w:rPr>
        <w:tab/>
      </w:r>
      <w:r>
        <w:rPr>
          <w:b/>
        </w:rPr>
        <w:tab/>
      </w:r>
    </w:p>
    <w:p w:rsidR="004F5FE9" w:rsidP="004F5FE9">
      <w:pPr>
        <w:spacing w:after="120"/>
        <w:rPr>
          <w:b/>
        </w:rPr>
      </w:pPr>
      <w:r>
        <w:rPr>
          <w:b/>
        </w:rPr>
        <w:t>Reply Comment Date:  June 13, 2019</w:t>
      </w:r>
    </w:p>
    <w:p w:rsidR="004F5FE9" w:rsidP="004F5FE9"/>
    <w:p w:rsidR="004F5FE9" w:rsidRPr="00A31D16" w:rsidP="004F5FE9">
      <w:pPr>
        <w:spacing w:after="240"/>
        <w:ind w:firstLine="720"/>
        <w:rPr>
          <w:szCs w:val="22"/>
        </w:rPr>
      </w:pPr>
      <w:r w:rsidRPr="00A31D16">
        <w:rPr>
          <w:szCs w:val="22"/>
        </w:rPr>
        <w:t xml:space="preserve">By this </w:t>
      </w:r>
      <w:r w:rsidRPr="00A31D16">
        <w:rPr>
          <w:i/>
          <w:szCs w:val="22"/>
        </w:rPr>
        <w:t>Public Notice</w:t>
      </w:r>
      <w:r w:rsidRPr="00A31D16">
        <w:rPr>
          <w:szCs w:val="22"/>
        </w:rPr>
        <w:t xml:space="preserve">, </w:t>
      </w:r>
      <w:r>
        <w:rPr>
          <w:szCs w:val="22"/>
        </w:rPr>
        <w:t>we seek comment</w:t>
      </w:r>
      <w:r w:rsidRPr="00A31D16">
        <w:rPr>
          <w:szCs w:val="22"/>
        </w:rPr>
        <w:t xml:space="preserve"> on a request for waiver filed by </w:t>
      </w:r>
      <w:r>
        <w:rPr>
          <w:szCs w:val="22"/>
        </w:rPr>
        <w:t>MiMOMax</w:t>
      </w:r>
      <w:r>
        <w:rPr>
          <w:szCs w:val="22"/>
        </w:rPr>
        <w:t xml:space="preserve"> Wireless Limited (</w:t>
      </w:r>
      <w:r>
        <w:rPr>
          <w:szCs w:val="22"/>
        </w:rPr>
        <w:t>MiMOMax</w:t>
      </w:r>
      <w:r>
        <w:rPr>
          <w:szCs w:val="22"/>
        </w:rPr>
        <w:t xml:space="preserve">) </w:t>
      </w:r>
      <w:r w:rsidRPr="00A31D16">
        <w:rPr>
          <w:szCs w:val="22"/>
        </w:rPr>
        <w:t xml:space="preserve">concerning use of </w:t>
      </w:r>
      <w:r>
        <w:rPr>
          <w:szCs w:val="22"/>
        </w:rPr>
        <w:t>an additional emission designator</w:t>
      </w:r>
      <w:r w:rsidRPr="00A31D16">
        <w:rPr>
          <w:szCs w:val="22"/>
        </w:rPr>
        <w:t xml:space="preserve"> for Supervisory Control and Data Acquisition telemetry radios.</w:t>
      </w:r>
      <w:r>
        <w:rPr>
          <w:rStyle w:val="FootnoteReference"/>
          <w:szCs w:val="22"/>
        </w:rPr>
        <w:footnoteReference w:id="3"/>
      </w:r>
      <w:r w:rsidRPr="00A31D16">
        <w:rPr>
          <w:szCs w:val="22"/>
        </w:rPr>
        <w:t xml:space="preserve">  Section 90.207(</w:t>
      </w:r>
      <w:r w:rsidRPr="00A31D16">
        <w:rPr>
          <w:szCs w:val="22"/>
        </w:rPr>
        <w:t>i</w:t>
      </w:r>
      <w:r w:rsidRPr="00A31D16">
        <w:rPr>
          <w:szCs w:val="22"/>
        </w:rPr>
        <w:t xml:space="preserve">) </w:t>
      </w:r>
      <w:r>
        <w:rPr>
          <w:szCs w:val="22"/>
        </w:rPr>
        <w:t>of the Commission’s r</w:t>
      </w:r>
      <w:r w:rsidRPr="00A31D16">
        <w:rPr>
          <w:szCs w:val="22"/>
        </w:rPr>
        <w:t xml:space="preserve">ules </w:t>
      </w:r>
      <w:r>
        <w:rPr>
          <w:szCs w:val="22"/>
        </w:rPr>
        <w:t>specifies</w:t>
      </w:r>
      <w:r w:rsidRPr="00A31D16">
        <w:rPr>
          <w:szCs w:val="22"/>
        </w:rPr>
        <w:t xml:space="preserve"> emission designators A1D, A2D, F1D, or F2D</w:t>
      </w:r>
      <w:r>
        <w:rPr>
          <w:szCs w:val="22"/>
        </w:rPr>
        <w:t xml:space="preserve"> </w:t>
      </w:r>
      <w:r w:rsidRPr="00A31D16">
        <w:rPr>
          <w:szCs w:val="22"/>
        </w:rPr>
        <w:t>for telemetry operations.</w:t>
      </w:r>
      <w:r>
        <w:rPr>
          <w:rStyle w:val="FootnoteReference"/>
          <w:szCs w:val="22"/>
        </w:rPr>
        <w:footnoteReference w:id="4"/>
      </w:r>
      <w:r>
        <w:rPr>
          <w:szCs w:val="22"/>
        </w:rPr>
        <w:t xml:space="preserve">  </w:t>
      </w:r>
      <w:r>
        <w:rPr>
          <w:szCs w:val="22"/>
        </w:rPr>
        <w:t>MiMOMax</w:t>
      </w:r>
      <w:r w:rsidRPr="00A31D16">
        <w:rPr>
          <w:szCs w:val="22"/>
        </w:rPr>
        <w:t xml:space="preserve"> seeks a waiver o</w:t>
      </w:r>
      <w:r>
        <w:rPr>
          <w:szCs w:val="22"/>
        </w:rPr>
        <w:t>f s</w:t>
      </w:r>
      <w:r w:rsidRPr="00A31D16">
        <w:rPr>
          <w:szCs w:val="22"/>
        </w:rPr>
        <w:t>ection 90</w:t>
      </w:r>
      <w:r>
        <w:rPr>
          <w:szCs w:val="22"/>
        </w:rPr>
        <w:t>.207(</w:t>
      </w:r>
      <w:r>
        <w:rPr>
          <w:szCs w:val="22"/>
        </w:rPr>
        <w:t>i</w:t>
      </w:r>
      <w:r>
        <w:rPr>
          <w:szCs w:val="22"/>
        </w:rPr>
        <w:t xml:space="preserve">) to allow deployment of </w:t>
      </w:r>
      <w:r>
        <w:rPr>
          <w:szCs w:val="22"/>
        </w:rPr>
        <w:t>MiMOMax</w:t>
      </w:r>
      <w:r>
        <w:rPr>
          <w:szCs w:val="22"/>
        </w:rPr>
        <w:t xml:space="preserve"> Tornado t</w:t>
      </w:r>
      <w:r w:rsidRPr="00A31D16">
        <w:rPr>
          <w:szCs w:val="22"/>
        </w:rPr>
        <w:t>elemetry r</w:t>
      </w:r>
      <w:r>
        <w:rPr>
          <w:szCs w:val="22"/>
        </w:rPr>
        <w:t>adios that employ a Quadrature Amplitude Modulation radio module topology using emission designator W1W.</w:t>
      </w:r>
      <w:r>
        <w:rPr>
          <w:rStyle w:val="FootnoteReference"/>
          <w:szCs w:val="22"/>
        </w:rPr>
        <w:footnoteReference w:id="5"/>
      </w:r>
    </w:p>
    <w:p w:rsidR="004F5FE9" w:rsidP="004F5FE9">
      <w:pPr>
        <w:spacing w:after="240"/>
        <w:ind w:firstLine="720"/>
      </w:pPr>
      <w:r>
        <w:t>MiMOMax</w:t>
      </w:r>
      <w:r>
        <w:t xml:space="preserve"> designs and manufactures radio equipment for infrastructure application for radio systems.  It notes that the Tornado radio already is certified for use under parts 15, 27 and 101.  </w:t>
      </w:r>
      <w:r>
        <w:t>In order to</w:t>
      </w:r>
      <w:r>
        <w:t xml:space="preserve"> meet the expanding needs of its customer base, </w:t>
      </w:r>
      <w:r>
        <w:t>MiMOMax</w:t>
      </w:r>
      <w:r>
        <w:t xml:space="preserve"> seeks certification for part 90 private land mobile radio bands.  It notes that section 90.207(</w:t>
      </w:r>
      <w:r>
        <w:t>i</w:t>
      </w:r>
      <w:r>
        <w:t xml:space="preserve">) limits licensees’ ability to use the radio system for high-speed telemetry applications for which it was designed and that use of this equipment would facilitate critical infrastructure companies’ migration to IP-enabled technologies for remote monitoring and control applications.  As a result, </w:t>
      </w:r>
      <w:r>
        <w:t>MiMOMax</w:t>
      </w:r>
      <w:r>
        <w:t xml:space="preserve"> requests a waiver of section 90.207(</w:t>
      </w:r>
      <w:r>
        <w:t>i</w:t>
      </w:r>
      <w:r>
        <w:t xml:space="preserve">) to allow certification, licensing, and use of </w:t>
      </w:r>
      <w:r>
        <w:rPr>
          <w:szCs w:val="22"/>
        </w:rPr>
        <w:t>MiMOMax</w:t>
      </w:r>
      <w:r>
        <w:rPr>
          <w:szCs w:val="22"/>
        </w:rPr>
        <w:t xml:space="preserve"> Tornado t</w:t>
      </w:r>
      <w:r w:rsidRPr="00A31D16">
        <w:rPr>
          <w:szCs w:val="22"/>
        </w:rPr>
        <w:t xml:space="preserve">elemetry </w:t>
      </w:r>
      <w:r>
        <w:t>radios using W1W digital emissions.</w:t>
      </w:r>
      <w:r>
        <w:rPr>
          <w:rStyle w:val="FootnoteReference"/>
        </w:rPr>
        <w:footnoteReference w:id="6"/>
      </w:r>
      <w:r>
        <w:t xml:space="preserve">  </w:t>
      </w:r>
    </w:p>
    <w:p w:rsidR="004F5FE9" w:rsidP="004F5FE9">
      <w:pPr>
        <w:spacing w:after="240"/>
        <w:ind w:left="-1440" w:firstLine="720"/>
        <w:rPr>
          <w:b/>
        </w:rPr>
      </w:pPr>
    </w:p>
    <w:p w:rsidR="004F5FE9" w:rsidP="004F5FE9">
      <w:pPr>
        <w:spacing w:after="240"/>
        <w:ind w:left="-1440" w:firstLine="720"/>
        <w:rPr>
          <w:b/>
        </w:rPr>
      </w:pPr>
      <w:r>
        <w:rPr>
          <w:b/>
        </w:rPr>
        <w:t>Procedural Matters</w:t>
      </w:r>
    </w:p>
    <w:p w:rsidR="004F5FE9" w:rsidRPr="00403748" w:rsidP="004F5FE9">
      <w:pPr>
        <w:spacing w:after="240"/>
        <w:ind w:firstLine="720"/>
      </w:pPr>
      <w:r>
        <w:rPr>
          <w:szCs w:val="22"/>
        </w:rPr>
        <w:t xml:space="preserve">Interested parties may file comments and reply comments in response to the waiver request on or before the dates listed on the first page of this </w:t>
      </w:r>
      <w:r>
        <w:rPr>
          <w:i/>
          <w:szCs w:val="22"/>
        </w:rPr>
        <w:t>Public Notice</w:t>
      </w:r>
      <w:r>
        <w:rPr>
          <w:szCs w:val="22"/>
        </w:rPr>
        <w:t>.  All pleadings must reference WT Docket No. 19-</w:t>
      </w:r>
      <w:r w:rsidRPr="007F3AFD">
        <w:rPr>
          <w:szCs w:val="22"/>
        </w:rPr>
        <w:t>122</w:t>
      </w:r>
      <w:r>
        <w:rPr>
          <w:szCs w:val="22"/>
        </w:rPr>
        <w:t xml:space="preserve">.  Parties may file comments using (1) the Commission’s Electronic Comment Filing System (ECFS), (2) the Federal Government’s </w:t>
      </w:r>
      <w:r>
        <w:rPr>
          <w:szCs w:val="22"/>
        </w:rPr>
        <w:t>eRulemaking</w:t>
      </w:r>
      <w:r>
        <w:rPr>
          <w:szCs w:val="22"/>
        </w:rPr>
        <w:t xml:space="preserve"> Portal, or (3) by filing paper copies.</w:t>
      </w:r>
      <w:r>
        <w:rPr>
          <w:szCs w:val="22"/>
          <w:vertAlign w:val="superscript"/>
        </w:rPr>
        <w:footnoteReference w:id="7"/>
      </w:r>
    </w:p>
    <w:p w:rsidR="004F5FE9" w:rsidP="004F5FE9">
      <w:pPr>
        <w:widowControl/>
        <w:numPr>
          <w:ilvl w:val="0"/>
          <w:numId w:val="7"/>
        </w:numPr>
        <w:tabs>
          <w:tab w:val="left" w:pos="-720"/>
        </w:tabs>
        <w:suppressAutoHyphens/>
        <w:spacing w:line="236" w:lineRule="exact"/>
        <w:rPr>
          <w:szCs w:val="22"/>
        </w:rPr>
      </w:pPr>
      <w:r>
        <w:rPr>
          <w:szCs w:val="22"/>
        </w:rPr>
        <w:t xml:space="preserve">Electronic Filers:  File comments electronically using the Internet by accessing the ECFS:  http://www.fcc.gov/cgb/ecfs/ or the Federal </w:t>
      </w:r>
      <w:r>
        <w:rPr>
          <w:szCs w:val="22"/>
        </w:rPr>
        <w:t>eRulemaking</w:t>
      </w:r>
      <w:r>
        <w:rPr>
          <w:szCs w:val="22"/>
        </w:rPr>
        <w:t xml:space="preserve"> Portal:  http://www.regulations.gov.  Filers should follow the instructions provided on the website for submitting comments.</w:t>
      </w:r>
    </w:p>
    <w:p w:rsidR="004F5FE9" w:rsidP="004F5FE9">
      <w:pPr>
        <w:tabs>
          <w:tab w:val="left" w:pos="-720"/>
        </w:tabs>
        <w:suppressAutoHyphens/>
        <w:spacing w:line="236" w:lineRule="exact"/>
        <w:ind w:left="360"/>
        <w:rPr>
          <w:szCs w:val="22"/>
        </w:rPr>
      </w:pPr>
    </w:p>
    <w:p w:rsidR="004F5FE9" w:rsidP="004F5FE9">
      <w:pPr>
        <w:tabs>
          <w:tab w:val="left" w:pos="-720"/>
        </w:tabs>
        <w:suppressAutoHyphens/>
        <w:spacing w:line="236" w:lineRule="exact"/>
        <w:ind w:left="720"/>
        <w:rPr>
          <w:szCs w:val="22"/>
        </w:rPr>
      </w:pPr>
      <w:r>
        <w:rPr>
          <w:szCs w:val="22"/>
        </w:rP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4F5FE9" w:rsidP="004F5FE9">
      <w:pPr>
        <w:tabs>
          <w:tab w:val="left" w:pos="-720"/>
        </w:tabs>
        <w:suppressAutoHyphens/>
        <w:spacing w:line="236" w:lineRule="exact"/>
        <w:ind w:left="360"/>
        <w:rPr>
          <w:szCs w:val="22"/>
        </w:rPr>
      </w:pPr>
    </w:p>
    <w:p w:rsidR="004F5FE9" w:rsidP="004F5FE9">
      <w:pPr>
        <w:widowControl/>
        <w:numPr>
          <w:ilvl w:val="0"/>
          <w:numId w:val="8"/>
        </w:numPr>
        <w:tabs>
          <w:tab w:val="left" w:pos="-720"/>
        </w:tabs>
        <w:suppressAutoHyphens/>
        <w:spacing w:line="236" w:lineRule="exact"/>
        <w:rPr>
          <w:szCs w:val="22"/>
        </w:rPr>
      </w:pPr>
      <w:r>
        <w:rPr>
          <w:szCs w:val="22"/>
        </w:rPr>
        <w:t xml:space="preserve">Paper Filers:  Parties who choose to file by paper must file an original and one copy of each filing.  </w:t>
      </w:r>
    </w:p>
    <w:p w:rsidR="004F5FE9" w:rsidP="004F5FE9">
      <w:pPr>
        <w:tabs>
          <w:tab w:val="left" w:pos="-720"/>
        </w:tabs>
        <w:suppressAutoHyphens/>
        <w:spacing w:line="236" w:lineRule="exact"/>
        <w:ind w:left="360"/>
        <w:rPr>
          <w:szCs w:val="22"/>
        </w:rPr>
      </w:pPr>
    </w:p>
    <w:p w:rsidR="004F5FE9" w:rsidP="004F5FE9">
      <w:pPr>
        <w:tabs>
          <w:tab w:val="left" w:pos="-720"/>
        </w:tabs>
        <w:suppressAutoHyphens/>
        <w:spacing w:line="236" w:lineRule="exact"/>
        <w:rPr>
          <w:szCs w:val="22"/>
        </w:rPr>
      </w:pPr>
      <w:r>
        <w:rPr>
          <w:szCs w:val="22"/>
        </w:rPr>
        <w:tab/>
        <w:t>Send filings by hand or messenger delivery, by commercial overnight courier, or by first-class or overnight U.S. Postal Service mail.  Address filings to the Commission’s Secretary, Office of the Secretary, Federal Communications Commission.</w:t>
      </w:r>
    </w:p>
    <w:p w:rsidR="004F5FE9" w:rsidP="004F5FE9">
      <w:pPr>
        <w:tabs>
          <w:tab w:val="left" w:pos="-720"/>
        </w:tabs>
        <w:suppressAutoHyphens/>
        <w:spacing w:line="236" w:lineRule="exact"/>
        <w:rPr>
          <w:szCs w:val="22"/>
        </w:rPr>
      </w:pPr>
    </w:p>
    <w:p w:rsidR="004F5FE9" w:rsidP="004F5FE9">
      <w:pPr>
        <w:widowControl/>
        <w:numPr>
          <w:ilvl w:val="0"/>
          <w:numId w:val="9"/>
        </w:numPr>
        <w:tabs>
          <w:tab w:val="left" w:pos="-720"/>
        </w:tabs>
        <w:suppressAutoHyphens/>
        <w:spacing w:line="236" w:lineRule="exact"/>
        <w:rPr>
          <w:szCs w:val="22"/>
        </w:rPr>
      </w:pPr>
      <w:r>
        <w:rPr>
          <w:szCs w:val="22"/>
        </w:rPr>
        <w:t>Deliver hand-delivered or messenger-delivered paper filings to FCC Headquarters at 445 12</w:t>
      </w:r>
      <w:r>
        <w:rPr>
          <w:szCs w:val="22"/>
          <w:vertAlign w:val="superscript"/>
        </w:rPr>
        <w:t>th</w:t>
      </w:r>
      <w:r>
        <w:rPr>
          <w:szCs w:val="22"/>
        </w:rPr>
        <w:t xml:space="preserve"> St., SW, Room TW-A325, Washington, DC 20554 between 8:00 AM and 7:00 PM.  Use rubber bands or fasteners to hold deliveries together.  Dispose of all envelopes before entering the building.</w:t>
      </w:r>
    </w:p>
    <w:p w:rsidR="004F5FE9" w:rsidP="004F5FE9">
      <w:pPr>
        <w:tabs>
          <w:tab w:val="left" w:pos="-720"/>
        </w:tabs>
        <w:suppressAutoHyphens/>
        <w:spacing w:line="236" w:lineRule="exact"/>
        <w:ind w:left="1080"/>
        <w:rPr>
          <w:szCs w:val="22"/>
        </w:rPr>
      </w:pPr>
    </w:p>
    <w:p w:rsidR="004F5FE9" w:rsidP="004F5FE9">
      <w:pPr>
        <w:widowControl/>
        <w:numPr>
          <w:ilvl w:val="0"/>
          <w:numId w:val="9"/>
        </w:numPr>
        <w:tabs>
          <w:tab w:val="left" w:pos="-720"/>
        </w:tabs>
        <w:suppressAutoHyphens/>
        <w:spacing w:line="236" w:lineRule="exact"/>
        <w:rPr>
          <w:szCs w:val="22"/>
        </w:rPr>
      </w:pPr>
      <w:r>
        <w:rPr>
          <w:szCs w:val="22"/>
        </w:rPr>
        <w:t>Send commercial overnight mail (other than U.S. Postal Service Express Mail and Priority Mail) to 9050 Junction Drive, Annapolis Junction, MD 20701.</w:t>
      </w:r>
    </w:p>
    <w:p w:rsidR="004F5FE9" w:rsidP="004F5FE9">
      <w:pPr>
        <w:tabs>
          <w:tab w:val="left" w:pos="-720"/>
        </w:tabs>
        <w:suppressAutoHyphens/>
        <w:spacing w:line="236" w:lineRule="exact"/>
        <w:rPr>
          <w:szCs w:val="22"/>
        </w:rPr>
      </w:pPr>
    </w:p>
    <w:p w:rsidR="004F5FE9" w:rsidP="004F5FE9">
      <w:pPr>
        <w:widowControl/>
        <w:numPr>
          <w:ilvl w:val="0"/>
          <w:numId w:val="9"/>
        </w:numPr>
        <w:tabs>
          <w:tab w:val="left" w:pos="-720"/>
        </w:tabs>
        <w:suppressAutoHyphens/>
        <w:spacing w:line="236" w:lineRule="exact"/>
        <w:rPr>
          <w:szCs w:val="22"/>
        </w:rPr>
      </w:pPr>
      <w:r>
        <w:rPr>
          <w:szCs w:val="22"/>
        </w:rPr>
        <w:t>Send U.S. Postal Service first-class, Express, and Priority mail to 445 12</w:t>
      </w:r>
      <w:r>
        <w:rPr>
          <w:szCs w:val="22"/>
          <w:vertAlign w:val="superscript"/>
        </w:rPr>
        <w:t>th</w:t>
      </w:r>
      <w:r>
        <w:rPr>
          <w:szCs w:val="22"/>
        </w:rPr>
        <w:t xml:space="preserve"> Street, SW, Washington DC 20554.</w:t>
      </w:r>
    </w:p>
    <w:p w:rsidR="004F5FE9" w:rsidP="004F5FE9">
      <w:pPr>
        <w:pStyle w:val="BodyText2"/>
        <w:spacing w:line="228" w:lineRule="auto"/>
        <w:ind w:firstLine="720"/>
        <w:rPr>
          <w:sz w:val="22"/>
        </w:rPr>
      </w:pPr>
    </w:p>
    <w:p w:rsidR="004F5FE9" w:rsidP="004F5FE9">
      <w:pPr>
        <w:pStyle w:val="BodyText2"/>
        <w:spacing w:line="228" w:lineRule="auto"/>
        <w:ind w:firstLine="720"/>
        <w:rPr>
          <w:sz w:val="22"/>
          <w:szCs w:val="22"/>
        </w:rPr>
      </w:pPr>
      <w:r>
        <w:rPr>
          <w:color w:val="000000"/>
          <w:sz w:val="22"/>
          <w:szCs w:val="22"/>
        </w:rPr>
        <w:t xml:space="preserve">The request, and comments and reply comments filed in response to this Public Notice are available for viewing via the Commission's Electronic Comment Filing System (ECFS), </w:t>
      </w:r>
      <w:hyperlink r:id="rId5" w:history="1">
        <w:r>
          <w:rPr>
            <w:rStyle w:val="Hyperlink"/>
            <w:szCs w:val="22"/>
          </w:rPr>
          <w:t>http://www.fcc.gov/cgb/ecfs</w:t>
        </w:r>
      </w:hyperlink>
      <w:r>
        <w:rPr>
          <w:sz w:val="22"/>
          <w:szCs w:val="22"/>
        </w:rPr>
        <w:t xml:space="preserve">, </w:t>
      </w:r>
      <w:r>
        <w:rPr>
          <w:color w:val="000000"/>
          <w:sz w:val="22"/>
          <w:szCs w:val="22"/>
        </w:rPr>
        <w:t xml:space="preserve">by entering the docket number appearing on the first page of this </w:t>
      </w:r>
      <w:r>
        <w:rPr>
          <w:i/>
          <w:color w:val="000000"/>
          <w:sz w:val="22"/>
          <w:szCs w:val="22"/>
        </w:rPr>
        <w:t>Public Notice</w:t>
      </w:r>
      <w:r>
        <w:rPr>
          <w:color w:val="000000"/>
          <w:sz w:val="22"/>
          <w:szCs w:val="22"/>
        </w:rPr>
        <w:t xml:space="preserve">.  The documents also will be available for public inspection and copying during business hours in the FCC Reference Information Center, Portals II, 445 12th Street S.W., Room CY-A257, Washington, D.C. 20554.  Reference Information Center business hours are available at </w:t>
      </w:r>
      <w:hyperlink r:id="rId6" w:history="1">
        <w:r w:rsidRPr="00F31C6B">
          <w:rPr>
            <w:rStyle w:val="Hyperlink"/>
            <w:sz w:val="22"/>
            <w:szCs w:val="22"/>
          </w:rPr>
          <w:t>https://www.fcc.gov/general/fcc-reference-information-center</w:t>
        </w:r>
      </w:hyperlink>
    </w:p>
    <w:p w:rsidR="004F5FE9" w:rsidP="004F5FE9">
      <w:pPr>
        <w:pStyle w:val="BodyText2"/>
        <w:spacing w:line="228" w:lineRule="auto"/>
        <w:ind w:firstLine="720"/>
        <w:rPr>
          <w:sz w:val="22"/>
        </w:rPr>
      </w:pPr>
    </w:p>
    <w:p w:rsidR="004F5FE9" w:rsidP="004F5FE9">
      <w:pPr>
        <w:ind w:firstLine="720"/>
        <w:rPr>
          <w:szCs w:val="22"/>
        </w:rPr>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w:t>
      </w:r>
      <w:r>
        <w:rPr>
          <w:szCs w:val="22"/>
        </w:rPr>
        <w:t xml:space="preserve"> </w:t>
      </w:r>
    </w:p>
    <w:p w:rsidR="004F5FE9" w:rsidP="004F5FE9">
      <w:pPr>
        <w:rPr>
          <w:szCs w:val="22"/>
        </w:rPr>
      </w:pPr>
    </w:p>
    <w:p w:rsidR="004F5FE9" w:rsidP="004F5FE9">
      <w:pPr>
        <w:spacing w:after="240"/>
        <w:ind w:firstLine="720"/>
      </w:pPr>
      <w:r>
        <w:t xml:space="preserve">This proceeding has been designated as a “permit-but-disclose” proceeding in accordance with the Commission's </w:t>
      </w:r>
      <w:r>
        <w:rPr>
          <w:i/>
        </w:rPr>
        <w:t xml:space="preserve">ex </w:t>
      </w:r>
      <w:r>
        <w:rPr>
          <w:i/>
        </w:rPr>
        <w:t>parte</w:t>
      </w:r>
      <w:r>
        <w:t xml:space="preserve"> rules.</w:t>
      </w:r>
      <w:r>
        <w:rPr>
          <w:vertAlign w:val="superscript"/>
        </w:rPr>
        <w:footnoteReference w:id="8"/>
      </w:r>
      <w:r>
        <w:t xml:space="preserve">  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  In proceedings governed by rule 1.49(f) or for which the Commission has made available a method of electronic filing, written </w:t>
      </w:r>
      <w:r>
        <w:rPr>
          <w:i/>
          <w:iCs/>
        </w:rPr>
        <w:t xml:space="preserve">ex </w:t>
      </w:r>
      <w:r>
        <w:rPr>
          <w:i/>
          <w:iCs/>
        </w:rPr>
        <w:t>parte</w:t>
      </w:r>
      <w:r>
        <w:rPr>
          <w:i/>
          <w:iCs/>
        </w:rPr>
        <w:t xml:space="preserve"> </w:t>
      </w:r>
      <w:r>
        <w:t xml:space="preserve">presentations and memoranda summarizing oral </w:t>
      </w:r>
      <w:r>
        <w:rPr>
          <w:i/>
          <w:iCs/>
        </w:rPr>
        <w:t xml:space="preserve">ex </w:t>
      </w:r>
      <w:r>
        <w:rPr>
          <w:i/>
          <w:iCs/>
        </w:rPr>
        <w:t>parte</w:t>
      </w:r>
      <w:r>
        <w:rPr>
          <w:i/>
          <w:iCs/>
        </w:rPr>
        <w:t xml:space="preserv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w:t>
      </w:r>
      <w:r>
        <w:rPr>
          <w:i/>
          <w:iCs/>
        </w:rPr>
        <w:t>parte</w:t>
      </w:r>
      <w:r>
        <w:rPr>
          <w:i/>
          <w:iCs/>
        </w:rPr>
        <w:t xml:space="preserve"> </w:t>
      </w:r>
      <w:r>
        <w:t>rules.</w:t>
      </w:r>
    </w:p>
    <w:p w:rsidR="004F5FE9" w:rsidP="004F5FE9">
      <w:pPr>
        <w:spacing w:after="240"/>
        <w:ind w:firstLine="720"/>
      </w:pPr>
      <w:r>
        <w:t>For further information, contact Rodney Conway, Mobility Division, Wireless Telecommunications Bureau at (202) 418-2904 or via email at Rodney.Conway@fcc.gov.</w:t>
      </w:r>
    </w:p>
    <w:p w:rsidR="004F5FE9" w:rsidP="004F5FE9">
      <w:pPr>
        <w:autoSpaceDE w:val="0"/>
        <w:autoSpaceDN w:val="0"/>
        <w:adjustRightInd w:val="0"/>
        <w:ind w:firstLine="720"/>
        <w:jc w:val="both"/>
        <w:rPr>
          <w:color w:val="000000"/>
        </w:rPr>
      </w:pPr>
      <w:r>
        <w:rPr>
          <w:color w:val="000000"/>
        </w:rPr>
        <w:t>By the Deputy Chief, Mobility Division, Wireless Telecommunications Bureau.</w:t>
      </w:r>
    </w:p>
    <w:p w:rsidR="004F5FE9" w:rsidP="004F5FE9">
      <w:pPr>
        <w:autoSpaceDE w:val="0"/>
        <w:autoSpaceDN w:val="0"/>
        <w:adjustRightInd w:val="0"/>
        <w:ind w:firstLine="720"/>
        <w:jc w:val="both"/>
        <w:rPr>
          <w:color w:val="000000"/>
        </w:rPr>
      </w:pPr>
    </w:p>
    <w:p w:rsidR="004F5FE9" w:rsidRPr="00E74C74" w:rsidP="004F5FE9">
      <w:pPr>
        <w:spacing w:after="240"/>
        <w:jc w:val="center"/>
      </w:pPr>
      <w:r w:rsidRPr="00E74C74">
        <w:t>-FCC-</w:t>
      </w:r>
    </w:p>
    <w:p w:rsidR="004F5FE9" w:rsidP="004F5FE9">
      <w:pPr>
        <w:ind w:left="3600" w:firstLine="720"/>
      </w:pPr>
      <w:r>
        <w:t xml:space="preserve">  </w:t>
      </w:r>
    </w:p>
    <w:p w:rsidR="00930ECF" w:rsidRPr="00930ECF" w:rsidP="00F96F63">
      <w:pPr>
        <w:rPr>
          <w:sz w:val="24"/>
        </w:rPr>
      </w:pPr>
    </w:p>
    <w:sectPr w:rsidSect="000E5884">
      <w:headerReference w:type="default" r:id="rId7"/>
      <w:footerReference w:type="even" r:id="rId8"/>
      <w:footerReference w:type="default" r:id="rId9"/>
      <w:head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564" w:rsidP="003E7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6F7393" w:rsidP="00910F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6403">
      <w:r>
        <w:separator/>
      </w:r>
    </w:p>
  </w:footnote>
  <w:footnote w:type="continuationSeparator" w:id="1">
    <w:p w:rsidR="00786403">
      <w:pPr>
        <w:rPr>
          <w:sz w:val="20"/>
        </w:rPr>
      </w:pPr>
      <w:r>
        <w:rPr>
          <w:sz w:val="20"/>
        </w:rPr>
        <w:t xml:space="preserve">(Continued from previous page)  </w:t>
      </w:r>
      <w:r>
        <w:rPr>
          <w:sz w:val="20"/>
        </w:rPr>
        <w:separator/>
      </w:r>
    </w:p>
  </w:footnote>
  <w:footnote w:type="continuationNotice" w:id="2">
    <w:p w:rsidR="00786403" w:rsidP="00910F12">
      <w:pPr>
        <w:jc w:val="right"/>
        <w:rPr>
          <w:sz w:val="20"/>
        </w:rPr>
      </w:pPr>
      <w:r>
        <w:rPr>
          <w:sz w:val="20"/>
        </w:rPr>
        <w:t>(continued….)</w:t>
      </w:r>
    </w:p>
  </w:footnote>
  <w:footnote w:id="3">
    <w:p w:rsidR="004F5FE9" w:rsidP="004F5FE9">
      <w:pPr>
        <w:pStyle w:val="FootnoteText"/>
        <w:ind w:left="720"/>
      </w:pPr>
      <w:r>
        <w:rPr>
          <w:rStyle w:val="FootnoteReference"/>
        </w:rPr>
        <w:footnoteRef/>
      </w:r>
      <w:r>
        <w:t xml:space="preserve"> </w:t>
      </w:r>
      <w:r>
        <w:rPr>
          <w:i/>
        </w:rPr>
        <w:t>See</w:t>
      </w:r>
      <w:r>
        <w:t xml:space="preserve"> Letter from Kevin </w:t>
      </w:r>
      <w:r>
        <w:t>Cookler</w:t>
      </w:r>
      <w:r>
        <w:t xml:space="preserve">, counsel to </w:t>
      </w:r>
      <w:r>
        <w:t>MiMOMax</w:t>
      </w:r>
      <w:r>
        <w:t xml:space="preserve"> Wireless Limited, to Scot Stone, Deputy Chief, Mobility Division, Wireless Telecommunications Bureau (Sept. 27, 2018).  </w:t>
      </w:r>
    </w:p>
  </w:footnote>
  <w:footnote w:id="4">
    <w:p w:rsidR="004F5FE9" w:rsidP="004F5FE9">
      <w:pPr>
        <w:pStyle w:val="FootnoteText"/>
        <w:ind w:left="720"/>
      </w:pPr>
      <w:r>
        <w:rPr>
          <w:rStyle w:val="FootnoteReference"/>
        </w:rPr>
        <w:footnoteRef/>
      </w:r>
      <w:r>
        <w:t xml:space="preserve"> </w:t>
      </w:r>
      <w:r w:rsidRPr="00285284">
        <w:rPr>
          <w:i/>
        </w:rPr>
        <w:t>See</w:t>
      </w:r>
      <w:r>
        <w:t xml:space="preserve"> 47 CFR § 90.207(</w:t>
      </w:r>
      <w:r>
        <w:t>i</w:t>
      </w:r>
      <w:r>
        <w:t xml:space="preserve">).  The </w:t>
      </w:r>
      <w:bookmarkStart w:id="2" w:name="SR;1343"/>
      <w:bookmarkEnd w:id="2"/>
      <w:r>
        <w:t xml:space="preserve">emission </w:t>
      </w:r>
      <w:bookmarkStart w:id="3" w:name="SR;1344"/>
      <w:bookmarkEnd w:id="3"/>
      <w:r>
        <w:t xml:space="preserve">designator is a series of alphanumeric characters that denotes the necessary bandwidth, type of modulation, nature of the signal modulating the main carrier, and type of information to be transmitted.  </w:t>
      </w:r>
      <w:r>
        <w:rPr>
          <w:i/>
          <w:iCs/>
        </w:rPr>
        <w:t>See</w:t>
      </w:r>
      <w:r>
        <w:t xml:space="preserve"> </w:t>
      </w:r>
      <w:r>
        <w:rPr>
          <w:color w:val="000000"/>
        </w:rPr>
        <w:t xml:space="preserve">47 CFR §§ 2.201(b), </w:t>
      </w:r>
      <w:hyperlink r:id="rId1" w:history="1">
        <w:r>
          <w:rPr>
            <w:color w:val="000000"/>
          </w:rPr>
          <w:t>2.202(b)</w:t>
        </w:r>
      </w:hyperlink>
      <w:r>
        <w:t xml:space="preserve">.    </w:t>
      </w:r>
    </w:p>
  </w:footnote>
  <w:footnote w:id="5">
    <w:p w:rsidR="004F5FE9" w:rsidP="004F5FE9">
      <w:pPr>
        <w:pStyle w:val="FootnoteText"/>
        <w:ind w:left="720"/>
      </w:pPr>
      <w:r>
        <w:rPr>
          <w:rStyle w:val="FootnoteReference"/>
        </w:rPr>
        <w:footnoteRef/>
      </w:r>
      <w:r>
        <w:t xml:space="preserve"> </w:t>
      </w:r>
      <w:r w:rsidRPr="006201DE">
        <w:t>W1W is a digital emission consisting of a main carrier modulated, either simultaneously or in a pre-established sequence, in a combination of amplitude, angle, and/or pulse; and the transmitted information is a combination of telegraphy, facsimile, data, and/or voice.</w:t>
      </w:r>
    </w:p>
  </w:footnote>
  <w:footnote w:id="6">
    <w:p w:rsidR="004F5FE9" w:rsidRPr="00164493" w:rsidP="004F5FE9">
      <w:pPr>
        <w:pStyle w:val="FootnoteText"/>
      </w:pPr>
      <w:r w:rsidRPr="00164493">
        <w:rPr>
          <w:rStyle w:val="FootnoteReference"/>
        </w:rPr>
        <w:footnoteRef/>
      </w:r>
      <w:r w:rsidRPr="00164493">
        <w:t xml:space="preserve"> We note that similar waivers have been granted for other telemetry equipment using </w:t>
      </w:r>
      <w:r>
        <w:t>an emission designator</w:t>
      </w:r>
      <w:r w:rsidRPr="00164493">
        <w:t xml:space="preserve"> not listed in section 90.207(</w:t>
      </w:r>
      <w:r w:rsidRPr="00164493">
        <w:t>i</w:t>
      </w:r>
      <w:r w:rsidRPr="00164493">
        <w:t xml:space="preserve">).  </w:t>
      </w:r>
      <w:r w:rsidRPr="00164493">
        <w:rPr>
          <w:i/>
        </w:rPr>
        <w:t xml:space="preserve">See </w:t>
      </w:r>
      <w:r>
        <w:rPr>
          <w:i/>
        </w:rPr>
        <w:t>Greg Kunkle</w:t>
      </w:r>
      <w:r>
        <w:t xml:space="preserve">, Letter Order, 30 FCC Rcd 4818 (WTB MD 2015); </w:t>
      </w:r>
      <w:r w:rsidRPr="00164493">
        <w:rPr>
          <w:i/>
        </w:rPr>
        <w:t>4RF Limited</w:t>
      </w:r>
      <w:r w:rsidRPr="00164493">
        <w:t>, Order,</w:t>
      </w:r>
      <w:r>
        <w:t xml:space="preserve"> 29 FCC Rcd 2898 (WTB MD 2014).</w:t>
      </w:r>
    </w:p>
  </w:footnote>
  <w:footnote w:id="7">
    <w:p w:rsidR="004F5FE9" w:rsidRPr="00164493" w:rsidP="004F5FE9">
      <w:pPr>
        <w:pStyle w:val="FootnoteText"/>
      </w:pPr>
      <w:r w:rsidRPr="00164493">
        <w:rPr>
          <w:rStyle w:val="FootnoteReference"/>
        </w:rPr>
        <w:footnoteRef/>
      </w:r>
      <w:r w:rsidRPr="00164493">
        <w:t xml:space="preserve"> </w:t>
      </w:r>
      <w:r w:rsidRPr="00BE532B">
        <w:rPr>
          <w:i/>
        </w:rPr>
        <w:t>See Electronic Filing of Documents in Rulemaking Proceedings</w:t>
      </w:r>
      <w:r w:rsidRPr="00164493">
        <w:t xml:space="preserve">, </w:t>
      </w:r>
      <w:r w:rsidRPr="00BE532B">
        <w:t>Report and Order</w:t>
      </w:r>
      <w:r w:rsidRPr="00164493">
        <w:t>, 13 FCC Rcd 11322 (1998).</w:t>
      </w:r>
    </w:p>
  </w:footnote>
  <w:footnote w:id="8">
    <w:p w:rsidR="004F5FE9" w:rsidRPr="00E74C74" w:rsidP="004F5FE9">
      <w:pPr>
        <w:pStyle w:val="FootnoteText"/>
      </w:pPr>
      <w:r w:rsidRPr="00E74C74">
        <w:rPr>
          <w:rStyle w:val="FootnoteReference"/>
        </w:rPr>
        <w:footnoteRef/>
      </w:r>
      <w:r w:rsidRPr="00E74C74">
        <w:t xml:space="preserve"> </w:t>
      </w:r>
      <w:r w:rsidRPr="00E74C74">
        <w:rPr>
          <w:i/>
        </w:rPr>
        <w:t>See</w:t>
      </w:r>
      <w:r w:rsidRPr="00E74C74">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4F5FE9">
    <w:pPr>
      <w:tabs>
        <w:tab w:val="left" w:pos="-720"/>
      </w:tabs>
      <w:suppressAutoHyphens/>
      <w:spacing w:line="19" w:lineRule="exact"/>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10374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News Gothic MT"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News Gothic M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News Gothic M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03"/>
    <w:rsid w:val="000072CE"/>
    <w:rsid w:val="00013A8B"/>
    <w:rsid w:val="00021445"/>
    <w:rsid w:val="00036039"/>
    <w:rsid w:val="00037F90"/>
    <w:rsid w:val="000875BF"/>
    <w:rsid w:val="00096D8C"/>
    <w:rsid w:val="000C0B65"/>
    <w:rsid w:val="000E3D42"/>
    <w:rsid w:val="000E5884"/>
    <w:rsid w:val="00122BD5"/>
    <w:rsid w:val="00164493"/>
    <w:rsid w:val="001979D9"/>
    <w:rsid w:val="001D6BCF"/>
    <w:rsid w:val="001E01CA"/>
    <w:rsid w:val="002060D9"/>
    <w:rsid w:val="00226822"/>
    <w:rsid w:val="00260594"/>
    <w:rsid w:val="00285017"/>
    <w:rsid w:val="00285284"/>
    <w:rsid w:val="002A2D2E"/>
    <w:rsid w:val="00343749"/>
    <w:rsid w:val="00357D50"/>
    <w:rsid w:val="003925DC"/>
    <w:rsid w:val="003B0550"/>
    <w:rsid w:val="003B694F"/>
    <w:rsid w:val="003E7564"/>
    <w:rsid w:val="003F171C"/>
    <w:rsid w:val="00403748"/>
    <w:rsid w:val="00412FC5"/>
    <w:rsid w:val="00422276"/>
    <w:rsid w:val="004242F1"/>
    <w:rsid w:val="00445A00"/>
    <w:rsid w:val="00451B0F"/>
    <w:rsid w:val="0046125F"/>
    <w:rsid w:val="00487524"/>
    <w:rsid w:val="00496106"/>
    <w:rsid w:val="004C12D0"/>
    <w:rsid w:val="004C2EE3"/>
    <w:rsid w:val="004E4A22"/>
    <w:rsid w:val="004F5FE9"/>
    <w:rsid w:val="00511968"/>
    <w:rsid w:val="0055614C"/>
    <w:rsid w:val="00607BA5"/>
    <w:rsid w:val="006201DE"/>
    <w:rsid w:val="00626EB6"/>
    <w:rsid w:val="006353A3"/>
    <w:rsid w:val="00655D03"/>
    <w:rsid w:val="00683F84"/>
    <w:rsid w:val="006A6A81"/>
    <w:rsid w:val="006E26AF"/>
    <w:rsid w:val="006F7393"/>
    <w:rsid w:val="0070224F"/>
    <w:rsid w:val="007115F7"/>
    <w:rsid w:val="00785689"/>
    <w:rsid w:val="00786403"/>
    <w:rsid w:val="0079754B"/>
    <w:rsid w:val="007A1E6D"/>
    <w:rsid w:val="007F3AFD"/>
    <w:rsid w:val="00822CE0"/>
    <w:rsid w:val="00837C62"/>
    <w:rsid w:val="00841AB1"/>
    <w:rsid w:val="008C22FD"/>
    <w:rsid w:val="00910F12"/>
    <w:rsid w:val="00926503"/>
    <w:rsid w:val="00930ECF"/>
    <w:rsid w:val="009838BC"/>
    <w:rsid w:val="00A31D16"/>
    <w:rsid w:val="00A45F4F"/>
    <w:rsid w:val="00A600A9"/>
    <w:rsid w:val="00A866AC"/>
    <w:rsid w:val="00AA55B7"/>
    <w:rsid w:val="00AA5B9E"/>
    <w:rsid w:val="00AB2407"/>
    <w:rsid w:val="00AB53DF"/>
    <w:rsid w:val="00B07E5C"/>
    <w:rsid w:val="00B326E3"/>
    <w:rsid w:val="00B811F7"/>
    <w:rsid w:val="00BA5DC6"/>
    <w:rsid w:val="00BA6196"/>
    <w:rsid w:val="00BC6D8C"/>
    <w:rsid w:val="00BE532B"/>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74C74"/>
    <w:rsid w:val="00EC0185"/>
    <w:rsid w:val="00F021FA"/>
    <w:rsid w:val="00F31C6B"/>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E1438F7-81DE-43AF-B3B0-D4B8C5AF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 Char,Footnote Text Char1,Footnote Text Char1 Char Char Char,Footnote Text Char1 Char Char Char Char Char,Footnote Text Char1 Char1 Char Char Char,Footnote Text Char2 Char Char"/>
    <w:link w:val="FootnoteTextChar"/>
    <w:semiHidden/>
    <w:rsid w:val="000E3D42"/>
    <w:pPr>
      <w:spacing w:after="120"/>
    </w:pPr>
  </w:style>
  <w:style w:type="character" w:styleId="FootnoteReference">
    <w:name w:val="footnote reference"/>
    <w:aliases w:val="(NECG) Footnote Reference,Appel note de bas de p,FR,Style 12,Style 124,Style 13,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odyText2">
    <w:name w:val="Body Text 2"/>
    <w:basedOn w:val="Normal"/>
    <w:link w:val="BodyText2Char"/>
    <w:rsid w:val="004F5FE9"/>
    <w:pPr>
      <w:widowControl/>
    </w:pPr>
    <w:rPr>
      <w:snapToGrid/>
      <w:kern w:val="0"/>
      <w:sz w:val="24"/>
    </w:rPr>
  </w:style>
  <w:style w:type="character" w:customStyle="1" w:styleId="BodyText2Char">
    <w:name w:val="Body Text 2 Char"/>
    <w:basedOn w:val="DefaultParagraphFont"/>
    <w:link w:val="BodyText2"/>
    <w:rsid w:val="004F5FE9"/>
    <w:rPr>
      <w:sz w:val="24"/>
    </w:rPr>
  </w:style>
  <w:style w:type="character" w:customStyle="1" w:styleId="FootnoteTextChar">
    <w:name w:val="Footnote Text Char"/>
    <w:aliases w:val="Footnote Text Char Char Char,Footnote Text Char Char Char Char Char Char,Footnote Text Char1 Char,Footnote Text Char1 Char Char Char Char,Footnote Text Char1 Char Char Char Char Char Char,Footnote Text Char2 Char Char Char"/>
    <w:link w:val="FootnoteText"/>
    <w:semiHidden/>
    <w:rsid w:val="004F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cgb/ecfs" TargetMode="External" /><Relationship Id="rId6" Type="http://schemas.openxmlformats.org/officeDocument/2006/relationships/hyperlink" Target="https://www.fcc.gov/general/fcc-reference-information-center"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eb2.westlaw.com/find/default.wl?referencepositiontype=T&amp;docname=47CFRS2.202&amp;rp=%2ffind%2fdefault.wl&amp;sv=Split&amp;rs=WLW11.07&amp;db=1000547&amp;tf=-1&amp;findtype=L&amp;fn=_top&amp;mt=Westlaw&amp;vr=2.0&amp;referenceposition=SP%3ba83b000018c76&amp;pbc=45D081E8&amp;tc=-1&amp;ordoc=202365068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