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D7E" w:rsidRPr="00794866" w:rsidP="000C0516" w14:paraId="0E04B61B" w14:textId="03960E6F">
      <w:pPr>
        <w:spacing w:after="0"/>
        <w:jc w:val="right"/>
        <w:rPr>
          <w:b/>
        </w:rPr>
      </w:pPr>
      <w:r>
        <w:rPr>
          <w:b/>
        </w:rPr>
        <w:t>DA 19-358</w:t>
      </w:r>
    </w:p>
    <w:p w:rsidR="001B3D7E" w:rsidRPr="00794866" w:rsidP="000C0516" w14:paraId="65CAD3EB" w14:textId="6A712DD6">
      <w:pPr>
        <w:spacing w:after="0"/>
        <w:jc w:val="right"/>
        <w:rPr>
          <w:b/>
        </w:rPr>
      </w:pPr>
      <w:r w:rsidRPr="00794866">
        <w:rPr>
          <w:b/>
        </w:rPr>
        <w:t xml:space="preserve">Released:  </w:t>
      </w:r>
      <w:r w:rsidR="00C809AC">
        <w:rPr>
          <w:b/>
        </w:rPr>
        <w:t>April 30, 2019</w:t>
      </w:r>
    </w:p>
    <w:p w:rsidR="001B3D7E" w:rsidRPr="00794866" w:rsidP="000C0516" w14:paraId="3130BB5C" w14:textId="77777777">
      <w:pPr>
        <w:spacing w:after="0"/>
        <w:jc w:val="right"/>
      </w:pPr>
    </w:p>
    <w:p w:rsidR="00907BDF" w:rsidRPr="00770373" w:rsidP="00907BDF" w14:paraId="35907BDC" w14:textId="77777777">
      <w:pPr>
        <w:spacing w:after="0" w:line="259" w:lineRule="auto"/>
        <w:jc w:val="center"/>
      </w:pPr>
      <w:r>
        <w:rPr>
          <w:rFonts w:eastAsia="Times New Roman"/>
          <w:b/>
        </w:rPr>
        <w:t xml:space="preserve">ADVISORY </w:t>
      </w:r>
      <w:r w:rsidR="007454F7">
        <w:rPr>
          <w:rFonts w:eastAsia="Times New Roman"/>
          <w:b/>
        </w:rPr>
        <w:t xml:space="preserve">REGARDING MAY 1 </w:t>
      </w:r>
      <w:r>
        <w:rPr>
          <w:rFonts w:eastAsia="Times New Roman"/>
          <w:b/>
        </w:rPr>
        <w:t xml:space="preserve">DEADLINE FOR </w:t>
      </w:r>
      <w:r w:rsidR="005453FA">
        <w:rPr>
          <w:rFonts w:eastAsia="Times New Roman"/>
          <w:b/>
        </w:rPr>
        <w:t xml:space="preserve">IMPROVEMENTS TO </w:t>
      </w:r>
      <w:r w:rsidR="007454F7">
        <w:rPr>
          <w:rFonts w:eastAsia="Times New Roman"/>
          <w:b/>
        </w:rPr>
        <w:t xml:space="preserve">WIRELESS EMERGENCY ALERTS </w:t>
      </w:r>
      <w:r>
        <w:rPr>
          <w:rFonts w:eastAsia="Times New Roman"/>
          <w:b/>
        </w:rPr>
        <w:t xml:space="preserve">AND </w:t>
      </w:r>
      <w:r w:rsidRPr="00794866">
        <w:rPr>
          <w:rFonts w:eastAsia="Times New Roman"/>
          <w:b/>
        </w:rPr>
        <w:t>GUIDANCE</w:t>
      </w:r>
      <w:r>
        <w:t xml:space="preserve"> </w:t>
      </w:r>
      <w:r>
        <w:rPr>
          <w:rFonts w:eastAsia="Times New Roman"/>
          <w:b/>
        </w:rPr>
        <w:t>FOR STATE/LOCAL</w:t>
      </w:r>
      <w:r w:rsidRPr="00794866">
        <w:rPr>
          <w:rFonts w:eastAsia="Times New Roman"/>
          <w:b/>
        </w:rPr>
        <w:t xml:space="preserve"> </w:t>
      </w:r>
      <w:r>
        <w:rPr>
          <w:rFonts w:eastAsia="Times New Roman"/>
          <w:b/>
        </w:rPr>
        <w:t>ALERT ORIGINATORS</w:t>
      </w:r>
      <w:r w:rsidRPr="00794866">
        <w:rPr>
          <w:rFonts w:eastAsia="Times New Roman"/>
          <w:b/>
        </w:rPr>
        <w:t xml:space="preserve"> </w:t>
      </w:r>
    </w:p>
    <w:p w:rsidR="00D2495D" w:rsidRPr="00794866" w:rsidP="001D0F23" w14:paraId="02EC6CAF" w14:textId="77777777">
      <w:pPr>
        <w:spacing w:after="0"/>
        <w:rPr>
          <w:b/>
          <w:i/>
        </w:rPr>
      </w:pPr>
    </w:p>
    <w:p w:rsidR="001B3D7E" w:rsidRPr="00794866" w:rsidP="000C0516" w14:paraId="43122D2C" w14:textId="77777777">
      <w:pPr>
        <w:spacing w:after="0"/>
        <w:jc w:val="center"/>
        <w:rPr>
          <w:b/>
        </w:rPr>
      </w:pPr>
      <w:r w:rsidRPr="00794866">
        <w:rPr>
          <w:b/>
        </w:rPr>
        <w:t>PS Docket No</w:t>
      </w:r>
      <w:r w:rsidR="00BB0601">
        <w:rPr>
          <w:b/>
        </w:rPr>
        <w:t>s</w:t>
      </w:r>
      <w:r w:rsidRPr="00794866">
        <w:rPr>
          <w:b/>
        </w:rPr>
        <w:t xml:space="preserve">. </w:t>
      </w:r>
      <w:r w:rsidR="00BB0601">
        <w:rPr>
          <w:b/>
        </w:rPr>
        <w:t xml:space="preserve">15-91, </w:t>
      </w:r>
      <w:r w:rsidRPr="00794866" w:rsidR="00C334F2">
        <w:rPr>
          <w:b/>
        </w:rPr>
        <w:t>15-94</w:t>
      </w:r>
    </w:p>
    <w:p w:rsidR="000C0516" w:rsidRPr="00794866" w:rsidP="000C0516" w14:paraId="2B5BC249" w14:textId="77777777">
      <w:pPr>
        <w:spacing w:after="0"/>
        <w:jc w:val="center"/>
        <w:rPr>
          <w:b/>
        </w:rPr>
      </w:pPr>
    </w:p>
    <w:p w:rsidR="00770373" w:rsidRPr="00270271" w:rsidP="00006AFB" w14:paraId="7A393811" w14:textId="77777777">
      <w:pPr>
        <w:ind w:firstLine="720"/>
      </w:pPr>
      <w:r>
        <w:t xml:space="preserve">The Public Safety and Homeland Security Bureau </w:t>
      </w:r>
      <w:r w:rsidR="00BB0601">
        <w:t xml:space="preserve">(Bureau) </w:t>
      </w:r>
      <w:r w:rsidR="00172573">
        <w:t>advises</w:t>
      </w:r>
      <w:r>
        <w:t xml:space="preserve"> Commercial Mobile Service providers (CMS Providers) participating in Wireless Emergency Alerts (WEA)</w:t>
      </w:r>
      <w:r>
        <w:rPr>
          <w:rStyle w:val="FootnoteReference"/>
        </w:rPr>
        <w:footnoteReference w:id="3"/>
      </w:r>
      <w:r>
        <w:t xml:space="preserve"> </w:t>
      </w:r>
      <w:r w:rsidR="00444A5D">
        <w:t>of their obligation</w:t>
      </w:r>
      <w:r>
        <w:t xml:space="preserve"> to </w:t>
      </w:r>
      <w:r w:rsidRPr="00270271">
        <w:t>support the following WEA improvements</w:t>
      </w:r>
      <w:r w:rsidR="00444A5D">
        <w:t xml:space="preserve"> </w:t>
      </w:r>
      <w:r w:rsidR="00444A5D">
        <w:rPr>
          <w:b/>
        </w:rPr>
        <w:t>by May 1, 2019</w:t>
      </w:r>
      <w:r w:rsidRPr="00270271">
        <w:t xml:space="preserve">: </w:t>
      </w:r>
    </w:p>
    <w:p w:rsidR="00770373" w:rsidRPr="00270271" w:rsidP="00006AFB" w14:paraId="0028E44F" w14:textId="77777777">
      <w:pPr>
        <w:pStyle w:val="ListParagraph"/>
        <w:numPr>
          <w:ilvl w:val="0"/>
          <w:numId w:val="11"/>
        </w:numPr>
        <w:spacing w:after="120"/>
        <w:rPr>
          <w:rFonts w:ascii="Times New Roman" w:hAnsi="Times New Roman" w:cs="Times New Roman"/>
          <w:color w:val="000000" w:themeColor="text1"/>
        </w:rPr>
      </w:pPr>
      <w:r w:rsidRPr="00270271">
        <w:rPr>
          <w:rFonts w:ascii="Times New Roman" w:eastAsia="Calibri" w:hAnsi="Times New Roman" w:cs="Times New Roman"/>
          <w:color w:val="000000" w:themeColor="text1"/>
        </w:rPr>
        <w:t>longer</w:t>
      </w:r>
      <w:r w:rsidRPr="00270271">
        <w:rPr>
          <w:rFonts w:ascii="Times New Roman" w:hAnsi="Times New Roman" w:cs="Times New Roman"/>
          <w:color w:val="000000" w:themeColor="text1"/>
          <w:shd w:val="clear" w:color="auto" w:fill="FFFFFF"/>
        </w:rPr>
        <w:t xml:space="preserve"> WEA messages (from 90 to 360 characters) for 4G LTE and future networks;</w:t>
      </w:r>
      <w:r>
        <w:rPr>
          <w:rStyle w:val="FootnoteReference"/>
          <w:rFonts w:cs="Times New Roman"/>
          <w:shd w:val="clear" w:color="auto" w:fill="FFFFFF"/>
        </w:rPr>
        <w:footnoteReference w:id="4"/>
      </w:r>
    </w:p>
    <w:p w:rsidR="00770373" w:rsidRPr="00270271" w:rsidP="00006AFB" w14:paraId="3BCB4F31" w14:textId="77777777">
      <w:pPr>
        <w:pStyle w:val="ListParagraph"/>
        <w:numPr>
          <w:ilvl w:val="0"/>
          <w:numId w:val="11"/>
        </w:numPr>
        <w:spacing w:after="120"/>
        <w:rPr>
          <w:rFonts w:ascii="Times New Roman" w:hAnsi="Times New Roman" w:cs="Times New Roman"/>
          <w:color w:val="000000" w:themeColor="text1"/>
        </w:rPr>
      </w:pPr>
      <w:r w:rsidRPr="00270271">
        <w:rPr>
          <w:rFonts w:ascii="Times New Roman" w:hAnsi="Times New Roman" w:cs="Times New Roman"/>
          <w:color w:val="000000" w:themeColor="text1"/>
          <w:shd w:val="clear" w:color="auto" w:fill="FFFFFF"/>
        </w:rPr>
        <w:t>a new class of alerts (“Public Safety Messages”</w:t>
      </w:r>
      <w:r w:rsidRPr="00270271" w:rsidR="000B50CE">
        <w:rPr>
          <w:rFonts w:ascii="Times New Roman" w:hAnsi="Times New Roman" w:cs="Times New Roman"/>
          <w:color w:val="000000" w:themeColor="text1"/>
          <w:shd w:val="clear" w:color="auto" w:fill="FFFFFF"/>
        </w:rPr>
        <w:t>)</w:t>
      </w:r>
      <w:r w:rsidR="007070C6">
        <w:rPr>
          <w:rFonts w:ascii="Times New Roman" w:hAnsi="Times New Roman" w:cs="Times New Roman"/>
          <w:color w:val="000000" w:themeColor="text1"/>
          <w:shd w:val="clear" w:color="auto" w:fill="FFFFFF"/>
        </w:rPr>
        <w:t xml:space="preserve"> to convey recommended actions for saving lives or property (e.g., </w:t>
      </w:r>
      <w:r w:rsidR="0055264D">
        <w:rPr>
          <w:rFonts w:ascii="Times New Roman" w:hAnsi="Times New Roman" w:cs="Times New Roman"/>
          <w:color w:val="000000" w:themeColor="text1"/>
          <w:shd w:val="clear" w:color="auto" w:fill="FFFFFF"/>
        </w:rPr>
        <w:t>emergency shelter locations after a disaster</w:t>
      </w:r>
      <w:r w:rsidR="007070C6">
        <w:rPr>
          <w:rFonts w:ascii="Times New Roman" w:hAnsi="Times New Roman" w:cs="Times New Roman"/>
          <w:color w:val="000000" w:themeColor="text1"/>
          <w:shd w:val="clear" w:color="auto" w:fill="FFFFFF"/>
        </w:rPr>
        <w:t>)</w:t>
      </w:r>
      <w:r w:rsidRPr="00270271">
        <w:rPr>
          <w:rFonts w:ascii="Times New Roman" w:hAnsi="Times New Roman" w:cs="Times New Roman"/>
          <w:color w:val="000000" w:themeColor="text1"/>
          <w:shd w:val="clear" w:color="auto" w:fill="FFFFFF"/>
        </w:rPr>
        <w:t>;</w:t>
      </w:r>
      <w:r>
        <w:rPr>
          <w:rStyle w:val="FootnoteReference"/>
          <w:rFonts w:cs="Times New Roman"/>
          <w:shd w:val="clear" w:color="auto" w:fill="FFFFFF"/>
        </w:rPr>
        <w:footnoteReference w:id="5"/>
      </w:r>
    </w:p>
    <w:p w:rsidR="000D52C3" w:rsidRPr="00270271" w:rsidP="00006AFB" w14:paraId="01A9CFE4" w14:textId="77777777">
      <w:pPr>
        <w:pStyle w:val="ListParagraph"/>
        <w:numPr>
          <w:ilvl w:val="0"/>
          <w:numId w:val="11"/>
        </w:numPr>
        <w:spacing w:after="120"/>
        <w:rPr>
          <w:rFonts w:ascii="Times New Roman" w:hAnsi="Times New Roman" w:cs="Times New Roman"/>
          <w:color w:val="000000" w:themeColor="text1"/>
        </w:rPr>
      </w:pPr>
      <w:r w:rsidRPr="00270271">
        <w:rPr>
          <w:rFonts w:ascii="Times New Roman" w:hAnsi="Times New Roman" w:cs="Times New Roman"/>
          <w:color w:val="000000" w:themeColor="text1"/>
          <w:shd w:val="clear" w:color="auto" w:fill="FFFFFF"/>
        </w:rPr>
        <w:t>Spanish</w:t>
      </w:r>
      <w:r w:rsidR="002A69C8">
        <w:rPr>
          <w:rFonts w:ascii="Times New Roman" w:hAnsi="Times New Roman" w:cs="Times New Roman"/>
          <w:color w:val="000000" w:themeColor="text1"/>
          <w:shd w:val="clear" w:color="auto" w:fill="FFFFFF"/>
        </w:rPr>
        <w:t>-</w:t>
      </w:r>
      <w:r w:rsidRPr="00270271">
        <w:rPr>
          <w:rFonts w:ascii="Times New Roman" w:hAnsi="Times New Roman" w:cs="Times New Roman"/>
          <w:color w:val="000000" w:themeColor="text1"/>
          <w:shd w:val="clear" w:color="auto" w:fill="FFFFFF"/>
        </w:rPr>
        <w:t>language alert</w:t>
      </w:r>
      <w:r w:rsidR="002A69C8">
        <w:rPr>
          <w:rFonts w:ascii="Times New Roman" w:hAnsi="Times New Roman" w:cs="Times New Roman"/>
          <w:color w:val="000000" w:themeColor="text1"/>
          <w:shd w:val="clear" w:color="auto" w:fill="FFFFFF"/>
        </w:rPr>
        <w:t xml:space="preserve"> messages</w:t>
      </w:r>
      <w:r w:rsidRPr="00270271">
        <w:rPr>
          <w:rFonts w:ascii="Times New Roman" w:hAnsi="Times New Roman" w:cs="Times New Roman"/>
          <w:color w:val="000000" w:themeColor="text1"/>
          <w:shd w:val="clear" w:color="auto" w:fill="FFFFFF"/>
        </w:rPr>
        <w:t>;</w:t>
      </w:r>
      <w:r>
        <w:rPr>
          <w:rStyle w:val="FootnoteReference"/>
          <w:rFonts w:cs="Times New Roman"/>
          <w:shd w:val="clear" w:color="auto" w:fill="FFFFFF"/>
        </w:rPr>
        <w:footnoteReference w:id="6"/>
      </w:r>
      <w:r w:rsidRPr="00270271">
        <w:rPr>
          <w:rFonts w:ascii="Times New Roman" w:hAnsi="Times New Roman" w:cs="Times New Roman"/>
          <w:color w:val="000000" w:themeColor="text1"/>
          <w:shd w:val="clear" w:color="auto" w:fill="FFFFFF"/>
        </w:rPr>
        <w:t xml:space="preserve"> </w:t>
      </w:r>
    </w:p>
    <w:p w:rsidR="000D52C3" w:rsidRPr="00270271" w:rsidP="00006AFB" w14:paraId="6A990B75" w14:textId="77777777">
      <w:pPr>
        <w:pStyle w:val="ListParagraph"/>
        <w:numPr>
          <w:ilvl w:val="0"/>
          <w:numId w:val="11"/>
        </w:numPr>
        <w:spacing w:after="120"/>
        <w:rPr>
          <w:rFonts w:ascii="Times New Roman" w:hAnsi="Times New Roman" w:cs="Times New Roman"/>
          <w:color w:val="000000" w:themeColor="text1"/>
        </w:rPr>
      </w:pPr>
      <w:r>
        <w:rPr>
          <w:rFonts w:ascii="Times New Roman" w:hAnsi="Times New Roman" w:cs="Times New Roman"/>
        </w:rPr>
        <w:t xml:space="preserve">presentation of WEA messages on the mobile device </w:t>
      </w:r>
      <w:r w:rsidRPr="00270271">
        <w:rPr>
          <w:rFonts w:ascii="Times New Roman" w:hAnsi="Times New Roman" w:cs="Times New Roman"/>
        </w:rPr>
        <w:t>as soon as they are received;</w:t>
      </w:r>
      <w:r>
        <w:rPr>
          <w:rStyle w:val="FootnoteReference"/>
          <w:rFonts w:cs="Times New Roman"/>
        </w:rPr>
        <w:footnoteReference w:id="7"/>
      </w:r>
      <w:r w:rsidR="00313F31">
        <w:rPr>
          <w:rFonts w:ascii="Times New Roman" w:hAnsi="Times New Roman" w:cs="Times New Roman"/>
        </w:rPr>
        <w:t xml:space="preserve"> and</w:t>
      </w:r>
    </w:p>
    <w:p w:rsidR="00770373" w:rsidRPr="00270271" w:rsidP="00E50126" w14:paraId="0C59791A" w14:textId="77777777">
      <w:pPr>
        <w:pStyle w:val="ListParagraph"/>
        <w:numPr>
          <w:ilvl w:val="0"/>
          <w:numId w:val="11"/>
        </w:numPr>
        <w:spacing w:after="120"/>
        <w:contextualSpacing w:val="0"/>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w:t>
      </w:r>
      <w:r w:rsidRPr="00270271" w:rsidR="000B50CE">
        <w:rPr>
          <w:rFonts w:ascii="Times New Roman" w:hAnsi="Times New Roman" w:cs="Times New Roman"/>
          <w:color w:val="000000" w:themeColor="text1"/>
          <w:shd w:val="clear" w:color="auto" w:fill="FFFFFF"/>
        </w:rPr>
        <w:t>tate/</w:t>
      </w:r>
      <w:r>
        <w:rPr>
          <w:rFonts w:ascii="Times New Roman" w:hAnsi="Times New Roman" w:cs="Times New Roman"/>
          <w:color w:val="000000" w:themeColor="text1"/>
          <w:shd w:val="clear" w:color="auto" w:fill="FFFFFF"/>
        </w:rPr>
        <w:t>L</w:t>
      </w:r>
      <w:r w:rsidRPr="00270271" w:rsidR="000B50CE">
        <w:rPr>
          <w:rFonts w:ascii="Times New Roman" w:hAnsi="Times New Roman" w:cs="Times New Roman"/>
          <w:color w:val="000000" w:themeColor="text1"/>
          <w:shd w:val="clear" w:color="auto" w:fill="FFFFFF"/>
        </w:rPr>
        <w:t xml:space="preserve">ocal WEA </w:t>
      </w:r>
      <w:r>
        <w:rPr>
          <w:rFonts w:ascii="Times New Roman" w:hAnsi="Times New Roman" w:cs="Times New Roman"/>
          <w:color w:val="000000" w:themeColor="text1"/>
          <w:shd w:val="clear" w:color="auto" w:fill="FFFFFF"/>
        </w:rPr>
        <w:t>T</w:t>
      </w:r>
      <w:r w:rsidRPr="00270271" w:rsidR="000B50CE">
        <w:rPr>
          <w:rFonts w:ascii="Times New Roman" w:hAnsi="Times New Roman" w:cs="Times New Roman"/>
          <w:color w:val="000000" w:themeColor="text1"/>
          <w:shd w:val="clear" w:color="auto" w:fill="FFFFFF"/>
        </w:rPr>
        <w:t>ests</w:t>
      </w:r>
      <w:r w:rsidRPr="00270271" w:rsidR="00B814EB">
        <w:rPr>
          <w:rFonts w:ascii="Times New Roman" w:hAnsi="Times New Roman" w:cs="Times New Roman"/>
          <w:color w:val="000000" w:themeColor="text1"/>
          <w:shd w:val="clear" w:color="auto" w:fill="FFFFFF"/>
        </w:rPr>
        <w:t>,</w:t>
      </w:r>
      <w:r w:rsidRPr="00270271" w:rsidR="000B50CE">
        <w:rPr>
          <w:rFonts w:ascii="Times New Roman" w:hAnsi="Times New Roman" w:cs="Times New Roman"/>
          <w:color w:val="000000" w:themeColor="text1"/>
          <w:shd w:val="clear" w:color="auto" w:fill="FFFFFF"/>
        </w:rPr>
        <w:t xml:space="preserve"> with the ability for consumers to opt in to receive such </w:t>
      </w:r>
      <w:r w:rsidR="007F0A10">
        <w:rPr>
          <w:rFonts w:ascii="Times New Roman" w:hAnsi="Times New Roman" w:cs="Times New Roman"/>
          <w:color w:val="000000" w:themeColor="text1"/>
          <w:shd w:val="clear" w:color="auto" w:fill="FFFFFF"/>
        </w:rPr>
        <w:t>tests</w:t>
      </w:r>
      <w:r w:rsidRPr="00270271" w:rsidR="000B50CE">
        <w:rPr>
          <w:rFonts w:ascii="Times New Roman" w:hAnsi="Times New Roman" w:cs="Times New Roman"/>
          <w:color w:val="000000" w:themeColor="text1"/>
          <w:shd w:val="clear" w:color="auto" w:fill="FFFFFF"/>
        </w:rPr>
        <w:t>.</w:t>
      </w:r>
      <w:r>
        <w:rPr>
          <w:rStyle w:val="FootnoteReference"/>
          <w:rFonts w:cs="Times New Roman"/>
          <w:shd w:val="clear" w:color="auto" w:fill="FFFFFF"/>
        </w:rPr>
        <w:footnoteReference w:id="8"/>
      </w:r>
    </w:p>
    <w:p w:rsidR="008D0A3F" w:rsidP="00006AFB" w14:paraId="5F87811B" w14:textId="77777777">
      <w:pPr>
        <w:ind w:firstLine="720"/>
      </w:pPr>
      <w:r>
        <w:t xml:space="preserve">The Federal Communications </w:t>
      </w:r>
      <w:r w:rsidR="007070C6">
        <w:t>Commission</w:t>
      </w:r>
      <w:r>
        <w:t xml:space="preserve"> </w:t>
      </w:r>
      <w:r w:rsidR="007070C6">
        <w:t xml:space="preserve">(Commission) </w:t>
      </w:r>
      <w:r>
        <w:t>adopted these improvem</w:t>
      </w:r>
      <w:bookmarkStart w:id="0" w:name="_GoBack"/>
      <w:bookmarkEnd w:id="0"/>
      <w:r>
        <w:t>ents to help communities communicate clearly and effectively about imminent threats and local crises</w:t>
      </w:r>
      <w:r>
        <w:t>, and t</w:t>
      </w:r>
      <w:r>
        <w:t>o</w:t>
      </w:r>
      <w:r w:rsidRPr="009E50C8">
        <w:t xml:space="preserve"> create a framework that </w:t>
      </w:r>
      <w:r>
        <w:t xml:space="preserve">would </w:t>
      </w:r>
      <w:r w:rsidRPr="009E50C8">
        <w:t xml:space="preserve">allow emergency managers to test, exercise, and raise public awareness about WEA.  </w:t>
      </w:r>
    </w:p>
    <w:p w:rsidR="00907BDF" w:rsidP="00006AFB" w14:paraId="6C70DE85" w14:textId="1A383596">
      <w:pPr>
        <w:ind w:firstLine="720"/>
      </w:pPr>
      <w:bookmarkStart w:id="1" w:name="_Hlk7101300"/>
      <w:r>
        <w:t>T</w:t>
      </w:r>
      <w:r w:rsidR="00F977E6">
        <w:t xml:space="preserve">he </w:t>
      </w:r>
      <w:r w:rsidR="00AD712A">
        <w:t>Department of Homeland Security’s Federal Emergency Management Agency (FEMA)</w:t>
      </w:r>
      <w:r w:rsidR="00F977E6">
        <w:t xml:space="preserve">, which </w:t>
      </w:r>
      <w:r w:rsidR="00AD712A">
        <w:t xml:space="preserve">administers the </w:t>
      </w:r>
      <w:r w:rsidR="00F977E6">
        <w:t xml:space="preserve">Integrated Public Alert and Warning System (IPAWS) </w:t>
      </w:r>
      <w:r w:rsidR="00006AFB">
        <w:t xml:space="preserve">infrastructure </w:t>
      </w:r>
      <w:r w:rsidR="00AD712A">
        <w:t xml:space="preserve">through which </w:t>
      </w:r>
      <w:r w:rsidR="007E6A60">
        <w:t xml:space="preserve">all </w:t>
      </w:r>
      <w:r w:rsidR="00AD712A">
        <w:t xml:space="preserve">alerts </w:t>
      </w:r>
      <w:r w:rsidR="00F977E6">
        <w:t xml:space="preserve">are </w:t>
      </w:r>
      <w:r w:rsidRPr="00F977E6" w:rsidR="00F977E6">
        <w:t>authenticated, validated</w:t>
      </w:r>
      <w:r w:rsidR="00F977E6">
        <w:t>,</w:t>
      </w:r>
      <w:r w:rsidRPr="00F977E6" w:rsidR="00F977E6">
        <w:t xml:space="preserve"> and delivered</w:t>
      </w:r>
      <w:r w:rsidR="00F977E6">
        <w:t xml:space="preserve"> to Participating CMS Providers, has </w:t>
      </w:r>
      <w:r w:rsidR="00AD712A">
        <w:t xml:space="preserve">recently informed the Bureau that IPAWS will </w:t>
      </w:r>
      <w:r w:rsidR="00F977E6">
        <w:t xml:space="preserve">not be ready to </w:t>
      </w:r>
      <w:r w:rsidR="00AD712A">
        <w:t xml:space="preserve">support these additional features </w:t>
      </w:r>
      <w:r w:rsidR="00F977E6">
        <w:t xml:space="preserve">until </w:t>
      </w:r>
      <w:r w:rsidR="00AD712A">
        <w:t>June 10, 2019.</w:t>
      </w:r>
      <w:r>
        <w:rPr>
          <w:rStyle w:val="FootnoteReference"/>
        </w:rPr>
        <w:footnoteReference w:id="9"/>
      </w:r>
      <w:r w:rsidR="00AD712A">
        <w:t xml:space="preserve">  </w:t>
      </w:r>
      <w:r w:rsidR="00F977E6">
        <w:t>Notwithstanding this development, w</w:t>
      </w:r>
      <w:r w:rsidR="00DD5BC7">
        <w:t>e</w:t>
      </w:r>
      <w:r w:rsidR="00027754">
        <w:t xml:space="preserve"> expect </w:t>
      </w:r>
      <w:r w:rsidR="008978C6">
        <w:t>P</w:t>
      </w:r>
      <w:r w:rsidR="00027754">
        <w:t xml:space="preserve">articipating CMS Providers </w:t>
      </w:r>
      <w:r w:rsidR="00CC4FE2">
        <w:t xml:space="preserve">to </w:t>
      </w:r>
      <w:r w:rsidR="00DE01A1">
        <w:t xml:space="preserve">have taken </w:t>
      </w:r>
      <w:r w:rsidR="005B2F26">
        <w:t>all</w:t>
      </w:r>
      <w:r w:rsidR="00C77B97">
        <w:t xml:space="preserve"> necessary </w:t>
      </w:r>
      <w:r w:rsidR="005B2F26">
        <w:t xml:space="preserve">steps </w:t>
      </w:r>
      <w:r w:rsidR="00076FC1">
        <w:t xml:space="preserve">to ensure that their networks and deployed WEA-capable handsets </w:t>
      </w:r>
      <w:r w:rsidR="00E46684">
        <w:t xml:space="preserve">are able to </w:t>
      </w:r>
      <w:r w:rsidR="00027754">
        <w:t>support these improvements</w:t>
      </w:r>
      <w:r w:rsidR="00CE7CE4">
        <w:t xml:space="preserve"> by </w:t>
      </w:r>
      <w:r>
        <w:t xml:space="preserve">the </w:t>
      </w:r>
      <w:r w:rsidR="00CE7CE4">
        <w:t xml:space="preserve">May </w:t>
      </w:r>
      <w:r w:rsidR="008D0A3F">
        <w:t>1</w:t>
      </w:r>
      <w:r>
        <w:t xml:space="preserve"> deadline</w:t>
      </w:r>
      <w:r w:rsidR="00E50126">
        <w:t xml:space="preserve"> as required by the Commission’s rules</w:t>
      </w:r>
      <w:r w:rsidR="00DD5BC7">
        <w:t>.</w:t>
      </w:r>
      <w:r>
        <w:rPr>
          <w:rStyle w:val="FootnoteReference"/>
        </w:rPr>
        <w:footnoteReference w:id="10"/>
      </w:r>
      <w:r w:rsidR="00027754">
        <w:t xml:space="preserve"> </w:t>
      </w:r>
      <w:r w:rsidR="00825909">
        <w:t xml:space="preserve"> </w:t>
      </w:r>
    </w:p>
    <w:bookmarkEnd w:id="1"/>
    <w:p w:rsidR="008B1179" w:rsidRPr="00E50126" w:rsidP="00006AFB" w14:paraId="41157BDE" w14:textId="77777777">
      <w:pPr>
        <w:rPr>
          <w:b/>
          <w:color w:val="000000" w:themeColor="text1"/>
          <w:shd w:val="clear" w:color="auto" w:fill="FFFFFF"/>
        </w:rPr>
      </w:pPr>
      <w:r w:rsidRPr="00F73AD1">
        <w:rPr>
          <w:b/>
          <w:color w:val="000000" w:themeColor="text1"/>
          <w:shd w:val="clear" w:color="auto" w:fill="FFFFFF"/>
        </w:rPr>
        <w:t>Guidance for State and Local Alert Originators</w:t>
      </w:r>
      <w:r w:rsidR="00E2619E">
        <w:rPr>
          <w:b/>
          <w:color w:val="000000" w:themeColor="text1"/>
          <w:shd w:val="clear" w:color="auto" w:fill="FFFFFF"/>
        </w:rPr>
        <w:t xml:space="preserve"> on State/Local WEA Testing</w:t>
      </w:r>
    </w:p>
    <w:p w:rsidR="00E2619E" w:rsidP="00813039" w14:paraId="703DCEAF" w14:textId="32A6BF1C">
      <w:pPr>
        <w:ind w:firstLine="720"/>
      </w:pPr>
      <w:r>
        <w:t>Alert originators wishing to conduct end-to-end WEA tests prior to IPAWS</w:t>
      </w:r>
      <w:r w:rsidR="003E7145">
        <w:t>’</w:t>
      </w:r>
      <w:r>
        <w:t xml:space="preserve"> readiness to support State/Local WEA Tests must continue to use existing WEA message classifications to permit the alerts to be transmitted to the public.</w:t>
      </w:r>
      <w:r>
        <w:rPr>
          <w:rStyle w:val="FootnoteReference"/>
        </w:rPr>
        <w:footnoteReference w:id="11"/>
      </w:r>
      <w:r>
        <w:t xml:space="preserve">  </w:t>
      </w:r>
      <w:r w:rsidR="00005EBC">
        <w:t xml:space="preserve">During this </w:t>
      </w:r>
      <w:r w:rsidR="007E6A60">
        <w:t xml:space="preserve">brief </w:t>
      </w:r>
      <w:r w:rsidR="00005EBC">
        <w:t>interim</w:t>
      </w:r>
      <w:r>
        <w:t xml:space="preserve"> period</w:t>
      </w:r>
      <w:r w:rsidR="00813039">
        <w:t>—</w:t>
      </w:r>
      <w:r>
        <w:t>until June 10, 2019 or until such time as IPAWS is ready to support State/Local Tests</w:t>
      </w:r>
      <w:r w:rsidR="00813039">
        <w:t>—</w:t>
      </w:r>
      <w:r w:rsidR="00BD3250">
        <w:t>t</w:t>
      </w:r>
      <w:r w:rsidR="00E97297">
        <w:t>he</w:t>
      </w:r>
      <w:r w:rsidR="003A7C12">
        <w:t xml:space="preserve"> </w:t>
      </w:r>
      <w:r w:rsidR="00E97297">
        <w:t xml:space="preserve">Bureau finds good cause to extend the </w:t>
      </w:r>
      <w:r w:rsidR="007705E5">
        <w:t xml:space="preserve">effective date of the </w:t>
      </w:r>
      <w:r w:rsidR="00EB4E6A">
        <w:t xml:space="preserve">obligation that entities request a waiver of the </w:t>
      </w:r>
      <w:r w:rsidR="00F37EC2">
        <w:t xml:space="preserve">Commission’s rules </w:t>
      </w:r>
      <w:r w:rsidR="00EB4E6A">
        <w:t xml:space="preserve">to conduct </w:t>
      </w:r>
      <w:r w:rsidR="00F37EC2">
        <w:t>end-to-end WEA test</w:t>
      </w:r>
      <w:r w:rsidR="00005EBC">
        <w:t>s</w:t>
      </w:r>
      <w:r w:rsidR="00F37EC2">
        <w:t xml:space="preserve"> </w:t>
      </w:r>
      <w:r w:rsidR="007E6A60">
        <w:t>to the public</w:t>
      </w:r>
      <w:r w:rsidR="00BD3250">
        <w:t>.</w:t>
      </w:r>
      <w:r>
        <w:rPr>
          <w:rStyle w:val="FootnoteReference"/>
        </w:rPr>
        <w:footnoteReference w:id="12"/>
      </w:r>
      <w:r w:rsidR="00BD3250">
        <w:t xml:space="preserve"> </w:t>
      </w:r>
      <w:r w:rsidR="00F37EC2">
        <w:t xml:space="preserve"> </w:t>
      </w:r>
    </w:p>
    <w:p w:rsidR="004574F1" w:rsidRPr="00794866" w:rsidP="00006AFB" w14:paraId="0E2F0404" w14:textId="1C74CE29">
      <w:pPr>
        <w:ind w:firstLine="720"/>
      </w:pPr>
      <w:r>
        <w:t xml:space="preserve">Following </w:t>
      </w:r>
      <w:r w:rsidR="00005EBC">
        <w:t xml:space="preserve">completion of IPAWS readiness to support </w:t>
      </w:r>
      <w:r w:rsidR="00E47D54">
        <w:t>State/Local WEA Test</w:t>
      </w:r>
      <w:r w:rsidR="00EB4E6A">
        <w:t>s</w:t>
      </w:r>
      <w:r>
        <w:t xml:space="preserve">, alerting officials </w:t>
      </w:r>
      <w:r w:rsidR="005348AA">
        <w:t xml:space="preserve">may use State/Local Tests to conduct end-to-end WEA tests to the public without the need for </w:t>
      </w:r>
      <w:r w:rsidR="00044EB1">
        <w:t xml:space="preserve">a waiver of the Commission’s rules.  </w:t>
      </w:r>
      <w:r w:rsidR="00907BDF">
        <w:t>S</w:t>
      </w:r>
      <w:r w:rsidR="008B1179">
        <w:t>tate/</w:t>
      </w:r>
      <w:r w:rsidR="00385C77">
        <w:t>L</w:t>
      </w:r>
      <w:r w:rsidR="008B1179">
        <w:t xml:space="preserve">ocal WEA </w:t>
      </w:r>
      <w:r w:rsidR="00385C77">
        <w:t>T</w:t>
      </w:r>
      <w:r w:rsidR="008B1179">
        <w:t xml:space="preserve">est messages </w:t>
      </w:r>
      <w:r w:rsidR="00907BDF">
        <w:t xml:space="preserve">will </w:t>
      </w:r>
      <w:r w:rsidR="008B1179">
        <w:t>differ</w:t>
      </w:r>
      <w:r w:rsidR="00907BDF">
        <w:t xml:space="preserve"> from actual alert messages</w:t>
      </w:r>
      <w:r w:rsidR="008B1179">
        <w:t xml:space="preserve"> to </w:t>
      </w:r>
      <w:r w:rsidRPr="009E50C8" w:rsidR="008B1179">
        <w:t xml:space="preserve">minimize any chance that </w:t>
      </w:r>
      <w:r w:rsidR="00907BDF">
        <w:t>they</w:t>
      </w:r>
      <w:r w:rsidRPr="009E50C8" w:rsidR="008B1179">
        <w:t xml:space="preserve"> might be misconstrued as actual </w:t>
      </w:r>
      <w:r w:rsidR="008B1179">
        <w:t xml:space="preserve">alerts.  </w:t>
      </w:r>
      <w:r w:rsidR="00907BDF">
        <w:t>Consumers</w:t>
      </w:r>
      <w:r w:rsidR="008B1179">
        <w:t xml:space="preserve"> will not receive </w:t>
      </w:r>
      <w:r w:rsidR="00385C77">
        <w:t>S</w:t>
      </w:r>
      <w:r w:rsidR="008B1179">
        <w:t>tate/</w:t>
      </w:r>
      <w:r w:rsidR="00385C77">
        <w:t>L</w:t>
      </w:r>
      <w:r w:rsidR="008B1179">
        <w:t xml:space="preserve">ocal WEA </w:t>
      </w:r>
      <w:r w:rsidR="00385C77">
        <w:t>T</w:t>
      </w:r>
      <w:r w:rsidR="008B1179">
        <w:t>ests by default</w:t>
      </w:r>
      <w:r w:rsidR="00907BDF">
        <w:t xml:space="preserve">; instead, they </w:t>
      </w:r>
      <w:r w:rsidR="008B1179">
        <w:t>must affirmatively opt in to receive these test messages.</w:t>
      </w:r>
      <w:r>
        <w:rPr>
          <w:rStyle w:val="FootnoteReference"/>
        </w:rPr>
        <w:footnoteReference w:id="13"/>
      </w:r>
      <w:r w:rsidR="008B1179">
        <w:t xml:space="preserve">  Further, </w:t>
      </w:r>
      <w:r w:rsidR="00385C77">
        <w:t>S</w:t>
      </w:r>
      <w:r w:rsidR="008B1179">
        <w:t>tate/</w:t>
      </w:r>
      <w:r w:rsidR="00385C77">
        <w:t>L</w:t>
      </w:r>
      <w:r w:rsidR="008B1179">
        <w:t xml:space="preserve">ocal WEA </w:t>
      </w:r>
      <w:r w:rsidR="00385C77">
        <w:t>T</w:t>
      </w:r>
      <w:r w:rsidR="008B1179">
        <w:t>ests must incl</w:t>
      </w:r>
      <w:r w:rsidRPr="00794866" w:rsidR="008B1179">
        <w:t>ude conspicuous language sufficient to make clear to the public that the message is, in fact, only a test.</w:t>
      </w:r>
      <w:r>
        <w:rPr>
          <w:rStyle w:val="FootnoteReference"/>
        </w:rPr>
        <w:footnoteReference w:id="14"/>
      </w:r>
      <w:r w:rsidRPr="00794866" w:rsidR="008B1179">
        <w:t xml:space="preserve">  </w:t>
      </w:r>
      <w:r w:rsidR="0072320F">
        <w:rPr>
          <w:color w:val="000000" w:themeColor="text1"/>
          <w:shd w:val="clear" w:color="auto" w:fill="FFFFFF"/>
        </w:rPr>
        <w:t>The Commission encourages emergency management agencies to engage in proficiency training exercises using the State/Local WEA Testing framework where appropriate.</w:t>
      </w:r>
      <w:r>
        <w:rPr>
          <w:rStyle w:val="FootnoteReference"/>
          <w:shd w:val="clear" w:color="auto" w:fill="FFFFFF"/>
        </w:rPr>
        <w:footnoteReference w:id="15"/>
      </w:r>
      <w:r w:rsidR="0072320F">
        <w:rPr>
          <w:color w:val="000000" w:themeColor="text1"/>
          <w:shd w:val="clear" w:color="auto" w:fill="FFFFFF"/>
        </w:rPr>
        <w:t xml:space="preserve"> </w:t>
      </w:r>
    </w:p>
    <w:p w:rsidR="00930ECF" w:rsidP="00006AFB" w14:paraId="3CB9CB6B" w14:textId="77777777">
      <w:pPr>
        <w:autoSpaceDE w:val="0"/>
        <w:autoSpaceDN w:val="0"/>
        <w:adjustRightInd w:val="0"/>
        <w:ind w:firstLine="720"/>
      </w:pPr>
      <w:r>
        <w:rPr>
          <w:bCs/>
        </w:rPr>
        <w:t xml:space="preserve">For further information, please contact </w:t>
      </w:r>
      <w:r w:rsidRPr="00794866" w:rsidR="001B3D7E">
        <w:t xml:space="preserve">Linda M. Pintro, </w:t>
      </w:r>
      <w:r>
        <w:t xml:space="preserve">Attorney Advisor, </w:t>
      </w:r>
      <w:r w:rsidRPr="00794866" w:rsidR="001B3D7E">
        <w:t xml:space="preserve">Policy and Licensing Division, Public Safety and Homeland Security Bureau, at </w:t>
      </w:r>
      <w:r>
        <w:t>(</w:t>
      </w:r>
      <w:r w:rsidRPr="00794866" w:rsidR="001B3D7E">
        <w:t>202</w:t>
      </w:r>
      <w:r>
        <w:t xml:space="preserve">) </w:t>
      </w:r>
      <w:r w:rsidRPr="00794866" w:rsidR="001B3D7E">
        <w:t xml:space="preserve">418-7490 or </w:t>
      </w:r>
      <w:hyperlink r:id="rId5" w:history="1">
        <w:r w:rsidRPr="00B46E1F">
          <w:rPr>
            <w:rStyle w:val="Hyperlink"/>
          </w:rPr>
          <w:t>linda.pintro@fcc.gov</w:t>
        </w:r>
      </w:hyperlink>
      <w:r>
        <w:t>.</w:t>
      </w:r>
    </w:p>
    <w:p w:rsidR="00CC64D4" w:rsidP="00006AFB" w14:paraId="3EBDAA07" w14:textId="77777777">
      <w:pPr>
        <w:autoSpaceDE w:val="0"/>
        <w:autoSpaceDN w:val="0"/>
        <w:adjustRightInd w:val="0"/>
      </w:pPr>
    </w:p>
    <w:p w:rsidR="00CC64D4" w:rsidRPr="00006AFB" w:rsidP="00863905" w14:paraId="0D30A670" w14:textId="77777777">
      <w:pPr>
        <w:autoSpaceDE w:val="0"/>
        <w:autoSpaceDN w:val="0"/>
        <w:adjustRightInd w:val="0"/>
        <w:jc w:val="center"/>
      </w:pPr>
      <w:r w:rsidRPr="00006AFB">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B597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88B1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540CDF5" w14:textId="2BC19272">
    <w:pPr>
      <w:pStyle w:val="Footer"/>
      <w:jc w:val="center"/>
    </w:pPr>
    <w:r>
      <w:fldChar w:fldCharType="begin"/>
    </w:r>
    <w:r>
      <w:instrText xml:space="preserve"> PAGE   \* MERGEFORMAT </w:instrText>
    </w:r>
    <w:r>
      <w:fldChar w:fldCharType="separate"/>
    </w:r>
    <w:r w:rsidR="003E714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C1692" w14:paraId="2A61AE3D" w14:textId="732F07A5">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420" w14:paraId="490B74F9" w14:textId="77777777">
      <w:r>
        <w:separator/>
      </w:r>
    </w:p>
  </w:footnote>
  <w:footnote w:type="continuationSeparator" w:id="1">
    <w:p w:rsidR="00D51420" w14:paraId="47035445" w14:textId="77777777">
      <w:pPr>
        <w:rPr>
          <w:sz w:val="20"/>
        </w:rPr>
      </w:pPr>
      <w:r>
        <w:rPr>
          <w:sz w:val="20"/>
        </w:rPr>
        <w:t xml:space="preserve">(Continued from previous page)  </w:t>
      </w:r>
      <w:r>
        <w:rPr>
          <w:sz w:val="20"/>
        </w:rPr>
        <w:separator/>
      </w:r>
    </w:p>
  </w:footnote>
  <w:footnote w:type="continuationNotice" w:id="2">
    <w:p w:rsidR="00D51420" w:rsidP="00910F12" w14:paraId="448B4EE7" w14:textId="77777777">
      <w:pPr>
        <w:jc w:val="right"/>
        <w:rPr>
          <w:sz w:val="20"/>
        </w:rPr>
      </w:pPr>
      <w:r>
        <w:rPr>
          <w:sz w:val="20"/>
        </w:rPr>
        <w:t>(continued….)</w:t>
      </w:r>
    </w:p>
  </w:footnote>
  <w:footnote w:id="3">
    <w:p w:rsidR="00FB6F19" w14:paraId="56B01BA6" w14:textId="101A7219">
      <w:pPr>
        <w:pStyle w:val="FootnoteText"/>
      </w:pPr>
      <w:r>
        <w:rPr>
          <w:rStyle w:val="FootnoteReference"/>
        </w:rPr>
        <w:footnoteRef/>
      </w:r>
      <w:r>
        <w:t xml:space="preserve"> </w:t>
      </w:r>
      <w:r w:rsidRPr="00FB6F19">
        <w:t xml:space="preserve">Participating CMS Providers are commercial mobile service providers that have elected voluntarily to transmit WEA alert messages. </w:t>
      </w:r>
      <w:r w:rsidR="00A47977">
        <w:t xml:space="preserve"> </w:t>
      </w:r>
      <w:r w:rsidRPr="00FB6F19">
        <w:t>47 CFR § 10.10(d), (f).</w:t>
      </w:r>
    </w:p>
  </w:footnote>
  <w:footnote w:id="4">
    <w:p w:rsidR="00A12770" w:rsidRPr="00A12770" w14:paraId="3D219B6D" w14:textId="2120CDF1">
      <w:pPr>
        <w:pStyle w:val="FootnoteText"/>
        <w:rPr>
          <w:rFonts w:eastAsiaTheme="minorEastAsia"/>
          <w:lang w:eastAsia="ja-JP"/>
        </w:rPr>
      </w:pPr>
      <w:r>
        <w:rPr>
          <w:rStyle w:val="FootnoteReference"/>
        </w:rPr>
        <w:footnoteRef/>
      </w:r>
      <w:r>
        <w:t xml:space="preserve"> </w:t>
      </w:r>
      <w:r>
        <w:rPr>
          <w:i/>
        </w:rPr>
        <w:t xml:space="preserve">See </w:t>
      </w:r>
      <w:r w:rsidRPr="003E3FAF" w:rsidR="003E3FAF">
        <w:rPr>
          <w:i/>
        </w:rPr>
        <w:t>id</w:t>
      </w:r>
      <w:r w:rsidR="003E3FAF">
        <w:t>. at</w:t>
      </w:r>
      <w:r w:rsidRPr="00A12770">
        <w:t xml:space="preserve"> § 10.430</w:t>
      </w:r>
      <w:r>
        <w:t>.</w:t>
      </w:r>
    </w:p>
  </w:footnote>
  <w:footnote w:id="5">
    <w:p w:rsidR="00E83A47" w:rsidP="00E83A47" w14:paraId="4D54828F" w14:textId="77777777">
      <w:pPr>
        <w:pStyle w:val="FootnoteText"/>
      </w:pPr>
      <w:r>
        <w:rPr>
          <w:rStyle w:val="FootnoteReference"/>
        </w:rPr>
        <w:footnoteRef/>
      </w:r>
      <w:r>
        <w:t xml:space="preserve"> </w:t>
      </w:r>
      <w:r>
        <w:rPr>
          <w:rFonts w:eastAsiaTheme="minorHAnsi"/>
          <w:snapToGrid w:val="0"/>
          <w:color w:val="000000" w:themeColor="text1"/>
          <w:szCs w:val="22"/>
          <w:shd w:val="clear" w:color="auto" w:fill="FFFFFF"/>
        </w:rPr>
        <w:t>A</w:t>
      </w:r>
      <w:r w:rsidRPr="00AA19D2">
        <w:rPr>
          <w:rFonts w:eastAsiaTheme="minorHAnsi"/>
          <w:snapToGrid w:val="0"/>
          <w:color w:val="000000" w:themeColor="text1"/>
          <w:szCs w:val="22"/>
          <w:shd w:val="clear" w:color="auto" w:fill="FFFFFF"/>
        </w:rPr>
        <w:t xml:space="preserve"> Public Safety Message </w:t>
      </w:r>
      <w:r>
        <w:rPr>
          <w:rFonts w:eastAsiaTheme="minorHAnsi"/>
          <w:snapToGrid w:val="0"/>
          <w:color w:val="000000" w:themeColor="text1"/>
          <w:szCs w:val="22"/>
          <w:shd w:val="clear" w:color="auto" w:fill="FFFFFF"/>
        </w:rPr>
        <w:t xml:space="preserve">is defined </w:t>
      </w:r>
      <w:r w:rsidRPr="00AA19D2">
        <w:rPr>
          <w:rFonts w:eastAsiaTheme="minorHAnsi"/>
          <w:snapToGrid w:val="0"/>
          <w:color w:val="000000" w:themeColor="text1"/>
          <w:szCs w:val="22"/>
          <w:shd w:val="clear" w:color="auto" w:fill="FFFFFF"/>
        </w:rPr>
        <w:t>as “an essential public safety advisory that prescribes one or more actions likely to save lives and/or safeguard property</w:t>
      </w:r>
      <w:r>
        <w:rPr>
          <w:rFonts w:eastAsiaTheme="minorHAnsi"/>
          <w:snapToGrid w:val="0"/>
          <w:color w:val="000000" w:themeColor="text1"/>
          <w:szCs w:val="22"/>
          <w:shd w:val="clear" w:color="auto" w:fill="FFFFFF"/>
        </w:rPr>
        <w:t xml:space="preserve">.”  </w:t>
      </w:r>
      <w:r w:rsidR="007E3A3B">
        <w:rPr>
          <w:rFonts w:eastAsiaTheme="minorHAnsi"/>
          <w:i/>
          <w:snapToGrid w:val="0"/>
          <w:color w:val="000000" w:themeColor="text1"/>
          <w:szCs w:val="22"/>
          <w:shd w:val="clear" w:color="auto" w:fill="FFFFFF"/>
        </w:rPr>
        <w:t>Id</w:t>
      </w:r>
      <w:r w:rsidR="007E3A3B">
        <w:rPr>
          <w:rFonts w:eastAsiaTheme="minorHAnsi"/>
          <w:snapToGrid w:val="0"/>
          <w:color w:val="000000" w:themeColor="text1"/>
          <w:szCs w:val="22"/>
          <w:shd w:val="clear" w:color="auto" w:fill="FFFFFF"/>
        </w:rPr>
        <w:t>. at</w:t>
      </w:r>
      <w:r w:rsidR="00BB0601">
        <w:rPr>
          <w:rFonts w:eastAsiaTheme="minorHAnsi"/>
          <w:snapToGrid w:val="0"/>
          <w:color w:val="000000" w:themeColor="text1"/>
          <w:szCs w:val="22"/>
          <w:shd w:val="clear" w:color="auto" w:fill="FFFFFF"/>
        </w:rPr>
        <w:t xml:space="preserve"> § 10.400(d).</w:t>
      </w:r>
      <w:r>
        <w:rPr>
          <w:rFonts w:eastAsiaTheme="minorHAnsi"/>
          <w:snapToGrid w:val="0"/>
          <w:color w:val="000000" w:themeColor="text1"/>
          <w:szCs w:val="22"/>
          <w:shd w:val="clear" w:color="auto" w:fill="FFFFFF"/>
        </w:rPr>
        <w:t xml:space="preserve">  Public Safety Messages</w:t>
      </w:r>
      <w:r w:rsidRPr="007070C6" w:rsidR="007070C6">
        <w:rPr>
          <w:rFonts w:eastAsiaTheme="minorHAnsi"/>
          <w:snapToGrid w:val="0"/>
          <w:color w:val="000000" w:themeColor="text1"/>
          <w:szCs w:val="22"/>
          <w:shd w:val="clear" w:color="auto" w:fill="FFFFFF"/>
        </w:rPr>
        <w:t xml:space="preserve"> </w:t>
      </w:r>
      <w:r>
        <w:rPr>
          <w:rFonts w:eastAsiaTheme="minorHAnsi"/>
          <w:snapToGrid w:val="0"/>
          <w:color w:val="000000" w:themeColor="text1"/>
          <w:szCs w:val="22"/>
          <w:shd w:val="clear" w:color="auto" w:fill="FFFFFF"/>
        </w:rPr>
        <w:t>may only be issued</w:t>
      </w:r>
      <w:r w:rsidRPr="009E50C8">
        <w:rPr>
          <w:bCs/>
        </w:rPr>
        <w:t xml:space="preserve"> in connection with an Imminent Threat Alert, an AMBER Alert, or a Presidential Alert</w:t>
      </w:r>
      <w:r>
        <w:rPr>
          <w:bCs/>
        </w:rPr>
        <w:t xml:space="preserve">.  </w:t>
      </w:r>
      <w:r w:rsidR="00BB0601">
        <w:rPr>
          <w:bCs/>
          <w:i/>
        </w:rPr>
        <w:t>Id</w:t>
      </w:r>
      <w:r>
        <w:rPr>
          <w:bCs/>
        </w:rPr>
        <w:t>.</w:t>
      </w:r>
    </w:p>
  </w:footnote>
  <w:footnote w:id="6">
    <w:p w:rsidR="00533701" w14:paraId="3E21793F" w14:textId="77777777">
      <w:pPr>
        <w:pStyle w:val="FootnoteText"/>
      </w:pPr>
      <w:r>
        <w:rPr>
          <w:rStyle w:val="FootnoteReference"/>
        </w:rPr>
        <w:footnoteRef/>
      </w:r>
      <w:r>
        <w:t xml:space="preserve"> </w:t>
      </w:r>
      <w:r w:rsidR="009B468E">
        <w:rPr>
          <w:i/>
        </w:rPr>
        <w:t>See Wireless Emergency Alerts; Amendments to Part 11 of the Commission’s Rules Regarding the Emergency Alert System</w:t>
      </w:r>
      <w:r w:rsidR="009B468E">
        <w:t>, Second Report and Order and Second Order on Reconsideration, 33 FCC Rcd 1320, 1347-48, paras. 49-50 (2018) (</w:t>
      </w:r>
      <w:r>
        <w:t xml:space="preserve">extending </w:t>
      </w:r>
      <w:r w:rsidR="009B468E">
        <w:t xml:space="preserve">the </w:t>
      </w:r>
      <w:r>
        <w:t xml:space="preserve">deadline for </w:t>
      </w:r>
      <w:r w:rsidR="009B468E">
        <w:t xml:space="preserve">compliance for </w:t>
      </w:r>
      <w:r>
        <w:t>Spanish language alerts</w:t>
      </w:r>
      <w:r w:rsidR="009B468E">
        <w:t>).</w:t>
      </w:r>
      <w:r>
        <w:t xml:space="preserve"> </w:t>
      </w:r>
    </w:p>
  </w:footnote>
  <w:footnote w:id="7">
    <w:p w:rsidR="004E62E2" w14:paraId="253542CD" w14:textId="77777777">
      <w:pPr>
        <w:pStyle w:val="FootnoteText"/>
      </w:pPr>
      <w:r>
        <w:rPr>
          <w:rStyle w:val="FootnoteReference"/>
        </w:rPr>
        <w:footnoteRef/>
      </w:r>
      <w:r>
        <w:t xml:space="preserve"> </w:t>
      </w:r>
      <w:r w:rsidRPr="00533701">
        <w:rPr>
          <w:i/>
        </w:rPr>
        <w:t>See</w:t>
      </w:r>
      <w:r>
        <w:t xml:space="preserve"> </w:t>
      </w:r>
      <w:r w:rsidR="009B468E">
        <w:t>47 CFR § 10.510</w:t>
      </w:r>
      <w:r>
        <w:t>.  Devices</w:t>
      </w:r>
      <w:r w:rsidRPr="009E50C8">
        <w:t xml:space="preserve"> engaged in active voice or data sessions on 4</w:t>
      </w:r>
      <w:r>
        <w:t xml:space="preserve">G </w:t>
      </w:r>
      <w:r w:rsidRPr="009E50C8">
        <w:t xml:space="preserve">LTE </w:t>
      </w:r>
      <w:r>
        <w:t>networks must receive</w:t>
      </w:r>
      <w:r w:rsidRPr="009E50C8">
        <w:t xml:space="preserve"> and prominently present </w:t>
      </w:r>
      <w:r w:rsidRPr="00D33BA2">
        <w:t>WEA</w:t>
      </w:r>
      <w:r w:rsidRPr="00B92468">
        <w:t xml:space="preserve"> </w:t>
      </w:r>
      <w:r>
        <w:t>messages</w:t>
      </w:r>
      <w:r w:rsidRPr="002C2A9F">
        <w:t xml:space="preserve"> as soon as they are available</w:t>
      </w:r>
      <w:r>
        <w:t>.  L</w:t>
      </w:r>
      <w:r w:rsidRPr="00C33098">
        <w:t xml:space="preserve">egacy WEA-capable mobile devices that cannot receive the Alert Message during an active voice or data session </w:t>
      </w:r>
      <w:r>
        <w:t>must</w:t>
      </w:r>
      <w:r w:rsidRPr="00C33098">
        <w:t xml:space="preserve"> present the </w:t>
      </w:r>
      <w:r>
        <w:t>WEA message</w:t>
      </w:r>
      <w:r w:rsidRPr="00C33098">
        <w:t xml:space="preserve"> prominently as soon as it is received</w:t>
      </w:r>
      <w:r>
        <w:t xml:space="preserve">, </w:t>
      </w:r>
      <w:r w:rsidRPr="00C33098">
        <w:t>upon the conclusion of the active voice or data session.</w:t>
      </w:r>
      <w:r>
        <w:t xml:space="preserve">  </w:t>
      </w:r>
      <w:r w:rsidRPr="00A34549" w:rsidR="008978C6">
        <w:rPr>
          <w:i/>
        </w:rPr>
        <w:t>Wireless Emergency Alerts; Amendments to Part 11 of the Commission’s Rules Regarding the Emergency Alert System</w:t>
      </w:r>
      <w:r w:rsidR="008978C6">
        <w:t>, Report and Order and Further Notice of Proposed Rulemaking, 31 FCC Rcd 11112, 11152, para. 60 (2016)</w:t>
      </w:r>
      <w:r w:rsidR="008978C6">
        <w:t xml:space="preserve"> </w:t>
      </w:r>
      <w:r w:rsidR="008978C6">
        <w:t>(</w:t>
      </w:r>
      <w:r w:rsidR="008978C6">
        <w:rPr>
          <w:i/>
        </w:rPr>
        <w:t>WEA R&amp;O</w:t>
      </w:r>
      <w:r w:rsidR="008978C6">
        <w:t>).</w:t>
      </w:r>
    </w:p>
  </w:footnote>
  <w:footnote w:id="8">
    <w:p w:rsidR="000B50CE" w:rsidRPr="000B50CE" w14:paraId="07506EF2" w14:textId="77777777">
      <w:pPr>
        <w:pStyle w:val="FootnoteText"/>
      </w:pPr>
      <w:r>
        <w:rPr>
          <w:rStyle w:val="FootnoteReference"/>
        </w:rPr>
        <w:footnoteRef/>
      </w:r>
      <w:r>
        <w:t xml:space="preserve"> </w:t>
      </w:r>
      <w:r>
        <w:rPr>
          <w:i/>
        </w:rPr>
        <w:t>See</w:t>
      </w:r>
      <w:r w:rsidR="008978C6">
        <w:rPr>
          <w:i/>
        </w:rPr>
        <w:t xml:space="preserve"> WEA R&amp;O</w:t>
      </w:r>
      <w:r w:rsidR="008978C6">
        <w:t>, para. 65</w:t>
      </w:r>
      <w:r>
        <w:t xml:space="preserve">.  In addition, </w:t>
      </w:r>
      <w:r w:rsidRPr="00B814EB" w:rsidR="00B814EB">
        <w:t xml:space="preserve">smaller, regional </w:t>
      </w:r>
      <w:r w:rsidR="008978C6">
        <w:t>P</w:t>
      </w:r>
      <w:r w:rsidR="00B814EB">
        <w:t xml:space="preserve">articipating CMS </w:t>
      </w:r>
      <w:r w:rsidR="008978C6">
        <w:t>P</w:t>
      </w:r>
      <w:r w:rsidR="00B814EB">
        <w:t xml:space="preserve">roviders must be able to support “clickable” embedded references (i.e., URLs and phone numbers) in WEA messages by May 1, 2019.  </w:t>
      </w:r>
      <w:r w:rsidRPr="00B814EB" w:rsidR="00B814EB">
        <w:rPr>
          <w:i/>
        </w:rPr>
        <w:t>See</w:t>
      </w:r>
      <w:r w:rsidR="008978C6">
        <w:t xml:space="preserve"> </w:t>
      </w:r>
      <w:r w:rsidR="008978C6">
        <w:rPr>
          <w:i/>
        </w:rPr>
        <w:t>Wireless Emergency Alerts; Amendments to Part 11 of the Commission’s Rules Regarding the Emergency Alert System</w:t>
      </w:r>
      <w:r w:rsidR="008978C6">
        <w:t>, Order on Reconsideration, 32 FCC Rcd 9621 (2017) (</w:t>
      </w:r>
      <w:r w:rsidR="00533701">
        <w:t xml:space="preserve">extending </w:t>
      </w:r>
      <w:r w:rsidR="008978C6">
        <w:t xml:space="preserve">the </w:t>
      </w:r>
      <w:r w:rsidR="00533701">
        <w:t>deadline to May 1, 2019 for smaller providers</w:t>
      </w:r>
      <w:r w:rsidR="008978C6">
        <w:t xml:space="preserve"> to support</w:t>
      </w:r>
      <w:r w:rsidR="003F0D39">
        <w:t xml:space="preserve"> “clickable”</w:t>
      </w:r>
      <w:r w:rsidR="008978C6">
        <w:t xml:space="preserve"> </w:t>
      </w:r>
      <w:r w:rsidR="003F0D39">
        <w:t xml:space="preserve">embedded </w:t>
      </w:r>
      <w:r w:rsidR="00D70B45">
        <w:t>references</w:t>
      </w:r>
      <w:r w:rsidR="003F0D39">
        <w:t>)</w:t>
      </w:r>
      <w:r w:rsidR="00B814EB">
        <w:t>.</w:t>
      </w:r>
      <w:r w:rsidR="00C27BDC">
        <w:t xml:space="preserve">  IPAWS currently supports the inclusion of embedded references in WEA messages.</w:t>
      </w:r>
    </w:p>
  </w:footnote>
  <w:footnote w:id="9">
    <w:p w:rsidR="00AD712A" w:rsidRPr="00863905" w:rsidP="00AD712A" w14:paraId="33BCDD6E" w14:textId="77777777">
      <w:pPr>
        <w:pStyle w:val="FootnoteText"/>
        <w:rPr>
          <w:i/>
        </w:rPr>
      </w:pPr>
      <w:r>
        <w:rPr>
          <w:rStyle w:val="FootnoteReference"/>
        </w:rPr>
        <w:footnoteRef/>
      </w:r>
      <w:r>
        <w:t xml:space="preserve"> Phone call from Elizabeth Cuttner, Attorney Advisor, Policy and Licensing Division, Public Safety and Homeland Security Bureau, FCC, et al., to Mark Lucero, Chief, IPAWS Engineering, FEMA, et al. (Apr. 26, 2019) (FCC Public Safety and Homeland Security Bureau staff and FEMA IPAWS staff conference call).  In addition to IPAWS’ readiness to support these features, alert originators’ ability to use these capabilities depends upon completion of any necessary upgrades to alert origination software.  Alert originators should reach out to their alert origination software providers to determine their preparedness to support these WEA enhancements.  Testing in IPAWS is already available for alert origination software providers.  FEMA’s IPAWS Program Management Office offers webinars to provide information to alert origination software providers on how to incorporate the new features into their products</w:t>
      </w:r>
      <w:r>
        <w:rPr>
          <w:i/>
        </w:rPr>
        <w:t xml:space="preserve">.  </w:t>
      </w:r>
      <w:r>
        <w:t xml:space="preserve">To receive information about upcoming webinar topics, dates and times, subscribe to email notifications at </w:t>
      </w:r>
      <w:hyperlink r:id="rId1" w:history="1">
        <w:r w:rsidRPr="005233F0">
          <w:rPr>
            <w:rStyle w:val="Hyperlink"/>
          </w:rPr>
          <w:t>https://www.fema.gov/integrated-public-alert-warning-system-program-management-office-get-involved</w:t>
        </w:r>
      </w:hyperlink>
      <w:r>
        <w:t>.  Recordings of past webinars are available.</w:t>
      </w:r>
      <w:r w:rsidRPr="007C1692">
        <w:t xml:space="preserve">  </w:t>
      </w:r>
      <w:r w:rsidRPr="00C96004">
        <w:rPr>
          <w:i/>
        </w:rPr>
        <w:t>See</w:t>
      </w:r>
      <w:r>
        <w:t xml:space="preserve"> </w:t>
      </w:r>
      <w:hyperlink r:id="rId2" w:history="1">
        <w:r w:rsidRPr="003303BC">
          <w:rPr>
            <w:rStyle w:val="Hyperlink"/>
          </w:rPr>
          <w:t>www.fema.gov/ipaws</w:t>
        </w:r>
      </w:hyperlink>
      <w:r>
        <w:t xml:space="preserve"> for more information.  </w:t>
      </w:r>
    </w:p>
  </w:footnote>
  <w:footnote w:id="10">
    <w:p w:rsidR="00E75C6C" w:rsidRPr="00E75C6C" w14:paraId="6F87A28B" w14:textId="77777777">
      <w:pPr>
        <w:pStyle w:val="FootnoteText"/>
      </w:pPr>
      <w:r>
        <w:rPr>
          <w:rStyle w:val="FootnoteReference"/>
        </w:rPr>
        <w:footnoteRef/>
      </w:r>
      <w:r>
        <w:t xml:space="preserve"> </w:t>
      </w:r>
      <w:r>
        <w:rPr>
          <w:i/>
        </w:rPr>
        <w:t xml:space="preserve">See </w:t>
      </w:r>
      <w:r>
        <w:t xml:space="preserve">Letter from Matthew </w:t>
      </w:r>
      <w:r w:rsidR="001A4D92">
        <w:t xml:space="preserve">B. </w:t>
      </w:r>
      <w:r>
        <w:t>Gerst</w:t>
      </w:r>
      <w:r w:rsidR="001A4D92">
        <w:t>, Vice President, Regulatory Affairs, CTIA, to Marlene H. Dortch, Secretary, Federal Communications Commission</w:t>
      </w:r>
      <w:r w:rsidR="00E5743C">
        <w:t>, PS Docket Nos. 15-91, 15-94, at 2</w:t>
      </w:r>
      <w:r w:rsidR="001A4D92">
        <w:t xml:space="preserve"> (filed Apr. 24, 2019)</w:t>
      </w:r>
      <w:r>
        <w:t xml:space="preserve"> (stating that Participating CMS Providers and handset manufacturers “have taken steps within their control to support WEA 2.0 features by the May 1, 2019 deadline, including updating the relevant standards, implementing WEA 2.0 capabilities into their networks and deploying WEA-capable wireless handsets”).  CTIA notes that Participating CMS Providers cannot deploy the May 1 WEA enhancements until IPAWS has the capability in place to support and complete required testing of those features.  </w:t>
      </w:r>
      <w:r>
        <w:rPr>
          <w:i/>
        </w:rPr>
        <w:t>Id</w:t>
      </w:r>
      <w:r>
        <w:t xml:space="preserve">. at 1-2.  However, </w:t>
      </w:r>
      <w:r w:rsidR="00CC4FE2">
        <w:t xml:space="preserve">CTIA reports, </w:t>
      </w:r>
      <w:r>
        <w:t xml:space="preserve">once FEMA’s IPAWS </w:t>
      </w:r>
      <w:r w:rsidRPr="00F4339B">
        <w:t>gateway</w:t>
      </w:r>
      <w:r>
        <w:t xml:space="preserve"> is capable of testing the May 1 WEA enhancements, </w:t>
      </w:r>
      <w:r w:rsidR="00CC4FE2">
        <w:t>CTIA</w:t>
      </w:r>
      <w:r w:rsidR="00DD5BC7">
        <w:t>’s</w:t>
      </w:r>
      <w:r w:rsidR="00CC4FE2">
        <w:t xml:space="preserve"> </w:t>
      </w:r>
      <w:r>
        <w:t xml:space="preserve">participating member companies stand ready to test as soon as is practicable and deploy the capability in coordination with FEMA.  </w:t>
      </w:r>
      <w:r>
        <w:rPr>
          <w:i/>
        </w:rPr>
        <w:t>Id</w:t>
      </w:r>
      <w:r>
        <w:t xml:space="preserve">. at 2. </w:t>
      </w:r>
    </w:p>
  </w:footnote>
  <w:footnote w:id="11">
    <w:p w:rsidR="00F4339B" w:rsidP="00F4339B" w14:paraId="4EEF9F81" w14:textId="01A1FC9B">
      <w:pPr>
        <w:pStyle w:val="FootnoteText"/>
      </w:pPr>
      <w:r>
        <w:rPr>
          <w:rStyle w:val="FootnoteReference"/>
        </w:rPr>
        <w:footnoteRef/>
      </w:r>
      <w:r>
        <w:t xml:space="preserve"> </w:t>
      </w:r>
      <w:r>
        <w:rPr>
          <w:i/>
        </w:rPr>
        <w:t xml:space="preserve">See </w:t>
      </w:r>
      <w:r w:rsidR="00D8528B">
        <w:t>47 CFR</w:t>
      </w:r>
      <w:r>
        <w:t xml:space="preserve"> § 10.400.  </w:t>
      </w:r>
      <w:r w:rsidRPr="00942C51">
        <w:rPr>
          <w:szCs w:val="22"/>
        </w:rPr>
        <w:t>The Commission’s rules prohibit the use of the WEA Attention Signal except during actual emergencies, authorized tests, and certain public service announcements.</w:t>
      </w:r>
      <w:r>
        <w:rPr>
          <w:szCs w:val="22"/>
        </w:rPr>
        <w:t xml:space="preserve">  </w:t>
      </w:r>
      <w:r>
        <w:rPr>
          <w:i/>
          <w:szCs w:val="22"/>
        </w:rPr>
        <w:t>Id</w:t>
      </w:r>
      <w:r>
        <w:rPr>
          <w:szCs w:val="22"/>
        </w:rPr>
        <w:t>. at</w:t>
      </w:r>
      <w:r w:rsidRPr="00B0643B">
        <w:t xml:space="preserve"> § 10.520(d).  </w:t>
      </w:r>
    </w:p>
  </w:footnote>
  <w:footnote w:id="12">
    <w:p w:rsidR="00BD3250" w:rsidRPr="001D655A" w:rsidP="00BD3250" w14:paraId="1BC227BF" w14:textId="6E044D2A">
      <w:pPr>
        <w:pStyle w:val="FootnoteText"/>
      </w:pPr>
      <w:r>
        <w:rPr>
          <w:rStyle w:val="FootnoteReference"/>
        </w:rPr>
        <w:footnoteRef/>
      </w:r>
      <w:r>
        <w:t xml:space="preserve"> </w:t>
      </w:r>
      <w:r w:rsidRPr="005348AA">
        <w:rPr>
          <w:i/>
        </w:rPr>
        <w:t>See id</w:t>
      </w:r>
      <w:r>
        <w:t xml:space="preserve">. at §§ 0.5(c) (“Pursuant to section 5(c) of the Communications Act, the Commission has delegated authority to its staff to act on matters which are minor or routine or settled in nature and those in which </w:t>
      </w:r>
      <w:r w:rsidRPr="00372AFC">
        <w:rPr>
          <w:i/>
        </w:rPr>
        <w:t>immediate action may be necessary</w:t>
      </w:r>
      <w:r>
        <w:t xml:space="preserve">.”) (emphasis added), 1.3 (“The provisions of this chapter may be suspended, revoked, amended, or waived for good cause shown, in whole or in part, at any time by the Commission, subject to the provisions of the Administrative Procedure Act and the provisions of this chapter.”).  We will coordinate closely with FEMA to get updates on its progress and issue a further Public Notice confirming when the new functionality in IPAWS is operational.  </w:t>
      </w:r>
      <w:r>
        <w:rPr>
          <w:szCs w:val="22"/>
        </w:rPr>
        <w:t xml:space="preserve">  </w:t>
      </w:r>
    </w:p>
  </w:footnote>
  <w:footnote w:id="13">
    <w:p w:rsidR="005A51EA" w14:paraId="56D7961C" w14:textId="77777777">
      <w:pPr>
        <w:pStyle w:val="FootnoteText"/>
      </w:pPr>
      <w:r>
        <w:rPr>
          <w:rStyle w:val="FootnoteReference"/>
        </w:rPr>
        <w:footnoteRef/>
      </w:r>
      <w:r>
        <w:t xml:space="preserve"> </w:t>
      </w:r>
      <w:r w:rsidR="0008014D">
        <w:rPr>
          <w:i/>
        </w:rPr>
        <w:t>WEA R&amp;O</w:t>
      </w:r>
      <w:r>
        <w:t>, 31 FCC Rcd at 11154-55, para. 65</w:t>
      </w:r>
      <w:r w:rsidR="00385C77">
        <w:t xml:space="preserve"> (requiring Participating CMS Providers to provide their subscribers with the option to receive </w:t>
      </w:r>
      <w:r w:rsidR="00EB5A64">
        <w:t>S</w:t>
      </w:r>
      <w:r w:rsidR="00385C77">
        <w:t>tate/</w:t>
      </w:r>
      <w:r w:rsidR="00EB5A64">
        <w:t>L</w:t>
      </w:r>
      <w:r w:rsidR="00385C77">
        <w:t xml:space="preserve">ocal WEA </w:t>
      </w:r>
      <w:r w:rsidR="00EB5A64">
        <w:t>T</w:t>
      </w:r>
      <w:r w:rsidR="00385C77">
        <w:t>ests, whereby subscribers must affirmatively select the option to receive State/Local WEA Test messages).</w:t>
      </w:r>
    </w:p>
  </w:footnote>
  <w:footnote w:id="14">
    <w:p w:rsidR="005A51EA" w:rsidRPr="005A51EA" w14:paraId="27A6A1FE" w14:textId="77777777">
      <w:pPr>
        <w:pStyle w:val="FootnoteText"/>
      </w:pPr>
      <w:r>
        <w:rPr>
          <w:rStyle w:val="FootnoteReference"/>
        </w:rPr>
        <w:footnoteRef/>
      </w:r>
      <w:r>
        <w:t xml:space="preserve"> </w:t>
      </w:r>
      <w:r>
        <w:rPr>
          <w:i/>
        </w:rPr>
        <w:t>Id</w:t>
      </w:r>
      <w:r>
        <w:t xml:space="preserve">. (requiring </w:t>
      </w:r>
      <w:r w:rsidR="00385C77">
        <w:t>S</w:t>
      </w:r>
      <w:r>
        <w:t>tate/</w:t>
      </w:r>
      <w:r w:rsidR="00385C77">
        <w:t>L</w:t>
      </w:r>
      <w:r>
        <w:t xml:space="preserve">ocal WEA </w:t>
      </w:r>
      <w:r w:rsidR="00385C77">
        <w:t>T</w:t>
      </w:r>
      <w:r>
        <w:t>ests to include conspicuous language sufficient to make clear to the public that the message is only a test).</w:t>
      </w:r>
    </w:p>
  </w:footnote>
  <w:footnote w:id="15">
    <w:p w:rsidR="0072320F" w14:paraId="3EA15461" w14:textId="77777777">
      <w:pPr>
        <w:pStyle w:val="FootnoteText"/>
      </w:pPr>
      <w:r>
        <w:rPr>
          <w:rStyle w:val="FootnoteReference"/>
        </w:rPr>
        <w:footnoteRef/>
      </w:r>
      <w:r>
        <w:t xml:space="preserve"> </w:t>
      </w:r>
      <w:r>
        <w:rPr>
          <w:i/>
        </w:rPr>
        <w:t>Id</w:t>
      </w:r>
      <w:r>
        <w:t>., 31 FCC Rcd at 11155-56, para.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1EEFCBB" w14:textId="5767D075">
    <w:pPr>
      <w:tabs>
        <w:tab w:val="center" w:pos="4680"/>
        <w:tab w:val="right" w:pos="9360"/>
      </w:tabs>
    </w:pPr>
    <w:r w:rsidRPr="009838BC">
      <w:rPr>
        <w:b/>
      </w:rPr>
      <w:tab/>
      <w:t>Federal Communications Commission</w:t>
    </w:r>
    <w:r w:rsidRPr="009838BC">
      <w:rPr>
        <w:b/>
      </w:rPr>
      <w:tab/>
    </w:r>
    <w:r w:rsidR="00082D44">
      <w:rPr>
        <w:b/>
      </w:rPr>
      <w:t>DA 19-358</w:t>
    </w:r>
  </w:p>
  <w:p w:rsidR="009838BC" w:rsidRPr="009838BC" w:rsidP="009838BC" w14:paraId="786286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6C12F2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E5E1E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78740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787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A8E82F9" w14:textId="77777777">
                          <w:pPr>
                            <w:rPr>
                              <w:rFonts w:ascii="Arial" w:hAnsi="Arial"/>
                              <w:b/>
                            </w:rPr>
                          </w:pPr>
                          <w:r>
                            <w:rPr>
                              <w:rFonts w:ascii="Arial" w:hAnsi="Arial"/>
                              <w:b/>
                            </w:rPr>
                            <w:t>Federal Communications Commission</w:t>
                          </w:r>
                        </w:p>
                        <w:p w:rsidR="009838BC" w:rsidP="009838BC" w14:paraId="484394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3A3D64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62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826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717A14D" w14:textId="77777777">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533400"/>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5B7D73F" w14:textId="77777777">
                          <w:pPr>
                            <w:spacing w:before="40"/>
                            <w:jc w:val="right"/>
                            <w:rPr>
                              <w:rFonts w:ascii="Arial" w:hAnsi="Arial"/>
                              <w:b/>
                              <w:sz w:val="16"/>
                            </w:rPr>
                          </w:pPr>
                          <w:r>
                            <w:rPr>
                              <w:rFonts w:ascii="Arial" w:hAnsi="Arial"/>
                              <w:b/>
                              <w:sz w:val="16"/>
                            </w:rPr>
                            <w:t>News Media Information 202 / 418-0500</w:t>
                          </w:r>
                        </w:p>
                        <w:p w:rsidR="009838BC" w:rsidP="009838BC" w14:paraId="38C9576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F2B5AF2"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42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p>
  <w:p w:rsidR="006F7393" w:rsidRPr="009838BC" w:rsidP="009838BC" w14:paraId="5093C6B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C7555"/>
    <w:multiLevelType w:val="hybridMultilevel"/>
    <w:tmpl w:val="F93C1F7E"/>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4E07A03"/>
    <w:multiLevelType w:val="hybridMultilevel"/>
    <w:tmpl w:val="3A121F60"/>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78264F"/>
    <w:multiLevelType w:val="hybridMultilevel"/>
    <w:tmpl w:val="DE089228"/>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C63D10"/>
    <w:multiLevelType w:val="hybridMultilevel"/>
    <w:tmpl w:val="1C82EA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11">
    <w:nsid w:val="6EE23523"/>
    <w:multiLevelType w:val="hybridMultilevel"/>
    <w:tmpl w:val="99AE1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5"/>
  </w:num>
  <w:num w:numId="8">
    <w:abstractNumId w:val="10"/>
  </w:num>
  <w:num w:numId="9">
    <w:abstractNumId w:val="9"/>
    <w:lvlOverride w:ilvl="0">
      <w:startOverride w:val="1"/>
    </w:lvlOverride>
  </w:num>
  <w:num w:numId="10">
    <w:abstractNumId w:val="8"/>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7E"/>
    <w:rsid w:val="00000BCB"/>
    <w:rsid w:val="00005EBC"/>
    <w:rsid w:val="00006AFB"/>
    <w:rsid w:val="000072CE"/>
    <w:rsid w:val="00013A8B"/>
    <w:rsid w:val="00021445"/>
    <w:rsid w:val="00027754"/>
    <w:rsid w:val="00030464"/>
    <w:rsid w:val="00033ECF"/>
    <w:rsid w:val="00036039"/>
    <w:rsid w:val="00037F90"/>
    <w:rsid w:val="00044EB1"/>
    <w:rsid w:val="000540F1"/>
    <w:rsid w:val="000600AE"/>
    <w:rsid w:val="000647C1"/>
    <w:rsid w:val="00076FC1"/>
    <w:rsid w:val="0008014D"/>
    <w:rsid w:val="00082D44"/>
    <w:rsid w:val="00084FB5"/>
    <w:rsid w:val="00087285"/>
    <w:rsid w:val="000875BF"/>
    <w:rsid w:val="00090728"/>
    <w:rsid w:val="00092059"/>
    <w:rsid w:val="00096D8C"/>
    <w:rsid w:val="000B50CE"/>
    <w:rsid w:val="000B6E0A"/>
    <w:rsid w:val="000B7C8E"/>
    <w:rsid w:val="000C0516"/>
    <w:rsid w:val="000C0B65"/>
    <w:rsid w:val="000C77F0"/>
    <w:rsid w:val="000C7DAC"/>
    <w:rsid w:val="000D52C3"/>
    <w:rsid w:val="000E3D42"/>
    <w:rsid w:val="000E562F"/>
    <w:rsid w:val="000E5884"/>
    <w:rsid w:val="000E71B5"/>
    <w:rsid w:val="00113D8B"/>
    <w:rsid w:val="0011511B"/>
    <w:rsid w:val="00122BD5"/>
    <w:rsid w:val="00127025"/>
    <w:rsid w:val="00130086"/>
    <w:rsid w:val="00133197"/>
    <w:rsid w:val="00141CD2"/>
    <w:rsid w:val="00142DAC"/>
    <w:rsid w:val="00163BC3"/>
    <w:rsid w:val="00167875"/>
    <w:rsid w:val="001719E8"/>
    <w:rsid w:val="00172573"/>
    <w:rsid w:val="00177774"/>
    <w:rsid w:val="00182C88"/>
    <w:rsid w:val="0018470C"/>
    <w:rsid w:val="00186A3C"/>
    <w:rsid w:val="001909AC"/>
    <w:rsid w:val="00194F82"/>
    <w:rsid w:val="001979D9"/>
    <w:rsid w:val="001A40A7"/>
    <w:rsid w:val="001A4D92"/>
    <w:rsid w:val="001A7B6F"/>
    <w:rsid w:val="001B3D7E"/>
    <w:rsid w:val="001C6890"/>
    <w:rsid w:val="001D0CBB"/>
    <w:rsid w:val="001D0F23"/>
    <w:rsid w:val="001D655A"/>
    <w:rsid w:val="001D6BCF"/>
    <w:rsid w:val="001E01CA"/>
    <w:rsid w:val="001E4612"/>
    <w:rsid w:val="001E5E0D"/>
    <w:rsid w:val="001E67B2"/>
    <w:rsid w:val="001E729A"/>
    <w:rsid w:val="0020525D"/>
    <w:rsid w:val="00205458"/>
    <w:rsid w:val="00205518"/>
    <w:rsid w:val="002060D9"/>
    <w:rsid w:val="002064D5"/>
    <w:rsid w:val="002101D8"/>
    <w:rsid w:val="00211066"/>
    <w:rsid w:val="0021187A"/>
    <w:rsid w:val="00214C60"/>
    <w:rsid w:val="00220683"/>
    <w:rsid w:val="00226822"/>
    <w:rsid w:val="00226F62"/>
    <w:rsid w:val="002275CD"/>
    <w:rsid w:val="00236C38"/>
    <w:rsid w:val="00247DD8"/>
    <w:rsid w:val="00260594"/>
    <w:rsid w:val="00265C54"/>
    <w:rsid w:val="00267FD8"/>
    <w:rsid w:val="00270271"/>
    <w:rsid w:val="002738D1"/>
    <w:rsid w:val="00273FC0"/>
    <w:rsid w:val="00285017"/>
    <w:rsid w:val="00290247"/>
    <w:rsid w:val="00290739"/>
    <w:rsid w:val="002A2D2E"/>
    <w:rsid w:val="002A69C8"/>
    <w:rsid w:val="002B5431"/>
    <w:rsid w:val="002B5CEB"/>
    <w:rsid w:val="002C2A9F"/>
    <w:rsid w:val="002D06A4"/>
    <w:rsid w:val="002F1271"/>
    <w:rsid w:val="0030287F"/>
    <w:rsid w:val="00313F31"/>
    <w:rsid w:val="00324D6D"/>
    <w:rsid w:val="003303BC"/>
    <w:rsid w:val="00331E12"/>
    <w:rsid w:val="003402A7"/>
    <w:rsid w:val="00343749"/>
    <w:rsid w:val="0034436A"/>
    <w:rsid w:val="0034635E"/>
    <w:rsid w:val="00346BBA"/>
    <w:rsid w:val="00347B7B"/>
    <w:rsid w:val="00357D50"/>
    <w:rsid w:val="00360632"/>
    <w:rsid w:val="003722C2"/>
    <w:rsid w:val="00372AFC"/>
    <w:rsid w:val="00385C77"/>
    <w:rsid w:val="003925DC"/>
    <w:rsid w:val="0039683A"/>
    <w:rsid w:val="00397174"/>
    <w:rsid w:val="003A38E4"/>
    <w:rsid w:val="003A72E2"/>
    <w:rsid w:val="003A7C12"/>
    <w:rsid w:val="003B0550"/>
    <w:rsid w:val="003B694F"/>
    <w:rsid w:val="003C7C13"/>
    <w:rsid w:val="003E3FAF"/>
    <w:rsid w:val="003E7145"/>
    <w:rsid w:val="003F0D39"/>
    <w:rsid w:val="003F171C"/>
    <w:rsid w:val="004034D8"/>
    <w:rsid w:val="00405A7C"/>
    <w:rsid w:val="00412FC5"/>
    <w:rsid w:val="00417318"/>
    <w:rsid w:val="004214BA"/>
    <w:rsid w:val="0042209E"/>
    <w:rsid w:val="00422276"/>
    <w:rsid w:val="004242F1"/>
    <w:rsid w:val="00434BD0"/>
    <w:rsid w:val="00441515"/>
    <w:rsid w:val="00444A5D"/>
    <w:rsid w:val="00445A00"/>
    <w:rsid w:val="00446487"/>
    <w:rsid w:val="00451B0F"/>
    <w:rsid w:val="0045395F"/>
    <w:rsid w:val="004574F1"/>
    <w:rsid w:val="00460E64"/>
    <w:rsid w:val="0046125F"/>
    <w:rsid w:val="004625CD"/>
    <w:rsid w:val="0046464C"/>
    <w:rsid w:val="004663E4"/>
    <w:rsid w:val="00466C41"/>
    <w:rsid w:val="0046761A"/>
    <w:rsid w:val="00482116"/>
    <w:rsid w:val="00487524"/>
    <w:rsid w:val="0049326B"/>
    <w:rsid w:val="00496106"/>
    <w:rsid w:val="004A1171"/>
    <w:rsid w:val="004B0CF6"/>
    <w:rsid w:val="004B5B66"/>
    <w:rsid w:val="004C12D0"/>
    <w:rsid w:val="004C2008"/>
    <w:rsid w:val="004C2EE3"/>
    <w:rsid w:val="004C34EF"/>
    <w:rsid w:val="004C3603"/>
    <w:rsid w:val="004D0138"/>
    <w:rsid w:val="004D1060"/>
    <w:rsid w:val="004E244B"/>
    <w:rsid w:val="004E293E"/>
    <w:rsid w:val="004E4A22"/>
    <w:rsid w:val="004E62E2"/>
    <w:rsid w:val="005076FF"/>
    <w:rsid w:val="00511968"/>
    <w:rsid w:val="00520D27"/>
    <w:rsid w:val="005233F0"/>
    <w:rsid w:val="00533701"/>
    <w:rsid w:val="005348AA"/>
    <w:rsid w:val="00534D37"/>
    <w:rsid w:val="00542D23"/>
    <w:rsid w:val="005453FA"/>
    <w:rsid w:val="0055264D"/>
    <w:rsid w:val="00553A92"/>
    <w:rsid w:val="005543D1"/>
    <w:rsid w:val="0055614C"/>
    <w:rsid w:val="0057391D"/>
    <w:rsid w:val="00573E93"/>
    <w:rsid w:val="00586E84"/>
    <w:rsid w:val="005A4A2D"/>
    <w:rsid w:val="005A51EA"/>
    <w:rsid w:val="005B06FE"/>
    <w:rsid w:val="005B2F26"/>
    <w:rsid w:val="005B6078"/>
    <w:rsid w:val="005C31BA"/>
    <w:rsid w:val="005D7426"/>
    <w:rsid w:val="005E21FB"/>
    <w:rsid w:val="005E2EFE"/>
    <w:rsid w:val="005F1888"/>
    <w:rsid w:val="005F4C3E"/>
    <w:rsid w:val="00606A12"/>
    <w:rsid w:val="00607BA5"/>
    <w:rsid w:val="0062365F"/>
    <w:rsid w:val="00624E4E"/>
    <w:rsid w:val="006253BD"/>
    <w:rsid w:val="00626EB6"/>
    <w:rsid w:val="006353A3"/>
    <w:rsid w:val="00640EF8"/>
    <w:rsid w:val="00654DE1"/>
    <w:rsid w:val="00655D03"/>
    <w:rsid w:val="0066025B"/>
    <w:rsid w:val="00672F9B"/>
    <w:rsid w:val="006736E2"/>
    <w:rsid w:val="00683F84"/>
    <w:rsid w:val="006862E0"/>
    <w:rsid w:val="006878E3"/>
    <w:rsid w:val="006906B3"/>
    <w:rsid w:val="0069635E"/>
    <w:rsid w:val="006A208C"/>
    <w:rsid w:val="006A34C6"/>
    <w:rsid w:val="006A6A81"/>
    <w:rsid w:val="006A6D13"/>
    <w:rsid w:val="006B5F04"/>
    <w:rsid w:val="006C21CF"/>
    <w:rsid w:val="006C2913"/>
    <w:rsid w:val="006C58F4"/>
    <w:rsid w:val="006C6AD1"/>
    <w:rsid w:val="006D0BB8"/>
    <w:rsid w:val="006D57C1"/>
    <w:rsid w:val="006E0156"/>
    <w:rsid w:val="006E0945"/>
    <w:rsid w:val="006E26AF"/>
    <w:rsid w:val="006E54A2"/>
    <w:rsid w:val="006F7393"/>
    <w:rsid w:val="0070224F"/>
    <w:rsid w:val="007070C6"/>
    <w:rsid w:val="007115F7"/>
    <w:rsid w:val="007117DF"/>
    <w:rsid w:val="0072320F"/>
    <w:rsid w:val="00724D26"/>
    <w:rsid w:val="00730CB3"/>
    <w:rsid w:val="00732BAC"/>
    <w:rsid w:val="0073371E"/>
    <w:rsid w:val="007422B0"/>
    <w:rsid w:val="007444D4"/>
    <w:rsid w:val="007454F7"/>
    <w:rsid w:val="00746567"/>
    <w:rsid w:val="00756073"/>
    <w:rsid w:val="00770373"/>
    <w:rsid w:val="007705E5"/>
    <w:rsid w:val="0077064C"/>
    <w:rsid w:val="00776B23"/>
    <w:rsid w:val="00783F1B"/>
    <w:rsid w:val="00785689"/>
    <w:rsid w:val="00794866"/>
    <w:rsid w:val="00794BC1"/>
    <w:rsid w:val="0079754B"/>
    <w:rsid w:val="007A1E6D"/>
    <w:rsid w:val="007C1692"/>
    <w:rsid w:val="007D0E67"/>
    <w:rsid w:val="007E3A3B"/>
    <w:rsid w:val="007E48D3"/>
    <w:rsid w:val="007E6A60"/>
    <w:rsid w:val="007F0A10"/>
    <w:rsid w:val="007F54A8"/>
    <w:rsid w:val="00805F4E"/>
    <w:rsid w:val="00807165"/>
    <w:rsid w:val="00813039"/>
    <w:rsid w:val="00813658"/>
    <w:rsid w:val="00815CD7"/>
    <w:rsid w:val="008176CE"/>
    <w:rsid w:val="0082112A"/>
    <w:rsid w:val="00822CE0"/>
    <w:rsid w:val="00825909"/>
    <w:rsid w:val="00837C62"/>
    <w:rsid w:val="00841AB1"/>
    <w:rsid w:val="00851409"/>
    <w:rsid w:val="00852120"/>
    <w:rsid w:val="008549CF"/>
    <w:rsid w:val="00863905"/>
    <w:rsid w:val="008648CC"/>
    <w:rsid w:val="00872201"/>
    <w:rsid w:val="0087285C"/>
    <w:rsid w:val="0087338F"/>
    <w:rsid w:val="008978C6"/>
    <w:rsid w:val="008A40F5"/>
    <w:rsid w:val="008B1179"/>
    <w:rsid w:val="008B1710"/>
    <w:rsid w:val="008B35E7"/>
    <w:rsid w:val="008B35FB"/>
    <w:rsid w:val="008B5814"/>
    <w:rsid w:val="008B6685"/>
    <w:rsid w:val="008C1FC3"/>
    <w:rsid w:val="008C22FD"/>
    <w:rsid w:val="008C774A"/>
    <w:rsid w:val="008D0A3F"/>
    <w:rsid w:val="008D16E9"/>
    <w:rsid w:val="008E31FE"/>
    <w:rsid w:val="00901FDB"/>
    <w:rsid w:val="00907BDF"/>
    <w:rsid w:val="00910F12"/>
    <w:rsid w:val="00912B6E"/>
    <w:rsid w:val="00914A3A"/>
    <w:rsid w:val="009174D6"/>
    <w:rsid w:val="009209CB"/>
    <w:rsid w:val="0092238E"/>
    <w:rsid w:val="00926503"/>
    <w:rsid w:val="00927A39"/>
    <w:rsid w:val="009309CB"/>
    <w:rsid w:val="00930ECF"/>
    <w:rsid w:val="00942C51"/>
    <w:rsid w:val="009508CF"/>
    <w:rsid w:val="00956148"/>
    <w:rsid w:val="00956CA5"/>
    <w:rsid w:val="00971B82"/>
    <w:rsid w:val="009743AD"/>
    <w:rsid w:val="00980C47"/>
    <w:rsid w:val="009838BC"/>
    <w:rsid w:val="009905C7"/>
    <w:rsid w:val="009A55F0"/>
    <w:rsid w:val="009A6618"/>
    <w:rsid w:val="009B05DA"/>
    <w:rsid w:val="009B2B0E"/>
    <w:rsid w:val="009B468E"/>
    <w:rsid w:val="009C251F"/>
    <w:rsid w:val="009C794A"/>
    <w:rsid w:val="009E4FBB"/>
    <w:rsid w:val="009E50C8"/>
    <w:rsid w:val="009E72D0"/>
    <w:rsid w:val="00A00768"/>
    <w:rsid w:val="00A01C42"/>
    <w:rsid w:val="00A06C90"/>
    <w:rsid w:val="00A10DEC"/>
    <w:rsid w:val="00A12770"/>
    <w:rsid w:val="00A21663"/>
    <w:rsid w:val="00A21A8A"/>
    <w:rsid w:val="00A23F6A"/>
    <w:rsid w:val="00A27CE7"/>
    <w:rsid w:val="00A3361A"/>
    <w:rsid w:val="00A34549"/>
    <w:rsid w:val="00A45F4F"/>
    <w:rsid w:val="00A47977"/>
    <w:rsid w:val="00A54408"/>
    <w:rsid w:val="00A5793B"/>
    <w:rsid w:val="00A600A9"/>
    <w:rsid w:val="00A610E2"/>
    <w:rsid w:val="00A6386F"/>
    <w:rsid w:val="00A7199E"/>
    <w:rsid w:val="00A85035"/>
    <w:rsid w:val="00A85555"/>
    <w:rsid w:val="00A8562B"/>
    <w:rsid w:val="00A866AC"/>
    <w:rsid w:val="00A90740"/>
    <w:rsid w:val="00AA19D2"/>
    <w:rsid w:val="00AA36D3"/>
    <w:rsid w:val="00AA55B7"/>
    <w:rsid w:val="00AA5B9E"/>
    <w:rsid w:val="00AB2407"/>
    <w:rsid w:val="00AB53DF"/>
    <w:rsid w:val="00AC31D9"/>
    <w:rsid w:val="00AD0B22"/>
    <w:rsid w:val="00AD712A"/>
    <w:rsid w:val="00AE2969"/>
    <w:rsid w:val="00AE3BCB"/>
    <w:rsid w:val="00AE4964"/>
    <w:rsid w:val="00AF4109"/>
    <w:rsid w:val="00AF7612"/>
    <w:rsid w:val="00AF7B16"/>
    <w:rsid w:val="00B01867"/>
    <w:rsid w:val="00B05414"/>
    <w:rsid w:val="00B0643B"/>
    <w:rsid w:val="00B0671D"/>
    <w:rsid w:val="00B07E5C"/>
    <w:rsid w:val="00B1002E"/>
    <w:rsid w:val="00B11C68"/>
    <w:rsid w:val="00B14934"/>
    <w:rsid w:val="00B14B40"/>
    <w:rsid w:val="00B237F1"/>
    <w:rsid w:val="00B23F04"/>
    <w:rsid w:val="00B326E3"/>
    <w:rsid w:val="00B33EB0"/>
    <w:rsid w:val="00B346DB"/>
    <w:rsid w:val="00B363BB"/>
    <w:rsid w:val="00B401CE"/>
    <w:rsid w:val="00B46345"/>
    <w:rsid w:val="00B46E1F"/>
    <w:rsid w:val="00B541F9"/>
    <w:rsid w:val="00B54E31"/>
    <w:rsid w:val="00B629DD"/>
    <w:rsid w:val="00B653A8"/>
    <w:rsid w:val="00B6592D"/>
    <w:rsid w:val="00B73CF3"/>
    <w:rsid w:val="00B811F7"/>
    <w:rsid w:val="00B814EB"/>
    <w:rsid w:val="00B84066"/>
    <w:rsid w:val="00B92468"/>
    <w:rsid w:val="00B96247"/>
    <w:rsid w:val="00B96B9D"/>
    <w:rsid w:val="00BA5DC6"/>
    <w:rsid w:val="00BA6196"/>
    <w:rsid w:val="00BB0601"/>
    <w:rsid w:val="00BC6D8C"/>
    <w:rsid w:val="00BD1BAA"/>
    <w:rsid w:val="00BD3250"/>
    <w:rsid w:val="00BE0E80"/>
    <w:rsid w:val="00C00117"/>
    <w:rsid w:val="00C00E11"/>
    <w:rsid w:val="00C1420A"/>
    <w:rsid w:val="00C16AF2"/>
    <w:rsid w:val="00C27BDC"/>
    <w:rsid w:val="00C33098"/>
    <w:rsid w:val="00C334F2"/>
    <w:rsid w:val="00C3361E"/>
    <w:rsid w:val="00C34006"/>
    <w:rsid w:val="00C340C1"/>
    <w:rsid w:val="00C401DD"/>
    <w:rsid w:val="00C423B6"/>
    <w:rsid w:val="00C426B1"/>
    <w:rsid w:val="00C56ADE"/>
    <w:rsid w:val="00C57ABE"/>
    <w:rsid w:val="00C61970"/>
    <w:rsid w:val="00C7177F"/>
    <w:rsid w:val="00C77418"/>
    <w:rsid w:val="00C77B97"/>
    <w:rsid w:val="00C809AC"/>
    <w:rsid w:val="00C82876"/>
    <w:rsid w:val="00C82B6B"/>
    <w:rsid w:val="00C8390A"/>
    <w:rsid w:val="00C90004"/>
    <w:rsid w:val="00C90D6A"/>
    <w:rsid w:val="00C96004"/>
    <w:rsid w:val="00CA19BC"/>
    <w:rsid w:val="00CA25CB"/>
    <w:rsid w:val="00CB0AA7"/>
    <w:rsid w:val="00CB28EE"/>
    <w:rsid w:val="00CB41BC"/>
    <w:rsid w:val="00CC11EF"/>
    <w:rsid w:val="00CC4FE2"/>
    <w:rsid w:val="00CC64D4"/>
    <w:rsid w:val="00CC6772"/>
    <w:rsid w:val="00CC72B6"/>
    <w:rsid w:val="00CE11B6"/>
    <w:rsid w:val="00CE4970"/>
    <w:rsid w:val="00CE58DA"/>
    <w:rsid w:val="00CE6DBE"/>
    <w:rsid w:val="00CE7CE4"/>
    <w:rsid w:val="00CF464F"/>
    <w:rsid w:val="00D0218D"/>
    <w:rsid w:val="00D0412B"/>
    <w:rsid w:val="00D216CD"/>
    <w:rsid w:val="00D2495D"/>
    <w:rsid w:val="00D24A07"/>
    <w:rsid w:val="00D25392"/>
    <w:rsid w:val="00D3093D"/>
    <w:rsid w:val="00D33BA2"/>
    <w:rsid w:val="00D46195"/>
    <w:rsid w:val="00D51420"/>
    <w:rsid w:val="00D669BF"/>
    <w:rsid w:val="00D70B45"/>
    <w:rsid w:val="00D8047F"/>
    <w:rsid w:val="00D8528B"/>
    <w:rsid w:val="00D85354"/>
    <w:rsid w:val="00D92E3C"/>
    <w:rsid w:val="00D935C3"/>
    <w:rsid w:val="00DA1347"/>
    <w:rsid w:val="00DA2529"/>
    <w:rsid w:val="00DA6591"/>
    <w:rsid w:val="00DB130A"/>
    <w:rsid w:val="00DB414C"/>
    <w:rsid w:val="00DC10A1"/>
    <w:rsid w:val="00DC3CF7"/>
    <w:rsid w:val="00DC655F"/>
    <w:rsid w:val="00DD591C"/>
    <w:rsid w:val="00DD5BC7"/>
    <w:rsid w:val="00DD7EBD"/>
    <w:rsid w:val="00DE01A1"/>
    <w:rsid w:val="00DE1439"/>
    <w:rsid w:val="00DE2BB0"/>
    <w:rsid w:val="00DF1679"/>
    <w:rsid w:val="00DF62B6"/>
    <w:rsid w:val="00DF7ED1"/>
    <w:rsid w:val="00E02249"/>
    <w:rsid w:val="00E05E75"/>
    <w:rsid w:val="00E07225"/>
    <w:rsid w:val="00E10AC9"/>
    <w:rsid w:val="00E155B7"/>
    <w:rsid w:val="00E21091"/>
    <w:rsid w:val="00E22033"/>
    <w:rsid w:val="00E2619E"/>
    <w:rsid w:val="00E46684"/>
    <w:rsid w:val="00E47D54"/>
    <w:rsid w:val="00E50126"/>
    <w:rsid w:val="00E52F1B"/>
    <w:rsid w:val="00E53B73"/>
    <w:rsid w:val="00E5409F"/>
    <w:rsid w:val="00E5743C"/>
    <w:rsid w:val="00E62C43"/>
    <w:rsid w:val="00E64B3F"/>
    <w:rsid w:val="00E72493"/>
    <w:rsid w:val="00E7579F"/>
    <w:rsid w:val="00E75C6C"/>
    <w:rsid w:val="00E839F1"/>
    <w:rsid w:val="00E83A47"/>
    <w:rsid w:val="00E91FA3"/>
    <w:rsid w:val="00E927A3"/>
    <w:rsid w:val="00E97297"/>
    <w:rsid w:val="00EA0619"/>
    <w:rsid w:val="00EB27FD"/>
    <w:rsid w:val="00EB4E6A"/>
    <w:rsid w:val="00EB5A64"/>
    <w:rsid w:val="00EC0185"/>
    <w:rsid w:val="00EC1906"/>
    <w:rsid w:val="00ED689D"/>
    <w:rsid w:val="00EF6918"/>
    <w:rsid w:val="00F021FA"/>
    <w:rsid w:val="00F233EF"/>
    <w:rsid w:val="00F2684C"/>
    <w:rsid w:val="00F31F07"/>
    <w:rsid w:val="00F321F9"/>
    <w:rsid w:val="00F37EC2"/>
    <w:rsid w:val="00F4339B"/>
    <w:rsid w:val="00F466D0"/>
    <w:rsid w:val="00F52B32"/>
    <w:rsid w:val="00F57ACA"/>
    <w:rsid w:val="00F62E97"/>
    <w:rsid w:val="00F64209"/>
    <w:rsid w:val="00F731F7"/>
    <w:rsid w:val="00F73AD1"/>
    <w:rsid w:val="00F82CC4"/>
    <w:rsid w:val="00F93BF5"/>
    <w:rsid w:val="00F96F63"/>
    <w:rsid w:val="00F977E6"/>
    <w:rsid w:val="00FA101A"/>
    <w:rsid w:val="00FA5E53"/>
    <w:rsid w:val="00FB0792"/>
    <w:rsid w:val="00FB169C"/>
    <w:rsid w:val="00FB6F19"/>
    <w:rsid w:val="00FE0800"/>
    <w:rsid w:val="00FE2BAA"/>
    <w:rsid w:val="00FE32DE"/>
    <w:rsid w:val="00FE5AA1"/>
    <w:rsid w:val="00FE7696"/>
    <w:rsid w:val="00FF7FB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7E"/>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1E5E0D"/>
    <w:rPr>
      <w:sz w:val="16"/>
      <w:szCs w:val="16"/>
    </w:rPr>
  </w:style>
  <w:style w:type="paragraph" w:styleId="CommentText">
    <w:name w:val="annotation text"/>
    <w:basedOn w:val="Normal"/>
    <w:link w:val="CommentTextChar"/>
    <w:uiPriority w:val="99"/>
    <w:semiHidden/>
    <w:unhideWhenUsed/>
    <w:rsid w:val="001E5E0D"/>
    <w:rPr>
      <w:sz w:val="20"/>
      <w:szCs w:val="20"/>
    </w:rPr>
  </w:style>
  <w:style w:type="character" w:customStyle="1" w:styleId="CommentTextChar">
    <w:name w:val="Comment Text Char"/>
    <w:basedOn w:val="DefaultParagraphFont"/>
    <w:link w:val="CommentText"/>
    <w:uiPriority w:val="99"/>
    <w:semiHidden/>
    <w:rsid w:val="001E5E0D"/>
    <w:rPr>
      <w:rFonts w:eastAsia="Calibri"/>
    </w:rPr>
  </w:style>
  <w:style w:type="paragraph" w:styleId="CommentSubject">
    <w:name w:val="annotation subject"/>
    <w:basedOn w:val="CommentText"/>
    <w:next w:val="CommentText"/>
    <w:link w:val="CommentSubjectChar"/>
    <w:uiPriority w:val="99"/>
    <w:semiHidden/>
    <w:unhideWhenUsed/>
    <w:rsid w:val="001E5E0D"/>
    <w:rPr>
      <w:b/>
      <w:bCs/>
    </w:rPr>
  </w:style>
  <w:style w:type="character" w:customStyle="1" w:styleId="CommentSubjectChar">
    <w:name w:val="Comment Subject Char"/>
    <w:basedOn w:val="CommentTextChar"/>
    <w:link w:val="CommentSubject"/>
    <w:uiPriority w:val="99"/>
    <w:semiHidden/>
    <w:rsid w:val="001E5E0D"/>
    <w:rPr>
      <w:rFonts w:eastAsia="Calibri"/>
      <w:b/>
      <w:bCs/>
    </w:rPr>
  </w:style>
  <w:style w:type="paragraph" w:styleId="BalloonText">
    <w:name w:val="Balloon Text"/>
    <w:basedOn w:val="Normal"/>
    <w:link w:val="BalloonTextChar"/>
    <w:uiPriority w:val="99"/>
    <w:semiHidden/>
    <w:unhideWhenUsed/>
    <w:rsid w:val="001E5E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0D"/>
    <w:rPr>
      <w:rFonts w:ascii="Segoe UI" w:eastAsia="Calibri" w:hAnsi="Segoe UI" w:cs="Segoe UI"/>
      <w:sz w:val="18"/>
      <w:szCs w:val="18"/>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F233EF"/>
  </w:style>
  <w:style w:type="character" w:styleId="Emphasis">
    <w:name w:val="Emphasis"/>
    <w:basedOn w:val="DefaultParagraphFont"/>
    <w:uiPriority w:val="20"/>
    <w:qFormat/>
    <w:rsid w:val="007444D4"/>
    <w:rPr>
      <w:i/>
      <w:iCs/>
    </w:rPr>
  </w:style>
  <w:style w:type="character" w:customStyle="1" w:styleId="cosearchterm">
    <w:name w:val="co_searchterm"/>
    <w:basedOn w:val="DefaultParagraphFont"/>
    <w:rsid w:val="007444D4"/>
  </w:style>
  <w:style w:type="character" w:customStyle="1" w:styleId="cosearchwithinterm">
    <w:name w:val="co_searchwithinterm"/>
    <w:basedOn w:val="DefaultParagraphFont"/>
    <w:rsid w:val="008E31FE"/>
  </w:style>
  <w:style w:type="paragraph" w:styleId="ListParagraph">
    <w:name w:val="List Paragraph"/>
    <w:basedOn w:val="Normal"/>
    <w:uiPriority w:val="34"/>
    <w:qFormat/>
    <w:rsid w:val="00C00117"/>
    <w:pPr>
      <w:spacing w:after="0"/>
      <w:ind w:left="720"/>
      <w:contextualSpacing/>
    </w:pPr>
    <w:rPr>
      <w:rFonts w:ascii="Calibri" w:hAnsi="Calibri" w:eastAsiaTheme="minorHAnsi" w:cs="Calibri"/>
    </w:rPr>
  </w:style>
  <w:style w:type="paragraph" w:styleId="BodyText">
    <w:name w:val="Body Text"/>
    <w:basedOn w:val="Normal"/>
    <w:link w:val="BodyTextChar"/>
    <w:uiPriority w:val="1"/>
    <w:qFormat/>
    <w:rsid w:val="004574F1"/>
    <w:pPr>
      <w:widowControl w:val="0"/>
      <w:spacing w:after="0"/>
      <w:ind w:left="120"/>
    </w:pPr>
    <w:rPr>
      <w:rFonts w:eastAsia="Times New Roman"/>
    </w:rPr>
  </w:style>
  <w:style w:type="character" w:customStyle="1" w:styleId="BodyTextChar">
    <w:name w:val="Body Text Char"/>
    <w:basedOn w:val="DefaultParagraphFont"/>
    <w:link w:val="BodyText"/>
    <w:uiPriority w:val="1"/>
    <w:rsid w:val="004574F1"/>
    <w:rPr>
      <w:sz w:val="22"/>
      <w:szCs w:val="22"/>
    </w:rPr>
  </w:style>
  <w:style w:type="character" w:customStyle="1" w:styleId="ParaNumChar">
    <w:name w:val="ParaNum Char"/>
    <w:link w:val="ParaNum"/>
    <w:locked/>
    <w:rsid w:val="00794BC1"/>
    <w:rPr>
      <w:rFonts w:eastAsia="Calibri"/>
      <w:sz w:val="22"/>
      <w:szCs w:val="22"/>
    </w:rPr>
  </w:style>
  <w:style w:type="character" w:customStyle="1" w:styleId="UnresolvedMention1">
    <w:name w:val="Unresolved Mention1"/>
    <w:basedOn w:val="DefaultParagraphFont"/>
    <w:uiPriority w:val="99"/>
    <w:semiHidden/>
    <w:unhideWhenUsed/>
    <w:rsid w:val="00C9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inda.pintr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integrated-public-alert-warning-system-program-management-office-get-involved" TargetMode="External" /><Relationship Id="rId2" Type="http://schemas.openxmlformats.org/officeDocument/2006/relationships/hyperlink" Target="http://www.fema.gov/ipaw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