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80D10" w:rsidP="00880D10">
      <w:pPr>
        <w:pStyle w:val="Title"/>
        <w:outlineLvl w:val="0"/>
        <w:rPr>
          <w:szCs w:val="22"/>
        </w:rPr>
      </w:pPr>
      <w:r>
        <w:rPr>
          <w:szCs w:val="22"/>
        </w:rPr>
        <w:t>Before the</w:t>
      </w:r>
    </w:p>
    <w:p w:rsidR="00880D10" w:rsidP="00880D10">
      <w:pPr>
        <w:pStyle w:val="Subtitle"/>
        <w:ind w:firstLine="0"/>
        <w:outlineLvl w:val="0"/>
        <w:rPr>
          <w:szCs w:val="22"/>
        </w:rPr>
      </w:pPr>
      <w:r>
        <w:rPr>
          <w:szCs w:val="22"/>
        </w:rPr>
        <w:t>Federal Communications Commission</w:t>
      </w:r>
    </w:p>
    <w:p w:rsidR="00880D10" w:rsidP="00880D10">
      <w:pPr>
        <w:jc w:val="center"/>
        <w:outlineLvl w:val="0"/>
        <w:rPr>
          <w:b/>
          <w:szCs w:val="22"/>
        </w:rPr>
      </w:pPr>
      <w:r>
        <w:rPr>
          <w:b/>
          <w:szCs w:val="22"/>
        </w:rPr>
        <w:t>Washington, D.C. 20554</w:t>
      </w:r>
    </w:p>
    <w:p w:rsidR="00880D10" w:rsidP="00880D10">
      <w:pPr>
        <w:tabs>
          <w:tab w:val="left" w:pos="-720"/>
        </w:tabs>
        <w:suppressAutoHyphens/>
        <w:spacing w:line="223" w:lineRule="auto"/>
        <w:rPr>
          <w:spacing w:val="-2"/>
          <w:szCs w:val="22"/>
        </w:rPr>
      </w:pPr>
    </w:p>
    <w:tbl>
      <w:tblPr>
        <w:tblW w:w="8865" w:type="dxa"/>
        <w:tblLayout w:type="fixed"/>
        <w:tblLook w:val="04A0"/>
      </w:tblPr>
      <w:tblGrid>
        <w:gridCol w:w="4698"/>
        <w:gridCol w:w="720"/>
        <w:gridCol w:w="3447"/>
      </w:tblGrid>
      <w:tr w:rsidTr="00880D10">
        <w:tblPrEx>
          <w:tblW w:w="8865" w:type="dxa"/>
          <w:tblLayout w:type="fixed"/>
          <w:tblLook w:val="04A0"/>
        </w:tblPrEx>
        <w:trPr>
          <w:trHeight w:val="2483"/>
        </w:trPr>
        <w:tc>
          <w:tcPr>
            <w:tcW w:w="4698" w:type="dxa"/>
          </w:tcPr>
          <w:p w:rsidR="00880D10">
            <w:pPr>
              <w:pStyle w:val="TOAHeading"/>
              <w:tabs>
                <w:tab w:val="center" w:pos="4680"/>
              </w:tabs>
              <w:rPr>
                <w:spacing w:val="-2"/>
                <w:szCs w:val="22"/>
              </w:rPr>
            </w:pPr>
            <w:r>
              <w:rPr>
                <w:spacing w:val="-2"/>
                <w:szCs w:val="22"/>
              </w:rPr>
              <w:t>In the Matter of</w:t>
            </w:r>
          </w:p>
          <w:p w:rsidR="00880D10">
            <w:pPr>
              <w:pStyle w:val="TOAHeading"/>
              <w:tabs>
                <w:tab w:val="center" w:pos="4680"/>
              </w:tabs>
              <w:rPr>
                <w:spacing w:val="-2"/>
                <w:szCs w:val="22"/>
              </w:rPr>
            </w:pPr>
          </w:p>
          <w:p w:rsidR="00880D10">
            <w:pPr>
              <w:rPr>
                <w:szCs w:val="22"/>
              </w:rPr>
            </w:pPr>
            <w:r>
              <w:rPr>
                <w:szCs w:val="22"/>
              </w:rPr>
              <w:t>CenturyLink</w:t>
            </w:r>
          </w:p>
          <w:p w:rsidR="00880D10">
            <w:pPr>
              <w:tabs>
                <w:tab w:val="center" w:pos="4680"/>
              </w:tabs>
              <w:suppressAutoHyphens/>
              <w:ind w:firstLine="720"/>
              <w:rPr>
                <w:szCs w:val="22"/>
              </w:rPr>
            </w:pPr>
          </w:p>
          <w:p w:rsidR="00880D10">
            <w:pPr>
              <w:pStyle w:val="TOAHeading"/>
              <w:tabs>
                <w:tab w:val="center" w:pos="4680"/>
              </w:tabs>
              <w:rPr>
                <w:szCs w:val="22"/>
              </w:rPr>
            </w:pPr>
            <w:r>
              <w:rPr>
                <w:szCs w:val="22"/>
              </w:rPr>
              <w:t xml:space="preserve">Complaints Regarding </w:t>
            </w:r>
          </w:p>
          <w:p w:rsidR="00880D10">
            <w:pPr>
              <w:pStyle w:val="TOAHeading"/>
              <w:tabs>
                <w:tab w:val="center" w:pos="4680"/>
              </w:tabs>
              <w:rPr>
                <w:szCs w:val="22"/>
              </w:rPr>
            </w:pPr>
            <w:r>
              <w:rPr>
                <w:szCs w:val="22"/>
              </w:rPr>
              <w:t>Unauthorized Change of</w:t>
            </w:r>
          </w:p>
          <w:p w:rsidR="00880D10">
            <w:pPr>
              <w:pStyle w:val="TOAHeading"/>
              <w:tabs>
                <w:tab w:val="center" w:pos="4680"/>
              </w:tabs>
              <w:rPr>
                <w:szCs w:val="22"/>
              </w:rPr>
            </w:pPr>
            <w:r>
              <w:rPr>
                <w:szCs w:val="22"/>
              </w:rPr>
              <w:t>Subscribers’ Telecommunications Carrier</w:t>
            </w:r>
          </w:p>
        </w:tc>
        <w:tc>
          <w:tcPr>
            <w:tcW w:w="720" w:type="dxa"/>
            <w:hideMark/>
          </w:tcPr>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p w:rsidR="00880D10">
            <w:pPr>
              <w:tabs>
                <w:tab w:val="center" w:pos="4680"/>
              </w:tabs>
              <w:suppressAutoHyphens/>
              <w:rPr>
                <w:b/>
                <w:spacing w:val="-2"/>
                <w:szCs w:val="22"/>
              </w:rPr>
            </w:pPr>
            <w:r>
              <w:rPr>
                <w:b/>
                <w:spacing w:val="-2"/>
                <w:szCs w:val="22"/>
              </w:rPr>
              <w:t>)</w:t>
            </w:r>
          </w:p>
        </w:tc>
        <w:tc>
          <w:tcPr>
            <w:tcW w:w="3447" w:type="dxa"/>
          </w:tcPr>
          <w:p w:rsidR="00880D10">
            <w:pPr>
              <w:tabs>
                <w:tab w:val="center" w:pos="4680"/>
              </w:tabs>
              <w:suppressAutoHyphens/>
              <w:rPr>
                <w:spacing w:val="-2"/>
                <w:szCs w:val="22"/>
              </w:rPr>
            </w:pPr>
          </w:p>
          <w:p w:rsidR="00880D10">
            <w:pPr>
              <w:tabs>
                <w:tab w:val="center" w:pos="4680"/>
              </w:tabs>
              <w:suppressAutoHyphens/>
              <w:rPr>
                <w:spacing w:val="-2"/>
                <w:szCs w:val="22"/>
              </w:rPr>
            </w:pPr>
          </w:p>
          <w:p w:rsidR="00880D10">
            <w:pPr>
              <w:pStyle w:val="TOAHeading"/>
              <w:rPr>
                <w:szCs w:val="22"/>
              </w:rPr>
            </w:pPr>
            <w:r>
              <w:rPr>
                <w:szCs w:val="22"/>
              </w:rPr>
              <w:t>Complaint Nos.  767598</w:t>
            </w:r>
          </w:p>
          <w:p w:rsidR="00880D10">
            <w:r>
              <w:t xml:space="preserve">                           1078300/1078404</w:t>
            </w:r>
          </w:p>
          <w:p w:rsidR="00880D10">
            <w:r>
              <w:t xml:space="preserve">                           1079188</w:t>
            </w:r>
          </w:p>
          <w:p w:rsidR="00880D10">
            <w:r>
              <w:t xml:space="preserve">                           1967131</w:t>
            </w:r>
          </w:p>
          <w:p w:rsidR="00880D10">
            <w:r>
              <w:t xml:space="preserve">                           2049483</w:t>
            </w:r>
          </w:p>
          <w:p w:rsidR="00880D10">
            <w:r>
              <w:t xml:space="preserve">                           2067106</w:t>
            </w:r>
          </w:p>
          <w:p w:rsidR="00880D10">
            <w:r>
              <w:t xml:space="preserve">                           2441983</w:t>
            </w:r>
          </w:p>
          <w:p w:rsidR="00880D10">
            <w:pPr>
              <w:rPr>
                <w:szCs w:val="22"/>
              </w:rPr>
            </w:pPr>
            <w:r>
              <w:rPr>
                <w:szCs w:val="22"/>
              </w:rPr>
              <w:t xml:space="preserve">                           2840904</w:t>
            </w:r>
          </w:p>
          <w:p w:rsidR="00880D10">
            <w:pPr>
              <w:rPr>
                <w:szCs w:val="22"/>
              </w:rPr>
            </w:pPr>
            <w:r>
              <w:rPr>
                <w:szCs w:val="22"/>
              </w:rPr>
              <w:t xml:space="preserve">                           2939670</w:t>
            </w:r>
          </w:p>
        </w:tc>
      </w:tr>
      <w:tr w:rsidTr="00880D10">
        <w:tblPrEx>
          <w:tblW w:w="8865" w:type="dxa"/>
          <w:tblLayout w:type="fixed"/>
          <w:tblLook w:val="04A0"/>
        </w:tblPrEx>
        <w:trPr>
          <w:trHeight w:val="450"/>
        </w:trPr>
        <w:tc>
          <w:tcPr>
            <w:tcW w:w="4698" w:type="dxa"/>
          </w:tcPr>
          <w:p w:rsidR="00880D10">
            <w:pPr>
              <w:pStyle w:val="TOAHeading"/>
              <w:tabs>
                <w:tab w:val="center" w:pos="4680"/>
              </w:tabs>
              <w:rPr>
                <w:spacing w:val="-2"/>
                <w:szCs w:val="22"/>
              </w:rPr>
            </w:pPr>
          </w:p>
        </w:tc>
        <w:tc>
          <w:tcPr>
            <w:tcW w:w="720" w:type="dxa"/>
          </w:tcPr>
          <w:p w:rsidR="00880D10">
            <w:pPr>
              <w:tabs>
                <w:tab w:val="center" w:pos="4680"/>
              </w:tabs>
              <w:suppressAutoHyphens/>
              <w:rPr>
                <w:b/>
                <w:spacing w:val="-2"/>
                <w:szCs w:val="22"/>
              </w:rPr>
            </w:pPr>
          </w:p>
        </w:tc>
        <w:tc>
          <w:tcPr>
            <w:tcW w:w="3447" w:type="dxa"/>
          </w:tcPr>
          <w:p w:rsidR="00880D10">
            <w:pPr>
              <w:tabs>
                <w:tab w:val="center" w:pos="4680"/>
              </w:tabs>
              <w:suppressAutoHyphens/>
              <w:rPr>
                <w:spacing w:val="-2"/>
                <w:szCs w:val="22"/>
              </w:rPr>
            </w:pPr>
          </w:p>
        </w:tc>
      </w:tr>
    </w:tbl>
    <w:p w:rsidR="00880D10" w:rsidP="00880D10">
      <w:pPr>
        <w:jc w:val="center"/>
        <w:rPr>
          <w:b/>
          <w:szCs w:val="22"/>
        </w:rPr>
      </w:pPr>
      <w:r>
        <w:rPr>
          <w:b/>
          <w:szCs w:val="22"/>
        </w:rPr>
        <w:t>ORDER</w:t>
      </w:r>
    </w:p>
    <w:p w:rsidR="00880D10" w:rsidP="00880D10">
      <w:pPr>
        <w:jc w:val="center"/>
        <w:rPr>
          <w:spacing w:val="-2"/>
          <w:szCs w:val="22"/>
        </w:rPr>
      </w:pPr>
    </w:p>
    <w:p w:rsidR="00880D10" w:rsidP="00880D10">
      <w:pPr>
        <w:tabs>
          <w:tab w:val="left" w:pos="0"/>
          <w:tab w:val="left" w:pos="5760"/>
        </w:tabs>
        <w:suppressAutoHyphens/>
        <w:spacing w:line="223" w:lineRule="auto"/>
        <w:rPr>
          <w:spacing w:val="-2"/>
          <w:szCs w:val="22"/>
        </w:rPr>
      </w:pPr>
      <w:r>
        <w:rPr>
          <w:b/>
          <w:spacing w:val="-2"/>
          <w:szCs w:val="22"/>
        </w:rPr>
        <w:t xml:space="preserve">Adopted: </w:t>
      </w:r>
      <w:r w:rsidR="00C6763F">
        <w:rPr>
          <w:b/>
          <w:spacing w:val="-2"/>
          <w:szCs w:val="22"/>
        </w:rPr>
        <w:t>April 30</w:t>
      </w:r>
      <w:r>
        <w:rPr>
          <w:b/>
          <w:spacing w:val="-2"/>
          <w:szCs w:val="22"/>
        </w:rPr>
        <w:t>, 2019</w:t>
      </w:r>
      <w:r>
        <w:rPr>
          <w:b/>
          <w:spacing w:val="-2"/>
          <w:szCs w:val="22"/>
        </w:rPr>
        <w:tab/>
      </w:r>
      <w:r>
        <w:rPr>
          <w:b/>
          <w:spacing w:val="-2"/>
          <w:szCs w:val="22"/>
        </w:rPr>
        <w:tab/>
        <w:t>Released: M</w:t>
      </w:r>
      <w:r w:rsidR="00C6763F">
        <w:rPr>
          <w:b/>
          <w:spacing w:val="-2"/>
          <w:szCs w:val="22"/>
        </w:rPr>
        <w:t>ay 1</w:t>
      </w:r>
      <w:r>
        <w:rPr>
          <w:b/>
          <w:spacing w:val="-2"/>
          <w:szCs w:val="22"/>
        </w:rPr>
        <w:t>, 2019</w:t>
      </w:r>
    </w:p>
    <w:p w:rsidR="00880D10" w:rsidP="00880D10">
      <w:pPr>
        <w:rPr>
          <w:szCs w:val="22"/>
        </w:rPr>
      </w:pPr>
    </w:p>
    <w:p w:rsidR="00880D10" w:rsidP="00880D10">
      <w:pPr>
        <w:rPr>
          <w:szCs w:val="22"/>
        </w:rPr>
      </w:pPr>
      <w:r>
        <w:rPr>
          <w:szCs w:val="22"/>
        </w:rPr>
        <w:t>By the Deputy Chief, Consumer Policy Division, Consumer and Governmental Affairs Bureau:</w:t>
      </w:r>
    </w:p>
    <w:p w:rsidR="00880D10" w:rsidP="00880D10">
      <w:pPr>
        <w:tabs>
          <w:tab w:val="left" w:pos="432"/>
        </w:tabs>
        <w:rPr>
          <w:szCs w:val="22"/>
        </w:rPr>
      </w:pPr>
    </w:p>
    <w:p w:rsidR="00880D10" w:rsidP="00880D10">
      <w:pPr>
        <w:numPr>
          <w:ilvl w:val="0"/>
          <w:numId w:val="8"/>
        </w:numPr>
        <w:tabs>
          <w:tab w:val="num" w:pos="0"/>
        </w:tabs>
        <w:snapToGrid w:val="0"/>
        <w:spacing w:after="120"/>
        <w:ind w:left="0" w:firstLine="720"/>
        <w:rPr>
          <w:szCs w:val="22"/>
        </w:rPr>
      </w:pPr>
      <w:r>
        <w:rPr>
          <w:szCs w:val="22"/>
        </w:rPr>
        <w:t>In this Order, we consider nine complaints</w:t>
      </w:r>
      <w:r>
        <w:rPr>
          <w:rStyle w:val="FootnoteReference"/>
          <w:szCs w:val="22"/>
        </w:rPr>
        <w:footnoteReference w:id="3"/>
      </w:r>
      <w:r>
        <w:rPr>
          <w:szCs w:val="22"/>
        </w:rPr>
        <w:t xml:space="preserve"> alleging that CenturyLink changed Complainants’ telecommunications service providers without obtaining authorization and verification </w:t>
      </w:r>
      <w:bookmarkStart w:id="1" w:name="_GoBack"/>
      <w:bookmarkEnd w:id="1"/>
      <w:r>
        <w:rPr>
          <w:szCs w:val="22"/>
        </w:rPr>
        <w:t>from Complainants as required by the Commission’s rules.</w:t>
      </w:r>
      <w:r>
        <w:rPr>
          <w:rStyle w:val="FootnoteReference"/>
          <w:szCs w:val="22"/>
        </w:rPr>
        <w:footnoteReference w:id="4"/>
      </w:r>
      <w:r>
        <w:rPr>
          <w:szCs w:val="22"/>
        </w:rPr>
        <w:t xml:space="preserve">  We conclude that CenturyLink’s actions violated the Commission’s carrier change rules, and we therefore grant Complainants’ complaints.</w:t>
      </w:r>
    </w:p>
    <w:p w:rsidR="00880D10" w:rsidP="00880D10">
      <w:pPr>
        <w:numPr>
          <w:ilvl w:val="0"/>
          <w:numId w:val="8"/>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5"/>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6"/>
      </w:r>
      <w:r>
        <w:rPr>
          <w:szCs w:val="22"/>
        </w:rPr>
        <w:t xml:space="preserve">  Specifically, a carrier must: (1) obtain the subscriber’s written or electronically signed authorization in a format that meets the requirements of Section 64.1130; (2) obtain confirmation from the subscriber via a toll-free number provided exclusively for the purpose of confirming orders electronically; or (3) utilize an appropriately qualified independent third party to verify the subscriber's order.</w:t>
      </w:r>
      <w:r>
        <w:rPr>
          <w:rStyle w:val="FootnoteReference"/>
          <w:szCs w:val="22"/>
        </w:rPr>
        <w:footnoteReference w:id="7"/>
      </w:r>
      <w:r>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Pr>
          <w:szCs w:val="22"/>
        </w:rPr>
        <w:t xml:space="preserve">  </w:t>
      </w:r>
    </w:p>
    <w:p w:rsidR="00880D10" w:rsidP="00880D10">
      <w:pPr>
        <w:numPr>
          <w:ilvl w:val="0"/>
          <w:numId w:val="8"/>
        </w:numPr>
        <w:snapToGrid w:val="0"/>
        <w:spacing w:after="120"/>
        <w:ind w:left="0" w:firstLine="720"/>
        <w:rPr>
          <w:szCs w:val="22"/>
        </w:rPr>
      </w:pPr>
      <w:r>
        <w:rPr>
          <w:szCs w:val="22"/>
        </w:rPr>
        <w:t>We received Complainants’ complaints alleging that Complainants’ telecommunications service providers had been changed without Complainants’ authorization.</w:t>
      </w:r>
      <w:r>
        <w:rPr>
          <w:rStyle w:val="FootnoteReference"/>
          <w:szCs w:val="22"/>
        </w:rPr>
        <w:footnoteReference w:id="9"/>
      </w:r>
      <w:r>
        <w:rPr>
          <w:szCs w:val="22"/>
        </w:rPr>
        <w:t xml:space="preserve">  Pursuant to Sections 1.719 and 64.1150 of our rules, we notified CenturyLink of the complaints.</w:t>
      </w:r>
      <w:r>
        <w:rPr>
          <w:rStyle w:val="FootnoteReference"/>
          <w:szCs w:val="22"/>
        </w:rPr>
        <w:footnoteReference w:id="10"/>
      </w:r>
      <w:r>
        <w:rPr>
          <w:szCs w:val="22"/>
        </w:rPr>
        <w:t xml:space="preserve">  CenturyLink responded to the complaints, acknowledging that it had charged Complainants for service.  However, in each case CenturyLink failed to provide any proof of authorization, including a third-party verification (TPV) recording.  The failure of CenturyLink to provide proof of verified authorization is presumed to be clear and convincing evidence of violations.</w:t>
      </w:r>
      <w:r>
        <w:rPr>
          <w:rStyle w:val="FootnoteReference"/>
          <w:szCs w:val="22"/>
        </w:rPr>
        <w:footnoteReference w:id="11"/>
      </w:r>
      <w:r>
        <w:rPr>
          <w:szCs w:val="22"/>
        </w:rPr>
        <w:t xml:space="preserve">  Therefore, we find that CenturyLink’s actions resulted in violations of our carrier change rules, and we discuss CenturyLink’s liability below.</w:t>
      </w:r>
      <w:r>
        <w:rPr>
          <w:rStyle w:val="FootnoteReference"/>
          <w:szCs w:val="22"/>
        </w:rPr>
        <w:footnoteReference w:id="12"/>
      </w:r>
      <w:r>
        <w:rPr>
          <w:szCs w:val="22"/>
        </w:rPr>
        <w:t xml:space="preserve">  </w:t>
      </w:r>
    </w:p>
    <w:p w:rsidR="00880D10" w:rsidP="00880D10">
      <w:pPr>
        <w:numPr>
          <w:ilvl w:val="0"/>
          <w:numId w:val="8"/>
        </w:numPr>
        <w:snapToGrid w:val="0"/>
        <w:spacing w:after="120"/>
        <w:ind w:left="0" w:firstLine="720"/>
        <w:rPr>
          <w:szCs w:val="22"/>
        </w:rPr>
      </w:pPr>
      <w:r>
        <w:rPr>
          <w:szCs w:val="22"/>
        </w:rPr>
        <w:t>CenturyLink must remove all charges incurred for service provided to Complainants for the first thirty days after the alleged unauthorized change in accordance with the Commission’s liability rules.</w:t>
      </w:r>
      <w:r>
        <w:rPr>
          <w:rStyle w:val="FootnoteReference"/>
          <w:szCs w:val="22"/>
        </w:rPr>
        <w:footnoteReference w:id="13"/>
      </w:r>
      <w:r>
        <w:rPr>
          <w:szCs w:val="22"/>
        </w:rPr>
        <w:t xml:space="preserve">  We have determined that Complainants are entitled to absolution for the charges incurred during the first thirty days after the unauthorized change occurred and that neither the Complainants’ authorized carriers nor CenturyLink may pursue any collection against Complainants for those charges.</w:t>
      </w:r>
      <w:r>
        <w:rPr>
          <w:rStyle w:val="FootnoteReference"/>
          <w:szCs w:val="22"/>
        </w:rPr>
        <w:footnoteReference w:id="14"/>
      </w:r>
      <w:r>
        <w:rPr>
          <w:szCs w:val="22"/>
        </w:rPr>
        <w:t xml:space="preserve">  Any charges imposed by CenturyLink on the Complainants for service provided after this 30-day period shall be paid by the Complainants to the authorized carriers at the rates the Complainants were paying the authorized carriers at the time of the unauthorized change of their telecommunications service providers.</w:t>
      </w:r>
      <w:r>
        <w:rPr>
          <w:rStyle w:val="FootnoteReference"/>
          <w:szCs w:val="22"/>
        </w:rPr>
        <w:footnoteReference w:id="15"/>
      </w:r>
    </w:p>
    <w:p w:rsidR="00880D10" w:rsidP="00880D10">
      <w:pPr>
        <w:numPr>
          <w:ilvl w:val="0"/>
          <w:numId w:val="8"/>
        </w:numPr>
        <w:tabs>
          <w:tab w:val="num" w:pos="0"/>
        </w:tabs>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 1.719, the complaints against CenturyLink ARE GRANTED.</w:t>
      </w:r>
    </w:p>
    <w:p w:rsidR="00880D10" w:rsidP="00880D10">
      <w:pPr>
        <w:numPr>
          <w:ilvl w:val="0"/>
          <w:numId w:val="8"/>
        </w:numPr>
        <w:tabs>
          <w:tab w:val="num" w:pos="0"/>
        </w:tabs>
        <w:snapToGrid w:val="0"/>
        <w:ind w:left="0" w:firstLine="720"/>
        <w:rPr>
          <w:szCs w:val="22"/>
        </w:rPr>
      </w:pPr>
      <w:r>
        <w:rPr>
          <w:szCs w:val="22"/>
        </w:rPr>
        <w:t>IT IS FURTHER ORDERED that, pursuant to Section 64.1170(d) of the Commission’s rules, 47 CFR § 64.1170(d), Complainants are entitled to absolution for the charges incurred during the first thirty days after the unauthorized changes occurred and that CenturyLink may not pursue any collection against Complainants for those charges.</w:t>
      </w:r>
    </w:p>
    <w:p w:rsidR="00880D10" w:rsidP="00880D10">
      <w:pPr>
        <w:widowControl/>
        <w:rPr>
          <w:szCs w:val="22"/>
        </w:rPr>
      </w:pPr>
      <w:r>
        <w:rPr>
          <w:szCs w:val="22"/>
        </w:rPr>
        <w:br w:type="page"/>
      </w:r>
    </w:p>
    <w:p w:rsidR="00880D10" w:rsidP="00880D10">
      <w:pPr>
        <w:rPr>
          <w:szCs w:val="22"/>
        </w:rPr>
      </w:pPr>
    </w:p>
    <w:p w:rsidR="00880D10" w:rsidP="00880D10">
      <w:pPr>
        <w:numPr>
          <w:ilvl w:val="0"/>
          <w:numId w:val="8"/>
        </w:numPr>
        <w:tabs>
          <w:tab w:val="num" w:pos="0"/>
        </w:tabs>
        <w:snapToGrid w:val="0"/>
        <w:ind w:left="0" w:firstLine="720"/>
        <w:rPr>
          <w:szCs w:val="22"/>
        </w:rPr>
      </w:pPr>
      <w:r>
        <w:rPr>
          <w:szCs w:val="22"/>
        </w:rPr>
        <w:t>IT IS FURTHER ORDERED that this Order is effective upon release.</w:t>
      </w:r>
    </w:p>
    <w:p w:rsidR="00880D10" w:rsidP="00880D10">
      <w:pPr>
        <w:ind w:right="270"/>
        <w:rPr>
          <w:szCs w:val="22"/>
        </w:rPr>
      </w:pPr>
      <w:r>
        <w:rPr>
          <w:szCs w:val="22"/>
        </w:rPr>
        <w:tab/>
      </w:r>
      <w:r>
        <w:rPr>
          <w:szCs w:val="22"/>
        </w:rPr>
        <w:tab/>
      </w:r>
    </w:p>
    <w:p w:rsidR="00880D10" w:rsidP="00880D10">
      <w:pPr>
        <w:ind w:right="270"/>
        <w:rPr>
          <w:szCs w:val="22"/>
        </w:rPr>
      </w:pPr>
    </w:p>
    <w:p w:rsidR="00880D10" w:rsidP="00880D10">
      <w:pPr>
        <w:ind w:left="3600" w:right="270"/>
        <w:rPr>
          <w:szCs w:val="22"/>
        </w:rPr>
      </w:pPr>
      <w:r>
        <w:rPr>
          <w:szCs w:val="22"/>
        </w:rPr>
        <w:t>FEDERAL COMMUNICATIONS COMMISSION</w:t>
      </w:r>
    </w:p>
    <w:p w:rsidR="00880D10" w:rsidP="00880D10">
      <w:pPr>
        <w:ind w:right="270"/>
        <w:jc w:val="right"/>
        <w:rPr>
          <w:szCs w:val="22"/>
        </w:rPr>
      </w:pPr>
    </w:p>
    <w:p w:rsidR="00880D10" w:rsidP="00880D10">
      <w:pPr>
        <w:ind w:right="270"/>
        <w:jc w:val="right"/>
        <w:rPr>
          <w:szCs w:val="22"/>
        </w:rPr>
      </w:pPr>
    </w:p>
    <w:p w:rsidR="00880D10" w:rsidP="00880D10">
      <w:pPr>
        <w:ind w:right="270"/>
        <w:jc w:val="cente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mso-wrap-style:square;visibility:visible">
            <v:imagedata r:id="rId5" o:title=""/>
          </v:shape>
        </w:pict>
      </w: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ind w:right="270"/>
        <w:jc w:val="center"/>
        <w:rPr>
          <w:szCs w:val="22"/>
        </w:rPr>
      </w:pPr>
    </w:p>
    <w:p w:rsidR="00880D10" w:rsidP="00880D10">
      <w:pPr>
        <w:rPr>
          <w:szCs w:val="22"/>
        </w:rPr>
      </w:pPr>
    </w:p>
    <w:p w:rsidR="00880D10" w:rsidP="00880D10">
      <w:pPr>
        <w:widowControl/>
        <w:rPr>
          <w:b/>
          <w:szCs w:val="22"/>
        </w:rPr>
      </w:pPr>
      <w:r>
        <w:rPr>
          <w:b/>
          <w:szCs w:val="22"/>
        </w:rPr>
        <w:br w:type="page"/>
      </w:r>
    </w:p>
    <w:p w:rsidR="00880D10" w:rsidP="00880D10">
      <w:pPr>
        <w:ind w:right="270"/>
        <w:jc w:val="center"/>
        <w:rPr>
          <w:b/>
          <w:szCs w:val="22"/>
        </w:rPr>
      </w:pPr>
      <w:r>
        <w:rPr>
          <w:b/>
          <w:szCs w:val="22"/>
        </w:rPr>
        <w:t xml:space="preserve">APPENDIX </w:t>
      </w:r>
    </w:p>
    <w:tbl>
      <w:tblPr>
        <w:tblW w:w="0" w:type="auto"/>
        <w:jc w:val="center"/>
        <w:tblCellMar>
          <w:left w:w="115" w:type="dxa"/>
          <w:right w:w="115" w:type="dxa"/>
        </w:tblCellMar>
        <w:tblLook w:val="00A0"/>
      </w:tblPr>
      <w:tblGrid>
        <w:gridCol w:w="2191"/>
        <w:gridCol w:w="2463"/>
        <w:gridCol w:w="2504"/>
      </w:tblGrid>
      <w:tr w:rsidTr="00880D10">
        <w:tblPrEx>
          <w:tblW w:w="0" w:type="auto"/>
          <w:jc w:val="center"/>
          <w:tblCellMar>
            <w:left w:w="115" w:type="dxa"/>
            <w:right w:w="115" w:type="dxa"/>
          </w:tblCellMar>
          <w:tblLook w:val="00A0"/>
        </w:tblPrEx>
        <w:trPr>
          <w:trHeight w:val="1050"/>
          <w:jc w:val="center"/>
        </w:trPr>
        <w:tc>
          <w:tcPr>
            <w:tcW w:w="2191" w:type="dxa"/>
            <w:shd w:val="clear" w:color="auto" w:fill="FFFFFF"/>
          </w:tcPr>
          <w:p w:rsidR="00880D10">
            <w:pPr>
              <w:widowControl/>
              <w:tabs>
                <w:tab w:val="left" w:pos="720"/>
                <w:tab w:val="left" w:pos="1440"/>
              </w:tabs>
              <w:spacing w:after="200"/>
              <w:ind w:right="144"/>
              <w:rPr>
                <w:color w:val="000000"/>
                <w:kern w:val="0"/>
                <w:szCs w:val="22"/>
                <w:u w:val="single"/>
              </w:rPr>
            </w:pPr>
          </w:p>
          <w:p w:rsidR="00880D10">
            <w:pPr>
              <w:widowControl/>
              <w:tabs>
                <w:tab w:val="left" w:pos="720"/>
                <w:tab w:val="left" w:pos="1440"/>
              </w:tabs>
              <w:spacing w:after="200"/>
              <w:ind w:right="144"/>
              <w:rPr>
                <w:color w:val="000000"/>
                <w:kern w:val="0"/>
                <w:szCs w:val="22"/>
                <w:u w:val="single"/>
              </w:rPr>
            </w:pPr>
            <w:r>
              <w:rPr>
                <w:color w:val="000000"/>
                <w:kern w:val="0"/>
                <w:szCs w:val="22"/>
                <w:u w:val="single"/>
              </w:rPr>
              <w:t>COMPLAINT NUMBER</w:t>
            </w:r>
          </w:p>
        </w:tc>
        <w:tc>
          <w:tcPr>
            <w:tcW w:w="2463" w:type="dxa"/>
          </w:tcPr>
          <w:p w:rsidR="00880D10">
            <w:pPr>
              <w:widowControl/>
              <w:tabs>
                <w:tab w:val="left" w:pos="720"/>
                <w:tab w:val="left" w:pos="1440"/>
              </w:tabs>
              <w:spacing w:after="200"/>
              <w:ind w:right="144"/>
              <w:rPr>
                <w:color w:val="FFFFFF"/>
                <w:kern w:val="0"/>
                <w:szCs w:val="22"/>
                <w:u w:val="single"/>
              </w:rPr>
            </w:pPr>
          </w:p>
          <w:p w:rsidR="00880D10">
            <w:pPr>
              <w:widowControl/>
              <w:tabs>
                <w:tab w:val="left" w:pos="720"/>
                <w:tab w:val="left" w:pos="1440"/>
              </w:tabs>
              <w:spacing w:after="200"/>
              <w:ind w:right="144"/>
              <w:rPr>
                <w:color w:val="000000"/>
                <w:kern w:val="0"/>
                <w:szCs w:val="22"/>
                <w:u w:val="single"/>
              </w:rPr>
            </w:pPr>
            <w:r>
              <w:rPr>
                <w:color w:val="000000"/>
                <w:kern w:val="0"/>
                <w:szCs w:val="22"/>
                <w:u w:val="single"/>
              </w:rPr>
              <w:t>DATE OF COMPLAINT</w:t>
            </w:r>
          </w:p>
        </w:tc>
        <w:tc>
          <w:tcPr>
            <w:tcW w:w="2504" w:type="dxa"/>
          </w:tcPr>
          <w:p w:rsidR="00880D10">
            <w:pPr>
              <w:widowControl/>
              <w:tabs>
                <w:tab w:val="left" w:pos="720"/>
                <w:tab w:val="left" w:pos="1440"/>
              </w:tabs>
              <w:spacing w:after="200"/>
              <w:ind w:right="144"/>
              <w:rPr>
                <w:color w:val="FFFFFF"/>
                <w:kern w:val="0"/>
                <w:szCs w:val="22"/>
                <w:u w:val="single"/>
              </w:rPr>
            </w:pPr>
          </w:p>
          <w:p w:rsidR="00880D10">
            <w:pPr>
              <w:widowControl/>
              <w:tabs>
                <w:tab w:val="left" w:pos="720"/>
                <w:tab w:val="left" w:pos="1440"/>
              </w:tabs>
              <w:spacing w:after="200"/>
              <w:ind w:right="144"/>
              <w:rPr>
                <w:color w:val="000000"/>
                <w:kern w:val="0"/>
                <w:szCs w:val="22"/>
                <w:u w:val="single"/>
              </w:rPr>
            </w:pPr>
            <w:r>
              <w:rPr>
                <w:color w:val="000000"/>
                <w:kern w:val="0"/>
                <w:szCs w:val="22"/>
                <w:u w:val="single"/>
              </w:rPr>
              <w:t>DATE OF CARRIER RESPONSE</w:t>
            </w:r>
          </w:p>
        </w:tc>
      </w:tr>
      <w:tr w:rsidTr="00880D10">
        <w:tblPrEx>
          <w:tblW w:w="0" w:type="auto"/>
          <w:jc w:val="center"/>
          <w:tblCellMar>
            <w:left w:w="115" w:type="dxa"/>
            <w:right w:w="115" w:type="dxa"/>
          </w:tblCellMar>
          <w:tblLook w:val="00A0"/>
        </w:tblPrEx>
        <w:trPr>
          <w:trHeight w:val="3600"/>
          <w:jc w:val="center"/>
        </w:trPr>
        <w:tc>
          <w:tcPr>
            <w:tcW w:w="2191" w:type="dxa"/>
          </w:tcPr>
          <w:p w:rsidR="00880D10">
            <w:pPr>
              <w:tabs>
                <w:tab w:val="right" w:pos="9360"/>
              </w:tabs>
              <w:suppressAutoHyphens/>
              <w:rPr>
                <w:spacing w:val="-2"/>
                <w:szCs w:val="22"/>
              </w:rPr>
            </w:pPr>
            <w:r>
              <w:rPr>
                <w:spacing w:val="-2"/>
                <w:szCs w:val="22"/>
              </w:rPr>
              <w:t>767598</w:t>
            </w:r>
          </w:p>
          <w:p w:rsidR="00880D10">
            <w:pPr>
              <w:tabs>
                <w:tab w:val="right" w:pos="9360"/>
              </w:tabs>
              <w:suppressAutoHyphens/>
              <w:rPr>
                <w:spacing w:val="-2"/>
                <w:szCs w:val="22"/>
              </w:rPr>
            </w:pPr>
            <w:r>
              <w:rPr>
                <w:spacing w:val="-2"/>
                <w:szCs w:val="22"/>
              </w:rPr>
              <w:t>1078300/1078404</w:t>
            </w:r>
          </w:p>
          <w:p w:rsidR="00880D10">
            <w:pPr>
              <w:tabs>
                <w:tab w:val="right" w:pos="9360"/>
              </w:tabs>
              <w:suppressAutoHyphens/>
              <w:rPr>
                <w:spacing w:val="-2"/>
                <w:szCs w:val="22"/>
              </w:rPr>
            </w:pPr>
            <w:r>
              <w:rPr>
                <w:spacing w:val="-2"/>
                <w:szCs w:val="22"/>
              </w:rPr>
              <w:t>1079188</w:t>
            </w:r>
          </w:p>
          <w:p w:rsidR="00880D10">
            <w:pPr>
              <w:tabs>
                <w:tab w:val="right" w:pos="9360"/>
              </w:tabs>
              <w:suppressAutoHyphens/>
              <w:rPr>
                <w:spacing w:val="-2"/>
                <w:szCs w:val="22"/>
              </w:rPr>
            </w:pPr>
            <w:r>
              <w:rPr>
                <w:spacing w:val="-2"/>
                <w:szCs w:val="22"/>
              </w:rPr>
              <w:t>1967131</w:t>
            </w:r>
          </w:p>
          <w:p w:rsidR="00880D10">
            <w:pPr>
              <w:tabs>
                <w:tab w:val="right" w:pos="9360"/>
              </w:tabs>
              <w:suppressAutoHyphens/>
              <w:rPr>
                <w:spacing w:val="-2"/>
                <w:szCs w:val="22"/>
              </w:rPr>
            </w:pPr>
            <w:r>
              <w:rPr>
                <w:spacing w:val="-2"/>
                <w:szCs w:val="22"/>
              </w:rPr>
              <w:t>2049483</w:t>
            </w:r>
          </w:p>
          <w:p w:rsidR="00880D10">
            <w:pPr>
              <w:tabs>
                <w:tab w:val="right" w:pos="9360"/>
              </w:tabs>
              <w:suppressAutoHyphens/>
              <w:rPr>
                <w:spacing w:val="-2"/>
                <w:szCs w:val="22"/>
              </w:rPr>
            </w:pPr>
            <w:r>
              <w:rPr>
                <w:spacing w:val="-2"/>
                <w:szCs w:val="22"/>
              </w:rPr>
              <w:t>2067106</w:t>
            </w:r>
          </w:p>
          <w:p w:rsidR="00880D10">
            <w:pPr>
              <w:tabs>
                <w:tab w:val="right" w:pos="9360"/>
              </w:tabs>
              <w:suppressAutoHyphens/>
              <w:rPr>
                <w:spacing w:val="-2"/>
                <w:szCs w:val="22"/>
              </w:rPr>
            </w:pPr>
            <w:r>
              <w:rPr>
                <w:spacing w:val="-2"/>
                <w:szCs w:val="22"/>
              </w:rPr>
              <w:t>2441983</w:t>
            </w:r>
          </w:p>
          <w:p w:rsidR="00880D10">
            <w:pPr>
              <w:tabs>
                <w:tab w:val="right" w:pos="9360"/>
              </w:tabs>
              <w:suppressAutoHyphens/>
              <w:rPr>
                <w:spacing w:val="-2"/>
                <w:szCs w:val="22"/>
              </w:rPr>
            </w:pPr>
            <w:r>
              <w:rPr>
                <w:spacing w:val="-2"/>
                <w:szCs w:val="22"/>
              </w:rPr>
              <w:t>2840904</w:t>
            </w:r>
          </w:p>
          <w:p w:rsidR="00880D10">
            <w:pPr>
              <w:tabs>
                <w:tab w:val="right" w:pos="9360"/>
              </w:tabs>
              <w:suppressAutoHyphens/>
              <w:rPr>
                <w:spacing w:val="-2"/>
                <w:szCs w:val="22"/>
              </w:rPr>
            </w:pPr>
            <w:r>
              <w:rPr>
                <w:spacing w:val="-2"/>
                <w:szCs w:val="22"/>
              </w:rPr>
              <w:t>2939670</w:t>
            </w:r>
          </w:p>
          <w:p w:rsidR="00880D10">
            <w:pPr>
              <w:tabs>
                <w:tab w:val="right" w:pos="9360"/>
              </w:tabs>
              <w:suppressAutoHyphens/>
              <w:rPr>
                <w:spacing w:val="-2"/>
                <w:szCs w:val="22"/>
              </w:rPr>
            </w:pPr>
          </w:p>
          <w:p w:rsidR="00880D10">
            <w:pPr>
              <w:tabs>
                <w:tab w:val="right" w:pos="9360"/>
              </w:tabs>
              <w:suppressAutoHyphens/>
              <w:rPr>
                <w:spacing w:val="-2"/>
                <w:szCs w:val="22"/>
              </w:rPr>
            </w:pPr>
          </w:p>
          <w:p w:rsidR="00880D10">
            <w:pPr>
              <w:tabs>
                <w:tab w:val="right" w:pos="9360"/>
              </w:tabs>
              <w:suppressAutoHyphens/>
              <w:rPr>
                <w:kern w:val="0"/>
                <w:szCs w:val="22"/>
              </w:rPr>
            </w:pPr>
            <w:r>
              <w:rPr>
                <w:szCs w:val="22"/>
              </w:rPr>
              <w:t xml:space="preserve"> </w:t>
            </w:r>
          </w:p>
        </w:tc>
        <w:tc>
          <w:tcPr>
            <w:tcW w:w="2463" w:type="dxa"/>
            <w:hideMark/>
          </w:tcPr>
          <w:p w:rsidR="00880D10">
            <w:pPr>
              <w:widowControl/>
              <w:tabs>
                <w:tab w:val="left" w:pos="720"/>
                <w:tab w:val="left" w:pos="1440"/>
              </w:tabs>
              <w:rPr>
                <w:kern w:val="0"/>
                <w:szCs w:val="22"/>
              </w:rPr>
            </w:pPr>
            <w:r>
              <w:rPr>
                <w:kern w:val="0"/>
                <w:szCs w:val="22"/>
              </w:rPr>
              <w:t>January 22, 2016</w:t>
            </w:r>
          </w:p>
          <w:p w:rsidR="00880D10">
            <w:pPr>
              <w:widowControl/>
              <w:tabs>
                <w:tab w:val="left" w:pos="720"/>
                <w:tab w:val="left" w:pos="1440"/>
              </w:tabs>
              <w:rPr>
                <w:kern w:val="0"/>
                <w:szCs w:val="22"/>
              </w:rPr>
            </w:pPr>
            <w:r>
              <w:rPr>
                <w:kern w:val="0"/>
                <w:szCs w:val="22"/>
              </w:rPr>
              <w:t>July 11, 2016</w:t>
            </w:r>
          </w:p>
          <w:p w:rsidR="00880D10">
            <w:pPr>
              <w:widowControl/>
              <w:tabs>
                <w:tab w:val="left" w:pos="720"/>
                <w:tab w:val="left" w:pos="1440"/>
              </w:tabs>
              <w:rPr>
                <w:kern w:val="0"/>
                <w:szCs w:val="22"/>
              </w:rPr>
            </w:pPr>
            <w:r>
              <w:rPr>
                <w:kern w:val="0"/>
                <w:szCs w:val="22"/>
              </w:rPr>
              <w:t>July 11, 2016</w:t>
            </w:r>
          </w:p>
          <w:p w:rsidR="00880D10">
            <w:pPr>
              <w:widowControl/>
              <w:tabs>
                <w:tab w:val="left" w:pos="720"/>
                <w:tab w:val="left" w:pos="1440"/>
              </w:tabs>
              <w:rPr>
                <w:kern w:val="0"/>
                <w:szCs w:val="22"/>
              </w:rPr>
            </w:pPr>
            <w:r>
              <w:rPr>
                <w:kern w:val="0"/>
                <w:szCs w:val="22"/>
              </w:rPr>
              <w:t>October 6, 2017</w:t>
            </w:r>
          </w:p>
          <w:p w:rsidR="00880D10">
            <w:pPr>
              <w:widowControl/>
              <w:tabs>
                <w:tab w:val="left" w:pos="720"/>
                <w:tab w:val="left" w:pos="1440"/>
              </w:tabs>
              <w:rPr>
                <w:kern w:val="0"/>
                <w:szCs w:val="22"/>
              </w:rPr>
            </w:pPr>
            <w:r>
              <w:rPr>
                <w:kern w:val="0"/>
                <w:szCs w:val="22"/>
              </w:rPr>
              <w:t>November 15, 2017</w:t>
            </w:r>
          </w:p>
          <w:p w:rsidR="00880D10">
            <w:pPr>
              <w:widowControl/>
              <w:tabs>
                <w:tab w:val="left" w:pos="720"/>
                <w:tab w:val="left" w:pos="1440"/>
              </w:tabs>
              <w:rPr>
                <w:kern w:val="0"/>
                <w:szCs w:val="22"/>
              </w:rPr>
            </w:pPr>
            <w:r>
              <w:rPr>
                <w:kern w:val="0"/>
                <w:szCs w:val="22"/>
              </w:rPr>
              <w:t>November 24, 2017</w:t>
            </w:r>
          </w:p>
          <w:p w:rsidR="00880D10">
            <w:pPr>
              <w:widowControl/>
              <w:tabs>
                <w:tab w:val="left" w:pos="720"/>
                <w:tab w:val="left" w:pos="1440"/>
              </w:tabs>
              <w:rPr>
                <w:kern w:val="0"/>
                <w:szCs w:val="22"/>
              </w:rPr>
            </w:pPr>
            <w:r>
              <w:rPr>
                <w:kern w:val="0"/>
                <w:szCs w:val="22"/>
              </w:rPr>
              <w:t>May 10, 2018</w:t>
            </w:r>
          </w:p>
          <w:p w:rsidR="00880D10">
            <w:pPr>
              <w:widowControl/>
              <w:tabs>
                <w:tab w:val="left" w:pos="720"/>
                <w:tab w:val="left" w:pos="1440"/>
              </w:tabs>
              <w:rPr>
                <w:kern w:val="0"/>
                <w:szCs w:val="22"/>
              </w:rPr>
            </w:pPr>
            <w:r>
              <w:rPr>
                <w:kern w:val="0"/>
                <w:szCs w:val="22"/>
              </w:rPr>
              <w:t>October 12, 2018</w:t>
            </w:r>
          </w:p>
          <w:p w:rsidR="00880D10">
            <w:pPr>
              <w:widowControl/>
              <w:tabs>
                <w:tab w:val="left" w:pos="720"/>
                <w:tab w:val="left" w:pos="1440"/>
              </w:tabs>
              <w:rPr>
                <w:kern w:val="0"/>
                <w:szCs w:val="22"/>
              </w:rPr>
            </w:pPr>
            <w:r>
              <w:rPr>
                <w:kern w:val="0"/>
                <w:szCs w:val="22"/>
              </w:rPr>
              <w:t>November 26, 2018</w:t>
            </w:r>
          </w:p>
        </w:tc>
        <w:tc>
          <w:tcPr>
            <w:tcW w:w="2504" w:type="dxa"/>
            <w:hideMark/>
          </w:tcPr>
          <w:p w:rsidR="00880D10">
            <w:pPr>
              <w:widowControl/>
              <w:tabs>
                <w:tab w:val="left" w:pos="720"/>
                <w:tab w:val="left" w:pos="1440"/>
              </w:tabs>
              <w:rPr>
                <w:kern w:val="0"/>
                <w:szCs w:val="22"/>
              </w:rPr>
            </w:pPr>
            <w:r>
              <w:rPr>
                <w:kern w:val="0"/>
                <w:szCs w:val="22"/>
              </w:rPr>
              <w:t>March 10, 2016</w:t>
            </w:r>
          </w:p>
          <w:p w:rsidR="00880D10">
            <w:pPr>
              <w:widowControl/>
              <w:tabs>
                <w:tab w:val="left" w:pos="720"/>
                <w:tab w:val="left" w:pos="1440"/>
              </w:tabs>
              <w:rPr>
                <w:kern w:val="0"/>
                <w:szCs w:val="22"/>
              </w:rPr>
            </w:pPr>
            <w:r>
              <w:rPr>
                <w:kern w:val="0"/>
                <w:szCs w:val="22"/>
              </w:rPr>
              <w:t>August 19, 2016</w:t>
            </w:r>
          </w:p>
          <w:p w:rsidR="00880D10">
            <w:pPr>
              <w:widowControl/>
              <w:tabs>
                <w:tab w:val="left" w:pos="720"/>
                <w:tab w:val="left" w:pos="1440"/>
              </w:tabs>
              <w:rPr>
                <w:kern w:val="0"/>
                <w:szCs w:val="22"/>
              </w:rPr>
            </w:pPr>
            <w:r>
              <w:rPr>
                <w:kern w:val="0"/>
                <w:szCs w:val="22"/>
              </w:rPr>
              <w:t>August 11, 2016</w:t>
            </w:r>
          </w:p>
          <w:p w:rsidR="00880D10">
            <w:pPr>
              <w:widowControl/>
              <w:tabs>
                <w:tab w:val="left" w:pos="720"/>
                <w:tab w:val="left" w:pos="1440"/>
              </w:tabs>
              <w:rPr>
                <w:kern w:val="0"/>
                <w:szCs w:val="22"/>
              </w:rPr>
            </w:pPr>
            <w:r>
              <w:rPr>
                <w:kern w:val="0"/>
                <w:szCs w:val="22"/>
              </w:rPr>
              <w:t>November 3, 2017</w:t>
            </w:r>
          </w:p>
          <w:p w:rsidR="00880D10">
            <w:pPr>
              <w:widowControl/>
              <w:tabs>
                <w:tab w:val="left" w:pos="720"/>
                <w:tab w:val="left" w:pos="1440"/>
              </w:tabs>
              <w:rPr>
                <w:kern w:val="0"/>
                <w:szCs w:val="22"/>
              </w:rPr>
            </w:pPr>
            <w:r>
              <w:rPr>
                <w:kern w:val="0"/>
                <w:szCs w:val="22"/>
              </w:rPr>
              <w:t>February 7, 2018</w:t>
            </w:r>
          </w:p>
          <w:p w:rsidR="00880D10">
            <w:pPr>
              <w:widowControl/>
              <w:tabs>
                <w:tab w:val="left" w:pos="720"/>
                <w:tab w:val="left" w:pos="1440"/>
              </w:tabs>
              <w:rPr>
                <w:kern w:val="0"/>
                <w:szCs w:val="22"/>
              </w:rPr>
            </w:pPr>
            <w:r>
              <w:rPr>
                <w:kern w:val="0"/>
                <w:szCs w:val="22"/>
              </w:rPr>
              <w:t>February 13, 2018</w:t>
            </w:r>
          </w:p>
          <w:p w:rsidR="00880D10">
            <w:pPr>
              <w:widowControl/>
              <w:tabs>
                <w:tab w:val="left" w:pos="720"/>
                <w:tab w:val="left" w:pos="1440"/>
              </w:tabs>
              <w:rPr>
                <w:kern w:val="0"/>
                <w:szCs w:val="22"/>
              </w:rPr>
            </w:pPr>
            <w:r>
              <w:rPr>
                <w:kern w:val="0"/>
                <w:szCs w:val="22"/>
              </w:rPr>
              <w:t>May 23, 2018</w:t>
            </w:r>
          </w:p>
          <w:p w:rsidR="00880D10">
            <w:pPr>
              <w:widowControl/>
              <w:tabs>
                <w:tab w:val="left" w:pos="720"/>
                <w:tab w:val="left" w:pos="1440"/>
              </w:tabs>
              <w:rPr>
                <w:kern w:val="0"/>
                <w:szCs w:val="22"/>
              </w:rPr>
            </w:pPr>
            <w:r>
              <w:rPr>
                <w:kern w:val="0"/>
                <w:szCs w:val="22"/>
              </w:rPr>
              <w:t>October 25, 2018</w:t>
            </w:r>
          </w:p>
          <w:p w:rsidR="00880D10">
            <w:pPr>
              <w:widowControl/>
              <w:tabs>
                <w:tab w:val="left" w:pos="720"/>
                <w:tab w:val="left" w:pos="1440"/>
              </w:tabs>
              <w:rPr>
                <w:kern w:val="0"/>
                <w:szCs w:val="22"/>
              </w:rPr>
            </w:pPr>
            <w:r>
              <w:rPr>
                <w:kern w:val="0"/>
                <w:szCs w:val="22"/>
              </w:rPr>
              <w:t>December 6, 2018</w:t>
            </w:r>
          </w:p>
        </w:tc>
      </w:tr>
      <w:tr w:rsidTr="00880D10">
        <w:tblPrEx>
          <w:tblW w:w="0" w:type="auto"/>
          <w:jc w:val="center"/>
          <w:tblCellMar>
            <w:left w:w="115" w:type="dxa"/>
            <w:right w:w="115" w:type="dxa"/>
          </w:tblCellMar>
          <w:tblLook w:val="00A0"/>
        </w:tblPrEx>
        <w:trPr>
          <w:trHeight w:val="3600"/>
          <w:jc w:val="center"/>
        </w:trPr>
        <w:tc>
          <w:tcPr>
            <w:tcW w:w="2191" w:type="dxa"/>
          </w:tcPr>
          <w:p w:rsidR="00880D10">
            <w:pPr>
              <w:tabs>
                <w:tab w:val="right" w:pos="9360"/>
              </w:tabs>
              <w:suppressAutoHyphens/>
              <w:rPr>
                <w:spacing w:val="-2"/>
                <w:szCs w:val="22"/>
              </w:rPr>
            </w:pPr>
          </w:p>
        </w:tc>
        <w:tc>
          <w:tcPr>
            <w:tcW w:w="2463" w:type="dxa"/>
          </w:tcPr>
          <w:p w:rsidR="00880D10">
            <w:pPr>
              <w:widowControl/>
              <w:tabs>
                <w:tab w:val="left" w:pos="720"/>
                <w:tab w:val="left" w:pos="1440"/>
              </w:tabs>
              <w:rPr>
                <w:kern w:val="0"/>
                <w:szCs w:val="22"/>
              </w:rPr>
            </w:pPr>
          </w:p>
        </w:tc>
        <w:tc>
          <w:tcPr>
            <w:tcW w:w="2504" w:type="dxa"/>
          </w:tcPr>
          <w:p w:rsidR="00880D10">
            <w:pPr>
              <w:widowControl/>
              <w:tabs>
                <w:tab w:val="left" w:pos="720"/>
                <w:tab w:val="left" w:pos="1440"/>
              </w:tabs>
              <w:rPr>
                <w:kern w:val="0"/>
                <w:szCs w:val="22"/>
              </w:rPr>
            </w:pPr>
          </w:p>
        </w:tc>
      </w:tr>
    </w:tbl>
    <w:p w:rsidR="00880D10" w:rsidP="00880D10">
      <w:pPr>
        <w:pStyle w:val="Heading1"/>
        <w:numPr>
          <w:ilvl w:val="0"/>
          <w:numId w:val="0"/>
        </w:numPr>
        <w:tabs>
          <w:tab w:val="left" w:pos="720"/>
        </w:tabs>
        <w:ind w:left="720" w:hanging="72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434C">
      <w:r>
        <w:separator/>
      </w:r>
    </w:p>
  </w:footnote>
  <w:footnote w:type="continuationSeparator" w:id="1">
    <w:p w:rsidR="0038434C" w:rsidP="00C721AC">
      <w:pPr>
        <w:spacing w:before="120"/>
        <w:rPr>
          <w:sz w:val="20"/>
        </w:rPr>
      </w:pPr>
      <w:r>
        <w:rPr>
          <w:sz w:val="20"/>
        </w:rPr>
        <w:t xml:space="preserve">(Continued from previous page)  </w:t>
      </w:r>
      <w:r>
        <w:rPr>
          <w:sz w:val="20"/>
        </w:rPr>
        <w:separator/>
      </w:r>
    </w:p>
  </w:footnote>
  <w:footnote w:type="continuationNotice" w:id="2">
    <w:p w:rsidR="0038434C" w:rsidP="00C721AC">
      <w:pPr>
        <w:jc w:val="right"/>
        <w:rPr>
          <w:sz w:val="20"/>
        </w:rPr>
      </w:pPr>
      <w:r>
        <w:rPr>
          <w:sz w:val="20"/>
        </w:rPr>
        <w:t>(continued….)</w:t>
      </w:r>
    </w:p>
  </w:footnote>
  <w:footnote w:id="3">
    <w:p w:rsidR="00880D10" w:rsidP="00880D10">
      <w:pPr>
        <w:pStyle w:val="FootnoteText"/>
      </w:pPr>
      <w:r>
        <w:rPr>
          <w:rStyle w:val="FootnoteReference"/>
        </w:rPr>
        <w:footnoteRef/>
      </w:r>
      <w:bookmarkStart w:id="0" w:name="_Hlk515530738"/>
      <w:r>
        <w:rPr>
          <w:i/>
        </w:rPr>
        <w:t xml:space="preserve"> See </w:t>
      </w:r>
      <w:r>
        <w:t>Appendix</w:t>
      </w:r>
      <w:bookmarkEnd w:id="0"/>
      <w:r>
        <w:t>.</w:t>
      </w:r>
    </w:p>
  </w:footnote>
  <w:footnote w:id="4">
    <w:p w:rsidR="00880D10" w:rsidP="00880D10">
      <w:pPr>
        <w:pStyle w:val="FootnoteText"/>
      </w:pPr>
      <w:r>
        <w:rPr>
          <w:rStyle w:val="FootnoteReference"/>
        </w:rPr>
        <w:footnoteRef/>
      </w:r>
      <w:r>
        <w:t xml:space="preserve"> </w:t>
      </w:r>
      <w:r>
        <w:rPr>
          <w:i/>
        </w:rPr>
        <w:t>See</w:t>
      </w:r>
      <w:r>
        <w:t xml:space="preserve"> 47 CFR §§ 64.1100 – 64.1190.</w:t>
      </w:r>
    </w:p>
  </w:footnote>
  <w:footnote w:id="5">
    <w:p w:rsidR="00880D10" w:rsidP="00880D10">
      <w:pPr>
        <w:pStyle w:val="FootnoteText"/>
      </w:pPr>
      <w:r>
        <w:rPr>
          <w:rStyle w:val="FootnoteReference"/>
        </w:rPr>
        <w:footnoteRef/>
      </w:r>
      <w:r>
        <w:t xml:space="preserve"> 47 U.S.C. § 258(a).</w:t>
      </w:r>
    </w:p>
  </w:footnote>
  <w:footnote w:id="6">
    <w:p w:rsidR="00880D10" w:rsidP="00880D10">
      <w:pPr>
        <w:pStyle w:val="FootnoteText"/>
        <w:tabs>
          <w:tab w:val="left" w:pos="0"/>
        </w:tabs>
      </w:pPr>
      <w:r>
        <w:rPr>
          <w:rStyle w:val="FootnoteReference"/>
        </w:rPr>
        <w:footnoteRef/>
      </w:r>
      <w:r>
        <w:t xml:space="preserve"> </w:t>
      </w:r>
      <w:r>
        <w:rPr>
          <w:i/>
        </w:rPr>
        <w:t>See</w:t>
      </w:r>
      <w:r>
        <w:t xml:space="preserve"> 47 CFR § 64.1120.</w:t>
      </w:r>
    </w:p>
  </w:footnote>
  <w:footnote w:id="7">
    <w:p w:rsidR="00880D10" w:rsidP="00880D10">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880D10" w:rsidP="00880D10">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880D10" w:rsidP="00880D10">
      <w:pPr>
        <w:pStyle w:val="FootnoteText"/>
      </w:pPr>
      <w:r>
        <w:rPr>
          <w:rStyle w:val="FootnoteReference"/>
        </w:rPr>
        <w:footnoteRef/>
      </w:r>
      <w:r>
        <w:rPr>
          <w:i/>
        </w:rPr>
        <w:t xml:space="preserve"> See </w:t>
      </w:r>
      <w:r>
        <w:t>Appendix.</w:t>
      </w:r>
    </w:p>
  </w:footnote>
  <w:footnote w:id="10">
    <w:p w:rsidR="00880D10" w:rsidP="00880D10">
      <w:pPr>
        <w:pStyle w:val="FootnoteText"/>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1">
    <w:p w:rsidR="00880D10" w:rsidP="00880D10">
      <w:pPr>
        <w:pStyle w:val="FootnoteText"/>
      </w:pPr>
      <w:r>
        <w:rPr>
          <w:rStyle w:val="FootnoteReference"/>
        </w:rPr>
        <w:footnoteRef/>
      </w:r>
      <w:r>
        <w:t xml:space="preserve"> </w:t>
      </w:r>
      <w:bookmarkStart w:id="2" w:name="_Hlk514147807"/>
      <w:r>
        <w:rPr>
          <w:i/>
        </w:rPr>
        <w:t>See id.</w:t>
      </w:r>
      <w:r>
        <w:t xml:space="preserve"> </w:t>
      </w:r>
      <w:bookmarkStart w:id="3" w:name="_Hlk514147961"/>
      <w:r>
        <w:t>§</w:t>
      </w:r>
      <w:bookmarkEnd w:id="3"/>
      <w:r>
        <w:t xml:space="preserve"> 64.1150(d)</w:t>
      </w:r>
      <w:bookmarkEnd w:id="2"/>
      <w:r>
        <w:t>.</w:t>
      </w:r>
    </w:p>
  </w:footnote>
  <w:footnote w:id="12">
    <w:p w:rsidR="00880D10" w:rsidP="00880D10">
      <w:pPr>
        <w:pStyle w:val="FootnoteText"/>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 1.719.</w:t>
      </w:r>
    </w:p>
  </w:footnote>
  <w:footnote w:id="13">
    <w:p w:rsidR="00880D10" w:rsidP="00880D10">
      <w:pPr>
        <w:pStyle w:val="FootnoteText"/>
      </w:pPr>
      <w:r>
        <w:rPr>
          <w:rStyle w:val="FootnoteReference"/>
        </w:rPr>
        <w:footnoteRef/>
      </w:r>
      <w:r>
        <w:t xml:space="preserve"> </w:t>
      </w:r>
      <w:r>
        <w:rPr>
          <w:i/>
        </w:rPr>
        <w:t>See id.</w:t>
      </w:r>
      <w:r>
        <w:t xml:space="preserve"> § 64.1160(b).</w:t>
      </w:r>
    </w:p>
  </w:footnote>
  <w:footnote w:id="14">
    <w:p w:rsidR="00880D10" w:rsidP="00880D10">
      <w:pPr>
        <w:pStyle w:val="FootnoteText"/>
      </w:pPr>
      <w:r>
        <w:rPr>
          <w:rStyle w:val="FootnoteReference"/>
        </w:rPr>
        <w:footnoteRef/>
      </w:r>
      <w:r>
        <w:t xml:space="preserve"> </w:t>
      </w:r>
      <w:r>
        <w:rPr>
          <w:i/>
        </w:rPr>
        <w:t>See id.</w:t>
      </w:r>
      <w:r>
        <w:t xml:space="preserve"> § 64.1160(d).</w:t>
      </w:r>
    </w:p>
  </w:footnote>
  <w:footnote w:id="15">
    <w:p w:rsidR="00880D10" w:rsidP="00880D10">
      <w:pPr>
        <w:pStyle w:val="FootnoteText"/>
      </w:pPr>
      <w:r>
        <w:rPr>
          <w:rStyle w:val="FootnoteReference"/>
        </w:rPr>
        <w:footnoteRef/>
      </w:r>
      <w:r>
        <w:t xml:space="preserve"> </w:t>
      </w:r>
      <w:r>
        <w:rPr>
          <w:i/>
        </w:rPr>
        <w:t>See id.</w:t>
      </w:r>
      <w:r>
        <w:t xml:space="preserve"> </w:t>
      </w:r>
      <w:r w:rsidR="00E716ED">
        <w:t>§</w:t>
      </w:r>
      <w:r>
        <w:t>§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716ED">
      <w:t>DA 19-</w:t>
    </w:r>
    <w:r w:rsidR="00C6763F">
      <w:t>364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716ED">
      <w:t>DA 19-</w:t>
    </w:r>
    <w:r w:rsidR="00C6763F">
      <w:t>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1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8434C"/>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0D10"/>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6763F"/>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16E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8245F0-41DA-4520-83AE-D4FAEAC3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880D10"/>
    <w:rPr>
      <w:rFonts w:ascii="Times New Roman Bold" w:hAnsi="Times New Roman Bold"/>
      <w:b/>
      <w:caps/>
      <w:snapToGrid w:val="0"/>
      <w:kern w:val="28"/>
      <w:sz w:val="22"/>
    </w:rPr>
  </w:style>
  <w:style w:type="character" w:customStyle="1" w:styleId="FootnoteTextChar">
    <w:name w:val="Footnote Text Char"/>
    <w:link w:val="FootnoteText"/>
    <w:rsid w:val="00880D10"/>
  </w:style>
  <w:style w:type="paragraph" w:styleId="Title">
    <w:name w:val="Title"/>
    <w:basedOn w:val="Normal"/>
    <w:link w:val="TitleChar"/>
    <w:qFormat/>
    <w:rsid w:val="00880D10"/>
    <w:pPr>
      <w:snapToGrid w:val="0"/>
      <w:jc w:val="center"/>
    </w:pPr>
    <w:rPr>
      <w:b/>
      <w:snapToGrid/>
    </w:rPr>
  </w:style>
  <w:style w:type="character" w:customStyle="1" w:styleId="TitleChar">
    <w:name w:val="Title Char"/>
    <w:link w:val="Title"/>
    <w:rsid w:val="00880D10"/>
    <w:rPr>
      <w:b/>
      <w:kern w:val="28"/>
      <w:sz w:val="22"/>
    </w:rPr>
  </w:style>
  <w:style w:type="paragraph" w:styleId="Subtitle">
    <w:name w:val="Subtitle"/>
    <w:basedOn w:val="Normal"/>
    <w:link w:val="SubtitleChar"/>
    <w:qFormat/>
    <w:rsid w:val="00880D10"/>
    <w:pPr>
      <w:snapToGrid w:val="0"/>
      <w:ind w:firstLine="720"/>
      <w:jc w:val="center"/>
    </w:pPr>
    <w:rPr>
      <w:b/>
      <w:snapToGrid/>
    </w:rPr>
  </w:style>
  <w:style w:type="character" w:customStyle="1" w:styleId="SubtitleChar">
    <w:name w:val="Subtitle Char"/>
    <w:link w:val="Subtitle"/>
    <w:rsid w:val="00880D10"/>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