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B71F2" w:rsidP="00AB71F2">
      <w:pPr>
        <w:pStyle w:val="Title"/>
        <w:rPr>
          <w:szCs w:val="22"/>
        </w:rPr>
      </w:pPr>
      <w:r>
        <w:rPr>
          <w:szCs w:val="22"/>
        </w:rPr>
        <w:t>Before the</w:t>
      </w:r>
    </w:p>
    <w:p w:rsidR="00AB71F2" w:rsidP="00AB71F2">
      <w:pPr>
        <w:pStyle w:val="Subtitle"/>
        <w:ind w:firstLine="0"/>
        <w:rPr>
          <w:szCs w:val="22"/>
        </w:rPr>
      </w:pPr>
      <w:r>
        <w:rPr>
          <w:szCs w:val="22"/>
        </w:rPr>
        <w:t>Federal Communications Commission</w:t>
      </w:r>
    </w:p>
    <w:p w:rsidR="00AB71F2" w:rsidP="00AB71F2">
      <w:pPr>
        <w:jc w:val="center"/>
        <w:rPr>
          <w:b/>
          <w:szCs w:val="22"/>
        </w:rPr>
      </w:pPr>
      <w:r>
        <w:rPr>
          <w:b/>
          <w:szCs w:val="22"/>
        </w:rPr>
        <w:t>Washington, D.C. 20554</w:t>
      </w:r>
    </w:p>
    <w:p w:rsidR="00AB71F2" w:rsidP="00AB71F2">
      <w:pPr>
        <w:tabs>
          <w:tab w:val="left" w:pos="-720"/>
        </w:tabs>
        <w:suppressAutoHyphens/>
        <w:spacing w:line="225" w:lineRule="auto"/>
        <w:rPr>
          <w:spacing w:val="-2"/>
          <w:szCs w:val="22"/>
        </w:rPr>
      </w:pPr>
    </w:p>
    <w:p w:rsidR="00AB71F2" w:rsidP="00AB71F2">
      <w:pPr>
        <w:tabs>
          <w:tab w:val="left" w:pos="-720"/>
        </w:tabs>
        <w:suppressAutoHyphens/>
        <w:spacing w:line="225" w:lineRule="auto"/>
        <w:rPr>
          <w:spacing w:val="-2"/>
          <w:szCs w:val="22"/>
        </w:rPr>
      </w:pPr>
    </w:p>
    <w:tbl>
      <w:tblPr>
        <w:tblW w:w="0" w:type="auto"/>
        <w:tblLayout w:type="fixed"/>
        <w:tblLook w:val="04A0"/>
      </w:tblPr>
      <w:tblGrid>
        <w:gridCol w:w="4698"/>
        <w:gridCol w:w="630"/>
        <w:gridCol w:w="4248"/>
      </w:tblGrid>
      <w:tr w:rsidTr="00AB71F2">
        <w:tblPrEx>
          <w:tblW w:w="0" w:type="auto"/>
          <w:tblLayout w:type="fixed"/>
          <w:tblLook w:val="04A0"/>
        </w:tblPrEx>
        <w:tc>
          <w:tcPr>
            <w:tcW w:w="4698" w:type="dxa"/>
          </w:tcPr>
          <w:p w:rsidR="00AB71F2">
            <w:pPr>
              <w:pStyle w:val="TOAHeading"/>
              <w:tabs>
                <w:tab w:val="center" w:pos="4680"/>
              </w:tabs>
              <w:rPr>
                <w:spacing w:val="-2"/>
                <w:szCs w:val="22"/>
              </w:rPr>
            </w:pPr>
            <w:r>
              <w:rPr>
                <w:spacing w:val="-2"/>
                <w:szCs w:val="22"/>
              </w:rPr>
              <w:t>In the Matter of</w:t>
            </w:r>
          </w:p>
          <w:p w:rsidR="00AB71F2">
            <w:pPr>
              <w:tabs>
                <w:tab w:val="center" w:pos="4680"/>
              </w:tabs>
              <w:suppressAutoHyphens/>
              <w:rPr>
                <w:spacing w:val="-2"/>
                <w:szCs w:val="22"/>
              </w:rPr>
            </w:pPr>
          </w:p>
          <w:p w:rsidR="00AB71F2">
            <w:pPr>
              <w:tabs>
                <w:tab w:val="center" w:pos="4680"/>
              </w:tabs>
              <w:suppressAutoHyphens/>
              <w:rPr>
                <w:szCs w:val="22"/>
              </w:rPr>
            </w:pPr>
            <w:r>
              <w:rPr>
                <w:szCs w:val="22"/>
              </w:rPr>
              <w:t>Telplex</w:t>
            </w:r>
            <w:r>
              <w:rPr>
                <w:szCs w:val="22"/>
              </w:rPr>
              <w:t xml:space="preserve"> Communications</w:t>
            </w:r>
          </w:p>
          <w:p w:rsidR="00AB71F2">
            <w:pPr>
              <w:tabs>
                <w:tab w:val="center" w:pos="4680"/>
              </w:tabs>
              <w:suppressAutoHyphens/>
              <w:rPr>
                <w:szCs w:val="22"/>
              </w:rPr>
            </w:pPr>
          </w:p>
          <w:p w:rsidR="00AB71F2">
            <w:pPr>
              <w:pStyle w:val="TOAHeading"/>
              <w:tabs>
                <w:tab w:val="center" w:pos="4680"/>
              </w:tabs>
              <w:rPr>
                <w:szCs w:val="22"/>
              </w:rPr>
            </w:pPr>
            <w:r>
              <w:rPr>
                <w:szCs w:val="22"/>
              </w:rPr>
              <w:t xml:space="preserve">Complaints Regarding </w:t>
            </w:r>
          </w:p>
          <w:p w:rsidR="00AB71F2">
            <w:pPr>
              <w:pStyle w:val="TOAHeading"/>
              <w:tabs>
                <w:tab w:val="center" w:pos="4680"/>
              </w:tabs>
              <w:rPr>
                <w:szCs w:val="22"/>
              </w:rPr>
            </w:pPr>
            <w:r>
              <w:rPr>
                <w:szCs w:val="22"/>
              </w:rPr>
              <w:t>Unauthorized Change of</w:t>
            </w:r>
          </w:p>
          <w:p w:rsidR="00AB71F2">
            <w:pPr>
              <w:pStyle w:val="TOAHeading"/>
              <w:tabs>
                <w:tab w:val="center" w:pos="4680"/>
              </w:tabs>
              <w:rPr>
                <w:szCs w:val="22"/>
              </w:rPr>
            </w:pPr>
            <w:r>
              <w:rPr>
                <w:szCs w:val="22"/>
              </w:rPr>
              <w:t>Subscriber’s Telecommunications Carrier</w:t>
            </w:r>
          </w:p>
        </w:tc>
        <w:tc>
          <w:tcPr>
            <w:tcW w:w="630" w:type="dxa"/>
          </w:tcPr>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b/>
                <w:spacing w:val="-2"/>
                <w:szCs w:val="22"/>
              </w:rPr>
            </w:pPr>
            <w:r>
              <w:rPr>
                <w:b/>
                <w:spacing w:val="-2"/>
                <w:szCs w:val="22"/>
              </w:rPr>
              <w:t>)</w:t>
            </w:r>
          </w:p>
          <w:p w:rsidR="00AB71F2">
            <w:pPr>
              <w:tabs>
                <w:tab w:val="center" w:pos="4680"/>
              </w:tabs>
              <w:suppressAutoHyphens/>
              <w:rPr>
                <w:spacing w:val="-2"/>
                <w:szCs w:val="22"/>
              </w:rPr>
            </w:pPr>
          </w:p>
        </w:tc>
        <w:tc>
          <w:tcPr>
            <w:tcW w:w="4248" w:type="dxa"/>
          </w:tcPr>
          <w:p w:rsidR="00AB71F2">
            <w:pPr>
              <w:tabs>
                <w:tab w:val="center" w:pos="4680"/>
              </w:tabs>
              <w:suppressAutoHyphens/>
              <w:rPr>
                <w:spacing w:val="-2"/>
                <w:szCs w:val="22"/>
              </w:rPr>
            </w:pPr>
          </w:p>
          <w:p w:rsidR="00AB71F2">
            <w:pPr>
              <w:tabs>
                <w:tab w:val="center" w:pos="4680"/>
              </w:tabs>
              <w:suppressAutoHyphens/>
              <w:rPr>
                <w:spacing w:val="-2"/>
                <w:szCs w:val="22"/>
              </w:rPr>
            </w:pPr>
          </w:p>
          <w:p w:rsidR="00AB71F2">
            <w:pPr>
              <w:pStyle w:val="TOAHeading"/>
              <w:rPr>
                <w:szCs w:val="22"/>
              </w:rPr>
            </w:pPr>
            <w:r>
              <w:rPr>
                <w:szCs w:val="22"/>
              </w:rPr>
              <w:t xml:space="preserve">Complaint Nos. </w:t>
            </w:r>
            <w:r>
              <w:t>2372902</w:t>
            </w:r>
          </w:p>
          <w:p w:rsidR="00AB71F2">
            <w:r>
              <w:t xml:space="preserve">                          2673163</w:t>
            </w:r>
          </w:p>
          <w:p w:rsidR="00AB71F2">
            <w:r>
              <w:t xml:space="preserve">                          2706192</w:t>
            </w:r>
          </w:p>
          <w:p w:rsidR="00AB71F2">
            <w:pPr>
              <w:rPr>
                <w:szCs w:val="22"/>
              </w:rPr>
            </w:pPr>
            <w:r>
              <w:rPr>
                <w:szCs w:val="22"/>
              </w:rPr>
              <w:t xml:space="preserve">                          2706906</w:t>
            </w:r>
          </w:p>
          <w:p w:rsidR="00AB71F2">
            <w:pPr>
              <w:rPr>
                <w:szCs w:val="22"/>
              </w:rPr>
            </w:pPr>
            <w:r>
              <w:rPr>
                <w:szCs w:val="22"/>
              </w:rPr>
              <w:t xml:space="preserve">                          2752843</w:t>
            </w:r>
          </w:p>
          <w:p w:rsidR="00AB71F2">
            <w:pPr>
              <w:rPr>
                <w:szCs w:val="22"/>
              </w:rPr>
            </w:pPr>
            <w:r>
              <w:rPr>
                <w:szCs w:val="22"/>
              </w:rPr>
              <w:t xml:space="preserve">                  </w:t>
            </w:r>
          </w:p>
          <w:p w:rsidR="00AB71F2">
            <w:pPr>
              <w:pStyle w:val="TOAHeading"/>
              <w:rPr>
                <w:szCs w:val="22"/>
              </w:rPr>
            </w:pPr>
          </w:p>
        </w:tc>
      </w:tr>
      <w:tr w:rsidTr="00AB71F2">
        <w:tblPrEx>
          <w:tblW w:w="0" w:type="auto"/>
          <w:tblLayout w:type="fixed"/>
          <w:tblLook w:val="04A0"/>
        </w:tblPrEx>
        <w:trPr>
          <w:trHeight w:val="117"/>
        </w:trPr>
        <w:tc>
          <w:tcPr>
            <w:tcW w:w="4698" w:type="dxa"/>
          </w:tcPr>
          <w:p w:rsidR="00AB71F2">
            <w:pPr>
              <w:pStyle w:val="TOAHeading"/>
              <w:tabs>
                <w:tab w:val="center" w:pos="4680"/>
              </w:tabs>
              <w:rPr>
                <w:spacing w:val="-2"/>
                <w:szCs w:val="22"/>
              </w:rPr>
            </w:pPr>
          </w:p>
        </w:tc>
        <w:tc>
          <w:tcPr>
            <w:tcW w:w="630" w:type="dxa"/>
          </w:tcPr>
          <w:p w:rsidR="00AB71F2">
            <w:pPr>
              <w:tabs>
                <w:tab w:val="center" w:pos="4680"/>
              </w:tabs>
              <w:suppressAutoHyphens/>
              <w:rPr>
                <w:b/>
                <w:spacing w:val="-2"/>
                <w:szCs w:val="22"/>
              </w:rPr>
            </w:pPr>
          </w:p>
        </w:tc>
        <w:tc>
          <w:tcPr>
            <w:tcW w:w="4248" w:type="dxa"/>
          </w:tcPr>
          <w:p w:rsidR="00AB71F2">
            <w:pPr>
              <w:tabs>
                <w:tab w:val="center" w:pos="4680"/>
              </w:tabs>
              <w:suppressAutoHyphens/>
              <w:rPr>
                <w:spacing w:val="-2"/>
                <w:szCs w:val="22"/>
              </w:rPr>
            </w:pPr>
          </w:p>
        </w:tc>
      </w:tr>
    </w:tbl>
    <w:p w:rsidR="00AB71F2" w:rsidP="00AB71F2">
      <w:pPr>
        <w:tabs>
          <w:tab w:val="left" w:pos="-720"/>
        </w:tabs>
        <w:suppressAutoHyphens/>
        <w:spacing w:line="225" w:lineRule="auto"/>
        <w:rPr>
          <w:spacing w:val="-2"/>
          <w:szCs w:val="22"/>
        </w:rPr>
      </w:pPr>
    </w:p>
    <w:p w:rsidR="00AB71F2" w:rsidP="00AB71F2">
      <w:pPr>
        <w:jc w:val="center"/>
        <w:rPr>
          <w:b/>
          <w:szCs w:val="22"/>
        </w:rPr>
      </w:pPr>
      <w:r>
        <w:rPr>
          <w:b/>
          <w:szCs w:val="22"/>
        </w:rPr>
        <w:t>ORDER</w:t>
      </w:r>
      <w:bookmarkStart w:id="0" w:name="_GoBack"/>
      <w:bookmarkEnd w:id="0"/>
    </w:p>
    <w:p w:rsidR="00AB71F2" w:rsidP="00AB71F2">
      <w:pPr>
        <w:tabs>
          <w:tab w:val="left" w:pos="-720"/>
        </w:tabs>
        <w:suppressAutoHyphens/>
        <w:spacing w:line="225" w:lineRule="auto"/>
        <w:ind w:left="720"/>
        <w:rPr>
          <w:spacing w:val="-2"/>
          <w:szCs w:val="22"/>
        </w:rPr>
      </w:pPr>
    </w:p>
    <w:p w:rsidR="00AB71F2" w:rsidP="00AB71F2">
      <w:pPr>
        <w:tabs>
          <w:tab w:val="left" w:pos="0"/>
          <w:tab w:val="left" w:pos="5760"/>
        </w:tabs>
        <w:suppressAutoHyphens/>
        <w:spacing w:line="225" w:lineRule="auto"/>
        <w:rPr>
          <w:spacing w:val="-2"/>
          <w:szCs w:val="22"/>
        </w:rPr>
      </w:pPr>
      <w:r>
        <w:rPr>
          <w:b/>
          <w:spacing w:val="-2"/>
          <w:szCs w:val="22"/>
        </w:rPr>
        <w:t>Adopted: M</w:t>
      </w:r>
      <w:r w:rsidR="006C4707">
        <w:rPr>
          <w:b/>
          <w:spacing w:val="-2"/>
          <w:szCs w:val="22"/>
        </w:rPr>
        <w:t>ay 6</w:t>
      </w:r>
      <w:r>
        <w:rPr>
          <w:b/>
          <w:spacing w:val="-2"/>
          <w:szCs w:val="22"/>
        </w:rPr>
        <w:t>, 2019</w:t>
      </w:r>
      <w:r>
        <w:rPr>
          <w:b/>
          <w:spacing w:val="-2"/>
          <w:szCs w:val="22"/>
        </w:rPr>
        <w:tab/>
      </w:r>
      <w:r>
        <w:rPr>
          <w:b/>
          <w:spacing w:val="-2"/>
          <w:szCs w:val="22"/>
        </w:rPr>
        <w:tab/>
        <w:t>Released: M</w:t>
      </w:r>
      <w:r w:rsidR="006C4707">
        <w:rPr>
          <w:b/>
          <w:spacing w:val="-2"/>
          <w:szCs w:val="22"/>
        </w:rPr>
        <w:t>ay 6</w:t>
      </w:r>
      <w:r>
        <w:rPr>
          <w:b/>
          <w:spacing w:val="-2"/>
          <w:szCs w:val="22"/>
        </w:rPr>
        <w:t>, 2019</w:t>
      </w:r>
    </w:p>
    <w:p w:rsidR="00AB71F2" w:rsidP="00AB71F2">
      <w:pPr>
        <w:rPr>
          <w:szCs w:val="22"/>
        </w:rPr>
      </w:pPr>
    </w:p>
    <w:p w:rsidR="00AB71F2" w:rsidP="00AB71F2">
      <w:pPr>
        <w:rPr>
          <w:szCs w:val="22"/>
        </w:rPr>
      </w:pPr>
      <w:r>
        <w:rPr>
          <w:szCs w:val="22"/>
        </w:rPr>
        <w:t>By the Deputy Chief, Consumer Policy Division, Consumer and Governmental Affairs Bureau:</w:t>
      </w:r>
    </w:p>
    <w:p w:rsidR="00AB71F2" w:rsidP="00AB71F2">
      <w:pPr>
        <w:tabs>
          <w:tab w:val="left" w:pos="432"/>
        </w:tabs>
        <w:ind w:firstLine="72"/>
        <w:rPr>
          <w:szCs w:val="22"/>
        </w:rPr>
      </w:pPr>
    </w:p>
    <w:p w:rsidR="00AB71F2" w:rsidP="00AB71F2">
      <w:pPr>
        <w:numPr>
          <w:ilvl w:val="0"/>
          <w:numId w:val="7"/>
        </w:numPr>
        <w:tabs>
          <w:tab w:val="num" w:pos="0"/>
        </w:tabs>
        <w:snapToGrid w:val="0"/>
        <w:spacing w:after="120"/>
        <w:ind w:left="0" w:firstLine="720"/>
        <w:rPr>
          <w:szCs w:val="22"/>
        </w:rPr>
      </w:pPr>
      <w:r>
        <w:rPr>
          <w:szCs w:val="22"/>
        </w:rPr>
        <w:t>In this Order, we consider five complaints</w:t>
      </w:r>
      <w:r>
        <w:rPr>
          <w:rStyle w:val="FootnoteReference"/>
          <w:szCs w:val="22"/>
        </w:rPr>
        <w:footnoteReference w:id="3"/>
      </w:r>
      <w:r>
        <w:rPr>
          <w:szCs w:val="22"/>
        </w:rPr>
        <w:t xml:space="preserve"> alleging that </w:t>
      </w:r>
      <w:r>
        <w:rPr>
          <w:szCs w:val="22"/>
        </w:rPr>
        <w:t>Telplex</w:t>
      </w:r>
      <w:r>
        <w:rPr>
          <w:szCs w:val="22"/>
        </w:rPr>
        <w:t xml:space="preserve"> Communications (</w:t>
      </w:r>
      <w:r>
        <w:rPr>
          <w:szCs w:val="22"/>
        </w:rPr>
        <w:t>Tel</w:t>
      </w:r>
      <w:r w:rsidR="009E714E">
        <w:rPr>
          <w:szCs w:val="22"/>
        </w:rPr>
        <w:t>p</w:t>
      </w:r>
      <w:r>
        <w:rPr>
          <w:szCs w:val="22"/>
        </w:rPr>
        <w:t>lex</w:t>
      </w:r>
      <w:r>
        <w:rPr>
          <w:szCs w:val="22"/>
        </w:rPr>
        <w:t>) changed Complainants’ telecommunications service providers without obtaining authorization and verification from Complainants as required by the Commission’s rules.</w:t>
      </w:r>
      <w:r>
        <w:rPr>
          <w:rStyle w:val="FootnoteReference"/>
          <w:szCs w:val="22"/>
        </w:rPr>
        <w:footnoteReference w:id="4"/>
      </w:r>
      <w:r>
        <w:rPr>
          <w:szCs w:val="22"/>
        </w:rPr>
        <w:t xml:space="preserve">  We conclude that </w:t>
      </w:r>
      <w:r>
        <w:rPr>
          <w:szCs w:val="22"/>
        </w:rPr>
        <w:t>Tel</w:t>
      </w:r>
      <w:r w:rsidR="009E714E">
        <w:rPr>
          <w:szCs w:val="22"/>
        </w:rPr>
        <w:t>p</w:t>
      </w:r>
      <w:r>
        <w:rPr>
          <w:szCs w:val="22"/>
        </w:rPr>
        <w:t>lex’s</w:t>
      </w:r>
      <w:r>
        <w:rPr>
          <w:szCs w:val="22"/>
        </w:rPr>
        <w:t xml:space="preserve"> actions did not result in unauthorized changes in Complainants’ telecommunications service providers as defined in the rules, and we deny Complainants’ complaints.</w:t>
      </w:r>
    </w:p>
    <w:p w:rsidR="00AB71F2" w:rsidP="00AB71F2">
      <w:pPr>
        <w:numPr>
          <w:ilvl w:val="0"/>
          <w:numId w:val="7"/>
        </w:numPr>
        <w:snapToGrid w:val="0"/>
        <w:spacing w:after="120"/>
        <w:ind w:left="0" w:firstLine="720"/>
        <w:rPr>
          <w:szCs w:val="22"/>
        </w:rPr>
      </w:pPr>
      <w:r>
        <w:rPr>
          <w:szCs w:val="22"/>
        </w:rPr>
        <w:t>Section 258 of the Communications Act of 1934, as amended (the Act), prohibits the practice of “slamming,” the submission or execution of an unauthorized change in a subscriber’s selection of a provider of telephone exchange service or telephone toll service.</w:t>
      </w:r>
      <w:r>
        <w:rPr>
          <w:rStyle w:val="FootnoteReference"/>
          <w:szCs w:val="22"/>
        </w:rPr>
        <w:footnoteReference w:id="5"/>
      </w:r>
      <w:r>
        <w:rPr>
          <w:szCs w:val="22"/>
        </w:rPr>
        <w:t xml:space="preserve">  The Commission’s implementing rules require, among other things, that a carrier receive individual subscriber consent before a carrier change may occur.</w:t>
      </w:r>
      <w:r>
        <w:rPr>
          <w:rStyle w:val="FootnoteReference"/>
          <w:szCs w:val="22"/>
        </w:rPr>
        <w:footnoteReference w:id="6"/>
      </w:r>
      <w:r>
        <w:rPr>
          <w:szCs w:val="22"/>
        </w:rPr>
        <w:t xml:space="preserve">  Specifically, a carrier must:  (1) obtain the subscriber's written or electronically signed authorization in a format that meets the requirements of Section 64.1130; (2) obtain confirmation from the subscriber via a toll-free number provided exclusively </w:t>
      </w:r>
      <w:r>
        <w:rPr>
          <w:szCs w:val="22"/>
        </w:rPr>
        <w:t>for the purpose of</w:t>
      </w:r>
      <w:r>
        <w:rPr>
          <w:szCs w:val="22"/>
        </w:rPr>
        <w:t xml:space="preserve"> confirming orders electronically; or (3) utilize an appropriately qualified independent third party to verify the subscriber's order.</w:t>
      </w:r>
      <w:r>
        <w:rPr>
          <w:rStyle w:val="FootnoteReference"/>
          <w:szCs w:val="22"/>
        </w:rPr>
        <w:footnoteReference w:id="7"/>
      </w:r>
      <w:r>
        <w:rPr>
          <w:szCs w:val="22"/>
        </w:rPr>
        <w:t xml:space="preserve">  The Commission also has adopted rules to limit the liability of subscribers when a carrier change occurs, and to require carriers involved in slamming practices to compensate subscribers whose carriers were changed without authorization.</w:t>
      </w:r>
      <w:r>
        <w:rPr>
          <w:rStyle w:val="FootnoteReference"/>
          <w:szCs w:val="22"/>
        </w:rPr>
        <w:footnoteReference w:id="8"/>
      </w:r>
      <w:r>
        <w:rPr>
          <w:szCs w:val="22"/>
        </w:rPr>
        <w:t xml:space="preserve">   </w:t>
      </w:r>
    </w:p>
    <w:p w:rsidR="00AB71F2" w:rsidP="00AB71F2">
      <w:pPr>
        <w:numPr>
          <w:ilvl w:val="0"/>
          <w:numId w:val="7"/>
        </w:numPr>
        <w:snapToGrid w:val="0"/>
        <w:spacing w:after="120"/>
        <w:ind w:left="0" w:firstLine="720"/>
        <w:rPr>
          <w:szCs w:val="22"/>
        </w:rPr>
      </w:pPr>
      <w:r>
        <w:rPr>
          <w:szCs w:val="22"/>
        </w:rPr>
        <w:t>We received Complainants’ complaints alleging that Complainants’ telecommunications service providers had been changed without Complainants’ authorization.</w:t>
      </w:r>
      <w:r>
        <w:rPr>
          <w:rStyle w:val="FootnoteReference"/>
          <w:szCs w:val="22"/>
        </w:rPr>
        <w:footnoteReference w:id="9"/>
      </w:r>
      <w:r>
        <w:rPr>
          <w:szCs w:val="22"/>
        </w:rPr>
        <w:t xml:space="preserve">  Pursuant to Sections 1.719 and 64.1150 of our rules, we notified </w:t>
      </w:r>
      <w:r>
        <w:rPr>
          <w:szCs w:val="22"/>
        </w:rPr>
        <w:t>Telplex</w:t>
      </w:r>
      <w:r>
        <w:rPr>
          <w:szCs w:val="22"/>
        </w:rPr>
        <w:t xml:space="preserve"> of the complaints and </w:t>
      </w:r>
      <w:r>
        <w:rPr>
          <w:szCs w:val="22"/>
        </w:rPr>
        <w:t>Telplex</w:t>
      </w:r>
      <w:r>
        <w:rPr>
          <w:szCs w:val="22"/>
        </w:rPr>
        <w:t xml:space="preserve"> responded.</w:t>
      </w:r>
      <w:r>
        <w:rPr>
          <w:rStyle w:val="FootnoteReference"/>
          <w:szCs w:val="22"/>
        </w:rPr>
        <w:footnoteReference w:id="10"/>
      </w:r>
      <w:r>
        <w:rPr>
          <w:szCs w:val="22"/>
        </w:rPr>
        <w:t xml:space="preserve">  In each case, </w:t>
      </w:r>
      <w:r>
        <w:rPr>
          <w:szCs w:val="22"/>
        </w:rPr>
        <w:t>Telplex</w:t>
      </w:r>
      <w:r>
        <w:rPr>
          <w:szCs w:val="22"/>
        </w:rPr>
        <w:t xml:space="preserve"> states that authorization was received and confirmed through third-party verifications (TPVs).  We have reviewed the TPVs and find that the TPVs meet the verification requirements in the Commission’s rules.  Therefore, we find that </w:t>
      </w:r>
      <w:r>
        <w:rPr>
          <w:szCs w:val="22"/>
        </w:rPr>
        <w:t>Telplex’s</w:t>
      </w:r>
      <w:r>
        <w:rPr>
          <w:szCs w:val="22"/>
        </w:rPr>
        <w:t xml:space="preserve"> actions did not result in “unauthorized changes” in Complainants’ telecommunications service providers, as defined by the rules.</w:t>
      </w:r>
      <w:r>
        <w:rPr>
          <w:rStyle w:val="FootnoteReference"/>
          <w:szCs w:val="22"/>
        </w:rPr>
        <w:footnoteReference w:id="11"/>
      </w:r>
      <w:r>
        <w:rPr>
          <w:szCs w:val="22"/>
        </w:rPr>
        <w:t xml:space="preserve">  </w:t>
      </w:r>
    </w:p>
    <w:p w:rsidR="00AB71F2" w:rsidP="00AB71F2">
      <w:pPr>
        <w:numPr>
          <w:ilvl w:val="0"/>
          <w:numId w:val="7"/>
        </w:numPr>
        <w:snapToGrid w:val="0"/>
        <w:spacing w:after="120"/>
        <w:ind w:left="0" w:firstLine="720"/>
        <w:rPr>
          <w:szCs w:val="22"/>
        </w:rPr>
      </w:pPr>
      <w:r>
        <w:rPr>
          <w:szCs w:val="22"/>
        </w:rPr>
        <w:t xml:space="preserve">We note, however, that three of the six Complainants allege that </w:t>
      </w:r>
      <w:r>
        <w:rPr>
          <w:szCs w:val="22"/>
        </w:rPr>
        <w:t>Telplex’s</w:t>
      </w:r>
      <w:r>
        <w:rPr>
          <w:szCs w:val="22"/>
        </w:rPr>
        <w:t xml:space="preserve"> telemarketer misrepresented either their identity (stating that they were calling on behalf of the Complainant’s current service provider) or the purpose of the call.</w:t>
      </w:r>
      <w:r>
        <w:rPr>
          <w:rStyle w:val="FootnoteReference"/>
          <w:szCs w:val="22"/>
        </w:rPr>
        <w:footnoteReference w:id="12"/>
      </w:r>
      <w:r>
        <w:rPr>
          <w:szCs w:val="22"/>
        </w:rPr>
        <w:t xml:space="preserve">  The Commission has made clear that misrepresentations to obtain a consumer’s authorization to change carriers constitute unjust and unreasonable practices in violation of section 201(b) of the Act.</w:t>
      </w:r>
      <w:r>
        <w:rPr>
          <w:rStyle w:val="FootnoteReference"/>
          <w:szCs w:val="22"/>
        </w:rPr>
        <w:footnoteReference w:id="13"/>
      </w:r>
      <w:r>
        <w:rPr>
          <w:szCs w:val="22"/>
        </w:rPr>
        <w:t xml:space="preserve">  We therefore will refer the record in these proceedings to our Enforcement Bureau to determine what additional actions may be necessary.</w:t>
      </w:r>
      <w:r>
        <w:rPr>
          <w:rStyle w:val="FootnoteReference"/>
          <w:szCs w:val="22"/>
        </w:rPr>
        <w:footnoteReference w:id="14"/>
      </w:r>
      <w:r>
        <w:rPr>
          <w:szCs w:val="22"/>
        </w:rPr>
        <w:t xml:space="preserve">         </w:t>
      </w:r>
    </w:p>
    <w:p w:rsidR="00AB71F2" w:rsidP="00AB71F2">
      <w:pPr>
        <w:numPr>
          <w:ilvl w:val="0"/>
          <w:numId w:val="7"/>
        </w:numPr>
        <w:tabs>
          <w:tab w:val="num" w:pos="0"/>
        </w:tabs>
        <w:snapToGrid w:val="0"/>
        <w:spacing w:after="120"/>
        <w:ind w:left="0" w:firstLine="720"/>
        <w:rPr>
          <w:szCs w:val="22"/>
        </w:rPr>
      </w:pPr>
      <w:r>
        <w:rPr>
          <w:szCs w:val="22"/>
        </w:rPr>
        <w:t xml:space="preserve">Accordingly, IT IS ORDERED that, pursuant to Section 258 of the Communications Act of 1934, as amended, 47 U.S.C. § 258, and Sections 0.141, 0.361 and 1.719 of the Commission’s rules, 47 CFR §§ 0.141, 0.361, 1.719, the complaints filed against </w:t>
      </w:r>
      <w:r>
        <w:rPr>
          <w:szCs w:val="22"/>
        </w:rPr>
        <w:t>Telplex</w:t>
      </w:r>
      <w:r>
        <w:rPr>
          <w:szCs w:val="22"/>
        </w:rPr>
        <w:t xml:space="preserve"> Communications ARE DENIED.</w:t>
      </w:r>
    </w:p>
    <w:p w:rsidR="00AB71F2" w:rsidP="00AB71F2">
      <w:pPr>
        <w:spacing w:after="120"/>
        <w:rPr>
          <w:szCs w:val="22"/>
        </w:rPr>
      </w:pPr>
      <w:r>
        <w:rPr>
          <w:szCs w:val="22"/>
        </w:rPr>
        <w:br w:type="page"/>
      </w:r>
    </w:p>
    <w:p w:rsidR="00AB71F2" w:rsidP="00AB71F2">
      <w:pPr>
        <w:numPr>
          <w:ilvl w:val="0"/>
          <w:numId w:val="7"/>
        </w:numPr>
        <w:tabs>
          <w:tab w:val="num" w:pos="0"/>
        </w:tabs>
        <w:snapToGrid w:val="0"/>
        <w:spacing w:after="120"/>
        <w:ind w:left="0" w:firstLine="720"/>
        <w:rPr>
          <w:szCs w:val="22"/>
        </w:rPr>
      </w:pPr>
      <w:r>
        <w:rPr>
          <w:szCs w:val="22"/>
        </w:rPr>
        <w:t>IT IS FURTHER ORDERED that this Order is effective upon release.</w:t>
      </w:r>
    </w:p>
    <w:p w:rsidR="00AB71F2" w:rsidP="00AB71F2">
      <w:pPr>
        <w:ind w:right="270"/>
        <w:rPr>
          <w:szCs w:val="22"/>
        </w:rPr>
      </w:pPr>
      <w:r>
        <w:rPr>
          <w:szCs w:val="22"/>
        </w:rPr>
        <w:tab/>
      </w:r>
      <w:r>
        <w:rPr>
          <w:szCs w:val="22"/>
        </w:rPr>
        <w:tab/>
      </w:r>
      <w:r>
        <w:rPr>
          <w:szCs w:val="22"/>
        </w:rPr>
        <w:tab/>
      </w:r>
      <w:r>
        <w:rPr>
          <w:szCs w:val="22"/>
        </w:rPr>
        <w:tab/>
      </w:r>
    </w:p>
    <w:p w:rsidR="00AB71F2" w:rsidP="00AB71F2">
      <w:pPr>
        <w:ind w:left="3600" w:right="270"/>
        <w:rPr>
          <w:szCs w:val="22"/>
        </w:rPr>
      </w:pPr>
      <w:r>
        <w:rPr>
          <w:szCs w:val="22"/>
        </w:rPr>
        <w:t>FEDERAL COMMUNICATIONS COMMISSION</w:t>
      </w:r>
    </w:p>
    <w:p w:rsidR="00AB71F2" w:rsidP="00AB71F2">
      <w:pPr>
        <w:ind w:left="3600" w:right="270"/>
        <w:rPr>
          <w:szCs w:val="22"/>
        </w:rPr>
      </w:pPr>
    </w:p>
    <w:p w:rsidR="00AB71F2" w:rsidP="00AB71F2">
      <w:pPr>
        <w:ind w:left="3600" w:right="270"/>
        <w:rPr>
          <w:szCs w:val="22"/>
        </w:rPr>
      </w:pPr>
    </w:p>
    <w:p w:rsidR="00AB71F2" w:rsidP="00AB71F2">
      <w:pPr>
        <w:ind w:left="3600" w:right="270"/>
        <w:rPr>
          <w:szCs w:val="22"/>
        </w:rPr>
      </w:pPr>
    </w:p>
    <w:p w:rsidR="00AB71F2" w:rsidP="00AB71F2">
      <w:pPr>
        <w:ind w:left="3600" w:right="270"/>
        <w:rPr>
          <w:szCs w:val="22"/>
        </w:rPr>
      </w:pPr>
      <w:r>
        <w:rPr>
          <w:noProof/>
          <w:szCs w:val="22"/>
        </w:rPr>
        <w:drawing>
          <wp:inline distT="0" distB="0" distL="0" distR="0">
            <wp:extent cx="2695575" cy="1400175"/>
            <wp:effectExtent l="0" t="0" r="0" b="0"/>
            <wp:docPr id="3" name="Picture 1" descr="sig.er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5642335" name="Picture 1" descr="sig.erase"/>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695575" cy="1400175"/>
                    </a:xfrm>
                    <a:prstGeom prst="rect">
                      <a:avLst/>
                    </a:prstGeom>
                    <a:noFill/>
                    <a:ln>
                      <a:noFill/>
                    </a:ln>
                  </pic:spPr>
                </pic:pic>
              </a:graphicData>
            </a:graphic>
          </wp:inline>
        </w:drawing>
      </w:r>
    </w:p>
    <w:p w:rsidR="00AB71F2" w:rsidP="00AB71F2">
      <w:pPr>
        <w:ind w:right="270"/>
        <w:jc w:val="center"/>
        <w:rPr>
          <w:b/>
          <w:szCs w:val="22"/>
        </w:rPr>
      </w:pPr>
      <w:r>
        <w:rPr>
          <w:szCs w:val="22"/>
        </w:rPr>
        <w:br w:type="page"/>
      </w:r>
      <w:r>
        <w:rPr>
          <w:b/>
          <w:szCs w:val="22"/>
        </w:rPr>
        <w:t xml:space="preserve">APPENDIX </w:t>
      </w:r>
    </w:p>
    <w:p w:rsidR="00AB71F2" w:rsidP="00AB71F2">
      <w:pPr>
        <w:ind w:right="270"/>
        <w:jc w:val="center"/>
        <w:rPr>
          <w:szCs w:val="22"/>
        </w:rPr>
      </w:pPr>
    </w:p>
    <w:p w:rsidR="00AB71F2" w:rsidP="00AB71F2">
      <w:pPr>
        <w:tabs>
          <w:tab w:val="left" w:pos="2880"/>
        </w:tabs>
        <w:ind w:left="547" w:right="274" w:hanging="7"/>
        <w:rPr>
          <w:szCs w:val="22"/>
        </w:rPr>
      </w:pPr>
      <w:r>
        <w:rPr>
          <w:szCs w:val="22"/>
          <w:u w:val="single"/>
        </w:rPr>
        <w:t>COMPLAINT</w:t>
      </w:r>
      <w:r>
        <w:rPr>
          <w:szCs w:val="22"/>
        </w:rPr>
        <w:t xml:space="preserve">                           </w:t>
      </w:r>
      <w:r>
        <w:rPr>
          <w:szCs w:val="22"/>
          <w:u w:val="single"/>
        </w:rPr>
        <w:t>DATE OF</w:t>
      </w:r>
      <w:r>
        <w:rPr>
          <w:szCs w:val="22"/>
        </w:rPr>
        <w:t xml:space="preserve">   </w:t>
      </w:r>
      <w:r>
        <w:rPr>
          <w:szCs w:val="22"/>
        </w:rPr>
        <w:tab/>
      </w:r>
      <w:r>
        <w:rPr>
          <w:szCs w:val="22"/>
        </w:rPr>
        <w:tab/>
        <w:t xml:space="preserve">          </w:t>
      </w:r>
      <w:r>
        <w:rPr>
          <w:szCs w:val="22"/>
          <w:u w:val="single"/>
        </w:rPr>
        <w:t>DATE OF</w:t>
      </w:r>
      <w:r>
        <w:rPr>
          <w:szCs w:val="22"/>
        </w:rPr>
        <w:tab/>
      </w:r>
    </w:p>
    <w:p w:rsidR="00AB71F2" w:rsidP="00AB71F2">
      <w:pPr>
        <w:ind w:left="547" w:right="274" w:hanging="7"/>
        <w:rPr>
          <w:szCs w:val="22"/>
          <w:u w:val="single"/>
        </w:rPr>
      </w:pPr>
      <w:r>
        <w:rPr>
          <w:szCs w:val="22"/>
          <w:u w:val="single"/>
        </w:rPr>
        <w:t>NUMBER</w:t>
      </w:r>
      <w:r>
        <w:rPr>
          <w:szCs w:val="22"/>
        </w:rPr>
        <w:tab/>
      </w:r>
      <w:r>
        <w:rPr>
          <w:szCs w:val="22"/>
        </w:rPr>
        <w:tab/>
        <w:t xml:space="preserve">        </w:t>
      </w:r>
      <w:r>
        <w:rPr>
          <w:szCs w:val="22"/>
          <w:u w:val="single"/>
        </w:rPr>
        <w:t>COMPLAINT</w:t>
      </w:r>
      <w:r>
        <w:rPr>
          <w:szCs w:val="22"/>
        </w:rPr>
        <w:tab/>
        <w:t xml:space="preserve">      </w:t>
      </w:r>
      <w:r>
        <w:rPr>
          <w:szCs w:val="22"/>
        </w:rPr>
        <w:tab/>
        <w:t xml:space="preserve">          </w:t>
      </w:r>
      <w:r>
        <w:rPr>
          <w:szCs w:val="22"/>
          <w:u w:val="single"/>
        </w:rPr>
        <w:t>RESPONSE</w:t>
      </w:r>
      <w:r>
        <w:rPr>
          <w:szCs w:val="22"/>
        </w:rPr>
        <w:tab/>
      </w:r>
      <w:r>
        <w:rPr>
          <w:szCs w:val="22"/>
        </w:rPr>
        <w:tab/>
      </w:r>
      <w:r>
        <w:rPr>
          <w:szCs w:val="22"/>
        </w:rPr>
        <w:tab/>
      </w:r>
    </w:p>
    <w:p w:rsidR="00AB71F2" w:rsidP="00AB71F2">
      <w:pPr>
        <w:rPr>
          <w:szCs w:val="22"/>
        </w:rPr>
      </w:pPr>
      <w:r>
        <w:rPr>
          <w:szCs w:val="22"/>
        </w:rPr>
        <w:t xml:space="preserve">          2372902</w:t>
      </w:r>
      <w:r>
        <w:rPr>
          <w:szCs w:val="22"/>
        </w:rPr>
        <w:tab/>
      </w:r>
      <w:r>
        <w:rPr>
          <w:szCs w:val="22"/>
        </w:rPr>
        <w:tab/>
      </w:r>
      <w:r>
        <w:rPr>
          <w:szCs w:val="22"/>
        </w:rPr>
        <w:tab/>
        <w:t xml:space="preserve">        April 12, 2018</w:t>
      </w:r>
      <w:r>
        <w:rPr>
          <w:szCs w:val="22"/>
        </w:rPr>
        <w:tab/>
      </w:r>
      <w:r>
        <w:rPr>
          <w:szCs w:val="22"/>
        </w:rPr>
        <w:tab/>
        <w:t xml:space="preserve">         April 25, 2018</w:t>
      </w:r>
    </w:p>
    <w:p w:rsidR="00AB71F2" w:rsidP="00AB71F2">
      <w:pPr>
        <w:rPr>
          <w:szCs w:val="22"/>
        </w:rPr>
      </w:pPr>
    </w:p>
    <w:p w:rsidR="00AB71F2" w:rsidP="00AB71F2">
      <w:pPr>
        <w:rPr>
          <w:szCs w:val="22"/>
        </w:rPr>
      </w:pPr>
      <w:r>
        <w:rPr>
          <w:szCs w:val="22"/>
        </w:rPr>
        <w:t xml:space="preserve">          2673163</w:t>
      </w:r>
      <w:r>
        <w:rPr>
          <w:szCs w:val="22"/>
        </w:rPr>
        <w:tab/>
      </w:r>
      <w:r>
        <w:rPr>
          <w:szCs w:val="22"/>
        </w:rPr>
        <w:tab/>
      </w:r>
      <w:r>
        <w:rPr>
          <w:szCs w:val="22"/>
        </w:rPr>
        <w:tab/>
        <w:t xml:space="preserve">        July 31, 2018          </w:t>
      </w:r>
      <w:r>
        <w:rPr>
          <w:szCs w:val="22"/>
        </w:rPr>
        <w:tab/>
        <w:t xml:space="preserve">         September 7, 2018</w:t>
      </w:r>
    </w:p>
    <w:p w:rsidR="00AB71F2" w:rsidP="00AB71F2">
      <w:pPr>
        <w:rPr>
          <w:szCs w:val="22"/>
        </w:rPr>
      </w:pPr>
    </w:p>
    <w:p w:rsidR="00AB71F2" w:rsidP="00AB71F2">
      <w:pPr>
        <w:rPr>
          <w:szCs w:val="22"/>
        </w:rPr>
      </w:pPr>
      <w:r>
        <w:rPr>
          <w:szCs w:val="22"/>
        </w:rPr>
        <w:t xml:space="preserve">          2706192                                    August 14, 2018              </w:t>
      </w:r>
      <w:r>
        <w:rPr>
          <w:szCs w:val="22"/>
        </w:rPr>
        <w:tab/>
        <w:t xml:space="preserve">         September 13, 2018         </w:t>
      </w:r>
      <w:r>
        <w:rPr>
          <w:szCs w:val="22"/>
        </w:rPr>
        <w:tab/>
      </w:r>
    </w:p>
    <w:p w:rsidR="00AB71F2" w:rsidP="00AB71F2">
      <w:pPr>
        <w:ind w:left="540"/>
        <w:rPr>
          <w:szCs w:val="22"/>
        </w:rPr>
      </w:pPr>
    </w:p>
    <w:p w:rsidR="00AB71F2" w:rsidP="00AB71F2">
      <w:pPr>
        <w:ind w:left="540"/>
        <w:rPr>
          <w:szCs w:val="22"/>
        </w:rPr>
      </w:pPr>
      <w:r>
        <w:rPr>
          <w:szCs w:val="22"/>
        </w:rPr>
        <w:t>2706906</w:t>
      </w:r>
      <w:r>
        <w:rPr>
          <w:szCs w:val="22"/>
        </w:rPr>
        <w:tab/>
      </w:r>
      <w:r>
        <w:rPr>
          <w:szCs w:val="22"/>
        </w:rPr>
        <w:tab/>
        <w:t xml:space="preserve">                     August 14, 2018</w:t>
      </w:r>
      <w:r>
        <w:rPr>
          <w:szCs w:val="22"/>
        </w:rPr>
        <w:tab/>
        <w:t xml:space="preserve">                      September 14, 2018</w:t>
      </w:r>
    </w:p>
    <w:p w:rsidR="00AB71F2" w:rsidP="00AB71F2">
      <w:pPr>
        <w:ind w:left="540"/>
        <w:rPr>
          <w:szCs w:val="22"/>
        </w:rPr>
      </w:pPr>
    </w:p>
    <w:p w:rsidR="00AB71F2" w:rsidP="00AB71F2">
      <w:pPr>
        <w:ind w:left="540"/>
        <w:rPr>
          <w:szCs w:val="22"/>
        </w:rPr>
      </w:pPr>
      <w:r>
        <w:rPr>
          <w:szCs w:val="22"/>
        </w:rPr>
        <w:t>2752843</w:t>
      </w:r>
      <w:r>
        <w:rPr>
          <w:szCs w:val="22"/>
        </w:rPr>
        <w:tab/>
      </w:r>
      <w:r>
        <w:rPr>
          <w:szCs w:val="22"/>
        </w:rPr>
        <w:tab/>
      </w:r>
      <w:r>
        <w:rPr>
          <w:szCs w:val="22"/>
        </w:rPr>
        <w:tab/>
        <w:t xml:space="preserve">        September 5, 2018</w:t>
      </w:r>
      <w:r>
        <w:rPr>
          <w:szCs w:val="22"/>
        </w:rPr>
        <w:tab/>
      </w:r>
      <w:r>
        <w:rPr>
          <w:szCs w:val="22"/>
        </w:rPr>
        <w:tab/>
        <w:t xml:space="preserve">         October 5, 2018</w:t>
      </w:r>
    </w:p>
    <w:p w:rsidR="00AB71F2" w:rsidP="00AB71F2">
      <w:pPr>
        <w:ind w:left="540"/>
        <w:rPr>
          <w:szCs w:val="22"/>
        </w:rPr>
      </w:pPr>
    </w:p>
    <w:p w:rsidR="00AB71F2" w:rsidP="00AB71F2">
      <w:pPr>
        <w:ind w:right="270"/>
        <w:jc w:val="center"/>
        <w:rPr>
          <w:szCs w:val="22"/>
        </w:r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9410C">
      <w:r>
        <w:separator/>
      </w:r>
    </w:p>
  </w:footnote>
  <w:footnote w:type="continuationSeparator" w:id="1">
    <w:p w:rsidR="00C9410C" w:rsidP="00C721AC">
      <w:pPr>
        <w:spacing w:before="120"/>
        <w:rPr>
          <w:sz w:val="20"/>
        </w:rPr>
      </w:pPr>
      <w:r>
        <w:rPr>
          <w:sz w:val="20"/>
        </w:rPr>
        <w:t xml:space="preserve">(Continued from previous page)  </w:t>
      </w:r>
      <w:r>
        <w:rPr>
          <w:sz w:val="20"/>
        </w:rPr>
        <w:separator/>
      </w:r>
    </w:p>
  </w:footnote>
  <w:footnote w:type="continuationNotice" w:id="2">
    <w:p w:rsidR="00C9410C" w:rsidP="00C721AC">
      <w:pPr>
        <w:jc w:val="right"/>
        <w:rPr>
          <w:sz w:val="20"/>
        </w:rPr>
      </w:pPr>
      <w:r>
        <w:rPr>
          <w:sz w:val="20"/>
        </w:rPr>
        <w:t>(continued….)</w:t>
      </w:r>
    </w:p>
  </w:footnote>
  <w:footnote w:id="3">
    <w:p w:rsidR="00AB71F2" w:rsidP="00AB71F2">
      <w:pPr>
        <w:pStyle w:val="FootnoteText"/>
      </w:pPr>
      <w:r>
        <w:rPr>
          <w:rStyle w:val="FootnoteReference"/>
        </w:rPr>
        <w:footnoteRef/>
      </w:r>
      <w:r>
        <w:t xml:space="preserve"> </w:t>
      </w:r>
      <w:r>
        <w:rPr>
          <w:i/>
        </w:rPr>
        <w:t>See</w:t>
      </w:r>
      <w:r>
        <w:t xml:space="preserve"> Appendix.</w:t>
      </w:r>
    </w:p>
  </w:footnote>
  <w:footnote w:id="4">
    <w:p w:rsidR="00AB71F2" w:rsidP="00AB71F2">
      <w:pPr>
        <w:pStyle w:val="FootnoteText"/>
      </w:pPr>
      <w:r>
        <w:rPr>
          <w:rStyle w:val="FootnoteReference"/>
        </w:rPr>
        <w:footnoteRef/>
      </w:r>
      <w:r>
        <w:t xml:space="preserve"> </w:t>
      </w:r>
      <w:r>
        <w:rPr>
          <w:i/>
        </w:rPr>
        <w:t>See</w:t>
      </w:r>
      <w:r>
        <w:t xml:space="preserve"> 47 CFR §§ 64.1100 – 64.1190.</w:t>
      </w:r>
    </w:p>
  </w:footnote>
  <w:footnote w:id="5">
    <w:p w:rsidR="00AB71F2" w:rsidP="00AB71F2">
      <w:pPr>
        <w:pStyle w:val="FootnoteText"/>
      </w:pPr>
      <w:r>
        <w:rPr>
          <w:rStyle w:val="FootnoteReference"/>
        </w:rPr>
        <w:footnoteRef/>
      </w:r>
      <w:r>
        <w:t xml:space="preserve"> 47 U.S.C. § 258(a).</w:t>
      </w:r>
    </w:p>
  </w:footnote>
  <w:footnote w:id="6">
    <w:p w:rsidR="00AB71F2" w:rsidP="00AB71F2">
      <w:pPr>
        <w:pStyle w:val="FootnoteText"/>
        <w:tabs>
          <w:tab w:val="left" w:pos="0"/>
        </w:tabs>
      </w:pPr>
      <w:r>
        <w:rPr>
          <w:rStyle w:val="FootnoteReference"/>
        </w:rPr>
        <w:footnoteRef/>
      </w:r>
      <w:r>
        <w:t xml:space="preserve"> </w:t>
      </w:r>
      <w:r>
        <w:rPr>
          <w:i/>
        </w:rPr>
        <w:t>See</w:t>
      </w:r>
      <w:r>
        <w:t xml:space="preserve"> 47 CFR § 64.1120.</w:t>
      </w:r>
    </w:p>
  </w:footnote>
  <w:footnote w:id="7">
    <w:p w:rsidR="00AB71F2" w:rsidP="00AB71F2">
      <w:pPr>
        <w:pStyle w:val="FootnoteText"/>
        <w:tabs>
          <w:tab w:val="left" w:pos="0"/>
        </w:tabs>
      </w:pPr>
      <w:r>
        <w:rPr>
          <w:rStyle w:val="FootnoteReference"/>
        </w:rPr>
        <w:footnoteRef/>
      </w:r>
      <w:r>
        <w:t xml:space="preserve"> </w:t>
      </w:r>
      <w:r>
        <w:rPr>
          <w:i/>
        </w:rPr>
        <w:t>Id</w:t>
      </w:r>
      <w:r>
        <w:t xml:space="preserve">. § 64.1120(c).  Section 64.1130 details the requirements for letter of agency form and content for written or electronically signed authorizations.  </w:t>
      </w:r>
      <w:r>
        <w:rPr>
          <w:i/>
        </w:rPr>
        <w:t>Id.</w:t>
      </w:r>
      <w:r>
        <w:t xml:space="preserve"> § 64.1130.</w:t>
      </w:r>
    </w:p>
  </w:footnote>
  <w:footnote w:id="8">
    <w:p w:rsidR="00AB71F2" w:rsidP="00AB71F2">
      <w:pPr>
        <w:pStyle w:val="FootnoteText"/>
      </w:pPr>
      <w:r>
        <w:rPr>
          <w:rStyle w:val="FootnoteReference"/>
        </w:rPr>
        <w:footnoteRef/>
      </w:r>
      <w:r>
        <w:t xml:space="preserve"> These rules require the carrier to absolve the subscriber where the subscriber has not paid his or her bill.  If the subscriber has not already paid charges to the unauthorized carrier, the subscriber is absolved of liability for charges imposed by the unauthorized carrier for service provided during the first 30 days after the unauthorized change.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t xml:space="preserve">Where the subscriber has paid charges to the unauthorized carrier, the Commission’s rules require that the unauthorized carrier pay 150 percent of those charges to the authorized carrier, and the authorized carrier shall refund or credit to the subscriber 50 percent of all charges paid by the subscriber to the unauthorized carrier.  </w:t>
      </w:r>
      <w:r>
        <w:rPr>
          <w:i/>
        </w:rPr>
        <w:t>See id.</w:t>
      </w:r>
      <w:r>
        <w:t xml:space="preserve"> §§ 64.1140, 64.1170.  </w:t>
      </w:r>
    </w:p>
  </w:footnote>
  <w:footnote w:id="9">
    <w:p w:rsidR="00AB71F2" w:rsidP="00AB71F2">
      <w:pPr>
        <w:pStyle w:val="FootnoteText"/>
      </w:pPr>
      <w:r>
        <w:rPr>
          <w:rStyle w:val="FootnoteReference"/>
        </w:rPr>
        <w:footnoteRef/>
      </w:r>
      <w:r>
        <w:t xml:space="preserve"> </w:t>
      </w:r>
      <w:r>
        <w:rPr>
          <w:i/>
        </w:rPr>
        <w:t xml:space="preserve">See </w:t>
      </w:r>
      <w:r>
        <w:t>Appendix.</w:t>
      </w:r>
    </w:p>
  </w:footnote>
  <w:footnote w:id="10">
    <w:p w:rsidR="00AB71F2" w:rsidP="00AB71F2">
      <w:pPr>
        <w:pStyle w:val="FootnoteText"/>
        <w:tabs>
          <w:tab w:val="left" w:pos="0"/>
        </w:tabs>
      </w:pPr>
      <w:r>
        <w:rPr>
          <w:rStyle w:val="FootnoteReference"/>
        </w:rPr>
        <w:footnoteRef/>
      </w:r>
      <w:r>
        <w:t xml:space="preserve"> 47 CFR § 1.719 (Commission procedure for informal complaints filed pursuant to Section 258 of the Act); </w:t>
      </w:r>
      <w:r>
        <w:rPr>
          <w:i/>
        </w:rPr>
        <w:t>id</w:t>
      </w:r>
      <w:r>
        <w:t>. § 64.1150 (procedures for resolution of unauthorized changes in preferred carrier).</w:t>
      </w:r>
    </w:p>
  </w:footnote>
  <w:footnote w:id="11">
    <w:p w:rsidR="00AB71F2" w:rsidP="00AB71F2">
      <w:pPr>
        <w:pStyle w:val="FootnoteText"/>
        <w:tabs>
          <w:tab w:val="left" w:pos="0"/>
        </w:tabs>
      </w:pPr>
      <w:r>
        <w:rPr>
          <w:rStyle w:val="FootnoteReference"/>
        </w:rPr>
        <w:footnoteRef/>
      </w:r>
      <w:r>
        <w:t xml:space="preserve"> </w:t>
      </w:r>
      <w:r>
        <w:rPr>
          <w:i/>
        </w:rPr>
        <w:t>See</w:t>
      </w:r>
      <w:r>
        <w:t xml:space="preserve"> </w:t>
      </w:r>
      <w:r>
        <w:rPr>
          <w:i/>
        </w:rPr>
        <w:t>id</w:t>
      </w:r>
      <w:r>
        <w:t xml:space="preserve">. § 64.1100(e).  If any Complainant is unsatisfied with the resolution of its complaint, such Complainant may file a formal complaint with the Commission pursuant to Section 1.721 of the Commission’s rules, </w:t>
      </w:r>
      <w:r>
        <w:rPr>
          <w:i/>
        </w:rPr>
        <w:t>id</w:t>
      </w:r>
      <w:r>
        <w:t xml:space="preserve">. §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Pr>
          <w:i/>
        </w:rPr>
        <w:t>id</w:t>
      </w:r>
      <w:r>
        <w:t>. § 1.719.</w:t>
      </w:r>
    </w:p>
  </w:footnote>
  <w:footnote w:id="12">
    <w:p w:rsidR="00AB71F2" w:rsidP="00AB71F2">
      <w:pPr>
        <w:pStyle w:val="FootnoteText"/>
      </w:pPr>
      <w:r>
        <w:rPr>
          <w:rStyle w:val="FootnoteReference"/>
        </w:rPr>
        <w:footnoteRef/>
      </w:r>
      <w:r>
        <w:t xml:space="preserve"> </w:t>
      </w:r>
      <w:r>
        <w:rPr>
          <w:i/>
        </w:rPr>
        <w:t>See</w:t>
      </w:r>
      <w:r>
        <w:t xml:space="preserve"> Informal Complaint Nos. 2372902, 2673163, and 2706906.</w:t>
      </w:r>
    </w:p>
  </w:footnote>
  <w:footnote w:id="13">
    <w:p w:rsidR="00AB71F2" w:rsidP="00AB71F2">
      <w:pPr>
        <w:pStyle w:val="FootnoteText"/>
      </w:pPr>
      <w:r>
        <w:rPr>
          <w:rStyle w:val="FootnoteReference"/>
        </w:rPr>
        <w:footnoteRef/>
      </w:r>
      <w:r>
        <w:t xml:space="preserve"> </w:t>
      </w:r>
      <w:r>
        <w:rPr>
          <w:i/>
        </w:rPr>
        <w:t>See, e.g., Advantage Telecommunications Corp.</w:t>
      </w:r>
      <w:r>
        <w:t xml:space="preserve">, Forfeiture Order, 32 FCC </w:t>
      </w:r>
      <w:r>
        <w:t>Rcd</w:t>
      </w:r>
      <w:r>
        <w:t xml:space="preserve"> 3723 (2017); </w:t>
      </w:r>
      <w:r>
        <w:rPr>
          <w:i/>
        </w:rPr>
        <w:t>Preferred Long Distance, Inc.</w:t>
      </w:r>
      <w:r>
        <w:t xml:space="preserve">, Forfeiture Order, 30 FCC </w:t>
      </w:r>
      <w:r>
        <w:t>Rcd</w:t>
      </w:r>
      <w:r>
        <w:t xml:space="preserve"> 13711 (2015).</w:t>
      </w:r>
    </w:p>
  </w:footnote>
  <w:footnote w:id="14">
    <w:p w:rsidR="00AB71F2" w:rsidP="00AB71F2">
      <w:pPr>
        <w:pStyle w:val="FootnoteText"/>
      </w:pPr>
      <w:r>
        <w:rPr>
          <w:rStyle w:val="FootnoteReference"/>
        </w:rPr>
        <w:footnoteRef/>
      </w:r>
      <w:r>
        <w:t xml:space="preserve"> </w:t>
      </w:r>
      <w:r>
        <w:rPr>
          <w:szCs w:val="22"/>
        </w:rPr>
        <w:t>In June 2018, the Commission codified a rule to prohibit misrepresentations on sales calls to further reduce the incidence of slamming.</w:t>
      </w:r>
      <w:r>
        <w:rPr>
          <w:rStyle w:val="FootnoteReference"/>
          <w:szCs w:val="22"/>
        </w:rPr>
        <w:t xml:space="preserve"> </w:t>
      </w:r>
      <w:r>
        <w:rPr>
          <w:szCs w:val="22"/>
        </w:rPr>
        <w:t xml:space="preserve"> Under the revised rule, upon a finding of material misrepresentation during the sales call, the consumer’s authorization to change carriers will be deemed invalid even if the carrier has some evidence of consumer authorization of a switch, </w:t>
      </w:r>
      <w:r>
        <w:rPr>
          <w:i/>
          <w:szCs w:val="22"/>
        </w:rPr>
        <w:t>e.g.</w:t>
      </w:r>
      <w:r>
        <w:rPr>
          <w:szCs w:val="22"/>
        </w:rPr>
        <w:t xml:space="preserve">, a TPV.  Sales misrepresentations may not be cured by a facially valid TPV.  </w:t>
      </w:r>
      <w:r>
        <w:rPr>
          <w:i/>
        </w:rPr>
        <w:t>See Protecting Consumers from Unauthorized Carrier Changes and Related Unauthorized Charges</w:t>
      </w:r>
      <w:r>
        <w:t xml:space="preserve">, 33 FCC </w:t>
      </w:r>
      <w:r>
        <w:t>Rcd</w:t>
      </w:r>
      <w:r>
        <w:t xml:space="preserve"> 5773, 5778-80, paras. 17-19 (2018); 47 CFR § 64.1120(a)(1)(</w:t>
      </w:r>
      <w:r>
        <w:t>i</w:t>
      </w:r>
      <w:r>
        <w:t xml:space="preserve">)(A).  The new rule became effective on August 16, 2018.  </w:t>
      </w:r>
      <w:r>
        <w:rPr>
          <w:i/>
        </w:rPr>
        <w:t>See Consumer and Governmental Affairs Bureau Announces August 16, 2018 Effective Date for Slamming and Cramming Rules</w:t>
      </w:r>
      <w:r>
        <w:t xml:space="preserve">, CG Docket No. 17-169, Public Notice, DA 18-747 (rel. July 19, 2018).  </w:t>
      </w:r>
      <w:r>
        <w:rPr>
          <w:snapToGrid w:val="0"/>
        </w:rPr>
        <w:t>We will apply the new rule to misconduct occurring on or after the effective date of the rule.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A138E2">
      <w:t>DA 19-</w:t>
    </w:r>
    <w:r w:rsidR="006C4707">
      <w:t>393</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138E2">
      <w:rPr>
        <w:spacing w:val="-2"/>
      </w:rPr>
      <w:t>DA 19-</w:t>
    </w:r>
    <w:r w:rsidR="006C4707">
      <w:rPr>
        <w:spacing w:val="-2"/>
      </w:rPr>
      <w:t>393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1F2"/>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2E2B0A"/>
    <w:rsid w:val="00343749"/>
    <w:rsid w:val="003660ED"/>
    <w:rsid w:val="003B0550"/>
    <w:rsid w:val="003B694F"/>
    <w:rsid w:val="003F171C"/>
    <w:rsid w:val="00412FC5"/>
    <w:rsid w:val="00422276"/>
    <w:rsid w:val="004242F1"/>
    <w:rsid w:val="00445A00"/>
    <w:rsid w:val="00451B0F"/>
    <w:rsid w:val="004558A7"/>
    <w:rsid w:val="004C2EE3"/>
    <w:rsid w:val="004E4A22"/>
    <w:rsid w:val="00511968"/>
    <w:rsid w:val="0055614C"/>
    <w:rsid w:val="00566D06"/>
    <w:rsid w:val="005E14C2"/>
    <w:rsid w:val="00607BA5"/>
    <w:rsid w:val="0061180A"/>
    <w:rsid w:val="00626EB6"/>
    <w:rsid w:val="00655D03"/>
    <w:rsid w:val="00683388"/>
    <w:rsid w:val="00683F84"/>
    <w:rsid w:val="006A6A81"/>
    <w:rsid w:val="006C4707"/>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E714E"/>
    <w:rsid w:val="009F76DB"/>
    <w:rsid w:val="00A138E2"/>
    <w:rsid w:val="00A32C3B"/>
    <w:rsid w:val="00A45F4F"/>
    <w:rsid w:val="00A600A9"/>
    <w:rsid w:val="00AA55B7"/>
    <w:rsid w:val="00AA5B9E"/>
    <w:rsid w:val="00AB2407"/>
    <w:rsid w:val="00AB53DF"/>
    <w:rsid w:val="00AB71F2"/>
    <w:rsid w:val="00B07E5C"/>
    <w:rsid w:val="00B811F7"/>
    <w:rsid w:val="00B97CBE"/>
    <w:rsid w:val="00BA5DC6"/>
    <w:rsid w:val="00BA6196"/>
    <w:rsid w:val="00BC6D8C"/>
    <w:rsid w:val="00C34006"/>
    <w:rsid w:val="00C36B4C"/>
    <w:rsid w:val="00C426B1"/>
    <w:rsid w:val="00C66160"/>
    <w:rsid w:val="00C721AC"/>
    <w:rsid w:val="00C90D6A"/>
    <w:rsid w:val="00C9410C"/>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0CEAE77-F71A-4317-82B3-D7929163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 Char Char,Footnote Text Char1 Char Char Char Char1,Footnote Text Char2 Char,fn,fn Ch"/>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 Char,Footnote Text Char Char Char Char Char Char1 Char,Footnote Text Char Char2 Char Char Char,Footnote Text Char1 Char Char Char,Footnote Text Char1 Char Char Char Char1 Char,fn Ch Char,fn Char"/>
    <w:link w:val="FootnoteText"/>
    <w:locked/>
    <w:rsid w:val="00AB71F2"/>
  </w:style>
  <w:style w:type="paragraph" w:styleId="Title">
    <w:name w:val="Title"/>
    <w:basedOn w:val="Normal"/>
    <w:link w:val="TitleChar"/>
    <w:qFormat/>
    <w:rsid w:val="00AB71F2"/>
    <w:pPr>
      <w:snapToGrid w:val="0"/>
      <w:jc w:val="center"/>
    </w:pPr>
    <w:rPr>
      <w:b/>
      <w:snapToGrid/>
    </w:rPr>
  </w:style>
  <w:style w:type="character" w:customStyle="1" w:styleId="TitleChar">
    <w:name w:val="Title Char"/>
    <w:basedOn w:val="DefaultParagraphFont"/>
    <w:link w:val="Title"/>
    <w:rsid w:val="00AB71F2"/>
    <w:rPr>
      <w:b/>
      <w:kern w:val="28"/>
      <w:sz w:val="22"/>
    </w:rPr>
  </w:style>
  <w:style w:type="paragraph" w:styleId="Subtitle">
    <w:name w:val="Subtitle"/>
    <w:basedOn w:val="Normal"/>
    <w:link w:val="SubtitleChar"/>
    <w:qFormat/>
    <w:rsid w:val="00AB71F2"/>
    <w:pPr>
      <w:snapToGrid w:val="0"/>
      <w:ind w:firstLine="720"/>
      <w:jc w:val="center"/>
    </w:pPr>
    <w:rPr>
      <w:b/>
      <w:snapToGrid/>
    </w:rPr>
  </w:style>
  <w:style w:type="character" w:customStyle="1" w:styleId="SubtitleChar">
    <w:name w:val="Subtitle Char"/>
    <w:basedOn w:val="DefaultParagraphFont"/>
    <w:link w:val="Subtitle"/>
    <w:rsid w:val="00AB71F2"/>
    <w:rPr>
      <w:b/>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