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4E16" w:rsidRPr="00511023" w:rsidP="000E4E16" w14:paraId="7F8A4183" w14:textId="14916618">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36D4BA95">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F873E6">
        <w:rPr>
          <w:rFonts w:ascii="Times New Roman" w:hAnsi="Times New Roman" w:cs="Times New Roman"/>
          <w:b/>
          <w:sz w:val="24"/>
          <w:szCs w:val="24"/>
        </w:rPr>
        <w:t>19-408</w:t>
      </w:r>
    </w:p>
    <w:p w:rsidR="006F117F" w:rsidRPr="00511023" w:rsidP="00511023" w14:paraId="700578AB" w14:textId="77777777">
      <w:pPr>
        <w:spacing w:after="0"/>
        <w:jc w:val="right"/>
        <w:rPr>
          <w:rFonts w:ascii="Times New Roman" w:hAnsi="Times New Roman" w:cs="Times New Roman"/>
          <w:sz w:val="24"/>
          <w:szCs w:val="24"/>
        </w:rPr>
      </w:pPr>
    </w:p>
    <w:p w:rsidR="000E4E16" w:rsidRPr="00511023" w:rsidP="00276EDE" w14:paraId="02B71EAA" w14:textId="55CB894D">
      <w:pPr>
        <w:spacing w:after="0"/>
        <w:ind w:left="1350" w:right="450"/>
        <w:jc w:val="center"/>
        <w:rPr>
          <w:rFonts w:ascii="Times New Roman" w:hAnsi="Times New Roman" w:cs="Times New Roman"/>
          <w:b/>
        </w:rPr>
      </w:pPr>
      <w:r w:rsidRPr="00511023">
        <w:rPr>
          <w:rFonts w:ascii="Times New Roman" w:hAnsi="Times New Roman" w:cs="Times New Roman"/>
          <w:b/>
          <w:sz w:val="28"/>
          <w:szCs w:val="28"/>
        </w:rPr>
        <w:t>SMALL ENTITY COMPLIANCE GUIDE</w:t>
      </w:r>
      <w:bookmarkStart w:id="0" w:name="_GoBack"/>
      <w:bookmarkEnd w:id="0"/>
    </w:p>
    <w:p w:rsidR="003336B1" w:rsidP="00276EDE" w14:paraId="2FA331AA" w14:textId="77777777">
      <w:pPr>
        <w:spacing w:after="0"/>
        <w:ind w:left="1350" w:right="450" w:hanging="90"/>
        <w:jc w:val="center"/>
        <w:rPr>
          <w:rFonts w:ascii="Times New Roman" w:hAnsi="Times New Roman" w:cs="Times New Roman"/>
          <w:b/>
        </w:rPr>
      </w:pPr>
    </w:p>
    <w:p w:rsidR="006F2901" w:rsidRPr="00511023" w:rsidP="00276EDE" w14:paraId="567AC2E3" w14:textId="73CD8CE5">
      <w:pPr>
        <w:spacing w:after="0"/>
        <w:ind w:left="1350" w:right="450" w:hanging="90"/>
        <w:jc w:val="center"/>
        <w:rPr>
          <w:rFonts w:ascii="Times New Roman" w:hAnsi="Times New Roman" w:cs="Times New Roman"/>
          <w:b/>
        </w:rPr>
      </w:pPr>
      <w:r w:rsidRPr="00E2670E">
        <w:rPr>
          <w:rFonts w:ascii="Times New Roman" w:hAnsi="Times New Roman" w:cs="Times New Roman"/>
          <w:b/>
        </w:rPr>
        <w:t xml:space="preserve">Accelerating Wireless Broadband Deployment by Removing </w:t>
      </w:r>
      <w:r>
        <w:rPr>
          <w:rFonts w:ascii="Times New Roman" w:hAnsi="Times New Roman" w:cs="Times New Roman"/>
          <w:b/>
        </w:rPr>
        <w:t>B</w:t>
      </w:r>
      <w:r w:rsidRPr="00E2670E">
        <w:rPr>
          <w:rFonts w:ascii="Times New Roman" w:hAnsi="Times New Roman" w:cs="Times New Roman"/>
          <w:b/>
        </w:rPr>
        <w:t>arriers to Infrastructure Investment</w:t>
      </w:r>
    </w:p>
    <w:p w:rsidR="006F2901" w:rsidRPr="00511023" w:rsidP="00276EDE" w14:paraId="3E93547C" w14:textId="7C5F2F54">
      <w:pPr>
        <w:spacing w:after="0"/>
        <w:ind w:left="1350" w:right="450"/>
        <w:jc w:val="center"/>
        <w:rPr>
          <w:rFonts w:ascii="Times New Roman" w:hAnsi="Times New Roman" w:cs="Times New Roman"/>
          <w:b/>
        </w:rPr>
      </w:pPr>
      <w:r w:rsidRPr="00511023">
        <w:rPr>
          <w:rFonts w:ascii="Times New Roman" w:hAnsi="Times New Roman" w:cs="Times New Roman"/>
          <w:b/>
        </w:rPr>
        <w:t xml:space="preserve">FCC </w:t>
      </w:r>
      <w:r w:rsidR="00D17D9C">
        <w:rPr>
          <w:rFonts w:ascii="Times New Roman" w:hAnsi="Times New Roman" w:cs="Times New Roman"/>
          <w:b/>
        </w:rPr>
        <w:t>18-30</w:t>
      </w:r>
    </w:p>
    <w:p w:rsidR="006F2901" w:rsidRPr="00511023" w:rsidP="00276EDE" w14:paraId="351CE09B" w14:textId="6AA799FB">
      <w:pPr>
        <w:spacing w:after="0"/>
        <w:ind w:left="1350" w:right="450"/>
        <w:jc w:val="center"/>
        <w:rPr>
          <w:rFonts w:ascii="Times New Roman" w:hAnsi="Times New Roman" w:cs="Times New Roman"/>
        </w:rPr>
      </w:pPr>
      <w:r>
        <w:rPr>
          <w:rFonts w:ascii="Times New Roman" w:hAnsi="Times New Roman" w:cs="Times New Roman"/>
          <w:b/>
        </w:rPr>
        <w:t>WT</w:t>
      </w:r>
      <w:r w:rsidR="00C37AC8">
        <w:rPr>
          <w:rFonts w:ascii="Times New Roman" w:hAnsi="Times New Roman" w:cs="Times New Roman"/>
          <w:b/>
        </w:rPr>
        <w:t xml:space="preserve"> Docket No. </w:t>
      </w:r>
      <w:r>
        <w:rPr>
          <w:rFonts w:ascii="Times New Roman" w:hAnsi="Times New Roman" w:cs="Times New Roman"/>
          <w:b/>
        </w:rPr>
        <w:t>17-79</w:t>
      </w:r>
    </w:p>
    <w:p w:rsidR="006F2901" w:rsidRPr="00511023" w:rsidP="00276EDE" w14:paraId="2FE15FB2" w14:textId="6177D31C">
      <w:pPr>
        <w:spacing w:after="0"/>
        <w:ind w:left="1350" w:right="450"/>
        <w:jc w:val="center"/>
        <w:rPr>
          <w:rFonts w:ascii="Times New Roman" w:hAnsi="Times New Roman" w:cs="Times New Roman"/>
          <w:b/>
        </w:rPr>
      </w:pPr>
      <w:r w:rsidRPr="00511023">
        <w:rPr>
          <w:rFonts w:ascii="Times New Roman" w:hAnsi="Times New Roman" w:cs="Times New Roman"/>
          <w:b/>
        </w:rPr>
        <w:t xml:space="preserve">Released </w:t>
      </w:r>
      <w:r w:rsidR="0065688B">
        <w:rPr>
          <w:rFonts w:ascii="Times New Roman" w:hAnsi="Times New Roman" w:cs="Times New Roman"/>
          <w:b/>
        </w:rPr>
        <w:t>March</w:t>
      </w:r>
      <w:r w:rsidR="00C825E5">
        <w:rPr>
          <w:rFonts w:ascii="Times New Roman" w:hAnsi="Times New Roman" w:cs="Times New Roman"/>
          <w:b/>
        </w:rPr>
        <w:t xml:space="preserve"> 30</w:t>
      </w:r>
      <w:r w:rsidR="00C37AC8">
        <w:rPr>
          <w:rFonts w:ascii="Times New Roman" w:hAnsi="Times New Roman" w:cs="Times New Roman"/>
          <w:b/>
        </w:rPr>
        <w:t>, 201</w:t>
      </w:r>
      <w:r w:rsidR="00C825E5">
        <w:rPr>
          <w:rFonts w:ascii="Times New Roman" w:hAnsi="Times New Roman" w:cs="Times New Roman"/>
          <w:b/>
        </w:rPr>
        <w:t>8</w:t>
      </w:r>
    </w:p>
    <w:p w:rsidR="000E4E16" w:rsidRPr="00511023" w:rsidP="000E4E16" w14:paraId="7420EAC8" w14:textId="77777777">
      <w:pPr>
        <w:spacing w:after="0"/>
        <w:rPr>
          <w:rFonts w:ascii="Times New Roman" w:hAnsi="Times New Roman" w:cs="Times New Roman"/>
        </w:rPr>
      </w:pPr>
    </w:p>
    <w:p w:rsidR="00FE346F" w:rsidRPr="00511023" w:rsidP="00485ED8" w14:paraId="6742A8FC" w14:textId="77777777">
      <w:pPr>
        <w:spacing w:after="0"/>
        <w:ind w:left="-180"/>
        <w:rPr>
          <w:rFonts w:ascii="Times New Roman" w:hAnsi="Times New Roman" w:cs="Times New Roman"/>
          <w:b/>
        </w:rPr>
      </w:pPr>
    </w:p>
    <w:p w:rsidR="006F2901" w:rsidRPr="00511023" w:rsidP="005D794D" w14:paraId="0359BFFD" w14:textId="164E7944">
      <w:pPr>
        <w:spacing w:after="0"/>
        <w:ind w:left="900"/>
        <w:jc w:val="both"/>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w:t>
      </w:r>
      <w:bookmarkStart w:id="1" w:name="_Hlk6303993"/>
      <w:r w:rsidRPr="00E2092F">
        <w:rPr>
          <w:rFonts w:ascii="Times New Roman" w:hAnsi="Times New Roman" w:cs="Times New Roman"/>
          <w:b/>
        </w:rPr>
        <w:t xml:space="preserve">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w:t>
      </w:r>
      <w:bookmarkEnd w:id="1"/>
      <w:r w:rsidRPr="00E2092F" w:rsidR="00B629FE">
        <w:rPr>
          <w:rFonts w:ascii="Times New Roman" w:hAnsi="Times New Roman" w:cs="Times New Roman"/>
          <w:b/>
        </w:rPr>
        <w:t xml:space="preserve">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5D794D" w14:paraId="25270ABA" w14:textId="77777777">
      <w:pPr>
        <w:pStyle w:val="ListParagraph"/>
        <w:ind w:left="900" w:hanging="1080"/>
        <w:jc w:val="both"/>
        <w:rPr>
          <w:rFonts w:ascii="Times New Roman" w:hAnsi="Times New Roman" w:cs="Times New Roman"/>
          <w:b/>
        </w:rPr>
      </w:pPr>
    </w:p>
    <w:p w:rsidR="006F2901" w:rsidRPr="00511023" w:rsidP="005D794D" w14:paraId="65D355CA" w14:textId="13621D8C">
      <w:pPr>
        <w:pStyle w:val="ListParagraph"/>
        <w:ind w:left="900"/>
        <w:jc w:val="both"/>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4F9D184" w14:textId="77777777">
      <w:pPr>
        <w:pStyle w:val="ListParagraph"/>
        <w:ind w:left="1080"/>
        <w:rPr>
          <w:rFonts w:ascii="Times New Roman" w:hAnsi="Times New Roman" w:cs="Times New Roman"/>
          <w:b/>
        </w:rPr>
      </w:pPr>
    </w:p>
    <w:p w:rsidR="006F2901" w:rsidRPr="00E2092F" w:rsidP="005D794D" w14:paraId="3EE78D98" w14:textId="05A6654E">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5D794D" w14:paraId="7189DA74" w14:textId="5B89279E">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5D794D" w14:paraId="542FD57C" w14:textId="71A82108">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5D794D" w14:paraId="4A1DEB02" w14:textId="37C1C0C6">
      <w:pPr>
        <w:pStyle w:val="ListParagraph"/>
        <w:ind w:left="1080"/>
        <w:jc w:val="center"/>
        <w:rPr>
          <w:rFonts w:ascii="Times New Roman" w:hAnsi="Times New Roman"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CD624E" w:rsidP="00CD624E" w14:paraId="25301E88" w14:textId="77777777">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C419A9" w:rsidP="00CD624E" w14:paraId="42100107" w14:textId="77777777">
      <w:pPr>
        <w:jc w:val="center"/>
        <w:rPr>
          <w:rFonts w:ascii="Times New Roman" w:hAnsi="Times New Roman" w:cs="Times New Roman"/>
          <w:b/>
          <w:u w:val="single"/>
        </w:rPr>
      </w:pPr>
    </w:p>
    <w:p w:rsidR="00CD624E" w:rsidRPr="00C419A9" w:rsidP="00CD624E" w14:paraId="0B3562B8" w14:textId="77777777">
      <w:pPr>
        <w:rPr>
          <w:rFonts w:ascii="Times New Roman" w:hAnsi="Times New Roman" w:cs="Times New Roman"/>
        </w:rPr>
      </w:pPr>
    </w:p>
    <w:p w:rsidR="00CD624E" w:rsidRPr="00C419A9" w:rsidP="00CD624E" w14:paraId="1A18EB69" w14:textId="76A773A3">
      <w:pPr>
        <w:tabs>
          <w:tab w:val="right" w:leader="dot" w:pos="8640"/>
        </w:tabs>
        <w:rPr>
          <w:rFonts w:ascii="Times New Roman" w:hAnsi="Times New Roman" w:cs="Times New Roman"/>
          <w:b/>
        </w:rPr>
      </w:pPr>
      <w:r w:rsidRPr="00C419A9">
        <w:rPr>
          <w:rFonts w:ascii="Times New Roman" w:hAnsi="Times New Roman" w:cs="Times New Roman"/>
          <w:b/>
        </w:rPr>
        <w:t xml:space="preserve">I.         </w:t>
      </w:r>
      <w:r>
        <w:rPr>
          <w:rFonts w:ascii="Times New Roman" w:hAnsi="Times New Roman" w:cs="Times New Roman"/>
          <w:b/>
        </w:rPr>
        <w:t xml:space="preserve"> OBJECTIVES OF THE PROCEEDING </w:t>
      </w:r>
      <w:r>
        <w:rPr>
          <w:rFonts w:ascii="Times New Roman" w:hAnsi="Times New Roman" w:cs="Times New Roman"/>
          <w:b/>
        </w:rPr>
        <w:tab/>
      </w:r>
      <w:r w:rsidR="00B534D1">
        <w:rPr>
          <w:rFonts w:ascii="Times New Roman" w:hAnsi="Times New Roman" w:cs="Times New Roman"/>
          <w:b/>
        </w:rPr>
        <w:t>1</w:t>
      </w:r>
    </w:p>
    <w:p w:rsidR="00CD624E" w:rsidRPr="00C419A9" w:rsidP="00CD624E" w14:paraId="490BE852" w14:textId="7E757480">
      <w:pPr>
        <w:tabs>
          <w:tab w:val="right" w:leader="dot" w:pos="8640"/>
        </w:tabs>
        <w:rPr>
          <w:rFonts w:ascii="Times New Roman" w:hAnsi="Times New Roman" w:cs="Times New Roman"/>
          <w:b/>
        </w:rPr>
      </w:pPr>
      <w:r w:rsidRPr="00C419A9">
        <w:rPr>
          <w:rFonts w:ascii="Times New Roman" w:hAnsi="Times New Roman" w:cs="Times New Roman"/>
          <w:b/>
        </w:rPr>
        <w:t xml:space="preserve">II.         </w:t>
      </w:r>
      <w:r>
        <w:rPr>
          <w:rFonts w:ascii="Times New Roman" w:hAnsi="Times New Roman" w:cs="Times New Roman"/>
          <w:b/>
        </w:rPr>
        <w:t xml:space="preserve">COMPLIANCE REQUIREMENTS </w:t>
      </w:r>
      <w:r>
        <w:rPr>
          <w:rFonts w:ascii="Times New Roman" w:hAnsi="Times New Roman" w:cs="Times New Roman"/>
          <w:b/>
        </w:rPr>
        <w:tab/>
      </w:r>
      <w:r w:rsidR="00906CAA">
        <w:rPr>
          <w:rFonts w:ascii="Times New Roman" w:hAnsi="Times New Roman" w:cs="Times New Roman"/>
          <w:b/>
        </w:rPr>
        <w:t>1</w:t>
      </w:r>
    </w:p>
    <w:p w:rsidR="00CD624E" w:rsidRPr="00C419A9" w:rsidP="00CD624E" w14:paraId="68DC6F13" w14:textId="11CFF5FE">
      <w:pPr>
        <w:tabs>
          <w:tab w:val="right" w:leader="dot" w:pos="8640"/>
        </w:tabs>
        <w:rPr>
          <w:rFonts w:ascii="Times New Roman" w:hAnsi="Times New Roman" w:cs="Times New Roman"/>
          <w:b/>
        </w:rPr>
      </w:pPr>
      <w:r w:rsidRPr="00C419A9">
        <w:rPr>
          <w:rFonts w:ascii="Times New Roman" w:hAnsi="Times New Roman" w:cs="Times New Roman"/>
          <w:b/>
        </w:rPr>
        <w:t>III.</w:t>
      </w:r>
      <w:r>
        <w:rPr>
          <w:rFonts w:ascii="Times New Roman" w:hAnsi="Times New Roman" w:cs="Times New Roman"/>
          <w:b/>
        </w:rPr>
        <w:t xml:space="preserve">        </w:t>
      </w:r>
      <w:r w:rsidRPr="00C419A9">
        <w:rPr>
          <w:rFonts w:ascii="Times New Roman" w:hAnsi="Times New Roman" w:cs="Times New Roman"/>
          <w:b/>
        </w:rPr>
        <w:t>RECORDKEEPI</w:t>
      </w:r>
      <w:r>
        <w:rPr>
          <w:rFonts w:ascii="Times New Roman" w:hAnsi="Times New Roman" w:cs="Times New Roman"/>
          <w:b/>
        </w:rPr>
        <w:t xml:space="preserve">NG AND REPORTING REQUIREMENTS </w:t>
      </w:r>
      <w:r>
        <w:rPr>
          <w:rFonts w:ascii="Times New Roman" w:hAnsi="Times New Roman" w:cs="Times New Roman"/>
          <w:b/>
        </w:rPr>
        <w:tab/>
      </w:r>
      <w:r w:rsidR="00A050FB">
        <w:rPr>
          <w:rFonts w:ascii="Times New Roman" w:hAnsi="Times New Roman" w:cs="Times New Roman"/>
          <w:b/>
        </w:rPr>
        <w:t>4</w:t>
      </w:r>
    </w:p>
    <w:p w:rsidR="00CD624E" w:rsidRPr="00C419A9" w:rsidP="00CD624E" w14:paraId="6B9E0B35" w14:textId="0812EB8B">
      <w:pPr>
        <w:tabs>
          <w:tab w:val="right" w:leader="dot" w:pos="8640"/>
        </w:tabs>
        <w:rPr>
          <w:rFonts w:ascii="Times New Roman" w:hAnsi="Times New Roman" w:cs="Times New Roman"/>
          <w:b/>
        </w:rPr>
      </w:pPr>
      <w:r w:rsidRPr="00C419A9">
        <w:rPr>
          <w:rFonts w:ascii="Times New Roman" w:hAnsi="Times New Roman" w:cs="Times New Roman"/>
          <w:b/>
        </w:rPr>
        <w:t>IV.</w:t>
      </w:r>
      <w:r>
        <w:rPr>
          <w:rFonts w:ascii="Times New Roman" w:hAnsi="Times New Roman" w:cs="Times New Roman"/>
          <w:b/>
        </w:rPr>
        <w:t xml:space="preserve">        IMPLEMENTATION DATE </w:t>
      </w:r>
      <w:r>
        <w:rPr>
          <w:rFonts w:ascii="Times New Roman" w:hAnsi="Times New Roman" w:cs="Times New Roman"/>
          <w:b/>
        </w:rPr>
        <w:tab/>
      </w:r>
      <w:r w:rsidR="00315398">
        <w:rPr>
          <w:rFonts w:ascii="Times New Roman" w:hAnsi="Times New Roman" w:cs="Times New Roman"/>
          <w:b/>
        </w:rPr>
        <w:t>4</w:t>
      </w:r>
    </w:p>
    <w:p w:rsidR="00CD624E" w:rsidRPr="00C419A9" w:rsidP="00CD624E" w14:paraId="2920F242" w14:textId="58E2F5F5">
      <w:pPr>
        <w:tabs>
          <w:tab w:val="right" w:leader="dot" w:pos="864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315398">
        <w:rPr>
          <w:rFonts w:ascii="Times New Roman" w:hAnsi="Times New Roman" w:cs="Times New Roman"/>
          <w:b/>
        </w:rPr>
        <w:t>4</w:t>
      </w:r>
    </w:p>
    <w:p w:rsidR="00CD624E" w:rsidP="00074CA4" w14:paraId="4688C0B6" w14:textId="77777777">
      <w:pPr>
        <w:pStyle w:val="ListParagraph"/>
        <w:spacing w:after="0"/>
        <w:ind w:left="0"/>
        <w:rPr>
          <w:rFonts w:ascii="Times New Roman" w:hAnsi="Times New Roman" w:cs="Times New Roman"/>
          <w:b/>
        </w:rPr>
      </w:pPr>
    </w:p>
    <w:p w:rsidR="008D4AA5" w:rsidRPr="00074CA4" w:rsidP="00074CA4" w14:paraId="2364AF40" w14:textId="77777777">
      <w:pPr>
        <w:rPr>
          <w:rFonts w:ascii="Times New Roman" w:hAnsi="Times New Roman" w:cs="Times New Roman"/>
          <w:b/>
        </w:rPr>
      </w:pPr>
    </w:p>
    <w:p w:rsidR="00463A2A" w:rsidP="00E97A21" w14:paraId="2A40148F" w14:textId="77777777">
      <w:pPr>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6"/>
          <w:pgSz w:w="12240" w:h="15840"/>
          <w:pgMar w:top="1440" w:right="1440" w:bottom="1008" w:left="1440" w:header="720" w:footer="187" w:gutter="0"/>
          <w:pgNumType w:start="1"/>
          <w:cols w:space="720"/>
          <w:docGrid w:linePitch="360"/>
        </w:sectPr>
      </w:pPr>
    </w:p>
    <w:p w:rsidR="00E97A21" w:rsidRPr="00511023" w:rsidP="00286EA8" w14:paraId="003F6D71" w14:textId="5359E51D">
      <w:pPr>
        <w:tabs>
          <w:tab w:val="left" w:pos="720"/>
        </w:tabs>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343E2F" w:rsidRPr="0055069D" w:rsidP="00ED5D14" w14:paraId="68862696" w14:textId="03760DF6">
      <w:pPr>
        <w:pStyle w:val="ParaNum"/>
        <w:widowControl/>
        <w:numPr>
          <w:ilvl w:val="0"/>
          <w:numId w:val="0"/>
        </w:numPr>
        <w:ind w:firstLine="720"/>
        <w:rPr>
          <w:szCs w:val="22"/>
        </w:rPr>
      </w:pPr>
      <w:r w:rsidRPr="00074B8D">
        <w:rPr>
          <w:szCs w:val="22"/>
        </w:rPr>
        <w:t xml:space="preserve">In </w:t>
      </w:r>
      <w:r w:rsidR="008670D5">
        <w:rPr>
          <w:szCs w:val="22"/>
        </w:rPr>
        <w:t>the</w:t>
      </w:r>
      <w:r w:rsidRPr="00074B8D">
        <w:rPr>
          <w:szCs w:val="22"/>
        </w:rPr>
        <w:t xml:space="preserve"> </w:t>
      </w:r>
      <w:r w:rsidRPr="008670D5">
        <w:rPr>
          <w:i/>
          <w:szCs w:val="22"/>
        </w:rPr>
        <w:t>Second Report and Order</w:t>
      </w:r>
      <w:r w:rsidRPr="00074B8D">
        <w:rPr>
          <w:szCs w:val="22"/>
        </w:rPr>
        <w:t xml:space="preserve"> (</w:t>
      </w:r>
      <w:r w:rsidRPr="008670D5">
        <w:rPr>
          <w:i/>
          <w:szCs w:val="22"/>
        </w:rPr>
        <w:t>Order</w:t>
      </w:r>
      <w:r w:rsidRPr="00074B8D">
        <w:rPr>
          <w:szCs w:val="22"/>
        </w:rPr>
        <w:t>)</w:t>
      </w:r>
      <w:r w:rsidR="000F7ECD">
        <w:rPr>
          <w:szCs w:val="22"/>
        </w:rPr>
        <w:t xml:space="preserve"> in FCC </w:t>
      </w:r>
      <w:r w:rsidR="009566CC">
        <w:rPr>
          <w:szCs w:val="22"/>
        </w:rPr>
        <w:t>18-30</w:t>
      </w:r>
      <w:r w:rsidR="000F7ECD">
        <w:rPr>
          <w:szCs w:val="22"/>
        </w:rPr>
        <w:t>, WT Docket No. 17-79</w:t>
      </w:r>
      <w:r w:rsidRPr="00074B8D">
        <w:rPr>
          <w:szCs w:val="22"/>
        </w:rPr>
        <w:t xml:space="preserve">, </w:t>
      </w:r>
      <w:r w:rsidR="008670D5">
        <w:rPr>
          <w:szCs w:val="22"/>
        </w:rPr>
        <w:t>the Commission continued its</w:t>
      </w:r>
      <w:r w:rsidRPr="00074B8D">
        <w:rPr>
          <w:szCs w:val="22"/>
        </w:rPr>
        <w:t xml:space="preserve"> efforts to reduce regulatory impediments by reexamining the types of deployments that are subject to review pursuant to the National Historic Preservation Act (NHPA) and the National Environmental Policy Act of 1969 (NEPA).  Specifically, </w:t>
      </w:r>
      <w:r w:rsidR="00995FD1">
        <w:rPr>
          <w:szCs w:val="22"/>
        </w:rPr>
        <w:t>the Commission amended its</w:t>
      </w:r>
      <w:r w:rsidRPr="00074B8D">
        <w:rPr>
          <w:szCs w:val="22"/>
        </w:rPr>
        <w:t xml:space="preserve"> rules to clarify that the deployment of small wireless facilities by </w:t>
      </w:r>
      <w:r>
        <w:rPr>
          <w:szCs w:val="22"/>
        </w:rPr>
        <w:t>non-Federal entities</w:t>
      </w:r>
      <w:r w:rsidRPr="00074B8D">
        <w:rPr>
          <w:szCs w:val="22"/>
        </w:rPr>
        <w:t xml:space="preserve"> does not constitute either a “federal undertaking” within the meaning of </w:t>
      </w:r>
      <w:r>
        <w:rPr>
          <w:szCs w:val="22"/>
        </w:rPr>
        <w:t xml:space="preserve">the </w:t>
      </w:r>
      <w:r w:rsidRPr="00074B8D">
        <w:rPr>
          <w:szCs w:val="22"/>
        </w:rPr>
        <w:t xml:space="preserve">NHPA or a “major federal action” under NEPA and thus </w:t>
      </w:r>
      <w:r w:rsidR="003336B1">
        <w:rPr>
          <w:szCs w:val="22"/>
        </w:rPr>
        <w:t>do not require</w:t>
      </w:r>
      <w:r w:rsidRPr="00074B8D">
        <w:rPr>
          <w:szCs w:val="22"/>
        </w:rPr>
        <w:t xml:space="preserve"> </w:t>
      </w:r>
      <w:r>
        <w:rPr>
          <w:szCs w:val="22"/>
        </w:rPr>
        <w:t xml:space="preserve">certain federal </w:t>
      </w:r>
      <w:r w:rsidRPr="00074B8D">
        <w:rPr>
          <w:szCs w:val="22"/>
        </w:rPr>
        <w:t>historic preservation and environmental reviews.</w:t>
      </w:r>
      <w:r>
        <w:rPr>
          <w:szCs w:val="22"/>
        </w:rPr>
        <w:t xml:space="preserve">  </w:t>
      </w:r>
      <w:r w:rsidR="00995FD1">
        <w:rPr>
          <w:szCs w:val="22"/>
        </w:rPr>
        <w:t>The Commission</w:t>
      </w:r>
      <w:r>
        <w:rPr>
          <w:szCs w:val="22"/>
        </w:rPr>
        <w:t xml:space="preserve"> </w:t>
      </w:r>
      <w:r w:rsidR="00E735AD">
        <w:rPr>
          <w:szCs w:val="22"/>
        </w:rPr>
        <w:t>excluded</w:t>
      </w:r>
      <w:r>
        <w:rPr>
          <w:szCs w:val="22"/>
        </w:rPr>
        <w:t xml:space="preserve"> from </w:t>
      </w:r>
      <w:r w:rsidR="003336B1">
        <w:rPr>
          <w:szCs w:val="22"/>
        </w:rPr>
        <w:t>these</w:t>
      </w:r>
      <w:r>
        <w:rPr>
          <w:szCs w:val="22"/>
        </w:rPr>
        <w:t xml:space="preserve"> review</w:t>
      </w:r>
      <w:r w:rsidR="003336B1">
        <w:rPr>
          <w:szCs w:val="22"/>
        </w:rPr>
        <w:t>s</w:t>
      </w:r>
      <w:r>
        <w:rPr>
          <w:szCs w:val="22"/>
        </w:rPr>
        <w:t xml:space="preserve"> only those facilities that meet </w:t>
      </w:r>
      <w:r w:rsidR="003336B1">
        <w:rPr>
          <w:szCs w:val="22"/>
        </w:rPr>
        <w:t>the</w:t>
      </w:r>
      <w:r>
        <w:rPr>
          <w:szCs w:val="22"/>
        </w:rPr>
        <w:t xml:space="preserve"> definition of small wireless facilities.  </w:t>
      </w:r>
      <w:r w:rsidR="00995FD1">
        <w:rPr>
          <w:szCs w:val="22"/>
        </w:rPr>
        <w:t>That</w:t>
      </w:r>
      <w:r>
        <w:rPr>
          <w:szCs w:val="22"/>
        </w:rPr>
        <w:t xml:space="preserve"> definition includes size limits on antennas, associated equipment, and pole height that </w:t>
      </w:r>
      <w:r w:rsidR="003336B1">
        <w:rPr>
          <w:szCs w:val="22"/>
        </w:rPr>
        <w:t>best capture</w:t>
      </w:r>
      <w:r>
        <w:rPr>
          <w:szCs w:val="22"/>
        </w:rPr>
        <w:t xml:space="preserve"> facilities that are least likely to implicate federal environmental and historic interests</w:t>
      </w:r>
      <w:r w:rsidR="00D47463">
        <w:rPr>
          <w:szCs w:val="22"/>
        </w:rPr>
        <w:t xml:space="preserve">, while </w:t>
      </w:r>
      <w:r>
        <w:rPr>
          <w:szCs w:val="22"/>
        </w:rPr>
        <w:t>ensur</w:t>
      </w:r>
      <w:r w:rsidR="00D47463">
        <w:rPr>
          <w:szCs w:val="22"/>
        </w:rPr>
        <w:t>ing</w:t>
      </w:r>
      <w:r>
        <w:rPr>
          <w:szCs w:val="22"/>
        </w:rPr>
        <w:t xml:space="preserve"> that larger facilities continue to be subject to </w:t>
      </w:r>
      <w:r w:rsidR="000F7ECD">
        <w:rPr>
          <w:szCs w:val="22"/>
        </w:rPr>
        <w:t xml:space="preserve">historic and environmental </w:t>
      </w:r>
      <w:r>
        <w:rPr>
          <w:szCs w:val="22"/>
        </w:rPr>
        <w:t xml:space="preserve">federal reviews.  </w:t>
      </w:r>
    </w:p>
    <w:p w:rsidR="00343E2F" w:rsidRPr="00EC6854" w:rsidP="00ED5D14" w14:paraId="60846EC6" w14:textId="7396E1CD">
      <w:pPr>
        <w:pStyle w:val="ParaNum"/>
        <w:numPr>
          <w:ilvl w:val="0"/>
          <w:numId w:val="0"/>
        </w:numPr>
        <w:ind w:firstLine="720"/>
        <w:rPr>
          <w:szCs w:val="22"/>
        </w:rPr>
      </w:pPr>
      <w:r>
        <w:rPr>
          <w:szCs w:val="22"/>
        </w:rPr>
        <w:t>The Commission also</w:t>
      </w:r>
      <w:r w:rsidRPr="00074B8D">
        <w:rPr>
          <w:szCs w:val="22"/>
        </w:rPr>
        <w:t xml:space="preserve"> modif</w:t>
      </w:r>
      <w:r>
        <w:rPr>
          <w:szCs w:val="22"/>
        </w:rPr>
        <w:t>ied</w:t>
      </w:r>
      <w:r w:rsidRPr="00074B8D">
        <w:rPr>
          <w:szCs w:val="22"/>
        </w:rPr>
        <w:t xml:space="preserve"> and clarif</w:t>
      </w:r>
      <w:r>
        <w:rPr>
          <w:szCs w:val="22"/>
        </w:rPr>
        <w:t>ied its</w:t>
      </w:r>
      <w:r w:rsidRPr="00074B8D">
        <w:rPr>
          <w:szCs w:val="22"/>
        </w:rPr>
        <w:t xml:space="preserve"> practices and expectations for </w:t>
      </w:r>
      <w:r w:rsidR="003336B1">
        <w:rPr>
          <w:szCs w:val="22"/>
        </w:rPr>
        <w:t xml:space="preserve">notifying and consulting with </w:t>
      </w:r>
      <w:r w:rsidRPr="00074B8D">
        <w:rPr>
          <w:szCs w:val="22"/>
        </w:rPr>
        <w:t xml:space="preserve">Tribal Nations and Native Hawaiian Organizations (NHOs) in historic preservation review, pursuant to Section 106 of the NHPA, for construction projects </w:t>
      </w:r>
      <w:r w:rsidR="007C685D">
        <w:rPr>
          <w:szCs w:val="22"/>
        </w:rPr>
        <w:t xml:space="preserve">that are not </w:t>
      </w:r>
      <w:r w:rsidRPr="00074B8D">
        <w:rPr>
          <w:szCs w:val="22"/>
        </w:rPr>
        <w:t xml:space="preserve">located </w:t>
      </w:r>
      <w:r w:rsidR="007C685D">
        <w:rPr>
          <w:szCs w:val="22"/>
        </w:rPr>
        <w:t>on</w:t>
      </w:r>
      <w:r w:rsidRPr="00074B8D">
        <w:rPr>
          <w:szCs w:val="22"/>
        </w:rPr>
        <w:t xml:space="preserve"> Tribal lands.  Specifically, </w:t>
      </w:r>
      <w:r>
        <w:rPr>
          <w:szCs w:val="22"/>
        </w:rPr>
        <w:t>the Commission</w:t>
      </w:r>
      <w:r w:rsidRPr="00074B8D">
        <w:rPr>
          <w:szCs w:val="22"/>
        </w:rPr>
        <w:t xml:space="preserve"> adjust</w:t>
      </w:r>
      <w:r w:rsidR="00487AFD">
        <w:rPr>
          <w:szCs w:val="22"/>
        </w:rPr>
        <w:t>ed</w:t>
      </w:r>
      <w:r w:rsidRPr="00074B8D">
        <w:rPr>
          <w:szCs w:val="22"/>
        </w:rPr>
        <w:t xml:space="preserve"> </w:t>
      </w:r>
      <w:r w:rsidR="00487AFD">
        <w:rPr>
          <w:szCs w:val="22"/>
        </w:rPr>
        <w:t>its</w:t>
      </w:r>
      <w:r w:rsidRPr="00074B8D">
        <w:rPr>
          <w:szCs w:val="22"/>
        </w:rPr>
        <w:t xml:space="preserve"> practices associated with </w:t>
      </w:r>
      <w:r w:rsidR="003336B1">
        <w:rPr>
          <w:szCs w:val="22"/>
        </w:rPr>
        <w:t xml:space="preserve">the </w:t>
      </w:r>
      <w:r w:rsidRPr="00074B8D">
        <w:rPr>
          <w:szCs w:val="22"/>
        </w:rPr>
        <w:t xml:space="preserve">time for Tribal Nations and NHOs </w:t>
      </w:r>
      <w:r w:rsidR="003336B1">
        <w:rPr>
          <w:szCs w:val="22"/>
        </w:rPr>
        <w:t xml:space="preserve">to respond after being </w:t>
      </w:r>
      <w:r w:rsidRPr="00074B8D">
        <w:rPr>
          <w:szCs w:val="22"/>
        </w:rPr>
        <w:t xml:space="preserve">notified of proposed undertakings </w:t>
      </w:r>
      <w:r w:rsidR="00487AFD">
        <w:rPr>
          <w:szCs w:val="22"/>
        </w:rPr>
        <w:t>and put in place</w:t>
      </w:r>
      <w:r w:rsidRPr="00074B8D">
        <w:rPr>
          <w:szCs w:val="22"/>
        </w:rPr>
        <w:t xml:space="preserve"> measures to ensure that Tribal Nations and NHOs are provided the information necessary to comment on these undertakings at the time of such notification</w:t>
      </w:r>
      <w:r w:rsidR="003336B1">
        <w:rPr>
          <w:szCs w:val="22"/>
        </w:rPr>
        <w:t xml:space="preserve"> if they choose to do so</w:t>
      </w:r>
      <w:r w:rsidRPr="00074B8D">
        <w:rPr>
          <w:szCs w:val="22"/>
        </w:rPr>
        <w:t xml:space="preserve">.  </w:t>
      </w:r>
      <w:r w:rsidR="00B47EB0">
        <w:rPr>
          <w:szCs w:val="22"/>
        </w:rPr>
        <w:t>The Commission also</w:t>
      </w:r>
      <w:r>
        <w:rPr>
          <w:szCs w:val="22"/>
        </w:rPr>
        <w:t xml:space="preserve"> </w:t>
      </w:r>
      <w:r w:rsidRPr="00EC2708">
        <w:rPr>
          <w:szCs w:val="22"/>
        </w:rPr>
        <w:t>clarif</w:t>
      </w:r>
      <w:r w:rsidR="00B47EB0">
        <w:rPr>
          <w:szCs w:val="22"/>
        </w:rPr>
        <w:t>ied</w:t>
      </w:r>
      <w:r w:rsidRPr="00EC2708">
        <w:rPr>
          <w:szCs w:val="22"/>
        </w:rPr>
        <w:t xml:space="preserve"> that applicants have no legal obligation to pay up-front fees when providing Tribal Nations and NHOs with an opportunity to comment on proposed facilities deployments.  </w:t>
      </w:r>
    </w:p>
    <w:p w:rsidR="00AA55F9" w:rsidP="00ED5D14" w14:paraId="302EA73B" w14:textId="7E616975">
      <w:pPr>
        <w:pStyle w:val="ParaNum"/>
        <w:numPr>
          <w:ilvl w:val="0"/>
          <w:numId w:val="0"/>
        </w:numPr>
        <w:spacing w:after="200"/>
        <w:ind w:firstLine="720"/>
        <w:rPr>
          <w:b/>
        </w:rPr>
      </w:pPr>
      <w:r w:rsidRPr="00074B8D">
        <w:rPr>
          <w:szCs w:val="22"/>
        </w:rPr>
        <w:t xml:space="preserve">Lastly, </w:t>
      </w:r>
      <w:r w:rsidR="009448CC">
        <w:rPr>
          <w:szCs w:val="22"/>
        </w:rPr>
        <w:t xml:space="preserve">the Commission examined its </w:t>
      </w:r>
      <w:r w:rsidRPr="00074B8D">
        <w:rPr>
          <w:szCs w:val="22"/>
        </w:rPr>
        <w:t>rules and procedures associated with NEPA compliance</w:t>
      </w:r>
      <w:r w:rsidR="00477A0E">
        <w:rPr>
          <w:szCs w:val="22"/>
        </w:rPr>
        <w:t xml:space="preserve"> </w:t>
      </w:r>
      <w:r w:rsidR="009448CC">
        <w:rPr>
          <w:szCs w:val="22"/>
        </w:rPr>
        <w:t>by</w:t>
      </w:r>
      <w:r w:rsidR="003336B1">
        <w:rPr>
          <w:szCs w:val="22"/>
        </w:rPr>
        <w:t xml:space="preserve"> (1)</w:t>
      </w:r>
      <w:r w:rsidRPr="00074B8D">
        <w:rPr>
          <w:szCs w:val="22"/>
        </w:rPr>
        <w:t xml:space="preserve"> amend</w:t>
      </w:r>
      <w:r w:rsidR="00477A0E">
        <w:rPr>
          <w:szCs w:val="22"/>
        </w:rPr>
        <w:t>ing its</w:t>
      </w:r>
      <w:r w:rsidRPr="00074B8D">
        <w:rPr>
          <w:szCs w:val="22"/>
        </w:rPr>
        <w:t xml:space="preserve"> rules to provide that applicants ordinarily will no longer be required to prepare </w:t>
      </w:r>
      <w:r>
        <w:rPr>
          <w:szCs w:val="22"/>
        </w:rPr>
        <w:t xml:space="preserve">an </w:t>
      </w:r>
      <w:r w:rsidRPr="00074B8D">
        <w:rPr>
          <w:szCs w:val="22"/>
        </w:rPr>
        <w:t xml:space="preserve">Environmental Assessment (EA) </w:t>
      </w:r>
      <w:r w:rsidR="007C685D">
        <w:rPr>
          <w:szCs w:val="22"/>
        </w:rPr>
        <w:t>solely because</w:t>
      </w:r>
      <w:r w:rsidRPr="00074B8D" w:rsidR="007C685D">
        <w:rPr>
          <w:szCs w:val="22"/>
        </w:rPr>
        <w:t xml:space="preserve"> </w:t>
      </w:r>
      <w:r w:rsidRPr="00074B8D">
        <w:rPr>
          <w:szCs w:val="22"/>
        </w:rPr>
        <w:t>a proposed project would be located in a floodplain</w:t>
      </w:r>
      <w:r w:rsidR="003336B1">
        <w:rPr>
          <w:szCs w:val="22"/>
        </w:rPr>
        <w:t>,</w:t>
      </w:r>
      <w:r w:rsidRPr="00074B8D">
        <w:rPr>
          <w:szCs w:val="22"/>
        </w:rPr>
        <w:t xml:space="preserve"> </w:t>
      </w:r>
      <w:r w:rsidR="003336B1">
        <w:rPr>
          <w:szCs w:val="22"/>
        </w:rPr>
        <w:t>a</w:t>
      </w:r>
      <w:r w:rsidR="00477A0E">
        <w:rPr>
          <w:szCs w:val="22"/>
        </w:rPr>
        <w:t xml:space="preserve">nd (2) </w:t>
      </w:r>
      <w:r w:rsidRPr="00074B8D">
        <w:rPr>
          <w:szCs w:val="22"/>
        </w:rPr>
        <w:t>commit</w:t>
      </w:r>
      <w:r w:rsidR="003336B1">
        <w:rPr>
          <w:szCs w:val="22"/>
        </w:rPr>
        <w:t>ted</w:t>
      </w:r>
      <w:r w:rsidRPr="00074B8D">
        <w:rPr>
          <w:szCs w:val="22"/>
        </w:rPr>
        <w:t xml:space="preserve"> to specific timelines for Commission review of EAs.  </w:t>
      </w:r>
    </w:p>
    <w:p w:rsidR="003677C4" w:rsidP="005D794D" w14:paraId="35C95D60" w14:textId="1725B131">
      <w:pPr>
        <w:tabs>
          <w:tab w:val="left" w:pos="720"/>
        </w:tabs>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r w:rsidR="00923497">
        <w:tab/>
      </w:r>
    </w:p>
    <w:p w:rsidR="00931E4F" w:rsidRPr="00906CAA" w:rsidP="005D794D" w14:paraId="15D18DF9" w14:textId="28F22F97">
      <w:pPr>
        <w:pStyle w:val="ParaNum"/>
        <w:numPr>
          <w:ilvl w:val="0"/>
          <w:numId w:val="18"/>
        </w:numPr>
        <w:ind w:left="1440" w:hanging="720"/>
        <w:rPr>
          <w:b/>
          <w:i/>
          <w:szCs w:val="22"/>
        </w:rPr>
      </w:pPr>
      <w:r w:rsidRPr="00906CAA">
        <w:rPr>
          <w:b/>
          <w:i/>
          <w:szCs w:val="22"/>
        </w:rPr>
        <w:t xml:space="preserve">Small Wireless Facilities </w:t>
      </w:r>
      <w:r w:rsidR="0073305B">
        <w:rPr>
          <w:b/>
          <w:i/>
          <w:szCs w:val="22"/>
        </w:rPr>
        <w:t>E</w:t>
      </w:r>
      <w:r w:rsidRPr="00906CAA">
        <w:rPr>
          <w:b/>
          <w:i/>
          <w:szCs w:val="22"/>
        </w:rPr>
        <w:t xml:space="preserve">xempt </w:t>
      </w:r>
      <w:r w:rsidR="005D794D">
        <w:rPr>
          <w:b/>
          <w:i/>
          <w:szCs w:val="22"/>
        </w:rPr>
        <w:t>f</w:t>
      </w:r>
      <w:r w:rsidRPr="00906CAA">
        <w:rPr>
          <w:b/>
          <w:i/>
          <w:szCs w:val="22"/>
        </w:rPr>
        <w:t xml:space="preserve">rom </w:t>
      </w:r>
      <w:r w:rsidR="0073305B">
        <w:rPr>
          <w:b/>
          <w:i/>
          <w:szCs w:val="22"/>
        </w:rPr>
        <w:t>H</w:t>
      </w:r>
      <w:r w:rsidRPr="00906CAA">
        <w:rPr>
          <w:b/>
          <w:i/>
          <w:szCs w:val="22"/>
        </w:rPr>
        <w:t xml:space="preserve">istoric and </w:t>
      </w:r>
      <w:r w:rsidR="006837C0">
        <w:rPr>
          <w:b/>
          <w:i/>
          <w:szCs w:val="22"/>
        </w:rPr>
        <w:t>E</w:t>
      </w:r>
      <w:r w:rsidRPr="00906CAA">
        <w:rPr>
          <w:b/>
          <w:i/>
          <w:szCs w:val="22"/>
        </w:rPr>
        <w:t xml:space="preserve">nvironmental </w:t>
      </w:r>
      <w:r w:rsidR="006837C0">
        <w:rPr>
          <w:b/>
          <w:i/>
          <w:szCs w:val="22"/>
        </w:rPr>
        <w:t>R</w:t>
      </w:r>
      <w:r w:rsidRPr="00906CAA">
        <w:rPr>
          <w:b/>
          <w:i/>
          <w:szCs w:val="22"/>
        </w:rPr>
        <w:t>eview (47 CFR § 1.1312(e))</w:t>
      </w:r>
    </w:p>
    <w:p w:rsidR="00312D28" w:rsidP="005D794D" w14:paraId="0A184633" w14:textId="0527ACD6">
      <w:pPr>
        <w:pStyle w:val="ParaNum"/>
        <w:numPr>
          <w:ilvl w:val="0"/>
          <w:numId w:val="0"/>
        </w:numPr>
        <w:tabs>
          <w:tab w:val="left" w:pos="720"/>
        </w:tabs>
        <w:rPr>
          <w:szCs w:val="22"/>
        </w:rPr>
      </w:pPr>
      <w:r>
        <w:rPr>
          <w:szCs w:val="22"/>
        </w:rPr>
        <w:tab/>
      </w:r>
      <w:r w:rsidRPr="002C2CA8">
        <w:rPr>
          <w:szCs w:val="22"/>
        </w:rPr>
        <w:t xml:space="preserve">The </w:t>
      </w:r>
      <w:r w:rsidRPr="00DA0F2B">
        <w:rPr>
          <w:i/>
        </w:rPr>
        <w:t>Second</w:t>
      </w:r>
      <w:r>
        <w:t xml:space="preserve"> </w:t>
      </w:r>
      <w:r w:rsidRPr="00511023">
        <w:rPr>
          <w:i/>
        </w:rPr>
        <w:t>Report and Order</w:t>
      </w:r>
      <w:r w:rsidRPr="002C2CA8">
        <w:rPr>
          <w:szCs w:val="22"/>
        </w:rPr>
        <w:t xml:space="preserve"> excluded small wireless facilities deployed on non-Tribal lands from NHPA and NEPA review.</w:t>
      </w:r>
      <w:r>
        <w:rPr>
          <w:szCs w:val="22"/>
        </w:rPr>
        <w:t xml:space="preserve">  </w:t>
      </w:r>
      <w:r w:rsidRPr="002C2CA8">
        <w:rPr>
          <w:szCs w:val="22"/>
        </w:rPr>
        <w:t xml:space="preserve">The exemption </w:t>
      </w:r>
      <w:r>
        <w:rPr>
          <w:szCs w:val="22"/>
        </w:rPr>
        <w:t>is set forth at</w:t>
      </w:r>
      <w:r w:rsidRPr="002C2CA8">
        <w:rPr>
          <w:szCs w:val="22"/>
        </w:rPr>
        <w:t xml:space="preserve"> 47 CFR </w:t>
      </w:r>
      <w:r>
        <w:rPr>
          <w:szCs w:val="22"/>
        </w:rPr>
        <w:t xml:space="preserve">§ </w:t>
      </w:r>
      <w:r w:rsidRPr="002C2CA8">
        <w:rPr>
          <w:szCs w:val="22"/>
        </w:rPr>
        <w:t>1.1312</w:t>
      </w:r>
      <w:r>
        <w:rPr>
          <w:szCs w:val="22"/>
        </w:rPr>
        <w:t>(e)</w:t>
      </w:r>
      <w:r w:rsidRPr="002C2CA8">
        <w:rPr>
          <w:szCs w:val="22"/>
        </w:rPr>
        <w:t>.</w:t>
      </w:r>
    </w:p>
    <w:p w:rsidR="00931E4F" w:rsidRPr="00931E4F" w:rsidP="005D794D" w14:paraId="7984DBF3" w14:textId="5B05D70F">
      <w:pPr>
        <w:pStyle w:val="ParaNum"/>
        <w:numPr>
          <w:ilvl w:val="0"/>
          <w:numId w:val="17"/>
        </w:numPr>
        <w:ind w:left="1440" w:hanging="720"/>
        <w:rPr>
          <w:szCs w:val="22"/>
        </w:rPr>
      </w:pPr>
      <w:r>
        <w:rPr>
          <w:szCs w:val="22"/>
        </w:rPr>
        <w:t xml:space="preserve">Small </w:t>
      </w:r>
      <w:r w:rsidR="00906CAA">
        <w:rPr>
          <w:szCs w:val="22"/>
        </w:rPr>
        <w:t>w</w:t>
      </w:r>
      <w:r>
        <w:rPr>
          <w:szCs w:val="22"/>
        </w:rPr>
        <w:t xml:space="preserve">ireless </w:t>
      </w:r>
      <w:r w:rsidR="00906CAA">
        <w:rPr>
          <w:szCs w:val="22"/>
        </w:rPr>
        <w:t>f</w:t>
      </w:r>
      <w:r>
        <w:rPr>
          <w:szCs w:val="22"/>
        </w:rPr>
        <w:t>acilities meeting the following criteria are exempt from historic and environmental review:</w:t>
      </w:r>
    </w:p>
    <w:p w:rsidR="00931E4F" w:rsidRPr="00931E4F" w:rsidP="005D794D" w14:paraId="78F702FE" w14:textId="77777777">
      <w:pPr>
        <w:pStyle w:val="ParaNum"/>
        <w:numPr>
          <w:ilvl w:val="0"/>
          <w:numId w:val="0"/>
        </w:numPr>
        <w:ind w:left="1440"/>
        <w:rPr>
          <w:szCs w:val="22"/>
        </w:rPr>
      </w:pPr>
      <w:r w:rsidRPr="00931E4F">
        <w:rPr>
          <w:szCs w:val="22"/>
        </w:rPr>
        <w:t>(i) The facilities are mounted on structures 50 feet or less in height including their antennas as defined in § 1.1320(d), or the facilities are mounted on structures no more than 10 percent taller than other adjacent structures, or the facilities do not extend existing structures on which they are located to a height of more than 50 feet or by more than 10 percent, whichever is greater;</w:t>
      </w:r>
    </w:p>
    <w:p w:rsidR="00931E4F" w:rsidRPr="00931E4F" w:rsidP="005D794D" w14:paraId="64A78560" w14:textId="77777777">
      <w:pPr>
        <w:pStyle w:val="ParaNum"/>
        <w:numPr>
          <w:ilvl w:val="0"/>
          <w:numId w:val="0"/>
        </w:numPr>
        <w:ind w:left="1440"/>
        <w:rPr>
          <w:szCs w:val="22"/>
        </w:rPr>
      </w:pPr>
      <w:r w:rsidRPr="00931E4F">
        <w:rPr>
          <w:szCs w:val="22"/>
        </w:rPr>
        <w:t>(ii) Each antenna associated with the deployment, excluding the associated equipment (as defined in the definition of antenna in § 1.1320(d)), is no more than three cubic feet in volume;</w:t>
      </w:r>
    </w:p>
    <w:p w:rsidR="00931E4F" w:rsidRPr="00931E4F" w:rsidP="005D794D" w14:paraId="73E05B46" w14:textId="77777777">
      <w:pPr>
        <w:pStyle w:val="ParaNum"/>
        <w:numPr>
          <w:ilvl w:val="0"/>
          <w:numId w:val="0"/>
        </w:numPr>
        <w:ind w:left="1440"/>
        <w:rPr>
          <w:szCs w:val="22"/>
        </w:rPr>
      </w:pPr>
      <w:r w:rsidRPr="00931E4F">
        <w:rPr>
          <w:szCs w:val="22"/>
        </w:rPr>
        <w:t>(iii) All other wireless equipment associated with the structure, including the wireless equipment associated with the antenna and any pre-existing associated equipment on the structure, is no more than 28 cubic feet in volume; and</w:t>
      </w:r>
    </w:p>
    <w:p w:rsidR="00931E4F" w:rsidRPr="00931E4F" w:rsidP="005D794D" w14:paraId="6E45060D" w14:textId="77777777">
      <w:pPr>
        <w:pStyle w:val="ParaNum"/>
        <w:numPr>
          <w:ilvl w:val="0"/>
          <w:numId w:val="0"/>
        </w:numPr>
        <w:ind w:left="1440"/>
        <w:rPr>
          <w:szCs w:val="22"/>
        </w:rPr>
      </w:pPr>
      <w:r w:rsidRPr="00931E4F">
        <w:rPr>
          <w:szCs w:val="22"/>
        </w:rPr>
        <w:t>(iv) The facilities do not require antenna structure registration under part 17 of this chapter; and</w:t>
      </w:r>
    </w:p>
    <w:p w:rsidR="009566CC" w:rsidP="005D794D" w14:paraId="30F5DEE5" w14:textId="3C93CF54">
      <w:pPr>
        <w:pStyle w:val="ParaNum"/>
        <w:numPr>
          <w:ilvl w:val="0"/>
          <w:numId w:val="0"/>
        </w:numPr>
        <w:ind w:left="1440"/>
        <w:rPr>
          <w:szCs w:val="22"/>
        </w:rPr>
      </w:pPr>
      <w:r w:rsidRPr="00931E4F">
        <w:rPr>
          <w:szCs w:val="22"/>
        </w:rPr>
        <w:t xml:space="preserve">(v) The facilities are not located on tribal lands, as defined under 36 CFR </w:t>
      </w:r>
      <w:r w:rsidR="008A0472">
        <w:rPr>
          <w:szCs w:val="22"/>
        </w:rPr>
        <w:t xml:space="preserve">§ </w:t>
      </w:r>
      <w:r w:rsidRPr="00931E4F">
        <w:rPr>
          <w:szCs w:val="22"/>
        </w:rPr>
        <w:t xml:space="preserve">800.16(x); </w:t>
      </w:r>
      <w:r w:rsidRPr="00931E4F">
        <w:rPr>
          <w:szCs w:val="22"/>
        </w:rPr>
        <w:t>and</w:t>
      </w:r>
    </w:p>
    <w:p w:rsidR="003336B1" w:rsidP="005D794D" w14:paraId="0038B19C" w14:textId="7786BD62">
      <w:pPr>
        <w:pStyle w:val="ParaNum"/>
        <w:numPr>
          <w:ilvl w:val="0"/>
          <w:numId w:val="0"/>
        </w:numPr>
        <w:ind w:left="1440"/>
        <w:rPr>
          <w:szCs w:val="22"/>
        </w:rPr>
      </w:pPr>
      <w:r w:rsidRPr="00931E4F">
        <w:rPr>
          <w:szCs w:val="22"/>
        </w:rPr>
        <w:t>(vi) The facilities do not result in human exposure to radiofrequency radiation in excess of the applicable safety standards specified in § 1.1307(b).</w:t>
      </w:r>
    </w:p>
    <w:p w:rsidR="00906CAA" w:rsidRPr="00906CAA" w:rsidP="005D794D" w14:paraId="49EA50BD" w14:textId="7943A1DA">
      <w:pPr>
        <w:pStyle w:val="ParaNum"/>
        <w:numPr>
          <w:ilvl w:val="0"/>
          <w:numId w:val="18"/>
        </w:numPr>
        <w:ind w:left="1440" w:hanging="720"/>
        <w:rPr>
          <w:b/>
          <w:i/>
        </w:rPr>
      </w:pPr>
      <w:r>
        <w:rPr>
          <w:b/>
          <w:i/>
        </w:rPr>
        <w:t xml:space="preserve">Streamlined </w:t>
      </w:r>
      <w:r w:rsidRPr="00906CAA">
        <w:rPr>
          <w:b/>
          <w:i/>
        </w:rPr>
        <w:t>NHPA</w:t>
      </w:r>
      <w:r>
        <w:rPr>
          <w:b/>
          <w:i/>
        </w:rPr>
        <w:t xml:space="preserve"> Review</w:t>
      </w:r>
      <w:r w:rsidRPr="00906CAA">
        <w:rPr>
          <w:b/>
          <w:i/>
        </w:rPr>
        <w:t xml:space="preserve"> </w:t>
      </w:r>
      <w:r w:rsidR="006837C0">
        <w:rPr>
          <w:b/>
          <w:i/>
        </w:rPr>
        <w:t>P</w:t>
      </w:r>
      <w:r w:rsidRPr="00906CAA">
        <w:rPr>
          <w:b/>
          <w:i/>
        </w:rPr>
        <w:t>rocedures</w:t>
      </w:r>
      <w:r w:rsidR="006837C0">
        <w:rPr>
          <w:b/>
          <w:i/>
        </w:rPr>
        <w:t xml:space="preserve"> </w:t>
      </w:r>
      <w:r w:rsidR="00207405">
        <w:rPr>
          <w:b/>
          <w:i/>
        </w:rPr>
        <w:t>f</w:t>
      </w:r>
      <w:r w:rsidR="006837C0">
        <w:rPr>
          <w:b/>
          <w:i/>
        </w:rPr>
        <w:t>or Larger Wireless Facilities</w:t>
      </w:r>
      <w:r w:rsidRPr="00906CAA">
        <w:rPr>
          <w:b/>
          <w:i/>
        </w:rPr>
        <w:t xml:space="preserve"> (47 CFR Part 1, Appendix B and C)</w:t>
      </w:r>
    </w:p>
    <w:p w:rsidR="009C0377" w:rsidP="005D794D" w14:paraId="7B02BCA2" w14:textId="6786794C">
      <w:pPr>
        <w:pStyle w:val="ParaNum"/>
        <w:numPr>
          <w:ilvl w:val="0"/>
          <w:numId w:val="0"/>
        </w:numPr>
        <w:ind w:firstLine="720"/>
      </w:pPr>
      <w:r>
        <w:t>T</w:t>
      </w:r>
      <w:r>
        <w:t xml:space="preserve">he </w:t>
      </w:r>
      <w:r w:rsidRPr="00DA0F2B" w:rsidR="00906CAA">
        <w:rPr>
          <w:i/>
        </w:rPr>
        <w:t>Second</w:t>
      </w:r>
      <w:r w:rsidR="00906CAA">
        <w:t xml:space="preserve"> </w:t>
      </w:r>
      <w:r w:rsidRPr="00511023" w:rsidR="00906CAA">
        <w:rPr>
          <w:i/>
        </w:rPr>
        <w:t>Report and Order</w:t>
      </w:r>
      <w:r>
        <w:t xml:space="preserve"> streamlined the historic preservation review process that continues to apply to the deployment of larger wireless facilities by clarifying aspects of the Section 106 Tribal consultation process for construction projects </w:t>
      </w:r>
      <w:r w:rsidR="00CD5887">
        <w:t xml:space="preserve">that are not </w:t>
      </w:r>
      <w:r>
        <w:t xml:space="preserve">located </w:t>
      </w:r>
      <w:r w:rsidR="00CD5887">
        <w:t>on</w:t>
      </w:r>
      <w:r>
        <w:t xml:space="preserve"> Tribal lands.  </w:t>
      </w:r>
    </w:p>
    <w:p w:rsidR="00E01592" w:rsidP="005D794D" w14:paraId="08F84D62" w14:textId="38BD6EA9">
      <w:pPr>
        <w:pStyle w:val="ParaNum"/>
        <w:numPr>
          <w:ilvl w:val="0"/>
          <w:numId w:val="17"/>
        </w:numPr>
        <w:ind w:left="1440" w:hanging="720"/>
      </w:pPr>
      <w:r w:rsidRPr="009C0377">
        <w:rPr>
          <w:i/>
        </w:rPr>
        <w:t>Required Information</w:t>
      </w:r>
      <w:r>
        <w:t xml:space="preserve">. </w:t>
      </w:r>
    </w:p>
    <w:p w:rsidR="005D794D" w:rsidP="005D794D" w14:paraId="38DF5E75" w14:textId="77777777">
      <w:pPr>
        <w:pStyle w:val="ParaNum"/>
        <w:numPr>
          <w:ilvl w:val="0"/>
          <w:numId w:val="19"/>
        </w:numPr>
        <w:ind w:left="1800"/>
      </w:pPr>
      <w:r>
        <w:t>Applicants must provide all potentially affected Tribal Nations and Native Hawaiian Organizations (NHOs) with a</w:t>
      </w:r>
      <w:r w:rsidR="00E01592">
        <w:t>n accurate and complete</w:t>
      </w:r>
      <w:r>
        <w:t xml:space="preserve"> Form 620 (new towers) or Form 621(collocations) submission packet in cases where the applicable form is prepared for the SHPO following the requirements established in the Wireless Facilities NPA.</w:t>
      </w:r>
      <w:r w:rsidRPr="00763C6C" w:rsidR="008F67AE">
        <w:rPr>
          <w:i/>
        </w:rPr>
        <w:t xml:space="preserve"> </w:t>
      </w:r>
    </w:p>
    <w:p w:rsidR="008F67AE" w:rsidP="005D794D" w14:paraId="33C7E2F1" w14:textId="09A2DD12">
      <w:pPr>
        <w:pStyle w:val="ParaNum"/>
        <w:numPr>
          <w:ilvl w:val="0"/>
          <w:numId w:val="19"/>
        </w:numPr>
        <w:ind w:left="1800"/>
      </w:pPr>
      <w:r>
        <w:t xml:space="preserve">In instances where no Form 620/621 submission packet is </w:t>
      </w:r>
      <w:r>
        <w:t xml:space="preserve">required or </w:t>
      </w:r>
      <w:r>
        <w:t>otherwise prepared</w:t>
      </w:r>
      <w:r w:rsidR="005A6E33">
        <w:t xml:space="preserve"> because the project is excluded from SHPO review</w:t>
      </w:r>
      <w:r>
        <w:t xml:space="preserve">, applicants </w:t>
      </w:r>
      <w:r>
        <w:t xml:space="preserve">must </w:t>
      </w:r>
      <w:r>
        <w:t>provide Tribal Nations and NHOs with</w:t>
      </w:r>
      <w:r w:rsidR="001A169B">
        <w:t xml:space="preserve"> an alternative submission packet with</w:t>
      </w:r>
      <w:r>
        <w:t xml:space="preserve"> information adequate to fully explain the project and its location. </w:t>
      </w:r>
    </w:p>
    <w:p w:rsidR="009C0377" w:rsidP="005D794D" w14:paraId="41F9026B" w14:textId="6F589137">
      <w:pPr>
        <w:pStyle w:val="ParaNum"/>
        <w:numPr>
          <w:ilvl w:val="2"/>
          <w:numId w:val="17"/>
        </w:numPr>
      </w:pPr>
      <w:r>
        <w:t>At minimum, this alternative submission must include contact information for the applicant, a map of the proposed location of the facility, coordinates of the proposed facility, a description of the facility to be constructed including all proposed elements (such as, for example, access roads), and a description of the proposed site, including both aerial and site photographs.</w:t>
      </w:r>
    </w:p>
    <w:p w:rsidR="00E01592" w:rsidP="00763C6C" w14:paraId="5A71B50F" w14:textId="07AF42C2">
      <w:pPr>
        <w:pStyle w:val="ParaNum"/>
        <w:numPr>
          <w:ilvl w:val="0"/>
          <w:numId w:val="17"/>
        </w:numPr>
        <w:spacing w:after="0"/>
        <w:ind w:left="1440" w:hanging="720"/>
      </w:pPr>
      <w:bookmarkStart w:id="2" w:name="_Hlk6301314"/>
      <w:r w:rsidRPr="009C0377">
        <w:rPr>
          <w:i/>
        </w:rPr>
        <w:t>Timeframe for Response</w:t>
      </w:r>
      <w:r w:rsidR="00FE3D11">
        <w:rPr>
          <w:i/>
        </w:rPr>
        <w:t>s</w:t>
      </w:r>
      <w:r>
        <w:t xml:space="preserve">. </w:t>
      </w:r>
    </w:p>
    <w:p w:rsidR="003C700E" w:rsidRPr="005D794D" w:rsidP="005D794D" w14:paraId="1CF7155A" w14:textId="77777777">
      <w:pPr>
        <w:pStyle w:val="ParaNum"/>
        <w:numPr>
          <w:ilvl w:val="0"/>
          <w:numId w:val="0"/>
        </w:numPr>
        <w:spacing w:after="0"/>
        <w:ind w:left="1440"/>
        <w:rPr>
          <w:sz w:val="12"/>
          <w:szCs w:val="12"/>
        </w:rPr>
      </w:pPr>
      <w:r>
        <w:rPr>
          <w:i/>
        </w:rPr>
        <w:t xml:space="preserve"> </w:t>
      </w:r>
    </w:p>
    <w:p w:rsidR="009C0377" w:rsidRPr="00ED5D14" w:rsidP="003C700E" w14:paraId="4EB6AC3B" w14:textId="4F5C5A29">
      <w:pPr>
        <w:pStyle w:val="ParaNum"/>
        <w:numPr>
          <w:ilvl w:val="1"/>
          <w:numId w:val="17"/>
        </w:numPr>
        <w:spacing w:after="0"/>
      </w:pPr>
      <w:r>
        <w:rPr>
          <w:snapToGrid/>
          <w:color w:val="000000"/>
          <w:lang w:eastAsia="ja-JP"/>
        </w:rPr>
        <w:t>A</w:t>
      </w:r>
      <w:r w:rsidR="003D4A1D">
        <w:rPr>
          <w:snapToGrid/>
          <w:color w:val="000000"/>
          <w:lang w:eastAsia="ja-JP"/>
        </w:rPr>
        <w:t xml:space="preserve"> </w:t>
      </w:r>
      <w:r w:rsidRPr="00074B8D">
        <w:rPr>
          <w:snapToGrid/>
          <w:color w:val="000000"/>
          <w:lang w:eastAsia="ja-JP"/>
        </w:rPr>
        <w:t xml:space="preserve">Tribal Nation </w:t>
      </w:r>
      <w:r>
        <w:rPr>
          <w:snapToGrid/>
          <w:color w:val="000000"/>
          <w:lang w:eastAsia="ja-JP"/>
        </w:rPr>
        <w:t xml:space="preserve">or NHO </w:t>
      </w:r>
      <w:r w:rsidRPr="00074B8D">
        <w:rPr>
          <w:snapToGrid/>
          <w:color w:val="000000"/>
          <w:lang w:eastAsia="ja-JP"/>
        </w:rPr>
        <w:t xml:space="preserve">must provide a response to an applicant’s </w:t>
      </w:r>
      <w:r>
        <w:rPr>
          <w:snapToGrid/>
          <w:color w:val="000000"/>
          <w:lang w:eastAsia="ja-JP"/>
        </w:rPr>
        <w:t>request for comment on a proposal for</w:t>
      </w:r>
      <w:r w:rsidRPr="00074B8D">
        <w:rPr>
          <w:snapToGrid/>
          <w:color w:val="000000"/>
          <w:lang w:eastAsia="ja-JP"/>
        </w:rPr>
        <w:t xml:space="preserve"> a construction project</w:t>
      </w:r>
      <w:r w:rsidR="003D4A1D">
        <w:rPr>
          <w:snapToGrid/>
          <w:color w:val="000000"/>
          <w:lang w:eastAsia="ja-JP"/>
        </w:rPr>
        <w:t xml:space="preserve"> in 30 days</w:t>
      </w:r>
      <w:r w:rsidRPr="00074B8D">
        <w:rPr>
          <w:snapToGrid/>
          <w:color w:val="000000"/>
          <w:lang w:eastAsia="ja-JP"/>
        </w:rPr>
        <w:t>.</w:t>
      </w:r>
      <w:r w:rsidR="003D4A1D">
        <w:rPr>
          <w:snapToGrid/>
          <w:color w:val="000000"/>
          <w:lang w:eastAsia="ja-JP"/>
        </w:rPr>
        <w:t xml:space="preserve"> </w:t>
      </w:r>
      <w:r w:rsidR="001C692E">
        <w:rPr>
          <w:snapToGrid/>
          <w:color w:val="000000"/>
          <w:lang w:eastAsia="ja-JP"/>
        </w:rPr>
        <w:t xml:space="preserve"> </w:t>
      </w:r>
      <w:r>
        <w:t xml:space="preserve">The 30-day period for a Tribal response provided in the Wireless Facilities NPA will begin to run on the date that the Tribal Nation or NHO can be shown to have received or may reasonably be expected to have </w:t>
      </w:r>
      <w:r w:rsidRPr="005620B9">
        <w:t xml:space="preserve">received the Form 620/621 submission </w:t>
      </w:r>
      <w:r w:rsidRPr="00ED5D14">
        <w:t>packet (or the alternative submission where no 620/621 packet has been prepared).</w:t>
      </w:r>
      <w:r w:rsidRPr="00ED5D14" w:rsidR="003C700E">
        <w:t xml:space="preserve"> </w:t>
      </w:r>
    </w:p>
    <w:p w:rsidR="003D4A1D" w:rsidRPr="00ED5D14" w:rsidP="00ED5D14" w14:paraId="115AE49F" w14:textId="37D8B9A1">
      <w:pPr>
        <w:pStyle w:val="ParaNum"/>
        <w:numPr>
          <w:ilvl w:val="0"/>
          <w:numId w:val="0"/>
        </w:numPr>
        <w:spacing w:after="0"/>
        <w:ind w:left="1800"/>
        <w:rPr>
          <w:sz w:val="10"/>
          <w:szCs w:val="10"/>
        </w:rPr>
      </w:pPr>
      <w:r w:rsidRPr="00ED5D14">
        <w:t xml:space="preserve"> </w:t>
      </w:r>
    </w:p>
    <w:p w:rsidR="00FE3D11" w:rsidRPr="00ED5D14" w:rsidP="00FD23BB" w14:paraId="42793AB7" w14:textId="15B30EF8">
      <w:pPr>
        <w:pStyle w:val="ParaNum"/>
        <w:numPr>
          <w:ilvl w:val="2"/>
          <w:numId w:val="17"/>
        </w:numPr>
        <w:spacing w:after="0"/>
      </w:pPr>
      <w:r w:rsidRPr="00ED5D14">
        <w:t>A Tribal Nation or NHO receiving a notification of proposed construction through TCNS is under no obligation to respond until it receives a Form 620/621 submission packet (or alternative submission)</w:t>
      </w:r>
      <w:r w:rsidRPr="00ED5D14" w:rsidR="00397060">
        <w:t>.</w:t>
      </w:r>
      <w:r w:rsidRPr="00ED5D14" w:rsidR="005A6E33">
        <w:t xml:space="preserve">  </w:t>
      </w:r>
      <w:bookmarkStart w:id="3" w:name="_Hlk6300275"/>
      <w:r w:rsidRPr="00ED5D14" w:rsidR="001A169B">
        <w:t xml:space="preserve">Tribes that elect to use TCNS to receive communications are rebuttably presumed to have received the </w:t>
      </w:r>
      <w:r w:rsidRPr="00ED5D14" w:rsidR="00802069">
        <w:t>Form 620/621 submission packet on the day it is uploaded to TCNS</w:t>
      </w:r>
      <w:r w:rsidRPr="00ED5D14" w:rsidR="005F7211">
        <w:t>,</w:t>
      </w:r>
      <w:r w:rsidRPr="00ED5D14" w:rsidR="001A169B">
        <w:t xml:space="preserve"> and</w:t>
      </w:r>
      <w:r w:rsidRPr="00ED5D14" w:rsidR="005F7211">
        <w:t xml:space="preserve"> the project may be allowed to proceed </w:t>
      </w:r>
      <w:r w:rsidRPr="00ED5D14" w:rsidR="001A169B">
        <w:t>after 30 days have passed</w:t>
      </w:r>
      <w:r w:rsidRPr="00ED5D14" w:rsidR="00802069">
        <w:t xml:space="preserve"> if the Tribe does not respond</w:t>
      </w:r>
      <w:r w:rsidRPr="00ED5D14" w:rsidR="001A169B">
        <w:t xml:space="preserve">.  </w:t>
      </w:r>
      <w:r w:rsidRPr="00ED5D14" w:rsidR="00802069">
        <w:t>Tribes that elect a communication preference other than TCNS, h</w:t>
      </w:r>
      <w:r w:rsidRPr="00ED5D14" w:rsidR="005F7211">
        <w:t>owever,</w:t>
      </w:r>
      <w:r w:rsidRPr="00ED5D14" w:rsidR="001A169B">
        <w:t xml:space="preserve"> </w:t>
      </w:r>
      <w:r w:rsidRPr="00ED5D14" w:rsidR="005F7211">
        <w:t xml:space="preserve">must </w:t>
      </w:r>
      <w:r w:rsidRPr="00ED5D14" w:rsidR="00802069">
        <w:t xml:space="preserve">receive the Form 620/621 submission packet through their communication preference in order for the 30 days to begin, regardless of whether </w:t>
      </w:r>
      <w:r w:rsidRPr="00ED5D14" w:rsidR="005F7211">
        <w:t>the Form 620/621 is uploaded</w:t>
      </w:r>
      <w:r w:rsidRPr="00ED5D14" w:rsidR="005620B9">
        <w:t xml:space="preserve"> </w:t>
      </w:r>
      <w:r w:rsidRPr="00ED5D14" w:rsidR="00802069">
        <w:t xml:space="preserve">to TCNS.  </w:t>
      </w:r>
      <w:bookmarkEnd w:id="3"/>
    </w:p>
    <w:p w:rsidR="00397060" w:rsidRPr="00ED5D14" w:rsidP="005D794D" w14:paraId="14597816" w14:textId="6290C661">
      <w:pPr>
        <w:pStyle w:val="ParaNum"/>
        <w:numPr>
          <w:ilvl w:val="0"/>
          <w:numId w:val="0"/>
        </w:numPr>
        <w:spacing w:after="0"/>
        <w:ind w:left="2520"/>
        <w:rPr>
          <w:sz w:val="12"/>
          <w:szCs w:val="12"/>
        </w:rPr>
      </w:pPr>
      <w:r w:rsidRPr="00ED5D14">
        <w:t xml:space="preserve"> </w:t>
      </w:r>
    </w:p>
    <w:p w:rsidR="00397060" w:rsidRPr="00ED5D14" w:rsidP="005D794D" w14:paraId="67177172" w14:textId="1151FF30">
      <w:pPr>
        <w:pStyle w:val="ParaNum"/>
        <w:numPr>
          <w:ilvl w:val="1"/>
          <w:numId w:val="17"/>
        </w:numPr>
        <w:spacing w:after="0"/>
      </w:pPr>
      <w:r w:rsidRPr="00ED5D14">
        <w:t xml:space="preserve">Consistent with the requirements in Section IV of the Wireless Facilities NPA, applicants shall make contact and communications in accordance with the preferences expressed by the Tribal Nation or NHO.  </w:t>
      </w:r>
      <w:r w:rsidRPr="00ED5D14" w:rsidR="00D717A9">
        <w:t>Communications not made in accordance with the preferences expressed by the Tribal Nation or NHO</w:t>
      </w:r>
      <w:r w:rsidRPr="00ED5D14" w:rsidR="00D717A9">
        <w:t xml:space="preserve"> </w:t>
      </w:r>
      <w:r w:rsidRPr="00ED5D14">
        <w:t>will not begin the period for Tribal response unless and until they are actually received.</w:t>
      </w:r>
    </w:p>
    <w:bookmarkEnd w:id="2"/>
    <w:p w:rsidR="009C0377" w:rsidRPr="005D794D" w:rsidP="005D794D" w14:paraId="0DBC0483" w14:textId="77777777">
      <w:pPr>
        <w:pStyle w:val="ParaNum"/>
        <w:numPr>
          <w:ilvl w:val="0"/>
          <w:numId w:val="0"/>
        </w:numPr>
        <w:spacing w:after="0"/>
        <w:ind w:left="1440" w:hanging="720"/>
        <w:rPr>
          <w:sz w:val="12"/>
          <w:szCs w:val="12"/>
        </w:rPr>
      </w:pPr>
    </w:p>
    <w:p w:rsidR="009C0377" w:rsidP="005D794D" w14:paraId="5B6DCB76" w14:textId="2BDE4D17">
      <w:pPr>
        <w:pStyle w:val="ParaNum"/>
        <w:numPr>
          <w:ilvl w:val="1"/>
          <w:numId w:val="17"/>
        </w:numPr>
        <w:spacing w:after="0"/>
      </w:pPr>
      <w:r>
        <w:t xml:space="preserve">There </w:t>
      </w:r>
      <w:r w:rsidR="005128D5">
        <w:t xml:space="preserve">is </w:t>
      </w:r>
      <w:r>
        <w:t xml:space="preserve">a process </w:t>
      </w:r>
      <w:r w:rsidR="008F2254">
        <w:t xml:space="preserve">to move </w:t>
      </w:r>
      <w:r>
        <w:t xml:space="preserve">forward with construction in cases in which Tribal </w:t>
      </w:r>
      <w:r>
        <w:t xml:space="preserve">Nations or NHOs do not respond after having been given the opportunity to review a Form 620/621 submission packet or alternative submission. </w:t>
      </w:r>
    </w:p>
    <w:p w:rsidR="005128D5" w:rsidRPr="005D794D" w:rsidP="005D794D" w14:paraId="6E5E4CA0" w14:textId="6AADD598">
      <w:pPr>
        <w:pStyle w:val="ParaNum"/>
        <w:numPr>
          <w:ilvl w:val="0"/>
          <w:numId w:val="0"/>
        </w:numPr>
        <w:spacing w:after="0"/>
        <w:ind w:left="1440"/>
        <w:rPr>
          <w:sz w:val="12"/>
          <w:szCs w:val="12"/>
        </w:rPr>
      </w:pPr>
      <w:r>
        <w:t xml:space="preserve"> </w:t>
      </w:r>
    </w:p>
    <w:p w:rsidR="005128D5" w:rsidP="005D794D" w14:paraId="29E814B7" w14:textId="736358DE">
      <w:pPr>
        <w:pStyle w:val="ParaNum"/>
        <w:numPr>
          <w:ilvl w:val="2"/>
          <w:numId w:val="17"/>
        </w:numPr>
        <w:spacing w:after="0"/>
      </w:pPr>
      <w:r w:rsidRPr="005128D5">
        <w:t xml:space="preserve">If an applicant does not receive a response within 30 calendar days of the date the Tribal Nation or NHO can be shown or may reasonably be expected to have received the Form 620/621 submission packet (or alternative submission), the applicant can refer the matter to the Commission for follow-up.  To facilitate prompt processing of its request, the applicant may submit its referral via TCNS. </w:t>
      </w:r>
      <w:r w:rsidR="004819B9">
        <w:t xml:space="preserve">If a referral is not possible through TCNS, an applicant can also make a manual referral through the Commission’s website at </w:t>
      </w:r>
      <w:r w:rsidRPr="004819B9" w:rsidR="004819B9">
        <w:t>https://www.fcc.gov/tcns-manual-referral</w:t>
      </w:r>
      <w:r w:rsidR="004819B9">
        <w:t>.</w:t>
      </w:r>
      <w:r w:rsidRPr="005128D5">
        <w:t xml:space="preserve"> </w:t>
      </w:r>
    </w:p>
    <w:p w:rsidR="005128D5" w:rsidRPr="005D794D" w:rsidP="005D794D" w14:paraId="0221522D" w14:textId="45433B85">
      <w:pPr>
        <w:pStyle w:val="ParaNum"/>
        <w:numPr>
          <w:ilvl w:val="0"/>
          <w:numId w:val="0"/>
        </w:numPr>
        <w:spacing w:after="0"/>
        <w:ind w:left="1800"/>
        <w:rPr>
          <w:sz w:val="12"/>
          <w:szCs w:val="12"/>
        </w:rPr>
      </w:pPr>
      <w:r>
        <w:t xml:space="preserve"> </w:t>
      </w:r>
    </w:p>
    <w:p w:rsidR="00CB2CD3" w:rsidP="005D794D" w14:paraId="0A9E4FAA" w14:textId="4ED0717E">
      <w:pPr>
        <w:pStyle w:val="ParaNum"/>
        <w:numPr>
          <w:ilvl w:val="2"/>
          <w:numId w:val="17"/>
        </w:numPr>
        <w:spacing w:after="0"/>
      </w:pPr>
      <w:r w:rsidRPr="008F2254">
        <w:t>Upon receiving a referral, the Commission will contact promptly (and, in any case, within five business days) the Tribal Nation’s or NHO’s designated cultural resource representative by letter and/or email to request that the Tribal Nation or NHO inform the Commission and applicant within 15 calendar days of the date of the letter and/or email of its interest or lack of interest in participating in the Section 106 review.</w:t>
      </w:r>
      <w:r>
        <w:t xml:space="preserve">  </w:t>
      </w:r>
      <w:r w:rsidRPr="00CB2CD3">
        <w:t xml:space="preserve">The Commission also will inform the applicant when this letter and/or email has been sent, either by copying it on the correspondence or by other effective means.  </w:t>
      </w:r>
      <w:r>
        <w:t xml:space="preserve"> </w:t>
      </w:r>
    </w:p>
    <w:p w:rsidR="00CB2CD3" w:rsidRPr="005D794D" w:rsidP="005D794D" w14:paraId="2D9EC697" w14:textId="77777777">
      <w:pPr>
        <w:pStyle w:val="ParaNum"/>
        <w:numPr>
          <w:ilvl w:val="0"/>
          <w:numId w:val="0"/>
        </w:numPr>
        <w:spacing w:after="0"/>
        <w:rPr>
          <w:sz w:val="12"/>
          <w:szCs w:val="12"/>
        </w:rPr>
      </w:pPr>
    </w:p>
    <w:p w:rsidR="00CB2CD3" w:rsidP="005D794D" w14:paraId="28EE1775" w14:textId="194E2E2D">
      <w:pPr>
        <w:pStyle w:val="ParaNum"/>
        <w:numPr>
          <w:ilvl w:val="2"/>
          <w:numId w:val="17"/>
        </w:numPr>
        <w:spacing w:after="0"/>
      </w:pPr>
      <w:r w:rsidRPr="00CB2CD3">
        <w:t>If the Tribal Nation or NHO does not respond within 15 calendar days, the applicant’s pre-construction obligations are discharged with respect to that Tribal Nation or NHO.</w:t>
      </w:r>
    </w:p>
    <w:p w:rsidR="00F47CE8" w:rsidRPr="005D794D" w:rsidP="005D794D" w14:paraId="674E3037" w14:textId="33A05AB8">
      <w:pPr>
        <w:pStyle w:val="ParaNum"/>
        <w:numPr>
          <w:ilvl w:val="0"/>
          <w:numId w:val="0"/>
        </w:numPr>
        <w:spacing w:after="0"/>
        <w:ind w:left="1080"/>
        <w:rPr>
          <w:sz w:val="12"/>
          <w:szCs w:val="12"/>
        </w:rPr>
      </w:pPr>
    </w:p>
    <w:p w:rsidR="00F47CE8" w:rsidP="005D794D" w14:paraId="6CF3FE64" w14:textId="7EE162BF">
      <w:pPr>
        <w:pStyle w:val="ParaNum"/>
        <w:numPr>
          <w:ilvl w:val="2"/>
          <w:numId w:val="17"/>
        </w:numPr>
        <w:spacing w:after="0"/>
      </w:pPr>
      <w:r>
        <w:t>T</w:t>
      </w:r>
      <w:r w:rsidRPr="00F47CE8">
        <w:t xml:space="preserve">he information in the Form 620/621 submission packet (or the alternative submission where no 620/621 packet has been prepared) will be considered sufficient for Tribal Nations and NHOs to comment on proposed projects.  </w:t>
      </w:r>
    </w:p>
    <w:p w:rsidR="00906CAA" w:rsidRPr="005D794D" w:rsidP="005D794D" w14:paraId="15002E79" w14:textId="77777777">
      <w:pPr>
        <w:pStyle w:val="ParaNum"/>
        <w:numPr>
          <w:ilvl w:val="0"/>
          <w:numId w:val="0"/>
        </w:numPr>
        <w:spacing w:after="0"/>
        <w:ind w:left="1440" w:hanging="720"/>
        <w:rPr>
          <w:sz w:val="12"/>
          <w:szCs w:val="12"/>
        </w:rPr>
      </w:pPr>
    </w:p>
    <w:p w:rsidR="00D5267C" w:rsidP="001C528D" w14:paraId="35B89E46" w14:textId="77777777">
      <w:pPr>
        <w:pStyle w:val="ParaNum"/>
        <w:numPr>
          <w:ilvl w:val="0"/>
          <w:numId w:val="17"/>
        </w:numPr>
        <w:spacing w:after="0"/>
        <w:ind w:left="1440" w:hanging="720"/>
      </w:pPr>
      <w:r w:rsidRPr="009C0377">
        <w:rPr>
          <w:i/>
        </w:rPr>
        <w:t>Upfront Fees</w:t>
      </w:r>
      <w:r>
        <w:t xml:space="preserve">. </w:t>
      </w:r>
    </w:p>
    <w:p w:rsidR="00D5267C" w:rsidRPr="005D794D" w:rsidP="005D794D" w14:paraId="753D4460" w14:textId="77777777">
      <w:pPr>
        <w:pStyle w:val="ParaNum"/>
        <w:numPr>
          <w:ilvl w:val="0"/>
          <w:numId w:val="0"/>
        </w:numPr>
        <w:spacing w:after="0"/>
        <w:ind w:left="1440"/>
        <w:rPr>
          <w:sz w:val="12"/>
          <w:szCs w:val="12"/>
        </w:rPr>
      </w:pPr>
      <w:r>
        <w:rPr>
          <w:i/>
        </w:rPr>
        <w:t xml:space="preserve"> </w:t>
      </w:r>
    </w:p>
    <w:p w:rsidR="009C0377" w:rsidP="005D794D" w14:paraId="66D06139" w14:textId="647846B4">
      <w:pPr>
        <w:pStyle w:val="ParaNum"/>
        <w:numPr>
          <w:ilvl w:val="1"/>
          <w:numId w:val="17"/>
        </w:numPr>
        <w:spacing w:after="0"/>
      </w:pPr>
      <w:r>
        <w:t>Consistent with longstanding ACHP guidance, Applicants have no legal obligation to pay up-front fees when providing Tribal</w:t>
      </w:r>
      <w:r w:rsidR="00906CAA">
        <w:t xml:space="preserve"> </w:t>
      </w:r>
      <w:r>
        <w:t>Nations and NHOs with an opportunity to comment on proposed facility deployments.</w:t>
      </w:r>
    </w:p>
    <w:p w:rsidR="009C0377" w:rsidRPr="005D794D" w:rsidP="005D794D" w14:paraId="36545257" w14:textId="77777777">
      <w:pPr>
        <w:pStyle w:val="ParaNum"/>
        <w:numPr>
          <w:ilvl w:val="0"/>
          <w:numId w:val="0"/>
        </w:numPr>
        <w:spacing w:after="0"/>
        <w:ind w:left="1440" w:hanging="720"/>
        <w:rPr>
          <w:sz w:val="12"/>
          <w:szCs w:val="12"/>
        </w:rPr>
      </w:pPr>
    </w:p>
    <w:p w:rsidR="00221732" w:rsidP="001C528D" w14:paraId="084AA175" w14:textId="77777777">
      <w:pPr>
        <w:pStyle w:val="ParaNum"/>
        <w:numPr>
          <w:ilvl w:val="0"/>
          <w:numId w:val="17"/>
        </w:numPr>
        <w:spacing w:after="0"/>
        <w:ind w:left="1440" w:hanging="720"/>
      </w:pPr>
      <w:r w:rsidRPr="009C0377">
        <w:rPr>
          <w:i/>
        </w:rPr>
        <w:t>Other Fees</w:t>
      </w:r>
      <w:r>
        <w:t xml:space="preserve">. </w:t>
      </w:r>
    </w:p>
    <w:p w:rsidR="00221732" w:rsidRPr="005D794D" w:rsidP="005D794D" w14:paraId="6598DDC3" w14:textId="77777777">
      <w:pPr>
        <w:pStyle w:val="ParaNum"/>
        <w:numPr>
          <w:ilvl w:val="0"/>
          <w:numId w:val="0"/>
        </w:numPr>
        <w:spacing w:after="0"/>
        <w:ind w:left="1800"/>
        <w:rPr>
          <w:sz w:val="12"/>
          <w:szCs w:val="12"/>
        </w:rPr>
      </w:pPr>
    </w:p>
    <w:p w:rsidR="009C0377" w:rsidP="00221732" w14:paraId="52FDB2FD" w14:textId="45552300">
      <w:pPr>
        <w:pStyle w:val="ParaNum"/>
        <w:numPr>
          <w:ilvl w:val="1"/>
          <w:numId w:val="17"/>
        </w:numPr>
        <w:spacing w:after="0"/>
      </w:pPr>
      <w:r>
        <w:t>When additional consultant services are needed in order to satisfy an applicant’s obligations, an applicant may negotiate and contract with a Tribe for such services but is not obligated to hire a Tribe to perform such consultant services or to accede to Tribal requests for fees in the absence of an agreement. The applicant may generally hire any properly qualified consultant or contractor when expert services are required</w:t>
      </w:r>
      <w:r w:rsidR="00221732">
        <w:t>.</w:t>
      </w:r>
    </w:p>
    <w:p w:rsidR="00774F62" w:rsidRPr="005D794D" w:rsidP="005D794D" w14:paraId="0DF7F127" w14:textId="00EE7706">
      <w:pPr>
        <w:pStyle w:val="ParaNum"/>
        <w:numPr>
          <w:ilvl w:val="0"/>
          <w:numId w:val="0"/>
        </w:numPr>
        <w:spacing w:after="0"/>
        <w:ind w:left="1800"/>
        <w:rPr>
          <w:sz w:val="12"/>
          <w:szCs w:val="12"/>
        </w:rPr>
      </w:pPr>
      <w:r>
        <w:t xml:space="preserve"> </w:t>
      </w:r>
    </w:p>
    <w:p w:rsidR="00AF031A" w:rsidRPr="00AF031A" w:rsidP="005D794D" w14:paraId="11353513" w14:textId="5C11F3E8">
      <w:pPr>
        <w:pStyle w:val="ListParagraph"/>
        <w:numPr>
          <w:ilvl w:val="0"/>
          <w:numId w:val="18"/>
        </w:numPr>
        <w:spacing w:after="120"/>
        <w:ind w:left="1440" w:hanging="720"/>
        <w:rPr>
          <w:rFonts w:ascii="Times New Roman" w:hAnsi="Times New Roman" w:cs="Times New Roman"/>
          <w:b/>
          <w:i/>
        </w:rPr>
      </w:pPr>
      <w:r w:rsidRPr="00AF031A">
        <w:rPr>
          <w:rFonts w:ascii="Times New Roman" w:hAnsi="Times New Roman" w:cs="Times New Roman"/>
          <w:b/>
          <w:i/>
        </w:rPr>
        <w:t xml:space="preserve">Environmental Assessments </w:t>
      </w:r>
      <w:r>
        <w:rPr>
          <w:rFonts w:ascii="Times New Roman" w:hAnsi="Times New Roman" w:cs="Times New Roman"/>
          <w:b/>
          <w:i/>
        </w:rPr>
        <w:t xml:space="preserve">of Facilities </w:t>
      </w:r>
      <w:r w:rsidRPr="00AF031A">
        <w:rPr>
          <w:rFonts w:ascii="Times New Roman" w:hAnsi="Times New Roman" w:cs="Times New Roman"/>
          <w:b/>
          <w:i/>
        </w:rPr>
        <w:t>in Floodplains (47 CFR § 1.1307(a)(6))</w:t>
      </w:r>
    </w:p>
    <w:p w:rsidR="00AF031A" w:rsidRPr="00276EDE" w:rsidP="005D794D" w14:paraId="3949F674" w14:textId="2D97FDDA">
      <w:pPr>
        <w:pStyle w:val="ParaNum"/>
        <w:numPr>
          <w:ilvl w:val="0"/>
          <w:numId w:val="0"/>
        </w:numPr>
        <w:ind w:firstLine="720"/>
      </w:pPr>
      <w:r>
        <w:rPr>
          <w:szCs w:val="22"/>
        </w:rPr>
        <w:t xml:space="preserve">The </w:t>
      </w:r>
      <w:r w:rsidRPr="00DA0F2B">
        <w:rPr>
          <w:i/>
        </w:rPr>
        <w:t>Second</w:t>
      </w:r>
      <w:r>
        <w:t xml:space="preserve"> </w:t>
      </w:r>
      <w:r w:rsidRPr="00511023">
        <w:rPr>
          <w:i/>
        </w:rPr>
        <w:t>Report and Order</w:t>
      </w:r>
      <w:r>
        <w:rPr>
          <w:i/>
          <w:szCs w:val="22"/>
        </w:rPr>
        <w:t xml:space="preserve"> </w:t>
      </w:r>
      <w:r>
        <w:rPr>
          <w:szCs w:val="22"/>
        </w:rPr>
        <w:t xml:space="preserve">amended rule 1.1307(a)(6) </w:t>
      </w:r>
      <w:r w:rsidR="008D4ED4">
        <w:rPr>
          <w:szCs w:val="22"/>
        </w:rPr>
        <w:t xml:space="preserve">to </w:t>
      </w:r>
      <w:r w:rsidR="007C2983">
        <w:rPr>
          <w:szCs w:val="22"/>
        </w:rPr>
        <w:t>remov</w:t>
      </w:r>
      <w:r w:rsidR="008D4ED4">
        <w:rPr>
          <w:szCs w:val="22"/>
        </w:rPr>
        <w:t>e</w:t>
      </w:r>
      <w:r w:rsidR="007C2983">
        <w:rPr>
          <w:szCs w:val="22"/>
        </w:rPr>
        <w:t xml:space="preserve"> the requirement for </w:t>
      </w:r>
      <w:r>
        <w:rPr>
          <w:szCs w:val="22"/>
        </w:rPr>
        <w:t xml:space="preserve">applicants </w:t>
      </w:r>
      <w:r w:rsidR="007C2983">
        <w:rPr>
          <w:szCs w:val="22"/>
        </w:rPr>
        <w:t xml:space="preserve">to </w:t>
      </w:r>
      <w:r>
        <w:rPr>
          <w:szCs w:val="22"/>
        </w:rPr>
        <w:t xml:space="preserve">file </w:t>
      </w:r>
      <w:r w:rsidR="008D4ED4">
        <w:rPr>
          <w:szCs w:val="22"/>
        </w:rPr>
        <w:t xml:space="preserve">an </w:t>
      </w:r>
      <w:r>
        <w:rPr>
          <w:szCs w:val="22"/>
        </w:rPr>
        <w:t xml:space="preserve">Environmental Assessments </w:t>
      </w:r>
      <w:r w:rsidR="00BC1A2A">
        <w:rPr>
          <w:szCs w:val="22"/>
        </w:rPr>
        <w:t xml:space="preserve">(EA) </w:t>
      </w:r>
      <w:r w:rsidRPr="00BC1A2A" w:rsidR="00BC1A2A">
        <w:rPr>
          <w:szCs w:val="22"/>
        </w:rPr>
        <w:t xml:space="preserve">solely </w:t>
      </w:r>
      <w:r w:rsidR="007C685D">
        <w:rPr>
          <w:szCs w:val="22"/>
        </w:rPr>
        <w:t>because</w:t>
      </w:r>
      <w:r w:rsidRPr="00BC1A2A" w:rsidR="007C685D">
        <w:rPr>
          <w:szCs w:val="22"/>
        </w:rPr>
        <w:t xml:space="preserve"> </w:t>
      </w:r>
      <w:r w:rsidRPr="00BC1A2A" w:rsidR="00BC1A2A">
        <w:rPr>
          <w:szCs w:val="22"/>
        </w:rPr>
        <w:t xml:space="preserve">the location of a proposed facility </w:t>
      </w:r>
      <w:r w:rsidR="007C685D">
        <w:rPr>
          <w:szCs w:val="22"/>
        </w:rPr>
        <w:t xml:space="preserve">is </w:t>
      </w:r>
      <w:r w:rsidRPr="00BC1A2A" w:rsidR="00BC1A2A">
        <w:rPr>
          <w:szCs w:val="22"/>
        </w:rPr>
        <w:t>in a floodplain</w:t>
      </w:r>
      <w:r w:rsidRPr="00276EDE">
        <w:t>.</w:t>
      </w:r>
    </w:p>
    <w:p w:rsidR="00370F6F" w:rsidP="005D794D" w14:paraId="04B58E73" w14:textId="1FFD640B">
      <w:pPr>
        <w:pStyle w:val="ListParagraph"/>
        <w:numPr>
          <w:ilvl w:val="0"/>
          <w:numId w:val="17"/>
        </w:numPr>
        <w:tabs>
          <w:tab w:val="left" w:pos="720"/>
        </w:tabs>
        <w:spacing w:after="120"/>
        <w:rPr>
          <w:rFonts w:ascii="Times New Roman" w:hAnsi="Times New Roman" w:cs="Times New Roman"/>
        </w:rPr>
      </w:pPr>
      <w:r w:rsidRPr="00A63745">
        <w:rPr>
          <w:rFonts w:ascii="Times New Roman" w:hAnsi="Times New Roman" w:cs="Times New Roman"/>
        </w:rPr>
        <w:t xml:space="preserve">When a NEPA review is </w:t>
      </w:r>
      <w:r w:rsidR="007C685D">
        <w:rPr>
          <w:rFonts w:ascii="Times New Roman" w:hAnsi="Times New Roman" w:cs="Times New Roman"/>
        </w:rPr>
        <w:t xml:space="preserve">otherwise </w:t>
      </w:r>
      <w:r w:rsidRPr="00A63745">
        <w:rPr>
          <w:rFonts w:ascii="Times New Roman" w:hAnsi="Times New Roman" w:cs="Times New Roman"/>
        </w:rPr>
        <w:t xml:space="preserve">required, </w:t>
      </w:r>
      <w:r w:rsidRPr="00A63745" w:rsidR="00AF031A">
        <w:rPr>
          <w:rFonts w:ascii="Times New Roman" w:hAnsi="Times New Roman" w:cs="Times New Roman"/>
        </w:rPr>
        <w:t xml:space="preserve">Environmental Assessments </w:t>
      </w:r>
      <w:r w:rsidRPr="00A63745" w:rsidR="00AF031A">
        <w:rPr>
          <w:rFonts w:ascii="Times New Roman" w:hAnsi="Times New Roman" w:cs="Times New Roman"/>
          <w:i/>
        </w:rPr>
        <w:t>are</w:t>
      </w:r>
      <w:r w:rsidRPr="00A63745" w:rsidR="00AF031A">
        <w:rPr>
          <w:rFonts w:ascii="Times New Roman" w:hAnsi="Times New Roman" w:cs="Times New Roman"/>
        </w:rPr>
        <w:t xml:space="preserve"> </w:t>
      </w:r>
      <w:r w:rsidRPr="00A63745" w:rsidR="00271E0D">
        <w:rPr>
          <w:rFonts w:ascii="Times New Roman" w:hAnsi="Times New Roman" w:cs="Times New Roman"/>
        </w:rPr>
        <w:t xml:space="preserve">still </w:t>
      </w:r>
      <w:r w:rsidRPr="00A63745" w:rsidR="00AF031A">
        <w:rPr>
          <w:rFonts w:ascii="Times New Roman" w:hAnsi="Times New Roman" w:cs="Times New Roman"/>
        </w:rPr>
        <w:t>required if</w:t>
      </w:r>
      <w:r w:rsidRPr="00A63745" w:rsidR="00271E0D">
        <w:rPr>
          <w:rFonts w:ascii="Times New Roman" w:hAnsi="Times New Roman" w:cs="Times New Roman"/>
        </w:rPr>
        <w:t xml:space="preserve"> the proposed facility will </w:t>
      </w:r>
      <w:r w:rsidRPr="00A63745" w:rsidR="00AF031A">
        <w:rPr>
          <w:rFonts w:ascii="Times New Roman" w:hAnsi="Times New Roman" w:cs="Times New Roman"/>
        </w:rPr>
        <w:t>be located in</w:t>
      </w:r>
      <w:r w:rsidRPr="00A63745" w:rsidR="00271E0D">
        <w:rPr>
          <w:rFonts w:ascii="Times New Roman" w:hAnsi="Times New Roman" w:cs="Times New Roman"/>
        </w:rPr>
        <w:t xml:space="preserve"> a</w:t>
      </w:r>
      <w:r w:rsidRPr="00A63745" w:rsidR="00AF031A">
        <w:rPr>
          <w:rFonts w:ascii="Times New Roman" w:hAnsi="Times New Roman" w:cs="Times New Roman"/>
        </w:rPr>
        <w:t xml:space="preserve"> floodplain, </w:t>
      </w:r>
      <w:r w:rsidRPr="00A63745" w:rsidR="00271E0D">
        <w:rPr>
          <w:rFonts w:ascii="Times New Roman" w:hAnsi="Times New Roman" w:cs="Times New Roman"/>
        </w:rPr>
        <w:t xml:space="preserve">and the proposed structure and associated equipment </w:t>
      </w:r>
      <w:r w:rsidRPr="00A63745" w:rsidR="00AF031A">
        <w:rPr>
          <w:rFonts w:ascii="Times New Roman" w:hAnsi="Times New Roman" w:cs="Times New Roman"/>
        </w:rPr>
        <w:t xml:space="preserve">will </w:t>
      </w:r>
      <w:r w:rsidRPr="00A63745" w:rsidR="00AF031A">
        <w:rPr>
          <w:rFonts w:ascii="Times New Roman" w:hAnsi="Times New Roman" w:cs="Times New Roman"/>
          <w:i/>
        </w:rPr>
        <w:t>not</w:t>
      </w:r>
      <w:r w:rsidRPr="00A63745" w:rsidR="00AF031A">
        <w:rPr>
          <w:rFonts w:ascii="Times New Roman" w:hAnsi="Times New Roman" w:cs="Times New Roman"/>
        </w:rPr>
        <w:t xml:space="preserve"> be placed at least one foot above the base flood elevation of the floodplain.</w:t>
      </w:r>
    </w:p>
    <w:p w:rsidR="00AA55F9" w:rsidRPr="00370F6F" w:rsidP="00370F6F" w14:paraId="24670A28" w14:textId="2705A702">
      <w:pPr>
        <w:rPr>
          <w:rFonts w:ascii="Times New Roman" w:hAnsi="Times New Roman" w:cs="Times New Roman"/>
        </w:rPr>
      </w:pPr>
      <w:r>
        <w:rPr>
          <w:rFonts w:ascii="Times New Roman" w:hAnsi="Times New Roman" w:cs="Times New Roman"/>
        </w:rPr>
        <w:br w:type="page"/>
      </w:r>
    </w:p>
    <w:p w:rsidR="004749A4" w:rsidP="005D794D" w14:paraId="21D3C485" w14:textId="79AE1052">
      <w:pPr>
        <w:tabs>
          <w:tab w:val="left" w:pos="720"/>
        </w:tabs>
        <w:spacing w:after="120"/>
        <w:rPr>
          <w:rFonts w:ascii="Times New Roman" w:hAnsi="Times New Roman" w:cs="Times New Roman"/>
          <w:color w:val="010101"/>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sidR="00DE567B">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sidR="00DE567B">
        <w:rPr>
          <w:rFonts w:ascii="Times New Roman" w:hAnsi="Times New Roman" w:cs="Times New Roman"/>
          <w:b/>
        </w:rPr>
        <w:t>REQUIREMENTS</w:t>
      </w:r>
    </w:p>
    <w:p w:rsidR="00ED5D14" w:rsidP="00ED5D14" w14:paraId="63350352" w14:textId="77777777">
      <w:pPr>
        <w:spacing w:after="120"/>
        <w:ind w:firstLine="720"/>
        <w:rPr>
          <w:rFonts w:ascii="Times New Roman" w:hAnsi="Times New Roman" w:cs="Times New Roman"/>
          <w:color w:val="010101"/>
        </w:rPr>
      </w:pPr>
      <w:r w:rsidRPr="00511023">
        <w:rPr>
          <w:rFonts w:ascii="Times New Roman" w:hAnsi="Times New Roman" w:cs="Times New Roman"/>
          <w:color w:val="010101"/>
        </w:rPr>
        <w:t xml:space="preserve">The Commission’s actions in the </w:t>
      </w:r>
      <w:r w:rsidRPr="00906CAA" w:rsidR="00906CAA">
        <w:rPr>
          <w:rFonts w:ascii="Times New Roman" w:hAnsi="Times New Roman" w:cs="Times New Roman"/>
          <w:i/>
          <w:color w:val="010101"/>
        </w:rPr>
        <w:t>Second Report and Order</w:t>
      </w:r>
      <w:r w:rsidRPr="00511023">
        <w:rPr>
          <w:rFonts w:ascii="Times New Roman" w:hAnsi="Times New Roman" w:cs="Times New Roman"/>
          <w:color w:val="010101"/>
        </w:rPr>
        <w:t xml:space="preserve"> </w:t>
      </w:r>
      <w:r w:rsidR="000D790A">
        <w:rPr>
          <w:rFonts w:ascii="Times New Roman" w:hAnsi="Times New Roman" w:cs="Times New Roman"/>
          <w:color w:val="010101"/>
        </w:rPr>
        <w:t>did</w:t>
      </w:r>
      <w:r w:rsidRPr="00511023">
        <w:rPr>
          <w:rFonts w:ascii="Times New Roman" w:hAnsi="Times New Roman" w:cs="Times New Roman"/>
          <w:color w:val="010101"/>
        </w:rPr>
        <w:t xml:space="preserve"> not create any new recordkeeping </w:t>
      </w:r>
      <w:r w:rsidR="00013982">
        <w:rPr>
          <w:rFonts w:ascii="Times New Roman" w:hAnsi="Times New Roman" w:cs="Times New Roman"/>
          <w:color w:val="010101"/>
        </w:rPr>
        <w:t xml:space="preserve">or reporting </w:t>
      </w:r>
      <w:r w:rsidRPr="00511023">
        <w:rPr>
          <w:rFonts w:ascii="Times New Roman" w:hAnsi="Times New Roman" w:cs="Times New Roman"/>
          <w:color w:val="010101"/>
        </w:rPr>
        <w:t>requirements.</w:t>
      </w:r>
    </w:p>
    <w:p w:rsidR="00491F77" w:rsidP="00ED5D14" w14:paraId="6176B903" w14:textId="54AF469E">
      <w:pPr>
        <w:spacing w:after="120"/>
        <w:rPr>
          <w:rFonts w:ascii="Times New Roman" w:hAnsi="Times New Roman" w:cs="Times New Roman"/>
          <w:b/>
        </w:rPr>
      </w:pPr>
      <w:r>
        <w:rPr>
          <w:rFonts w:ascii="Times New Roman" w:hAnsi="Times New Roman" w:cs="Times New Roman"/>
          <w:b/>
        </w:rPr>
        <w:t>I</w:t>
      </w:r>
      <w:r w:rsidRPr="00511023" w:rsidR="00066CB4">
        <w:rPr>
          <w:rFonts w:ascii="Times New Roman" w:hAnsi="Times New Roman" w:cs="Times New Roman"/>
          <w:b/>
        </w:rPr>
        <w:t xml:space="preserve">V. </w:t>
      </w:r>
      <w:r w:rsidR="00286EA8">
        <w:rPr>
          <w:rFonts w:ascii="Times New Roman" w:hAnsi="Times New Roman" w:cs="Times New Roman"/>
          <w:b/>
        </w:rPr>
        <w:tab/>
      </w:r>
      <w:r w:rsidRPr="00511023" w:rsidR="00066CB4">
        <w:rPr>
          <w:rFonts w:ascii="Times New Roman" w:hAnsi="Times New Roman" w:cs="Times New Roman"/>
          <w:b/>
        </w:rPr>
        <w:t>IMPLEMENTATION</w:t>
      </w:r>
      <w:r w:rsidR="00716724">
        <w:rPr>
          <w:rFonts w:ascii="Times New Roman" w:hAnsi="Times New Roman" w:cs="Times New Roman"/>
          <w:b/>
        </w:rPr>
        <w:t xml:space="preserve"> DATE</w:t>
      </w:r>
    </w:p>
    <w:p w:rsidR="00AA55F9" w:rsidP="00ED5D14" w14:paraId="3ADD07F4" w14:textId="2D405337">
      <w:pPr>
        <w:pStyle w:val="ParaNum"/>
        <w:numPr>
          <w:ilvl w:val="0"/>
          <w:numId w:val="0"/>
        </w:numPr>
        <w:ind w:firstLine="720"/>
        <w:rPr>
          <w:b/>
        </w:rPr>
      </w:pPr>
      <w:r w:rsidRPr="00511023">
        <w:t>T</w:t>
      </w:r>
      <w:r w:rsidR="00491F77">
        <w:t xml:space="preserve">he rules in the </w:t>
      </w:r>
      <w:r w:rsidRPr="00DA0F2B" w:rsidR="00906CAA">
        <w:rPr>
          <w:i/>
        </w:rPr>
        <w:t>Second</w:t>
      </w:r>
      <w:r w:rsidR="00906CAA">
        <w:t xml:space="preserve"> </w:t>
      </w:r>
      <w:r w:rsidRPr="00511023" w:rsidR="00906CAA">
        <w:rPr>
          <w:i/>
        </w:rPr>
        <w:t>Report and Order</w:t>
      </w:r>
      <w:r w:rsidR="00491F77">
        <w:t xml:space="preserve"> </w:t>
      </w:r>
      <w:r w:rsidR="003172C5">
        <w:t>became</w:t>
      </w:r>
      <w:r w:rsidRPr="0084392B" w:rsidR="00491F77">
        <w:t xml:space="preserve"> effective</w:t>
      </w:r>
      <w:r w:rsidR="00E63B9E">
        <w:t xml:space="preserve"> July 2, 2018,</w:t>
      </w:r>
      <w:r w:rsidRPr="0084392B" w:rsidR="00491F77">
        <w:t xml:space="preserve"> </w:t>
      </w:r>
      <w:r w:rsidR="009909FC">
        <w:t>60</w:t>
      </w:r>
      <w:r w:rsidRPr="0084392B" w:rsidR="009909FC">
        <w:t xml:space="preserve"> </w:t>
      </w:r>
      <w:r w:rsidRPr="0084392B" w:rsidR="00491F77">
        <w:t xml:space="preserve">days after publication </w:t>
      </w:r>
      <w:r w:rsidR="001338B0">
        <w:t>in the Federal Register</w:t>
      </w:r>
      <w:r w:rsidR="00E63B9E">
        <w:t xml:space="preserve"> of</w:t>
      </w:r>
      <w:r w:rsidR="009C0377">
        <w:t xml:space="preserve"> </w:t>
      </w:r>
      <w:r w:rsidR="00E63B9E">
        <w:t xml:space="preserve">a </w:t>
      </w:r>
      <w:r w:rsidR="00DA0F2B">
        <w:t xml:space="preserve">summary of the </w:t>
      </w:r>
      <w:r w:rsidRPr="00DA0F2B" w:rsidR="00DA0F2B">
        <w:rPr>
          <w:i/>
        </w:rPr>
        <w:t>Second</w:t>
      </w:r>
      <w:r w:rsidR="00DA0F2B">
        <w:t xml:space="preserve"> </w:t>
      </w:r>
      <w:r w:rsidRPr="00511023" w:rsidR="00DA0F2B">
        <w:rPr>
          <w:i/>
        </w:rPr>
        <w:t>Report and Order</w:t>
      </w:r>
      <w:r w:rsidR="0092655D">
        <w:rPr>
          <w:i/>
        </w:rPr>
        <w:t xml:space="preserve"> </w:t>
      </w:r>
      <w:r w:rsidR="0092655D">
        <w:t>(which contained the full text of the rules)</w:t>
      </w:r>
      <w:r w:rsidR="001338B0">
        <w:t>.</w:t>
      </w:r>
    </w:p>
    <w:p w:rsidR="00233B90" w:rsidP="005D794D" w14:paraId="170C5BF1" w14:textId="17C52F03">
      <w:pPr>
        <w:tabs>
          <w:tab w:val="left" w:pos="720"/>
        </w:tabs>
        <w:spacing w:after="12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sidR="00C5062A">
        <w:rPr>
          <w:rFonts w:ascii="Times New Roman" w:hAnsi="Times New Roman" w:cs="Times New Roman"/>
          <w:b/>
        </w:rPr>
        <w:t>INTERNET LINKS</w:t>
      </w:r>
    </w:p>
    <w:p w:rsidR="00334EB4" w:rsidP="00ED5D14" w14:paraId="36BD504D" w14:textId="597D8C7F">
      <w:pPr>
        <w:pStyle w:val="ParaNum"/>
        <w:numPr>
          <w:ilvl w:val="0"/>
          <w:numId w:val="0"/>
        </w:numPr>
        <w:ind w:firstLine="720"/>
      </w:pPr>
      <w:r w:rsidRPr="00C979FD">
        <w:t xml:space="preserve">A copy of the </w:t>
      </w:r>
      <w:r w:rsidRPr="00092FC9">
        <w:rPr>
          <w:i/>
        </w:rPr>
        <w:t>Second Report and Order</w:t>
      </w:r>
      <w:r w:rsidRPr="00C979FD">
        <w:t xml:space="preserve"> is available at:</w:t>
      </w:r>
      <w:r w:rsidRPr="00092FC9">
        <w:t xml:space="preserve"> </w:t>
      </w:r>
      <w:hyperlink r:id="rId7" w:history="1">
        <w:r w:rsidRPr="00405A48" w:rsidR="009566CC">
          <w:rPr>
            <w:rStyle w:val="Hyperlink"/>
          </w:rPr>
          <w:t>https://docs.fcc.gov/public/attachments/FCC-18-30A1.pdf</w:t>
        </w:r>
      </w:hyperlink>
      <w:r w:rsidR="00A63745">
        <w:rPr>
          <w:rStyle w:val="Hyperlink"/>
        </w:rPr>
        <w:t>.</w:t>
      </w:r>
    </w:p>
    <w:p w:rsidR="002F55DA" w:rsidP="00ED5D14" w14:paraId="68D2444D" w14:textId="02A94B41">
      <w:pPr>
        <w:pStyle w:val="ParaNum"/>
        <w:numPr>
          <w:ilvl w:val="0"/>
          <w:numId w:val="0"/>
        </w:numPr>
        <w:ind w:firstLine="720"/>
      </w:pPr>
      <w:r w:rsidRPr="002F55DA">
        <w:t>A copy of the Federal Register Summary of the</w:t>
      </w:r>
      <w:r w:rsidRPr="00092FC9">
        <w:t xml:space="preserve"> </w:t>
      </w:r>
      <w:r w:rsidRPr="00092FC9">
        <w:rPr>
          <w:i/>
        </w:rPr>
        <w:t>Second Report and Order</w:t>
      </w:r>
      <w:r w:rsidRPr="00092FC9">
        <w:t xml:space="preserve"> </w:t>
      </w:r>
      <w:r>
        <w:t>is available at:</w:t>
      </w:r>
      <w:r w:rsidR="006F2A9A">
        <w:t xml:space="preserve"> </w:t>
      </w:r>
      <w:hyperlink r:id="rId8" w:history="1">
        <w:r w:rsidR="00A63745">
          <w:rPr>
            <w:rStyle w:val="Hyperlink"/>
          </w:rPr>
          <w:t>https://www.govinfo.gov/content/pkg/FR-2018-05-03/pdf/2018-08886.pdf</w:t>
        </w:r>
      </w:hyperlink>
      <w:r w:rsidR="00A63745">
        <w:t>.</w:t>
      </w:r>
    </w:p>
    <w:p w:rsidR="009566CC" w:rsidP="00ED5D14" w14:paraId="175EE00C" w14:textId="0836EEAD">
      <w:pPr>
        <w:pStyle w:val="ParaNum"/>
        <w:numPr>
          <w:ilvl w:val="0"/>
          <w:numId w:val="0"/>
        </w:numPr>
        <w:ind w:firstLine="720"/>
      </w:pPr>
      <w:r>
        <w:t>A</w:t>
      </w:r>
      <w:r w:rsidRPr="009C0377" w:rsidR="009C0377">
        <w:t xml:space="preserve"> Public Notice</w:t>
      </w:r>
      <w:r>
        <w:t xml:space="preserve"> describing changes to the Tower Construction Notification System is</w:t>
      </w:r>
      <w:r w:rsidRPr="009C0377" w:rsidR="009C0377">
        <w:t xml:space="preserve"> </w:t>
      </w:r>
      <w:r w:rsidR="00BC1A2A">
        <w:t xml:space="preserve">available </w:t>
      </w:r>
      <w:r w:rsidRPr="009C0377" w:rsidR="009C0377">
        <w:t xml:space="preserve">at: </w:t>
      </w:r>
      <w:hyperlink r:id="rId9" w:history="1">
        <w:r w:rsidRPr="00401961" w:rsidR="009E3050">
          <w:rPr>
            <w:rStyle w:val="Hyperlink"/>
          </w:rPr>
          <w:t>https://docs.fcc.gov/public/attachments/DA-18-675A1.pdf</w:t>
        </w:r>
      </w:hyperlink>
      <w:r w:rsidRPr="009C0377" w:rsidR="009C0377">
        <w:t>.</w:t>
      </w:r>
    </w:p>
    <w:p w:rsidR="009E3050" w:rsidRPr="00092FC9" w:rsidP="00B44BC5" w14:paraId="29642878" w14:textId="4D4B6AEB">
      <w:pPr>
        <w:pStyle w:val="ParaNum"/>
        <w:numPr>
          <w:ilvl w:val="0"/>
          <w:numId w:val="0"/>
        </w:numPr>
        <w:ind w:firstLine="720"/>
      </w:pPr>
      <w:r>
        <w:t>A summary</w:t>
      </w:r>
      <w:r w:rsidR="00A63745">
        <w:t xml:space="preserve"> of the </w:t>
      </w:r>
      <w:r>
        <w:t xml:space="preserve">changes in the </w:t>
      </w:r>
      <w:r w:rsidRPr="00092FC9">
        <w:rPr>
          <w:i/>
        </w:rPr>
        <w:t>Second Report and Order</w:t>
      </w:r>
      <w:r>
        <w:rPr>
          <w:i/>
        </w:rPr>
        <w:t xml:space="preserve"> </w:t>
      </w:r>
      <w:r w:rsidRPr="005D794D">
        <w:t>and answers to some</w:t>
      </w:r>
      <w:r>
        <w:t xml:space="preserve"> FAQ</w:t>
      </w:r>
      <w:r>
        <w:t>s</w:t>
      </w:r>
      <w:r>
        <w:t xml:space="preserve"> is available at: </w:t>
      </w:r>
      <w:hyperlink r:id="rId10" w:history="1">
        <w:r w:rsidRPr="00401961">
          <w:rPr>
            <w:rStyle w:val="Hyperlink"/>
          </w:rPr>
          <w:t>https://www.fcc.gov/file/14322/download</w:t>
        </w:r>
      </w:hyperlink>
      <w:r>
        <w:t xml:space="preserve">. </w:t>
      </w:r>
    </w:p>
    <w:p w:rsidR="003149AB" w:rsidP="00C5062A" w14:paraId="0432C9C4" w14:textId="77777777">
      <w:pPr>
        <w:spacing w:after="0"/>
        <w:rPr>
          <w:rFonts w:ascii="Times New Roman" w:hAnsi="Times New Roman" w:cs="Times New Roman"/>
          <w:b/>
        </w:rPr>
      </w:pPr>
    </w:p>
    <w:p w:rsidR="008F02BA" w:rsidRPr="00511023" w:rsidP="00C5062A" w14:paraId="64B9C807" w14:textId="77777777">
      <w:pPr>
        <w:spacing w:after="0"/>
        <w:rPr>
          <w:rFonts w:ascii="Times New Roman" w:hAnsi="Times New Roman" w:cs="Times New Roman"/>
          <w:b/>
        </w:rPr>
      </w:pPr>
    </w:p>
    <w:p w:rsidR="004008B8" w:rsidRPr="00511023" w:rsidP="00972776" w14:paraId="76D7AB80" w14:textId="77777777">
      <w:pPr>
        <w:spacing w:after="0"/>
        <w:rPr>
          <w:rFonts w:ascii="Times New Roman" w:hAnsi="Times New Roman" w:cs="Times New Roman"/>
          <w:b/>
        </w:rPr>
      </w:pPr>
    </w:p>
    <w:sectPr w:rsidSect="001743EF">
      <w:headerReference w:type="default" r:id="rId11"/>
      <w:footerReference w:type="default" r:id="rId12"/>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19246999"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35CDAFF8">
    <w:pPr>
      <w:jc w:val="center"/>
      <w:rPr>
        <w:sz w:val="24"/>
        <w:szCs w:val="24"/>
      </w:rPr>
    </w:pPr>
    <w:r>
      <w:rPr>
        <w:rFonts w:ascii="CG Times (W1)" w:hAnsi="CG Times (W1)"/>
        <w:sz w:val="24"/>
        <w:szCs w:val="24"/>
      </w:rPr>
      <w:t>May 13</w:t>
    </w:r>
    <w:r w:rsidRPr="003172B5">
      <w:rPr>
        <w:rFonts w:ascii="CG Times (W1)" w:hAnsi="CG Times (W1)"/>
        <w:sz w:val="24"/>
        <w:szCs w:val="24"/>
      </w:rPr>
      <w:t xml:space="preserve">, </w:t>
    </w:r>
    <w:r w:rsidRPr="003172B5" w:rsidR="00276EDE">
      <w:rPr>
        <w:rFonts w:ascii="CG Times (W1)" w:hAnsi="CG Times (W1)"/>
        <w:sz w:val="24"/>
        <w:szCs w:val="24"/>
      </w:rPr>
      <w:t>20</w:t>
    </w:r>
    <w:r w:rsidR="00276EDE">
      <w:rPr>
        <w:rFonts w:ascii="CG Times (W1)" w:hAnsi="CG Times (W1)"/>
        <w:sz w:val="24"/>
        <w:szCs w:val="24"/>
      </w:rPr>
      <w:t>19</w:t>
    </w:r>
    <w:r w:rsidRPr="003172B5" w:rsidR="00276EDE">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845649"/>
    <w:multiLevelType w:val="hybridMultilevel"/>
    <w:tmpl w:val="E1341ADC"/>
    <w:lvl w:ilvl="0">
      <w:start w:val="1"/>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0054A3E"/>
    <w:multiLevelType w:val="hybridMultilevel"/>
    <w:tmpl w:val="A47CCA76"/>
    <w:lvl w:ilvl="0">
      <w:start w:val="1"/>
      <w:numFmt w:val="upperLetter"/>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08C6B1F"/>
    <w:multiLevelType w:val="hybridMultilevel"/>
    <w:tmpl w:val="9AE85C1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4"/>
  </w:num>
  <w:num w:numId="3">
    <w:abstractNumId w:val="9"/>
  </w:num>
  <w:num w:numId="4">
    <w:abstractNumId w:val="3"/>
  </w:num>
  <w:num w:numId="5">
    <w:abstractNumId w:val="13"/>
  </w:num>
  <w:num w:numId="6">
    <w:abstractNumId w:val="6"/>
  </w:num>
  <w:num w:numId="7">
    <w:abstractNumId w:val="1"/>
  </w:num>
  <w:num w:numId="8">
    <w:abstractNumId w:val="11"/>
  </w:num>
  <w:num w:numId="9">
    <w:abstractNumId w:val="8"/>
  </w:num>
  <w:num w:numId="10">
    <w:abstractNumId w:val="2"/>
  </w:num>
  <w:num w:numId="11">
    <w:abstractNumId w:val="7"/>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3"/>
    </w:lvlOverride>
  </w:num>
  <w:num w:numId="14">
    <w:abstractNumId w:val="14"/>
  </w:num>
  <w:num w:numId="15">
    <w:abstractNumId w:val="11"/>
  </w:num>
  <w:num w:numId="16">
    <w:abstractNumId w:val="11"/>
  </w:num>
  <w:num w:numId="17">
    <w:abstractNumId w:val="0"/>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3982"/>
    <w:rsid w:val="0001453A"/>
    <w:rsid w:val="00022ECD"/>
    <w:rsid w:val="00025AB0"/>
    <w:rsid w:val="000320CC"/>
    <w:rsid w:val="00034878"/>
    <w:rsid w:val="00047E31"/>
    <w:rsid w:val="000601FD"/>
    <w:rsid w:val="00064A93"/>
    <w:rsid w:val="00066CB4"/>
    <w:rsid w:val="00074B8D"/>
    <w:rsid w:val="00074CA4"/>
    <w:rsid w:val="00087BBD"/>
    <w:rsid w:val="00092FC9"/>
    <w:rsid w:val="0009430B"/>
    <w:rsid w:val="000B7E9D"/>
    <w:rsid w:val="000C0EEC"/>
    <w:rsid w:val="000C1FA6"/>
    <w:rsid w:val="000D2F0F"/>
    <w:rsid w:val="000D790A"/>
    <w:rsid w:val="000E4E16"/>
    <w:rsid w:val="000E7D14"/>
    <w:rsid w:val="000F4AFB"/>
    <w:rsid w:val="000F616D"/>
    <w:rsid w:val="000F7BE7"/>
    <w:rsid w:val="000F7ECD"/>
    <w:rsid w:val="00115515"/>
    <w:rsid w:val="0012154C"/>
    <w:rsid w:val="00121A4A"/>
    <w:rsid w:val="00131CCC"/>
    <w:rsid w:val="001338B0"/>
    <w:rsid w:val="00133D08"/>
    <w:rsid w:val="00145173"/>
    <w:rsid w:val="00151663"/>
    <w:rsid w:val="00152909"/>
    <w:rsid w:val="001537E0"/>
    <w:rsid w:val="001544BD"/>
    <w:rsid w:val="00171C86"/>
    <w:rsid w:val="00173AB8"/>
    <w:rsid w:val="001743EF"/>
    <w:rsid w:val="001961AA"/>
    <w:rsid w:val="001A169B"/>
    <w:rsid w:val="001A1EAC"/>
    <w:rsid w:val="001C528D"/>
    <w:rsid w:val="001C692E"/>
    <w:rsid w:val="001D6690"/>
    <w:rsid w:val="001F2AD7"/>
    <w:rsid w:val="00207405"/>
    <w:rsid w:val="002122D8"/>
    <w:rsid w:val="00221732"/>
    <w:rsid w:val="002258D8"/>
    <w:rsid w:val="00230205"/>
    <w:rsid w:val="00233B90"/>
    <w:rsid w:val="00243CE9"/>
    <w:rsid w:val="00247E1B"/>
    <w:rsid w:val="00271E0D"/>
    <w:rsid w:val="00276EDE"/>
    <w:rsid w:val="0028269D"/>
    <w:rsid w:val="00282849"/>
    <w:rsid w:val="00286EA8"/>
    <w:rsid w:val="00292357"/>
    <w:rsid w:val="00292B73"/>
    <w:rsid w:val="00296E77"/>
    <w:rsid w:val="002973BD"/>
    <w:rsid w:val="002A57BD"/>
    <w:rsid w:val="002A73FE"/>
    <w:rsid w:val="002B11B3"/>
    <w:rsid w:val="002B6FD0"/>
    <w:rsid w:val="002C1EA9"/>
    <w:rsid w:val="002C2CA8"/>
    <w:rsid w:val="002D0DED"/>
    <w:rsid w:val="002F55DA"/>
    <w:rsid w:val="002F683E"/>
    <w:rsid w:val="002F7376"/>
    <w:rsid w:val="003017A1"/>
    <w:rsid w:val="00312D28"/>
    <w:rsid w:val="003149AB"/>
    <w:rsid w:val="00315398"/>
    <w:rsid w:val="003172B5"/>
    <w:rsid w:val="003172C5"/>
    <w:rsid w:val="00320D58"/>
    <w:rsid w:val="00323017"/>
    <w:rsid w:val="00330480"/>
    <w:rsid w:val="003322AF"/>
    <w:rsid w:val="003336B1"/>
    <w:rsid w:val="00334EB4"/>
    <w:rsid w:val="003423E5"/>
    <w:rsid w:val="00343E2F"/>
    <w:rsid w:val="0034659A"/>
    <w:rsid w:val="00364D35"/>
    <w:rsid w:val="003677C4"/>
    <w:rsid w:val="00367858"/>
    <w:rsid w:val="00370F6F"/>
    <w:rsid w:val="003733F4"/>
    <w:rsid w:val="003837F4"/>
    <w:rsid w:val="00397060"/>
    <w:rsid w:val="003C700E"/>
    <w:rsid w:val="003D1B5B"/>
    <w:rsid w:val="003D226E"/>
    <w:rsid w:val="003D4A1D"/>
    <w:rsid w:val="003E344A"/>
    <w:rsid w:val="003E52C1"/>
    <w:rsid w:val="003F1DFC"/>
    <w:rsid w:val="003F5CB7"/>
    <w:rsid w:val="004008B8"/>
    <w:rsid w:val="00401961"/>
    <w:rsid w:val="0040311E"/>
    <w:rsid w:val="00405A48"/>
    <w:rsid w:val="004126D5"/>
    <w:rsid w:val="0041380C"/>
    <w:rsid w:val="00456CFA"/>
    <w:rsid w:val="00463A2A"/>
    <w:rsid w:val="004740BF"/>
    <w:rsid w:val="004749A4"/>
    <w:rsid w:val="00477A0E"/>
    <w:rsid w:val="004819B9"/>
    <w:rsid w:val="004840A7"/>
    <w:rsid w:val="00485B77"/>
    <w:rsid w:val="00485ED8"/>
    <w:rsid w:val="00487AFD"/>
    <w:rsid w:val="00491D54"/>
    <w:rsid w:val="00491F77"/>
    <w:rsid w:val="004B6491"/>
    <w:rsid w:val="004B7242"/>
    <w:rsid w:val="004E4381"/>
    <w:rsid w:val="004F3108"/>
    <w:rsid w:val="004F68F6"/>
    <w:rsid w:val="005008FB"/>
    <w:rsid w:val="0050544C"/>
    <w:rsid w:val="00511023"/>
    <w:rsid w:val="005128D5"/>
    <w:rsid w:val="00514667"/>
    <w:rsid w:val="0051533B"/>
    <w:rsid w:val="005275C1"/>
    <w:rsid w:val="00527F85"/>
    <w:rsid w:val="00532FBB"/>
    <w:rsid w:val="005449FD"/>
    <w:rsid w:val="0055069D"/>
    <w:rsid w:val="00550E7F"/>
    <w:rsid w:val="005620B9"/>
    <w:rsid w:val="005717FB"/>
    <w:rsid w:val="005869BB"/>
    <w:rsid w:val="00594E86"/>
    <w:rsid w:val="005A6E33"/>
    <w:rsid w:val="005B3852"/>
    <w:rsid w:val="005B6BEC"/>
    <w:rsid w:val="005B7568"/>
    <w:rsid w:val="005C1817"/>
    <w:rsid w:val="005C2502"/>
    <w:rsid w:val="005D794D"/>
    <w:rsid w:val="005E03BE"/>
    <w:rsid w:val="005E70B7"/>
    <w:rsid w:val="005F7211"/>
    <w:rsid w:val="0060545A"/>
    <w:rsid w:val="00610B56"/>
    <w:rsid w:val="006175DB"/>
    <w:rsid w:val="006355A4"/>
    <w:rsid w:val="00637613"/>
    <w:rsid w:val="0065688B"/>
    <w:rsid w:val="00657EA8"/>
    <w:rsid w:val="00677244"/>
    <w:rsid w:val="006837C0"/>
    <w:rsid w:val="00683C2E"/>
    <w:rsid w:val="006A0193"/>
    <w:rsid w:val="006B4F31"/>
    <w:rsid w:val="006E50A3"/>
    <w:rsid w:val="006E542F"/>
    <w:rsid w:val="006F117F"/>
    <w:rsid w:val="006F2901"/>
    <w:rsid w:val="006F2A9A"/>
    <w:rsid w:val="006F411B"/>
    <w:rsid w:val="00701319"/>
    <w:rsid w:val="00716724"/>
    <w:rsid w:val="0071707F"/>
    <w:rsid w:val="007223EA"/>
    <w:rsid w:val="0073305B"/>
    <w:rsid w:val="00734B5A"/>
    <w:rsid w:val="00735330"/>
    <w:rsid w:val="00740ED6"/>
    <w:rsid w:val="00751275"/>
    <w:rsid w:val="00760022"/>
    <w:rsid w:val="00763C6C"/>
    <w:rsid w:val="00764A60"/>
    <w:rsid w:val="00765ABD"/>
    <w:rsid w:val="0077116C"/>
    <w:rsid w:val="00774F62"/>
    <w:rsid w:val="00791348"/>
    <w:rsid w:val="0079309D"/>
    <w:rsid w:val="007B4E08"/>
    <w:rsid w:val="007C2983"/>
    <w:rsid w:val="007C685D"/>
    <w:rsid w:val="007E64DB"/>
    <w:rsid w:val="007F0A80"/>
    <w:rsid w:val="00802069"/>
    <w:rsid w:val="008104E2"/>
    <w:rsid w:val="008178D8"/>
    <w:rsid w:val="00821520"/>
    <w:rsid w:val="008257F5"/>
    <w:rsid w:val="00831688"/>
    <w:rsid w:val="0084392B"/>
    <w:rsid w:val="00845BF7"/>
    <w:rsid w:val="00864203"/>
    <w:rsid w:val="008670D5"/>
    <w:rsid w:val="008836D8"/>
    <w:rsid w:val="00887A3E"/>
    <w:rsid w:val="008A0472"/>
    <w:rsid w:val="008B4B29"/>
    <w:rsid w:val="008B4D49"/>
    <w:rsid w:val="008C3B06"/>
    <w:rsid w:val="008D4AA5"/>
    <w:rsid w:val="008D4ED4"/>
    <w:rsid w:val="008E2841"/>
    <w:rsid w:val="008F02BA"/>
    <w:rsid w:val="008F0960"/>
    <w:rsid w:val="008F2254"/>
    <w:rsid w:val="008F67AE"/>
    <w:rsid w:val="00906CAA"/>
    <w:rsid w:val="00923497"/>
    <w:rsid w:val="0092655D"/>
    <w:rsid w:val="00931E4F"/>
    <w:rsid w:val="00933662"/>
    <w:rsid w:val="009448CC"/>
    <w:rsid w:val="009464B8"/>
    <w:rsid w:val="0095028B"/>
    <w:rsid w:val="0095132F"/>
    <w:rsid w:val="00951C24"/>
    <w:rsid w:val="009566CC"/>
    <w:rsid w:val="009604BB"/>
    <w:rsid w:val="00961B57"/>
    <w:rsid w:val="00972776"/>
    <w:rsid w:val="00972B46"/>
    <w:rsid w:val="009827ED"/>
    <w:rsid w:val="009909FC"/>
    <w:rsid w:val="00995FD1"/>
    <w:rsid w:val="00996590"/>
    <w:rsid w:val="009A61EC"/>
    <w:rsid w:val="009B3815"/>
    <w:rsid w:val="009B41FC"/>
    <w:rsid w:val="009B793C"/>
    <w:rsid w:val="009C0377"/>
    <w:rsid w:val="009C1314"/>
    <w:rsid w:val="009C5AF7"/>
    <w:rsid w:val="009C7F6E"/>
    <w:rsid w:val="009D0559"/>
    <w:rsid w:val="009E2CB4"/>
    <w:rsid w:val="009E3050"/>
    <w:rsid w:val="009F4E19"/>
    <w:rsid w:val="00A050FB"/>
    <w:rsid w:val="00A13306"/>
    <w:rsid w:val="00A31032"/>
    <w:rsid w:val="00A312B0"/>
    <w:rsid w:val="00A422B6"/>
    <w:rsid w:val="00A47914"/>
    <w:rsid w:val="00A57555"/>
    <w:rsid w:val="00A60926"/>
    <w:rsid w:val="00A63745"/>
    <w:rsid w:val="00A80B87"/>
    <w:rsid w:val="00A85E68"/>
    <w:rsid w:val="00AA34B7"/>
    <w:rsid w:val="00AA4A28"/>
    <w:rsid w:val="00AA55F9"/>
    <w:rsid w:val="00AA7D23"/>
    <w:rsid w:val="00AB1D1E"/>
    <w:rsid w:val="00AB1E95"/>
    <w:rsid w:val="00AB1F30"/>
    <w:rsid w:val="00AC1A95"/>
    <w:rsid w:val="00AC3C5E"/>
    <w:rsid w:val="00AC5039"/>
    <w:rsid w:val="00AC594E"/>
    <w:rsid w:val="00AC6478"/>
    <w:rsid w:val="00AC7C12"/>
    <w:rsid w:val="00AD0BD0"/>
    <w:rsid w:val="00AD7A25"/>
    <w:rsid w:val="00AF031A"/>
    <w:rsid w:val="00B0585E"/>
    <w:rsid w:val="00B06D94"/>
    <w:rsid w:val="00B07635"/>
    <w:rsid w:val="00B12C82"/>
    <w:rsid w:val="00B15ED8"/>
    <w:rsid w:val="00B44BC5"/>
    <w:rsid w:val="00B47D0B"/>
    <w:rsid w:val="00B47EB0"/>
    <w:rsid w:val="00B534D1"/>
    <w:rsid w:val="00B55B8D"/>
    <w:rsid w:val="00B629FE"/>
    <w:rsid w:val="00B67105"/>
    <w:rsid w:val="00B7401E"/>
    <w:rsid w:val="00B8024D"/>
    <w:rsid w:val="00B81F96"/>
    <w:rsid w:val="00B849ED"/>
    <w:rsid w:val="00BA1697"/>
    <w:rsid w:val="00BA4D3C"/>
    <w:rsid w:val="00BB1633"/>
    <w:rsid w:val="00BB7132"/>
    <w:rsid w:val="00BC1A2A"/>
    <w:rsid w:val="00BC753F"/>
    <w:rsid w:val="00BF51F0"/>
    <w:rsid w:val="00C0736E"/>
    <w:rsid w:val="00C17CEC"/>
    <w:rsid w:val="00C235FA"/>
    <w:rsid w:val="00C30A79"/>
    <w:rsid w:val="00C37AC8"/>
    <w:rsid w:val="00C419A9"/>
    <w:rsid w:val="00C47CEF"/>
    <w:rsid w:val="00C5062A"/>
    <w:rsid w:val="00C51DB6"/>
    <w:rsid w:val="00C55975"/>
    <w:rsid w:val="00C67CA7"/>
    <w:rsid w:val="00C73D28"/>
    <w:rsid w:val="00C75466"/>
    <w:rsid w:val="00C803E6"/>
    <w:rsid w:val="00C825E5"/>
    <w:rsid w:val="00C979FD"/>
    <w:rsid w:val="00CB2CD3"/>
    <w:rsid w:val="00CC1EC9"/>
    <w:rsid w:val="00CC7874"/>
    <w:rsid w:val="00CD5887"/>
    <w:rsid w:val="00CD59E5"/>
    <w:rsid w:val="00CD624E"/>
    <w:rsid w:val="00CE5BD2"/>
    <w:rsid w:val="00D04442"/>
    <w:rsid w:val="00D05728"/>
    <w:rsid w:val="00D17D9C"/>
    <w:rsid w:val="00D2560C"/>
    <w:rsid w:val="00D354E4"/>
    <w:rsid w:val="00D3573A"/>
    <w:rsid w:val="00D44884"/>
    <w:rsid w:val="00D4618C"/>
    <w:rsid w:val="00D47463"/>
    <w:rsid w:val="00D47DB5"/>
    <w:rsid w:val="00D51606"/>
    <w:rsid w:val="00D5267C"/>
    <w:rsid w:val="00D717A9"/>
    <w:rsid w:val="00DA0F2B"/>
    <w:rsid w:val="00DA51FF"/>
    <w:rsid w:val="00DA673B"/>
    <w:rsid w:val="00DA6B99"/>
    <w:rsid w:val="00DB4D1A"/>
    <w:rsid w:val="00DB784D"/>
    <w:rsid w:val="00DC5B9C"/>
    <w:rsid w:val="00DD2774"/>
    <w:rsid w:val="00DE567B"/>
    <w:rsid w:val="00DE653F"/>
    <w:rsid w:val="00E01592"/>
    <w:rsid w:val="00E154FC"/>
    <w:rsid w:val="00E2092F"/>
    <w:rsid w:val="00E2670E"/>
    <w:rsid w:val="00E279F0"/>
    <w:rsid w:val="00E446F0"/>
    <w:rsid w:val="00E47D90"/>
    <w:rsid w:val="00E56A46"/>
    <w:rsid w:val="00E63B9E"/>
    <w:rsid w:val="00E735AD"/>
    <w:rsid w:val="00E91AEF"/>
    <w:rsid w:val="00E92E3B"/>
    <w:rsid w:val="00E97A21"/>
    <w:rsid w:val="00EA4DD4"/>
    <w:rsid w:val="00EB64E6"/>
    <w:rsid w:val="00EC2708"/>
    <w:rsid w:val="00EC30F1"/>
    <w:rsid w:val="00EC6854"/>
    <w:rsid w:val="00EC723E"/>
    <w:rsid w:val="00ED5D14"/>
    <w:rsid w:val="00ED5EC2"/>
    <w:rsid w:val="00ED7745"/>
    <w:rsid w:val="00EF4B82"/>
    <w:rsid w:val="00F0469C"/>
    <w:rsid w:val="00F1379B"/>
    <w:rsid w:val="00F2296B"/>
    <w:rsid w:val="00F25963"/>
    <w:rsid w:val="00F30C20"/>
    <w:rsid w:val="00F41273"/>
    <w:rsid w:val="00F426F6"/>
    <w:rsid w:val="00F4281B"/>
    <w:rsid w:val="00F445A1"/>
    <w:rsid w:val="00F4551F"/>
    <w:rsid w:val="00F47CE8"/>
    <w:rsid w:val="00F75BD2"/>
    <w:rsid w:val="00F873E6"/>
    <w:rsid w:val="00FB16D5"/>
    <w:rsid w:val="00FB20B7"/>
    <w:rsid w:val="00FD00DE"/>
    <w:rsid w:val="00FD23BB"/>
    <w:rsid w:val="00FE30EB"/>
    <w:rsid w:val="00FE346F"/>
    <w:rsid w:val="00FE3D11"/>
    <w:rsid w:val="00FE482D"/>
    <w:rsid w:val="00FF01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9566CC"/>
    <w:rPr>
      <w:color w:val="605E5C"/>
      <w:shd w:val="clear" w:color="auto" w:fill="E1DFDD"/>
    </w:rPr>
  </w:style>
  <w:style w:type="paragraph" w:styleId="Revision">
    <w:name w:val="Revision"/>
    <w:hidden/>
    <w:uiPriority w:val="99"/>
    <w:semiHidden/>
    <w:rsid w:val="00AC7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file/14322/download" TargetMode="Externa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docs.fcc.gov/public/attachments/FCC-18-30A1.pdf" TargetMode="External" /><Relationship Id="rId8" Type="http://schemas.openxmlformats.org/officeDocument/2006/relationships/hyperlink" Target="https://www.govinfo.gov/content/pkg/FR-2018-05-03/pdf/2018-08886.pdf" TargetMode="External" /><Relationship Id="rId9" Type="http://schemas.openxmlformats.org/officeDocument/2006/relationships/hyperlink" Target="https://docs.fcc.gov/public/attachments/DA-18-675A1.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