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A5D6B" w:rsidRPr="002B56A6" w:rsidP="00A21BAF" w14:paraId="56CDEF69" w14:textId="53CE0312">
      <w:pPr>
        <w:spacing w:after="0" w:line="240" w:lineRule="auto"/>
        <w:ind w:firstLine="720"/>
        <w:jc w:val="right"/>
        <w:rPr>
          <w:rFonts w:ascii="Times New Roman" w:hAnsi="Times New Roman" w:cs="Times New Roman"/>
          <w:b/>
        </w:rPr>
      </w:pPr>
      <w:bookmarkStart w:id="0" w:name="_GoBack"/>
      <w:bookmarkEnd w:id="0"/>
      <w:r w:rsidRPr="009A2144">
        <w:rPr>
          <w:rFonts w:ascii="Times New Roman" w:hAnsi="Times New Roman" w:cs="Times New Roman"/>
          <w:b/>
        </w:rPr>
        <w:t>DA 1</w:t>
      </w:r>
      <w:r w:rsidRPr="009A2144" w:rsidR="00BA194F">
        <w:rPr>
          <w:rFonts w:ascii="Times New Roman" w:hAnsi="Times New Roman" w:cs="Times New Roman"/>
          <w:b/>
        </w:rPr>
        <w:t>9</w:t>
      </w:r>
      <w:r w:rsidRPr="009A2144">
        <w:rPr>
          <w:rFonts w:ascii="Times New Roman" w:hAnsi="Times New Roman" w:cs="Times New Roman"/>
          <w:b/>
        </w:rPr>
        <w:t>-</w:t>
      </w:r>
      <w:r w:rsidRPr="00A62360" w:rsidR="00087DD1">
        <w:rPr>
          <w:rFonts w:ascii="Times New Roman" w:hAnsi="Times New Roman" w:cs="Times New Roman"/>
          <w:b/>
        </w:rPr>
        <w:t>409</w:t>
      </w:r>
    </w:p>
    <w:p w:rsidR="00EF0AF7" w:rsidP="00EC4902" w14:paraId="356670ED" w14:textId="77777777">
      <w:pPr>
        <w:spacing w:after="0" w:line="240" w:lineRule="auto"/>
        <w:rPr>
          <w:rFonts w:ascii="Times New Roman" w:hAnsi="Times New Roman" w:cs="Times New Roman"/>
          <w:b/>
          <w:sz w:val="28"/>
          <w:szCs w:val="28"/>
        </w:rPr>
      </w:pPr>
    </w:p>
    <w:p w:rsidR="004A5D6B" w:rsidRPr="00EC4902" w:rsidP="00CB75E7" w14:paraId="36070F83" w14:textId="77777777">
      <w:pPr>
        <w:spacing w:after="0" w:line="240" w:lineRule="auto"/>
        <w:ind w:left="1080"/>
        <w:jc w:val="center"/>
        <w:rPr>
          <w:rFonts w:ascii="Times New Roman" w:hAnsi="Times New Roman" w:cs="Times New Roman"/>
          <w:b/>
          <w:sz w:val="28"/>
          <w:szCs w:val="28"/>
        </w:rPr>
      </w:pPr>
      <w:r w:rsidRPr="005C16B1">
        <w:rPr>
          <w:rFonts w:ascii="Times New Roman" w:hAnsi="Times New Roman" w:cs="Times New Roman"/>
          <w:b/>
          <w:sz w:val="28"/>
          <w:szCs w:val="28"/>
        </w:rPr>
        <w:t>SMALL ENTITY COMPLIANCE GUIDE</w:t>
      </w:r>
    </w:p>
    <w:p w:rsidR="0080650A" w:rsidP="00CB75E7" w14:paraId="47EADF25" w14:textId="77777777">
      <w:pPr>
        <w:spacing w:after="0" w:line="240" w:lineRule="auto"/>
        <w:ind w:left="1080"/>
        <w:jc w:val="center"/>
        <w:rPr>
          <w:rFonts w:ascii="Times New Roman" w:hAnsi="Times New Roman" w:cs="Times New Roman"/>
        </w:rPr>
      </w:pPr>
    </w:p>
    <w:p w:rsidR="008729AB" w:rsidRPr="0080650A" w:rsidP="00CB75E7" w14:paraId="187F5E05" w14:textId="77777777">
      <w:pPr>
        <w:spacing w:after="0" w:line="240" w:lineRule="auto"/>
        <w:ind w:left="1080"/>
        <w:jc w:val="center"/>
        <w:rPr>
          <w:rFonts w:ascii="Times New Roman" w:hAnsi="Times New Roman" w:cs="Times New Roman"/>
          <w:b/>
          <w:sz w:val="24"/>
          <w:szCs w:val="24"/>
        </w:rPr>
      </w:pPr>
      <w:r w:rsidRPr="008C1C45">
        <w:rPr>
          <w:rFonts w:ascii="Times New Roman" w:hAnsi="Times New Roman" w:cs="Times New Roman"/>
          <w:b/>
          <w:sz w:val="24"/>
          <w:szCs w:val="24"/>
        </w:rPr>
        <w:t>Use of Spectrum Bands Above 24 GHz For Mobile Radio Services</w:t>
      </w:r>
    </w:p>
    <w:p w:rsidR="00323474" w:rsidRPr="004239D4" w:rsidP="00CB75E7" w14:paraId="6946958B" w14:textId="77777777">
      <w:pPr>
        <w:spacing w:after="0" w:line="240" w:lineRule="auto"/>
        <w:ind w:left="1080"/>
        <w:jc w:val="center"/>
        <w:rPr>
          <w:rFonts w:ascii="Times New Roman" w:hAnsi="Times New Roman" w:cs="Times New Roman"/>
          <w:b/>
        </w:rPr>
      </w:pPr>
    </w:p>
    <w:p w:rsidR="004A5D6B" w:rsidP="00CB75E7" w14:paraId="53E3EA62" w14:textId="77777777">
      <w:pPr>
        <w:spacing w:after="0" w:line="240" w:lineRule="auto"/>
        <w:ind w:left="1080"/>
        <w:jc w:val="center"/>
        <w:rPr>
          <w:rFonts w:ascii="Times New Roman" w:hAnsi="Times New Roman" w:cs="Times New Roman"/>
          <w:b/>
        </w:rPr>
      </w:pPr>
      <w:r w:rsidRPr="002B56A6">
        <w:rPr>
          <w:rFonts w:ascii="Times New Roman" w:hAnsi="Times New Roman" w:cs="Times New Roman"/>
          <w:b/>
        </w:rPr>
        <w:t xml:space="preserve">FCC </w:t>
      </w:r>
      <w:r w:rsidRPr="002B56A6">
        <w:rPr>
          <w:rFonts w:ascii="Times New Roman" w:hAnsi="Times New Roman" w:cs="Times New Roman"/>
          <w:b/>
          <w:bCs/>
        </w:rPr>
        <w:t>1</w:t>
      </w:r>
      <w:r>
        <w:rPr>
          <w:rFonts w:ascii="Times New Roman" w:hAnsi="Times New Roman" w:cs="Times New Roman"/>
          <w:b/>
          <w:bCs/>
        </w:rPr>
        <w:t>8</w:t>
      </w:r>
      <w:r w:rsidRPr="002B56A6">
        <w:rPr>
          <w:rFonts w:ascii="Times New Roman" w:hAnsi="Times New Roman" w:cs="Times New Roman"/>
          <w:b/>
          <w:bCs/>
        </w:rPr>
        <w:t>-</w:t>
      </w:r>
      <w:r w:rsidR="00BA194F">
        <w:rPr>
          <w:rFonts w:ascii="Times New Roman" w:hAnsi="Times New Roman" w:cs="Times New Roman"/>
          <w:b/>
          <w:bCs/>
        </w:rPr>
        <w:t>180</w:t>
      </w:r>
      <w:r>
        <w:rPr>
          <w:rFonts w:ascii="Times New Roman" w:hAnsi="Times New Roman" w:cs="Times New Roman"/>
          <w:b/>
        </w:rPr>
        <w:br/>
        <w:t>GN Docket No. 14-177</w:t>
      </w:r>
    </w:p>
    <w:p w:rsidR="00C75F82" w:rsidRPr="002B56A6" w:rsidP="00CB75E7" w14:paraId="69A3993A" w14:textId="77777777">
      <w:pPr>
        <w:tabs>
          <w:tab w:val="center" w:pos="4680"/>
          <w:tab w:val="left" w:pos="7028"/>
        </w:tabs>
        <w:spacing w:line="240" w:lineRule="auto"/>
        <w:ind w:left="1080"/>
        <w:jc w:val="center"/>
        <w:rPr>
          <w:rFonts w:ascii="Times New Roman" w:hAnsi="Times New Roman" w:cs="Times New Roman"/>
          <w:b/>
        </w:rPr>
      </w:pPr>
      <w:r>
        <w:rPr>
          <w:rFonts w:ascii="Times New Roman" w:hAnsi="Times New Roman" w:cs="Times New Roman"/>
          <w:b/>
        </w:rPr>
        <w:t xml:space="preserve">Released:  </w:t>
      </w:r>
      <w:r w:rsidR="00BA194F">
        <w:rPr>
          <w:rFonts w:ascii="Times New Roman" w:hAnsi="Times New Roman" w:cs="Times New Roman"/>
          <w:b/>
        </w:rPr>
        <w:t>December</w:t>
      </w:r>
      <w:r>
        <w:rPr>
          <w:rFonts w:ascii="Times New Roman" w:hAnsi="Times New Roman" w:cs="Times New Roman"/>
          <w:b/>
        </w:rPr>
        <w:t xml:space="preserve"> </w:t>
      </w:r>
      <w:r w:rsidR="00BA194F">
        <w:rPr>
          <w:rFonts w:ascii="Times New Roman" w:hAnsi="Times New Roman" w:cs="Times New Roman"/>
          <w:b/>
        </w:rPr>
        <w:t>12</w:t>
      </w:r>
      <w:r>
        <w:rPr>
          <w:rFonts w:ascii="Times New Roman" w:hAnsi="Times New Roman" w:cs="Times New Roman"/>
          <w:b/>
        </w:rPr>
        <w:t>, 2018</w:t>
      </w:r>
    </w:p>
    <w:p w:rsidR="004A5D6B" w:rsidRPr="002B56A6" w:rsidP="00A21BAF" w14:paraId="443A27ED" w14:textId="77777777">
      <w:pPr>
        <w:tabs>
          <w:tab w:val="center" w:pos="4680"/>
          <w:tab w:val="left" w:pos="7028"/>
        </w:tabs>
        <w:spacing w:line="240" w:lineRule="auto"/>
        <w:jc w:val="both"/>
        <w:rPr>
          <w:rFonts w:ascii="Times New Roman" w:hAnsi="Times New Roman" w:cs="Times New Roman"/>
          <w:b/>
        </w:rPr>
      </w:pPr>
      <w:r w:rsidRPr="002B56A6">
        <w:rPr>
          <w:rFonts w:ascii="Times New Roman" w:hAnsi="Times New Roman" w:cs="Times New Roman"/>
          <w:b/>
        </w:rPr>
        <w:tab/>
      </w:r>
      <w:r w:rsidRPr="002B56A6">
        <w:rPr>
          <w:rFonts w:ascii="Times New Roman" w:hAnsi="Times New Roman" w:cs="Times New Roman"/>
          <w:b/>
        </w:rPr>
        <w:tab/>
      </w:r>
    </w:p>
    <w:p w:rsidR="00C75F82" w:rsidRPr="00C75F82" w:rsidP="00A21BAF" w14:paraId="061A917B" w14:textId="77777777">
      <w:pPr>
        <w:spacing w:after="0"/>
        <w:ind w:left="1080"/>
        <w:jc w:val="both"/>
        <w:rPr>
          <w:rFonts w:ascii="Times New Roman" w:eastAsia="Calibri" w:hAnsi="Times New Roman" w:cs="Times New Roman"/>
          <w:b/>
        </w:rPr>
      </w:pPr>
      <w:r w:rsidRPr="00C75F82">
        <w:rPr>
          <w:rFonts w:ascii="Times New Roman" w:eastAsia="Calibri" w:hAnsi="Times New Roman" w:cs="Times New Roman"/>
          <w:b/>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revised rules adopted in the above-referenced Federal Communications Commission (FCC or Commission) rulemaking dockets.  This Guide is not intended to replace or supersede these rules, but 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approaches, where appropriate, that may differ from this Guide.  Any decision regarding a particular small entity will be based on the statute and any relevant rules. </w:t>
      </w:r>
    </w:p>
    <w:p w:rsidR="00C75F82" w:rsidRPr="00C75F82" w:rsidP="00A21BAF" w14:paraId="444BE21E" w14:textId="77777777">
      <w:pPr>
        <w:ind w:left="1080" w:hanging="1080"/>
        <w:contextualSpacing/>
        <w:jc w:val="both"/>
        <w:rPr>
          <w:rFonts w:ascii="Times New Roman" w:eastAsia="Calibri" w:hAnsi="Times New Roman" w:cs="Times New Roman"/>
          <w:b/>
        </w:rPr>
      </w:pPr>
    </w:p>
    <w:p w:rsidR="00C75F82" w:rsidRPr="00C75F82" w:rsidP="00A21BAF" w14:paraId="2E2E68D9" w14:textId="77777777">
      <w:pPr>
        <w:ind w:left="1080"/>
        <w:contextualSpacing/>
        <w:jc w:val="both"/>
        <w:rPr>
          <w:rFonts w:ascii="Times New Roman" w:eastAsia="Calibri" w:hAnsi="Times New Roman" w:cs="Times New Roman"/>
          <w:b/>
        </w:rPr>
      </w:pPr>
      <w:r w:rsidRPr="00C75F82">
        <w:rPr>
          <w:rFonts w:ascii="Times New Roman" w:eastAsia="Calibri"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then consider whether the recommendations or interpretations in the Guide are appropriate in that situation.  The FCC may decide to revise this Guide without public notice to reflect changes in the FCC’s approach to implementing a rule, or it may clarify or update the text of the Guide.  Direct your comments and recommendations, or calls for further assistance, to the FCC’s Consumer Center:</w:t>
      </w:r>
    </w:p>
    <w:p w:rsidR="00C75F82" w:rsidRPr="00C75F82" w:rsidP="00A21BAF" w14:paraId="45791F67" w14:textId="77777777">
      <w:pPr>
        <w:ind w:left="1080"/>
        <w:contextualSpacing/>
        <w:jc w:val="both"/>
        <w:rPr>
          <w:rFonts w:ascii="Times New Roman" w:eastAsia="Calibri" w:hAnsi="Times New Roman" w:cs="Times New Roman"/>
          <w:b/>
        </w:rPr>
      </w:pPr>
    </w:p>
    <w:p w:rsidR="00C75F82" w:rsidRPr="00C75F82" w14:paraId="52B692B3" w14:textId="77777777">
      <w:pPr>
        <w:ind w:left="1080"/>
        <w:contextualSpacing/>
        <w:jc w:val="center"/>
        <w:rPr>
          <w:rFonts w:ascii="Times New Roman" w:eastAsia="Calibri" w:hAnsi="Times New Roman" w:cs="Times New Roman"/>
          <w:b/>
        </w:rPr>
      </w:pPr>
      <w:r w:rsidRPr="00C75F82">
        <w:rPr>
          <w:rFonts w:ascii="Times New Roman" w:eastAsia="Calibri" w:hAnsi="Times New Roman" w:cs="Times New Roman"/>
          <w:b/>
        </w:rPr>
        <w:t>1-888-CALL-FCC (1-888-225-5322)</w:t>
      </w:r>
    </w:p>
    <w:p w:rsidR="00C75F82" w:rsidRPr="00C75F82" w14:paraId="4126C687" w14:textId="77777777">
      <w:pPr>
        <w:ind w:left="1080"/>
        <w:contextualSpacing/>
        <w:jc w:val="center"/>
        <w:rPr>
          <w:rFonts w:ascii="Times New Roman" w:eastAsia="Calibri" w:hAnsi="Times New Roman" w:cs="Times New Roman"/>
          <w:b/>
        </w:rPr>
      </w:pPr>
      <w:r w:rsidRPr="00C75F82">
        <w:rPr>
          <w:rFonts w:ascii="Times New Roman" w:eastAsia="Calibri" w:hAnsi="Times New Roman" w:cs="Times New Roman"/>
          <w:b/>
        </w:rPr>
        <w:t>TTY: 1-888-TELL-FCC (1-888-835-5322)</w:t>
      </w:r>
    </w:p>
    <w:p w:rsidR="00C75F82" w:rsidRPr="00C75F82" w14:paraId="079AF94C" w14:textId="77777777">
      <w:pPr>
        <w:ind w:left="1080"/>
        <w:contextualSpacing/>
        <w:jc w:val="center"/>
        <w:rPr>
          <w:rFonts w:ascii="Times New Roman" w:eastAsia="Calibri" w:hAnsi="Times New Roman" w:cs="Times New Roman"/>
          <w:b/>
        </w:rPr>
      </w:pPr>
      <w:r w:rsidRPr="00C75F82">
        <w:rPr>
          <w:rFonts w:ascii="Times New Roman" w:eastAsia="Calibri" w:hAnsi="Times New Roman" w:cs="Times New Roman"/>
          <w:b/>
        </w:rPr>
        <w:t>Videophone: 1-844-4-FCC-ASL (1-844-432-2275)</w:t>
      </w:r>
    </w:p>
    <w:p w:rsidR="00C75F82" w:rsidRPr="00C75F82" w14:paraId="5F5A7A53" w14:textId="77777777">
      <w:pPr>
        <w:ind w:left="1080"/>
        <w:contextualSpacing/>
        <w:jc w:val="center"/>
        <w:rPr>
          <w:rFonts w:ascii="Times New Roman" w:eastAsia="Calibri" w:hAnsi="Times New Roman" w:cs="Times New Roman"/>
          <w:b/>
        </w:rPr>
        <w:sectPr w:rsidSect="00A21BAF">
          <w:headerReference w:type="default" r:id="rId5"/>
          <w:footerReference w:type="default" r:id="rId6"/>
          <w:pgSz w:w="12240" w:h="15840"/>
          <w:pgMar w:top="1440" w:right="1800" w:bottom="1008" w:left="990" w:header="720" w:footer="187" w:gutter="0"/>
          <w:cols w:space="720"/>
          <w:docGrid w:linePitch="360"/>
        </w:sectPr>
      </w:pPr>
      <w:r w:rsidRPr="00C75F82">
        <w:rPr>
          <w:rFonts w:ascii="Times New Roman" w:eastAsia="Calibri" w:hAnsi="Times New Roman" w:cs="Times New Roman"/>
          <w:b/>
        </w:rPr>
        <w:t>Fax: 1-866-418-0232</w:t>
      </w:r>
    </w:p>
    <w:p w:rsidR="003A637D" w:rsidRPr="003A637D" w:rsidP="003A637D" w14:paraId="2D13B851" w14:textId="77777777">
      <w:pPr>
        <w:pStyle w:val="TOC1"/>
        <w:rPr>
          <w:b/>
          <w:u w:val="single"/>
        </w:rPr>
      </w:pPr>
      <w:r w:rsidRPr="003A637D">
        <w:rPr>
          <w:b/>
          <w:u w:val="single"/>
        </w:rPr>
        <w:t>TABLE OF CONTENTS</w:t>
      </w:r>
    </w:p>
    <w:p w:rsidR="003A637D" w:rsidP="003A637D" w14:paraId="6892C00F" w14:textId="77777777">
      <w:pPr>
        <w:pStyle w:val="TOC1"/>
      </w:pPr>
    </w:p>
    <w:p w:rsidR="003A637D" w:rsidRPr="00714115" w:rsidP="003A637D" w14:paraId="60DEE7F9" w14:textId="77777777">
      <w:pPr>
        <w:pStyle w:val="TOC1"/>
        <w:rPr>
          <w:caps/>
        </w:rPr>
      </w:pPr>
      <w:r w:rsidRPr="003A637D">
        <w:t>I.</w:t>
      </w:r>
      <w:r w:rsidRPr="003A637D">
        <w:rPr>
          <w:caps/>
        </w:rPr>
        <w:tab/>
      </w:r>
      <w:r w:rsidRPr="003A637D">
        <w:t>OBJ</w:t>
      </w:r>
      <w:r>
        <w:t>E</w:t>
      </w:r>
      <w:r w:rsidRPr="003A637D">
        <w:t>CTIVES OF THE PROCEEDING</w:t>
      </w:r>
      <w:r w:rsidRPr="003A637D">
        <w:tab/>
      </w:r>
      <w:r w:rsidRPr="00714115" w:rsidR="00714115">
        <w:t>1</w:t>
      </w:r>
    </w:p>
    <w:p w:rsidR="0094499E" w:rsidRPr="00714115" w:rsidP="0094499E" w14:paraId="62762434" w14:textId="77777777">
      <w:pPr>
        <w:pStyle w:val="TOC1"/>
        <w:rPr>
          <w:caps/>
        </w:rPr>
      </w:pPr>
      <w:r w:rsidRPr="00714115">
        <w:t>II.</w:t>
      </w:r>
      <w:r w:rsidRPr="00714115">
        <w:rPr>
          <w:caps/>
        </w:rPr>
        <w:tab/>
      </w:r>
      <w:r w:rsidRPr="00714115">
        <w:t>COMPLIANCE REQUIREMENTS</w:t>
      </w:r>
      <w:r w:rsidRPr="00714115">
        <w:tab/>
      </w:r>
      <w:r w:rsidRPr="00714115" w:rsidR="00714115">
        <w:t>1</w:t>
      </w:r>
    </w:p>
    <w:p w:rsidR="003A637D" w:rsidRPr="00714115" w:rsidP="003A637D" w14:paraId="6957DC8B" w14:textId="77777777">
      <w:pPr>
        <w:pStyle w:val="TOC2"/>
        <w:tabs>
          <w:tab w:val="left" w:pos="360"/>
        </w:tabs>
        <w:rPr>
          <w:rFonts w:ascii="Times New Roman" w:hAnsi="Times New Roman" w:cs="Times New Roman"/>
        </w:rPr>
      </w:pPr>
      <w:r w:rsidRPr="00714115">
        <w:rPr>
          <w:rFonts w:ascii="Times New Roman" w:hAnsi="Times New Roman" w:cs="Times New Roman"/>
        </w:rPr>
        <w:t>Upper 37 GHz, 39 GHz, and 47 GHz Band Plan</w:t>
      </w:r>
      <w:r w:rsidRPr="00714115" w:rsidR="00A51920">
        <w:rPr>
          <w:rFonts w:ascii="Times New Roman" w:hAnsi="Times New Roman" w:cs="Times New Roman"/>
        </w:rPr>
        <w:t>s</w:t>
      </w:r>
      <w:r w:rsidRPr="00714115" w:rsidR="00B92B70">
        <w:rPr>
          <w:rFonts w:ascii="Times New Roman" w:hAnsi="Times New Roman" w:cs="Times New Roman"/>
        </w:rPr>
        <w:tab/>
      </w:r>
      <w:r w:rsidRPr="00714115" w:rsidR="00714115">
        <w:rPr>
          <w:rFonts w:ascii="Times New Roman" w:hAnsi="Times New Roman" w:cs="Times New Roman"/>
        </w:rPr>
        <w:t>1</w:t>
      </w:r>
    </w:p>
    <w:p w:rsidR="003A637D" w:rsidRPr="00714115" w:rsidP="003A637D" w14:paraId="6AB4B1C9" w14:textId="77777777">
      <w:pPr>
        <w:pStyle w:val="TOC2"/>
        <w:tabs>
          <w:tab w:val="left" w:pos="360"/>
        </w:tabs>
        <w:rPr>
          <w:rFonts w:ascii="Times New Roman" w:hAnsi="Times New Roman" w:cs="Times New Roman"/>
        </w:rPr>
      </w:pPr>
      <w:r w:rsidRPr="00714115">
        <w:rPr>
          <w:rFonts w:ascii="Times New Roman" w:hAnsi="Times New Roman" w:cs="Times New Roman"/>
        </w:rPr>
        <w:t>Upper 37 GHz, 39 GHz, and 47 GHz Incentive Auction</w:t>
      </w:r>
      <w:r w:rsidRPr="00714115" w:rsidR="00B92B70">
        <w:rPr>
          <w:rFonts w:ascii="Times New Roman" w:hAnsi="Times New Roman" w:cs="Times New Roman"/>
        </w:rPr>
        <w:tab/>
      </w:r>
      <w:r w:rsidRPr="00714115" w:rsidR="00714115">
        <w:rPr>
          <w:rFonts w:ascii="Times New Roman" w:hAnsi="Times New Roman" w:cs="Times New Roman"/>
        </w:rPr>
        <w:t>1</w:t>
      </w:r>
    </w:p>
    <w:p w:rsidR="0094499E" w:rsidRPr="00714115" w:rsidP="008A6381" w14:paraId="31155E70" w14:textId="77777777">
      <w:pPr>
        <w:pStyle w:val="TOC2"/>
        <w:numPr>
          <w:ilvl w:val="1"/>
          <w:numId w:val="13"/>
        </w:numPr>
        <w:tabs>
          <w:tab w:val="left" w:pos="360"/>
        </w:tabs>
        <w:rPr>
          <w:rFonts w:ascii="Times New Roman" w:hAnsi="Times New Roman" w:cs="Times New Roman"/>
        </w:rPr>
      </w:pPr>
      <w:r w:rsidRPr="00714115">
        <w:rPr>
          <w:rFonts w:ascii="Times New Roman" w:hAnsi="Times New Roman" w:cs="Times New Roman"/>
        </w:rPr>
        <w:t>Incentive Auction Background</w:t>
      </w:r>
      <w:r w:rsidRPr="00714115" w:rsidR="00823110">
        <w:rPr>
          <w:rFonts w:ascii="Times New Roman" w:hAnsi="Times New Roman" w:cs="Times New Roman"/>
        </w:rPr>
        <w:tab/>
      </w:r>
      <w:r w:rsidRPr="00714115" w:rsidR="00714115">
        <w:rPr>
          <w:rFonts w:ascii="Times New Roman" w:hAnsi="Times New Roman" w:cs="Times New Roman"/>
        </w:rPr>
        <w:t>1</w:t>
      </w:r>
    </w:p>
    <w:p w:rsidR="003A637D" w:rsidP="00107EDF" w14:paraId="1BD4B02D" w14:textId="72A0FF11">
      <w:pPr>
        <w:pStyle w:val="TOC2"/>
        <w:numPr>
          <w:ilvl w:val="1"/>
          <w:numId w:val="13"/>
        </w:numPr>
        <w:tabs>
          <w:tab w:val="left" w:pos="360"/>
        </w:tabs>
        <w:rPr>
          <w:rFonts w:ascii="Times New Roman" w:hAnsi="Times New Roman" w:cs="Times New Roman"/>
        </w:rPr>
      </w:pPr>
      <w:r w:rsidRPr="00714115">
        <w:rPr>
          <w:rFonts w:ascii="Times New Roman" w:hAnsi="Times New Roman" w:cs="Times New Roman"/>
        </w:rPr>
        <w:t>39 GHz</w:t>
      </w:r>
      <w:r w:rsidRPr="00714115" w:rsidR="0094499E">
        <w:rPr>
          <w:rFonts w:ascii="Times New Roman" w:hAnsi="Times New Roman" w:cs="Times New Roman"/>
        </w:rPr>
        <w:t xml:space="preserve"> Licensees</w:t>
      </w:r>
      <w:r w:rsidRPr="00714115" w:rsidR="00B92B70">
        <w:rPr>
          <w:rFonts w:ascii="Times New Roman" w:hAnsi="Times New Roman" w:cs="Times New Roman"/>
        </w:rPr>
        <w:tab/>
      </w:r>
      <w:r w:rsidRPr="00714115" w:rsidR="00714115">
        <w:rPr>
          <w:rFonts w:ascii="Times New Roman" w:hAnsi="Times New Roman" w:cs="Times New Roman"/>
        </w:rPr>
        <w:t>2</w:t>
      </w:r>
    </w:p>
    <w:p w:rsidR="00A525FE" w:rsidRPr="00714115" w:rsidP="00A525FE" w14:paraId="5C8D8A0D" w14:textId="7E5CE755">
      <w:pPr>
        <w:pStyle w:val="TOC2"/>
        <w:numPr>
          <w:ilvl w:val="1"/>
          <w:numId w:val="13"/>
        </w:numPr>
        <w:tabs>
          <w:tab w:val="left" w:pos="360"/>
        </w:tabs>
        <w:rPr>
          <w:rFonts w:ascii="Times New Roman" w:hAnsi="Times New Roman" w:cs="Times New Roman"/>
        </w:rPr>
      </w:pPr>
      <w:r w:rsidRPr="00714115">
        <w:rPr>
          <w:rFonts w:ascii="Times New Roman" w:hAnsi="Times New Roman" w:cs="Times New Roman"/>
        </w:rPr>
        <w:t>Incentive Auction</w:t>
      </w:r>
      <w:r>
        <w:rPr>
          <w:rFonts w:ascii="Times New Roman" w:hAnsi="Times New Roman" w:cs="Times New Roman"/>
        </w:rPr>
        <w:t xml:space="preserve"> Structure</w:t>
      </w:r>
      <w:r w:rsidRPr="00714115">
        <w:rPr>
          <w:rFonts w:ascii="Times New Roman" w:hAnsi="Times New Roman" w:cs="Times New Roman"/>
        </w:rPr>
        <w:tab/>
      </w:r>
      <w:r w:rsidR="00223260">
        <w:rPr>
          <w:rFonts w:ascii="Times New Roman" w:hAnsi="Times New Roman" w:cs="Times New Roman"/>
        </w:rPr>
        <w:t>4</w:t>
      </w:r>
    </w:p>
    <w:p w:rsidR="00A525FE" w:rsidRPr="00A21BAF" w14:paraId="256631B4" w14:textId="4D239127">
      <w:pPr>
        <w:pStyle w:val="TOC2"/>
        <w:numPr>
          <w:ilvl w:val="1"/>
          <w:numId w:val="13"/>
        </w:numPr>
        <w:tabs>
          <w:tab w:val="left" w:pos="360"/>
        </w:tabs>
      </w:pPr>
      <w:r w:rsidRPr="00A525FE">
        <w:rPr>
          <w:rFonts w:ascii="Times New Roman" w:hAnsi="Times New Roman" w:cs="Times New Roman"/>
        </w:rPr>
        <w:t>Incentive Auction B</w:t>
      </w:r>
      <w:r>
        <w:rPr>
          <w:rFonts w:ascii="Times New Roman" w:hAnsi="Times New Roman" w:cs="Times New Roman"/>
        </w:rPr>
        <w:t>idding</w:t>
      </w:r>
      <w:r w:rsidRPr="00A525FE">
        <w:rPr>
          <w:rFonts w:ascii="Times New Roman" w:hAnsi="Times New Roman" w:cs="Times New Roman"/>
        </w:rPr>
        <w:tab/>
      </w:r>
      <w:r w:rsidR="00223260">
        <w:rPr>
          <w:rFonts w:ascii="Times New Roman" w:hAnsi="Times New Roman" w:cs="Times New Roman"/>
        </w:rPr>
        <w:t>4</w:t>
      </w:r>
    </w:p>
    <w:p w:rsidR="003A637D" w:rsidRPr="00714115" w:rsidP="00823110" w14:paraId="49777EBF" w14:textId="688466F2">
      <w:pPr>
        <w:pStyle w:val="TOC2"/>
        <w:numPr>
          <w:ilvl w:val="1"/>
          <w:numId w:val="13"/>
        </w:numPr>
        <w:tabs>
          <w:tab w:val="left" w:pos="360"/>
        </w:tabs>
        <w:rPr>
          <w:rFonts w:ascii="Times New Roman" w:hAnsi="Times New Roman" w:cs="Times New Roman"/>
        </w:rPr>
      </w:pPr>
      <w:r w:rsidRPr="00714115">
        <w:rPr>
          <w:rFonts w:ascii="Times New Roman" w:hAnsi="Times New Roman" w:cs="Times New Roman"/>
        </w:rPr>
        <w:t>Post-Auction Transition</w:t>
      </w:r>
      <w:r w:rsidRPr="00714115" w:rsidR="00B92B70">
        <w:rPr>
          <w:rFonts w:ascii="Times New Roman" w:hAnsi="Times New Roman" w:cs="Times New Roman"/>
        </w:rPr>
        <w:tab/>
      </w:r>
      <w:r w:rsidR="00223260">
        <w:rPr>
          <w:rFonts w:ascii="Times New Roman" w:hAnsi="Times New Roman" w:cs="Times New Roman"/>
        </w:rPr>
        <w:t>5</w:t>
      </w:r>
    </w:p>
    <w:p w:rsidR="003A637D" w:rsidRPr="003A637D" w:rsidP="003A637D" w14:paraId="08463B68" w14:textId="3A6E53B1">
      <w:pPr>
        <w:pStyle w:val="TOC1"/>
      </w:pPr>
      <w:r w:rsidRPr="003A637D">
        <w:t>III.</w:t>
      </w:r>
      <w:r w:rsidRPr="003A637D">
        <w:tab/>
        <w:t>RECORDKEEPING AND REPORTING REQUIREMENTS</w:t>
      </w:r>
      <w:r w:rsidRPr="003A637D">
        <w:tab/>
      </w:r>
      <w:r w:rsidR="00223260">
        <w:t>5</w:t>
      </w:r>
    </w:p>
    <w:p w:rsidR="003A637D" w:rsidRPr="003A637D" w:rsidP="003A637D" w14:paraId="0961CC57" w14:textId="358D77DB">
      <w:pPr>
        <w:pStyle w:val="TOC1"/>
      </w:pPr>
      <w:r w:rsidRPr="003A637D">
        <w:t>IV.</w:t>
      </w:r>
      <w:r w:rsidRPr="003A637D">
        <w:tab/>
      </w:r>
      <w:r>
        <w:t>IMPLEMENTATION DATE</w:t>
      </w:r>
      <w:r w:rsidRPr="003A637D">
        <w:tab/>
      </w:r>
      <w:r w:rsidR="00223260">
        <w:t>5</w:t>
      </w:r>
    </w:p>
    <w:p w:rsidR="003A637D" w:rsidRPr="003A637D" w:rsidP="003A637D" w14:paraId="07E8EAFE" w14:textId="0F3BDC23">
      <w:pPr>
        <w:pStyle w:val="TOC1"/>
      </w:pPr>
      <w:r w:rsidRPr="003A637D">
        <w:t>V.</w:t>
      </w:r>
      <w:r w:rsidRPr="003A637D">
        <w:tab/>
      </w:r>
      <w:r>
        <w:t>INTERNET LINKS</w:t>
      </w:r>
      <w:r w:rsidRPr="003A637D">
        <w:tab/>
      </w:r>
      <w:r w:rsidR="00223260">
        <w:t>5</w:t>
      </w:r>
    </w:p>
    <w:p w:rsidR="003A637D" w:rsidRPr="003A637D" w:rsidP="003A637D" w14:paraId="0D8BCD65" w14:textId="77777777">
      <w:pPr>
        <w:rPr>
          <w:rFonts w:ascii="Times New Roman" w:hAnsi="Times New Roman" w:cs="Times New Roman"/>
        </w:rPr>
      </w:pPr>
    </w:p>
    <w:p w:rsidR="003A637D" w:rsidRPr="003A637D" w:rsidP="003A637D" w14:paraId="47535B3B" w14:textId="77777777">
      <w:pPr>
        <w:rPr>
          <w:rFonts w:ascii="Times New Roman" w:hAnsi="Times New Roman" w:cs="Times New Roman"/>
        </w:rPr>
      </w:pPr>
    </w:p>
    <w:p w:rsidR="003A637D" w:rsidRPr="003A637D" w:rsidP="003A637D" w14:paraId="63DFC178" w14:textId="77777777"/>
    <w:p w:rsidR="004F6E8C" w:rsidP="003A637D" w14:paraId="1A0E0D09" w14:textId="77777777">
      <w:pPr>
        <w:tabs>
          <w:tab w:val="left" w:pos="0"/>
        </w:tabs>
        <w:spacing w:line="240" w:lineRule="auto"/>
        <w:rPr>
          <w:rFonts w:ascii="Times New Roman" w:hAnsi="Times New Roman" w:cs="Times New Roman"/>
        </w:rPr>
        <w:sectPr w:rsidSect="00714115">
          <w:headerReference w:type="default" r:id="rId7"/>
          <w:footerReference w:type="default" r:id="rId8"/>
          <w:footerReference w:type="first" r:id="rId9"/>
          <w:pgSz w:w="12240" w:h="15840"/>
          <w:pgMar w:top="1440" w:right="1440" w:bottom="1440" w:left="1440" w:header="720" w:footer="720" w:gutter="0"/>
          <w:pgNumType w:start="0"/>
          <w:cols w:space="720"/>
          <w:docGrid w:linePitch="360"/>
        </w:sectPr>
      </w:pPr>
    </w:p>
    <w:p w:rsidR="004A5D6B" w:rsidRPr="002B56A6" w:rsidP="002B56A6" w14:paraId="2816D016" w14:textId="77777777">
      <w:pPr>
        <w:pStyle w:val="Heading1"/>
        <w:spacing w:line="240" w:lineRule="auto"/>
        <w:ind w:left="720"/>
      </w:pPr>
      <w:r w:rsidRPr="002B56A6">
        <w:t>OBJECTIVES OF THE PROCEEDING</w:t>
      </w:r>
    </w:p>
    <w:p w:rsidR="00910FE5" w:rsidP="00BB04FE" w14:paraId="16D7D069" w14:textId="2FC96800">
      <w:pPr>
        <w:spacing w:after="0" w:line="240" w:lineRule="auto"/>
        <w:ind w:firstLine="720"/>
        <w:rPr>
          <w:rFonts w:ascii="Times New Roman" w:hAnsi="Times New Roman" w:cs="Times New Roman"/>
        </w:rPr>
      </w:pPr>
      <w:r w:rsidRPr="002B56A6">
        <w:rPr>
          <w:rFonts w:ascii="Times New Roman" w:hAnsi="Times New Roman" w:cs="Times New Roman"/>
        </w:rPr>
        <w:t xml:space="preserve">In </w:t>
      </w:r>
      <w:r w:rsidRPr="00277F88">
        <w:rPr>
          <w:rFonts w:ascii="Times New Roman" w:hAnsi="Times New Roman" w:cs="Times New Roman"/>
        </w:rPr>
        <w:t>the</w:t>
      </w:r>
      <w:r w:rsidRPr="002B56A6">
        <w:rPr>
          <w:rFonts w:ascii="Times New Roman" w:hAnsi="Times New Roman" w:cs="Times New Roman"/>
          <w:i/>
        </w:rPr>
        <w:t xml:space="preserve"> </w:t>
      </w:r>
      <w:r w:rsidR="00AE299E">
        <w:rPr>
          <w:rFonts w:ascii="Times New Roman" w:hAnsi="Times New Roman" w:cs="Times New Roman"/>
          <w:i/>
        </w:rPr>
        <w:t xml:space="preserve">Fourth </w:t>
      </w:r>
      <w:r w:rsidRPr="002B56A6">
        <w:rPr>
          <w:rFonts w:ascii="Times New Roman" w:hAnsi="Times New Roman" w:cs="Times New Roman"/>
          <w:i/>
        </w:rPr>
        <w:t xml:space="preserve">Report and Order </w:t>
      </w:r>
      <w:r w:rsidRPr="002B56A6">
        <w:rPr>
          <w:rFonts w:ascii="Times New Roman" w:hAnsi="Times New Roman" w:cs="Times New Roman"/>
        </w:rPr>
        <w:t xml:space="preserve">in </w:t>
      </w:r>
      <w:r>
        <w:rPr>
          <w:rFonts w:ascii="Times New Roman" w:hAnsi="Times New Roman" w:cs="Times New Roman"/>
        </w:rPr>
        <w:t>FCC 18-</w:t>
      </w:r>
      <w:r w:rsidR="00AE299E">
        <w:rPr>
          <w:rFonts w:ascii="Times New Roman" w:hAnsi="Times New Roman" w:cs="Times New Roman"/>
        </w:rPr>
        <w:t>180</w:t>
      </w:r>
      <w:r>
        <w:rPr>
          <w:rFonts w:ascii="Times New Roman" w:hAnsi="Times New Roman" w:cs="Times New Roman"/>
        </w:rPr>
        <w:t xml:space="preserve">, </w:t>
      </w:r>
      <w:r w:rsidRPr="002B56A6">
        <w:rPr>
          <w:rFonts w:ascii="Times New Roman" w:hAnsi="Times New Roman" w:cs="Times New Roman"/>
        </w:rPr>
        <w:t xml:space="preserve">GN Docket No. 14-177, released </w:t>
      </w:r>
      <w:r w:rsidR="00AE299E">
        <w:rPr>
          <w:rFonts w:ascii="Times New Roman" w:hAnsi="Times New Roman" w:cs="Times New Roman"/>
        </w:rPr>
        <w:t>December</w:t>
      </w:r>
      <w:r>
        <w:rPr>
          <w:rFonts w:ascii="Times New Roman" w:hAnsi="Times New Roman" w:cs="Times New Roman"/>
        </w:rPr>
        <w:t xml:space="preserve"> </w:t>
      </w:r>
      <w:r w:rsidR="00AE299E">
        <w:rPr>
          <w:rFonts w:ascii="Times New Roman" w:hAnsi="Times New Roman" w:cs="Times New Roman"/>
        </w:rPr>
        <w:t>12</w:t>
      </w:r>
      <w:r w:rsidRPr="002B56A6">
        <w:rPr>
          <w:rFonts w:ascii="Times New Roman" w:hAnsi="Times New Roman" w:cs="Times New Roman"/>
        </w:rPr>
        <w:t>, 201</w:t>
      </w:r>
      <w:r>
        <w:rPr>
          <w:rFonts w:ascii="Times New Roman" w:hAnsi="Times New Roman" w:cs="Times New Roman"/>
        </w:rPr>
        <w:t>8</w:t>
      </w:r>
      <w:r w:rsidRPr="002B56A6" w:rsidR="00AE299E">
        <w:rPr>
          <w:rFonts w:ascii="Times New Roman" w:hAnsi="Times New Roman" w:cs="Times New Roman"/>
        </w:rPr>
        <w:t>,</w:t>
      </w:r>
      <w:r>
        <w:rPr>
          <w:rStyle w:val="FootnoteReference"/>
          <w:rFonts w:ascii="Times New Roman" w:hAnsi="Times New Roman" w:cs="Times New Roman"/>
        </w:rPr>
        <w:footnoteReference w:id="3"/>
      </w:r>
      <w:r w:rsidRPr="002B56A6">
        <w:rPr>
          <w:rFonts w:ascii="Times New Roman" w:hAnsi="Times New Roman" w:cs="Times New Roman"/>
        </w:rPr>
        <w:t xml:space="preserve"> the Commission</w:t>
      </w:r>
      <w:r>
        <w:rPr>
          <w:rFonts w:ascii="Times New Roman" w:hAnsi="Times New Roman" w:cs="Times New Roman"/>
        </w:rPr>
        <w:t>:</w:t>
      </w:r>
      <w:r w:rsidRPr="002B56A6">
        <w:rPr>
          <w:rFonts w:ascii="Times New Roman" w:hAnsi="Times New Roman" w:cs="Times New Roman"/>
        </w:rPr>
        <w:t xml:space="preserve"> (1)</w:t>
      </w:r>
      <w:r w:rsidR="00E906BA">
        <w:rPr>
          <w:rFonts w:ascii="Times New Roman" w:hAnsi="Times New Roman" w:cs="Times New Roman"/>
        </w:rPr>
        <w:t xml:space="preserve"> m</w:t>
      </w:r>
      <w:r w:rsidRPr="00E906BA" w:rsidR="00E906BA">
        <w:rPr>
          <w:rFonts w:ascii="Times New Roman" w:hAnsi="Times New Roman" w:cs="Times New Roman"/>
        </w:rPr>
        <w:t>odifie</w:t>
      </w:r>
      <w:r w:rsidR="00E906BA">
        <w:rPr>
          <w:rFonts w:ascii="Times New Roman" w:hAnsi="Times New Roman" w:cs="Times New Roman"/>
        </w:rPr>
        <w:t>d</w:t>
      </w:r>
      <w:r w:rsidRPr="00E906BA" w:rsidR="00E906BA">
        <w:rPr>
          <w:rFonts w:ascii="Times New Roman" w:hAnsi="Times New Roman" w:cs="Times New Roman"/>
        </w:rPr>
        <w:t xml:space="preserve"> the Upper 37 GHz</w:t>
      </w:r>
      <w:r w:rsidR="00C77D2F">
        <w:rPr>
          <w:rFonts w:ascii="Times New Roman" w:hAnsi="Times New Roman" w:cs="Times New Roman"/>
        </w:rPr>
        <w:t xml:space="preserve"> (37.6-38.6 GHz)</w:t>
      </w:r>
      <w:r w:rsidRPr="00E906BA" w:rsidR="00E906BA">
        <w:rPr>
          <w:rFonts w:ascii="Times New Roman" w:hAnsi="Times New Roman" w:cs="Times New Roman"/>
        </w:rPr>
        <w:t>, 39 GHz</w:t>
      </w:r>
      <w:r w:rsidR="00C77D2F">
        <w:rPr>
          <w:rFonts w:ascii="Times New Roman" w:hAnsi="Times New Roman" w:cs="Times New Roman"/>
        </w:rPr>
        <w:t xml:space="preserve"> (38.6-40 GHz)</w:t>
      </w:r>
      <w:r w:rsidRPr="00E906BA" w:rsidR="00E906BA">
        <w:rPr>
          <w:rFonts w:ascii="Times New Roman" w:hAnsi="Times New Roman" w:cs="Times New Roman"/>
        </w:rPr>
        <w:t xml:space="preserve">, and 47 GHz </w:t>
      </w:r>
      <w:r w:rsidR="00C77D2F">
        <w:rPr>
          <w:rFonts w:ascii="Times New Roman" w:hAnsi="Times New Roman" w:cs="Times New Roman"/>
        </w:rPr>
        <w:t xml:space="preserve">(47.2-48.2 GHz) </w:t>
      </w:r>
      <w:r w:rsidRPr="00E906BA" w:rsidR="00840276">
        <w:rPr>
          <w:rFonts w:ascii="Times New Roman" w:hAnsi="Times New Roman" w:cs="Times New Roman"/>
        </w:rPr>
        <w:t>band plans</w:t>
      </w:r>
      <w:r w:rsidRPr="00E906BA" w:rsidR="00E906BA">
        <w:rPr>
          <w:rFonts w:ascii="Times New Roman" w:hAnsi="Times New Roman" w:cs="Times New Roman"/>
        </w:rPr>
        <w:t xml:space="preserve"> from 200 megahertz blocks to 100 megahertz blocks to be licensed by Partial Economic Area</w:t>
      </w:r>
      <w:r w:rsidR="00E906BA">
        <w:rPr>
          <w:rFonts w:ascii="Times New Roman" w:hAnsi="Times New Roman" w:cs="Times New Roman"/>
        </w:rPr>
        <w:t xml:space="preserve"> (PEA)</w:t>
      </w:r>
      <w:r>
        <w:rPr>
          <w:rFonts w:ascii="Times New Roman" w:hAnsi="Times New Roman" w:cs="Times New Roman"/>
        </w:rPr>
        <w:t>;</w:t>
      </w:r>
      <w:r w:rsidRPr="002B56A6">
        <w:rPr>
          <w:rFonts w:ascii="Times New Roman" w:hAnsi="Times New Roman" w:cs="Times New Roman"/>
        </w:rPr>
        <w:t xml:space="preserve"> (2)</w:t>
      </w:r>
      <w:r w:rsidR="00E906BA">
        <w:rPr>
          <w:rFonts w:ascii="Times New Roman" w:hAnsi="Times New Roman" w:cs="Times New Roman"/>
        </w:rPr>
        <w:t xml:space="preserve"> a</w:t>
      </w:r>
      <w:r w:rsidRPr="00E906BA" w:rsidR="00E906BA">
        <w:rPr>
          <w:rFonts w:ascii="Times New Roman" w:hAnsi="Times New Roman" w:cs="Times New Roman"/>
        </w:rPr>
        <w:t>dopt</w:t>
      </w:r>
      <w:r w:rsidR="00E906BA">
        <w:rPr>
          <w:rFonts w:ascii="Times New Roman" w:hAnsi="Times New Roman" w:cs="Times New Roman"/>
        </w:rPr>
        <w:t>ed</w:t>
      </w:r>
      <w:r w:rsidRPr="00E906BA" w:rsidR="00E906BA">
        <w:rPr>
          <w:rFonts w:ascii="Times New Roman" w:hAnsi="Times New Roman" w:cs="Times New Roman"/>
        </w:rPr>
        <w:t xml:space="preserve"> an incentive auction mechanism that will offer contiguous blocks of spectrum throughout the Upper 37 GHz</w:t>
      </w:r>
      <w:r w:rsidR="00A51920">
        <w:rPr>
          <w:rFonts w:ascii="Times New Roman" w:hAnsi="Times New Roman" w:cs="Times New Roman"/>
        </w:rPr>
        <w:t xml:space="preserve"> and</w:t>
      </w:r>
      <w:r w:rsidR="00CD3DA2">
        <w:rPr>
          <w:rFonts w:ascii="Times New Roman" w:hAnsi="Times New Roman" w:cs="Times New Roman"/>
        </w:rPr>
        <w:t xml:space="preserve"> </w:t>
      </w:r>
      <w:r w:rsidRPr="00E906BA" w:rsidR="00E906BA">
        <w:rPr>
          <w:rFonts w:ascii="Times New Roman" w:hAnsi="Times New Roman" w:cs="Times New Roman"/>
        </w:rPr>
        <w:t>39 GHz</w:t>
      </w:r>
      <w:r w:rsidR="00A51920">
        <w:rPr>
          <w:rFonts w:ascii="Times New Roman" w:hAnsi="Times New Roman" w:cs="Times New Roman"/>
        </w:rPr>
        <w:t xml:space="preserve"> bands</w:t>
      </w:r>
      <w:r w:rsidRPr="00E906BA" w:rsidR="00E906BA">
        <w:rPr>
          <w:rFonts w:ascii="Times New Roman" w:hAnsi="Times New Roman" w:cs="Times New Roman"/>
        </w:rPr>
        <w:t xml:space="preserve">, </w:t>
      </w:r>
      <w:r w:rsidR="00CD3DA2">
        <w:rPr>
          <w:rFonts w:ascii="Times New Roman" w:hAnsi="Times New Roman" w:cs="Times New Roman"/>
        </w:rPr>
        <w:t xml:space="preserve">and offer contiguous blocks within the 47 GHz band, </w:t>
      </w:r>
      <w:r w:rsidRPr="00E906BA" w:rsidR="00E906BA">
        <w:rPr>
          <w:rFonts w:ascii="Times New Roman" w:hAnsi="Times New Roman" w:cs="Times New Roman"/>
        </w:rPr>
        <w:t xml:space="preserve">while preserving spectrum usage rights for existing </w:t>
      </w:r>
      <w:r w:rsidR="00CD3DA2">
        <w:rPr>
          <w:rFonts w:ascii="Times New Roman" w:hAnsi="Times New Roman" w:cs="Times New Roman"/>
        </w:rPr>
        <w:t xml:space="preserve">39 GHz </w:t>
      </w:r>
      <w:r w:rsidRPr="00E906BA" w:rsidR="00E906BA">
        <w:rPr>
          <w:rFonts w:ascii="Times New Roman" w:hAnsi="Times New Roman" w:cs="Times New Roman"/>
        </w:rPr>
        <w:t>licensees</w:t>
      </w:r>
      <w:r>
        <w:rPr>
          <w:rFonts w:ascii="Times New Roman" w:hAnsi="Times New Roman" w:cs="Times New Roman"/>
        </w:rPr>
        <w:t>;</w:t>
      </w:r>
      <w:r w:rsidRPr="002B56A6">
        <w:rPr>
          <w:rFonts w:ascii="Times New Roman" w:hAnsi="Times New Roman" w:cs="Times New Roman"/>
        </w:rPr>
        <w:t xml:space="preserve"> </w:t>
      </w:r>
      <w:r w:rsidR="00AE299E">
        <w:rPr>
          <w:rFonts w:ascii="Times New Roman" w:hAnsi="Times New Roman" w:cs="Times New Roman"/>
        </w:rPr>
        <w:t xml:space="preserve">and </w:t>
      </w:r>
      <w:r w:rsidRPr="002B56A6">
        <w:rPr>
          <w:rFonts w:ascii="Times New Roman" w:hAnsi="Times New Roman" w:cs="Times New Roman"/>
        </w:rPr>
        <w:t>(3)</w:t>
      </w:r>
      <w:r w:rsidR="00E906BA">
        <w:rPr>
          <w:rFonts w:ascii="Times New Roman" w:hAnsi="Times New Roman" w:cs="Times New Roman"/>
        </w:rPr>
        <w:t xml:space="preserve"> a</w:t>
      </w:r>
      <w:r w:rsidRPr="00E906BA" w:rsidR="00E906BA">
        <w:rPr>
          <w:rFonts w:ascii="Times New Roman" w:hAnsi="Times New Roman" w:cs="Times New Roman"/>
        </w:rPr>
        <w:t>dopt</w:t>
      </w:r>
      <w:r w:rsidR="006F6B60">
        <w:rPr>
          <w:rFonts w:ascii="Times New Roman" w:hAnsi="Times New Roman" w:cs="Times New Roman"/>
        </w:rPr>
        <w:t>ed</w:t>
      </w:r>
      <w:r w:rsidRPr="00E906BA" w:rsidR="00E906BA">
        <w:rPr>
          <w:rFonts w:ascii="Times New Roman" w:hAnsi="Times New Roman" w:cs="Times New Roman"/>
        </w:rPr>
        <w:t xml:space="preserve"> a pre-auction process that allows incumbent licensees to rationalize their holdings</w:t>
      </w:r>
      <w:r w:rsidRPr="002B56A6">
        <w:rPr>
          <w:rFonts w:ascii="Times New Roman" w:hAnsi="Times New Roman" w:cs="Times New Roman"/>
        </w:rPr>
        <w:t xml:space="preserve">.  </w:t>
      </w:r>
      <w:r w:rsidRPr="0077621D" w:rsidR="0077621D">
        <w:rPr>
          <w:rFonts w:ascii="Times New Roman" w:hAnsi="Times New Roman" w:cs="Times New Roman"/>
        </w:rPr>
        <w:t xml:space="preserve">The incentive auction approach promotes the flexible-use wireless service rules that the Commission has adopted for these </w:t>
      </w:r>
      <w:r w:rsidRPr="0077621D" w:rsidR="0077621D">
        <w:rPr>
          <w:rFonts w:ascii="Times New Roman" w:hAnsi="Times New Roman" w:cs="Times New Roman"/>
        </w:rPr>
        <w:t>bands, and</w:t>
      </w:r>
      <w:r w:rsidRPr="0077621D" w:rsidR="0077621D">
        <w:rPr>
          <w:rFonts w:ascii="Times New Roman" w:hAnsi="Times New Roman" w:cs="Times New Roman"/>
        </w:rPr>
        <w:t xml:space="preserve"> allows an incumbent 39 GHz licensee to choose to relinquish the spectrum usage rights provided by its existing licenses in exchange for a share of the proceeds from the auction of new licenses.  Alternatively, the incumbent may choose to receive modified licenses after the auction that are consistent with the new band plan and service rules and equivalent to its existing authorizations to operate in the 39 GHz band. </w:t>
      </w:r>
    </w:p>
    <w:p w:rsidR="00594D81" w:rsidP="00BB04FE" w14:paraId="0E39B037" w14:textId="2EC6AC96">
      <w:pPr>
        <w:spacing w:after="0" w:line="240" w:lineRule="auto"/>
        <w:ind w:firstLine="720"/>
        <w:rPr>
          <w:rFonts w:ascii="Times New Roman" w:hAnsi="Times New Roman" w:cs="Times New Roman"/>
        </w:rPr>
      </w:pPr>
      <w:r w:rsidRPr="0077621D">
        <w:rPr>
          <w:rFonts w:ascii="Times New Roman" w:hAnsi="Times New Roman" w:cs="Times New Roman"/>
        </w:rPr>
        <w:t xml:space="preserve"> </w:t>
      </w:r>
    </w:p>
    <w:p w:rsidR="00807890" w:rsidP="00BB04FE" w14:paraId="5629E7C0" w14:textId="77777777">
      <w:pPr>
        <w:spacing w:after="0" w:line="240" w:lineRule="auto"/>
        <w:ind w:firstLine="720"/>
        <w:rPr>
          <w:rFonts w:ascii="Times New Roman" w:hAnsi="Times New Roman" w:cs="Times New Roman"/>
        </w:rPr>
      </w:pPr>
      <w:r w:rsidRPr="005413CE">
        <w:rPr>
          <w:rFonts w:ascii="Times New Roman" w:hAnsi="Times New Roman" w:cs="Times New Roman"/>
        </w:rPr>
        <w:t xml:space="preserve">Along with specific procedures to be adopted in the forthcoming Auction Comment and Auction Procedures Public Notices, the Commission's actions in the </w:t>
      </w:r>
      <w:r w:rsidRPr="00A21BAF">
        <w:rPr>
          <w:rFonts w:ascii="Times New Roman" w:hAnsi="Times New Roman" w:cs="Times New Roman"/>
          <w:i/>
        </w:rPr>
        <w:t>Fourth Report and Order</w:t>
      </w:r>
      <w:r w:rsidRPr="005413CE">
        <w:rPr>
          <w:rFonts w:ascii="Times New Roman" w:hAnsi="Times New Roman" w:cs="Times New Roman"/>
        </w:rPr>
        <w:t xml:space="preserve"> will enable the Commission to move forward with an auction of the Upper 37 GHz, 39 GHz, and 47 GHz bands by the end of 2019.  </w:t>
      </w:r>
      <w:r w:rsidR="00B92B70">
        <w:rPr>
          <w:rFonts w:ascii="Times New Roman" w:hAnsi="Times New Roman" w:cs="Times New Roman"/>
        </w:rPr>
        <w:t xml:space="preserve">The </w:t>
      </w:r>
      <w:r w:rsidR="00E906BA">
        <w:rPr>
          <w:rFonts w:ascii="Times New Roman" w:hAnsi="Times New Roman" w:cs="Times New Roman"/>
          <w:i/>
        </w:rPr>
        <w:t>Fourth</w:t>
      </w:r>
      <w:r w:rsidR="00B92B70">
        <w:rPr>
          <w:rFonts w:ascii="Times New Roman" w:hAnsi="Times New Roman" w:cs="Times New Roman"/>
          <w:i/>
        </w:rPr>
        <w:t xml:space="preserve"> Report and Order </w:t>
      </w:r>
      <w:r w:rsidR="00B92B70">
        <w:rPr>
          <w:rFonts w:ascii="Times New Roman" w:hAnsi="Times New Roman" w:cs="Times New Roman"/>
        </w:rPr>
        <w:t xml:space="preserve">continues the Commission’s efforts </w:t>
      </w:r>
      <w:r w:rsidRPr="0070618A" w:rsidR="00B92B70">
        <w:rPr>
          <w:rFonts w:ascii="Times New Roman" w:hAnsi="Times New Roman" w:cs="Times New Roman"/>
        </w:rPr>
        <w:t>to make available millimeter wave (mmW) spectrum, at or above 24 GHz, for fifth-generation (5G) wireless, Internet of Things</w:t>
      </w:r>
      <w:r w:rsidR="00B92B70">
        <w:rPr>
          <w:rFonts w:ascii="Times New Roman" w:hAnsi="Times New Roman" w:cs="Times New Roman"/>
        </w:rPr>
        <w:t xml:space="preserve"> (IoT)</w:t>
      </w:r>
      <w:r w:rsidRPr="0070618A" w:rsidR="00B92B70">
        <w:rPr>
          <w:rFonts w:ascii="Times New Roman" w:hAnsi="Times New Roman" w:cs="Times New Roman"/>
        </w:rPr>
        <w:t xml:space="preserve">, and other advanced spectrum-based services.  In doing so, </w:t>
      </w:r>
      <w:r w:rsidR="00B92B70">
        <w:rPr>
          <w:rFonts w:ascii="Times New Roman" w:hAnsi="Times New Roman" w:cs="Times New Roman"/>
        </w:rPr>
        <w:t>the Commission</w:t>
      </w:r>
      <w:r w:rsidRPr="0070618A" w:rsidR="00B92B70">
        <w:rPr>
          <w:rFonts w:ascii="Times New Roman" w:hAnsi="Times New Roman" w:cs="Times New Roman"/>
        </w:rPr>
        <w:t xml:space="preserve"> help</w:t>
      </w:r>
      <w:r w:rsidR="00B92B70">
        <w:rPr>
          <w:rFonts w:ascii="Times New Roman" w:hAnsi="Times New Roman" w:cs="Times New Roman"/>
        </w:rPr>
        <w:t>s</w:t>
      </w:r>
      <w:r w:rsidRPr="0070618A" w:rsidR="00B92B70">
        <w:rPr>
          <w:rFonts w:ascii="Times New Roman" w:hAnsi="Times New Roman" w:cs="Times New Roman"/>
        </w:rPr>
        <w:t xml:space="preserve"> </w:t>
      </w:r>
      <w:r w:rsidR="00B92B70">
        <w:rPr>
          <w:rFonts w:ascii="Times New Roman" w:hAnsi="Times New Roman" w:cs="Times New Roman"/>
        </w:rPr>
        <w:t xml:space="preserve">to </w:t>
      </w:r>
      <w:r w:rsidRPr="0070618A" w:rsidR="00B92B70">
        <w:rPr>
          <w:rFonts w:ascii="Times New Roman" w:hAnsi="Times New Roman" w:cs="Times New Roman"/>
        </w:rPr>
        <w:t>ensure continued American leadership in wireless broadband, which represents a critical component of economic growth, job creation, public safety, and global competitiveness.</w:t>
      </w:r>
    </w:p>
    <w:p w:rsidR="00BB04FE" w:rsidRPr="00BB04FE" w:rsidP="00BB04FE" w14:paraId="20AC8C51" w14:textId="77777777">
      <w:pPr>
        <w:spacing w:after="0" w:line="240" w:lineRule="auto"/>
        <w:ind w:firstLine="720"/>
        <w:rPr>
          <w:rFonts w:ascii="Times New Roman" w:hAnsi="Times New Roman" w:cs="Times New Roman"/>
        </w:rPr>
      </w:pPr>
    </w:p>
    <w:p w:rsidR="00807890" w:rsidRPr="002B56A6" w:rsidP="002B56A6" w14:paraId="168FB18E" w14:textId="77777777">
      <w:pPr>
        <w:pStyle w:val="Heading1"/>
        <w:spacing w:line="240" w:lineRule="auto"/>
        <w:ind w:left="720"/>
      </w:pPr>
      <w:r w:rsidRPr="002B56A6">
        <w:t xml:space="preserve">COMPLIANCE REQUIREMENTS </w:t>
      </w:r>
    </w:p>
    <w:p w:rsidR="008C1538" w:rsidRPr="002B56A6" w:rsidP="0080650A" w14:paraId="219B5BEB" w14:textId="77777777">
      <w:pPr>
        <w:pStyle w:val="Heading2"/>
        <w:spacing w:line="276" w:lineRule="auto"/>
      </w:pPr>
      <w:bookmarkStart w:id="1" w:name="_Toc512508561"/>
      <w:bookmarkEnd w:id="1"/>
      <w:r w:rsidRPr="00E906BA">
        <w:t xml:space="preserve">Upper 37 GHz, 39 GHz, and 47 GHz </w:t>
      </w:r>
      <w:r>
        <w:t>B</w:t>
      </w:r>
      <w:r w:rsidRPr="00E906BA">
        <w:t>and</w:t>
      </w:r>
      <w:r>
        <w:t xml:space="preserve"> Plan</w:t>
      </w:r>
      <w:r w:rsidR="000C0562">
        <w:t xml:space="preserve"> (47 C.F.R. </w:t>
      </w:r>
      <w:r w:rsidR="0090035F">
        <w:t>§§ 30.4 (f),</w:t>
      </w:r>
      <w:r w:rsidRPr="001D0DCD" w:rsidR="001D0DCD">
        <w:t xml:space="preserve"> </w:t>
      </w:r>
      <w:r w:rsidR="001D0DCD">
        <w:t xml:space="preserve">(d), </w:t>
      </w:r>
      <w:r w:rsidR="0090035F">
        <w:t>and (g)</w:t>
      </w:r>
      <w:r w:rsidR="00A51920">
        <w:t>)</w:t>
      </w:r>
      <w:r>
        <w:rPr>
          <w:rStyle w:val="FootnoteReference"/>
        </w:rPr>
        <w:t xml:space="preserve"> </w:t>
      </w:r>
      <w:r>
        <w:rPr>
          <w:rStyle w:val="FootnoteReference"/>
        </w:rPr>
        <w:footnoteReference w:id="4"/>
      </w:r>
    </w:p>
    <w:p w:rsidR="000C0562" w:rsidRPr="000C0562" w:rsidP="000C0562" w14:paraId="60221D36" w14:textId="7062FE6B">
      <w:pPr>
        <w:pStyle w:val="ListParagraph"/>
        <w:numPr>
          <w:ilvl w:val="1"/>
          <w:numId w:val="8"/>
        </w:numPr>
        <w:spacing w:line="240" w:lineRule="auto"/>
        <w:ind w:left="1080"/>
        <w:contextualSpacing w:val="0"/>
        <w:rPr>
          <w:rFonts w:ascii="Times New Roman" w:hAnsi="Times New Roman" w:cs="Times New Roman"/>
        </w:rPr>
      </w:pPr>
      <w:r>
        <w:rPr>
          <w:rFonts w:ascii="Times New Roman" w:hAnsi="Times New Roman" w:cs="Times New Roman"/>
        </w:rPr>
        <w:t xml:space="preserve">The </w:t>
      </w:r>
      <w:r w:rsidR="009F7BFB">
        <w:rPr>
          <w:rFonts w:ascii="Times New Roman" w:hAnsi="Times New Roman" w:cs="Times New Roman"/>
          <w:i/>
        </w:rPr>
        <w:t>Fourth</w:t>
      </w:r>
      <w:r>
        <w:rPr>
          <w:rFonts w:ascii="Times New Roman" w:hAnsi="Times New Roman" w:cs="Times New Roman"/>
          <w:i/>
        </w:rPr>
        <w:t xml:space="preserve"> Report and Order</w:t>
      </w:r>
      <w:r>
        <w:rPr>
          <w:rFonts w:ascii="Times New Roman" w:hAnsi="Times New Roman" w:cs="Times New Roman"/>
        </w:rPr>
        <w:t xml:space="preserve"> modifie</w:t>
      </w:r>
      <w:r w:rsidR="003F44F3">
        <w:rPr>
          <w:rFonts w:ascii="Times New Roman" w:hAnsi="Times New Roman" w:cs="Times New Roman"/>
        </w:rPr>
        <w:t>d</w:t>
      </w:r>
      <w:r>
        <w:rPr>
          <w:rFonts w:ascii="Times New Roman" w:hAnsi="Times New Roman" w:cs="Times New Roman"/>
        </w:rPr>
        <w:t xml:space="preserve"> the </w:t>
      </w:r>
      <w:r w:rsidRPr="000C0562">
        <w:rPr>
          <w:rFonts w:ascii="Times New Roman" w:hAnsi="Times New Roman" w:cs="Times New Roman"/>
        </w:rPr>
        <w:t>Upper 37 GHz, 39 GHz, and 47 GHz band</w:t>
      </w:r>
      <w:r w:rsidR="00E57BA9">
        <w:rPr>
          <w:rFonts w:ascii="Times New Roman" w:hAnsi="Times New Roman" w:cs="Times New Roman"/>
        </w:rPr>
        <w:t xml:space="preserve"> plan</w:t>
      </w:r>
      <w:r w:rsidRPr="000C0562">
        <w:rPr>
          <w:rFonts w:ascii="Times New Roman" w:hAnsi="Times New Roman" w:cs="Times New Roman"/>
        </w:rPr>
        <w:t>s from 200 megahertz channels to 100 megahertz channels.  The Upper 37 GHz band and the 47 GHz band now consist of ten 100 megahertz channels each, and the 39 GHz band consist</w:t>
      </w:r>
      <w:r w:rsidR="003F44F3">
        <w:rPr>
          <w:rFonts w:ascii="Times New Roman" w:hAnsi="Times New Roman" w:cs="Times New Roman"/>
        </w:rPr>
        <w:t>s</w:t>
      </w:r>
      <w:r w:rsidRPr="000C0562">
        <w:rPr>
          <w:rFonts w:ascii="Times New Roman" w:hAnsi="Times New Roman" w:cs="Times New Roman"/>
        </w:rPr>
        <w:t xml:space="preserve"> of fourteen </w:t>
      </w:r>
      <w:r w:rsidRPr="000C0562" w:rsidR="00814BA0">
        <w:rPr>
          <w:rFonts w:ascii="Times New Roman" w:hAnsi="Times New Roman" w:cs="Times New Roman"/>
        </w:rPr>
        <w:t xml:space="preserve">100 megahertz </w:t>
      </w:r>
      <w:r w:rsidRPr="000C0562">
        <w:rPr>
          <w:rFonts w:ascii="Times New Roman" w:hAnsi="Times New Roman" w:cs="Times New Roman"/>
        </w:rPr>
        <w:t>channels.</w:t>
      </w:r>
      <w:r w:rsidR="009C6756">
        <w:rPr>
          <w:rFonts w:ascii="Times New Roman" w:hAnsi="Times New Roman" w:cs="Times New Roman"/>
        </w:rPr>
        <w:t xml:space="preserve"> </w:t>
      </w:r>
      <w:r w:rsidR="00910FE5">
        <w:rPr>
          <w:rFonts w:ascii="Times New Roman" w:hAnsi="Times New Roman" w:cs="Times New Roman"/>
        </w:rPr>
        <w:t xml:space="preserve"> </w:t>
      </w:r>
      <w:r w:rsidRPr="009C6756" w:rsidR="009C6756">
        <w:rPr>
          <w:rFonts w:ascii="Times New Roman" w:hAnsi="Times New Roman" w:cs="Times New Roman"/>
        </w:rPr>
        <w:t xml:space="preserve">Maintaining the same channel width across these bands </w:t>
      </w:r>
      <w:r w:rsidR="003E54EA">
        <w:rPr>
          <w:rFonts w:ascii="Times New Roman" w:hAnsi="Times New Roman" w:cs="Times New Roman"/>
        </w:rPr>
        <w:t>will</w:t>
      </w:r>
      <w:r w:rsidRPr="009C6756" w:rsidR="009C6756">
        <w:rPr>
          <w:rFonts w:ascii="Times New Roman" w:hAnsi="Times New Roman" w:cs="Times New Roman"/>
        </w:rPr>
        <w:t xml:space="preserve"> allow the contiguous Upper 37 GHz and 39 GHz bands to function effectively as one </w:t>
      </w:r>
      <w:r w:rsidRPr="009C6756" w:rsidR="004F72B8">
        <w:rPr>
          <w:rFonts w:ascii="Times New Roman" w:hAnsi="Times New Roman" w:cs="Times New Roman"/>
        </w:rPr>
        <w:t>2,400</w:t>
      </w:r>
      <w:r w:rsidR="004F72B8">
        <w:rPr>
          <w:rFonts w:ascii="Times New Roman" w:hAnsi="Times New Roman" w:cs="Times New Roman"/>
        </w:rPr>
        <w:t xml:space="preserve"> </w:t>
      </w:r>
      <w:r w:rsidRPr="009C6756" w:rsidR="004F72B8">
        <w:rPr>
          <w:rFonts w:ascii="Times New Roman" w:hAnsi="Times New Roman" w:cs="Times New Roman"/>
        </w:rPr>
        <w:t>megahertz</w:t>
      </w:r>
      <w:r w:rsidRPr="009C6756" w:rsidR="009C6756">
        <w:rPr>
          <w:rFonts w:ascii="Times New Roman" w:hAnsi="Times New Roman" w:cs="Times New Roman"/>
        </w:rPr>
        <w:t xml:space="preserve"> band of spectrum.</w:t>
      </w:r>
    </w:p>
    <w:p w:rsidR="008A6381" w:rsidP="00714115" w14:paraId="17C78E77" w14:textId="77777777">
      <w:pPr>
        <w:pStyle w:val="Heading2"/>
        <w:spacing w:after="240" w:line="276" w:lineRule="auto"/>
      </w:pPr>
      <w:r w:rsidRPr="00E906BA">
        <w:t xml:space="preserve">Upper 37 GHz, 39 GHz, and 47 GHz </w:t>
      </w:r>
      <w:r>
        <w:t>Incentive Auction</w:t>
      </w:r>
    </w:p>
    <w:p w:rsidR="0029758B" w:rsidRPr="002B56A6" w:rsidP="00250E4F" w14:paraId="5DB129A5" w14:textId="77777777">
      <w:pPr>
        <w:pStyle w:val="Heading3"/>
      </w:pPr>
      <w:r>
        <w:t>Incentive Auction Background</w:t>
      </w:r>
      <w:r>
        <w:rPr>
          <w:rStyle w:val="FootnoteReference"/>
        </w:rPr>
        <w:footnoteReference w:id="5"/>
      </w:r>
    </w:p>
    <w:p w:rsidR="00ED1FA2" w:rsidRPr="00A21BAF" w:rsidP="0094783D" w14:paraId="7FC4AE05" w14:textId="09301243">
      <w:pPr>
        <w:pStyle w:val="ListParagraph"/>
        <w:numPr>
          <w:ilvl w:val="0"/>
          <w:numId w:val="10"/>
        </w:numPr>
        <w:spacing w:line="240" w:lineRule="auto"/>
        <w:ind w:left="1080"/>
        <w:contextualSpacing w:val="0"/>
        <w:rPr>
          <w:rFonts w:ascii="Times New Roman" w:hAnsi="Times New Roman" w:cs="Times New Roman"/>
        </w:rPr>
      </w:pPr>
      <w:r>
        <w:rPr>
          <w:rFonts w:ascii="Times New Roman" w:hAnsi="Times New Roman" w:cs="Times New Roman"/>
        </w:rPr>
        <w:t>The e</w:t>
      </w:r>
      <w:r>
        <w:rPr>
          <w:rFonts w:ascii="Times New Roman" w:hAnsi="Times New Roman" w:cs="Times New Roman"/>
        </w:rPr>
        <w:t>leven (</w:t>
      </w:r>
      <w:r w:rsidRPr="007C52B8">
        <w:rPr>
          <w:rFonts w:ascii="Times New Roman" w:hAnsi="Times New Roman" w:cs="Times New Roman"/>
        </w:rPr>
        <w:t>11</w:t>
      </w:r>
      <w:r>
        <w:rPr>
          <w:rFonts w:ascii="Times New Roman" w:hAnsi="Times New Roman" w:cs="Times New Roman"/>
        </w:rPr>
        <w:t>)</w:t>
      </w:r>
      <w:r w:rsidRPr="007C52B8">
        <w:rPr>
          <w:rFonts w:ascii="Times New Roman" w:hAnsi="Times New Roman" w:cs="Times New Roman"/>
        </w:rPr>
        <w:t xml:space="preserve"> incumbent licensees hold</w:t>
      </w:r>
      <w:r w:rsidR="004A4DAE">
        <w:rPr>
          <w:rFonts w:ascii="Times New Roman" w:hAnsi="Times New Roman" w:cs="Times New Roman"/>
        </w:rPr>
        <w:t>ing</w:t>
      </w:r>
      <w:r w:rsidRPr="007C52B8">
        <w:rPr>
          <w:rFonts w:ascii="Times New Roman" w:hAnsi="Times New Roman" w:cs="Times New Roman"/>
        </w:rPr>
        <w:t xml:space="preserve"> about 5,880 active licenses in the 39 GHz band</w:t>
      </w:r>
      <w:r>
        <w:rPr>
          <w:rFonts w:ascii="Times New Roman" w:hAnsi="Times New Roman" w:cs="Times New Roman"/>
        </w:rPr>
        <w:t xml:space="preserve"> will requir</w:t>
      </w:r>
      <w:r>
        <w:rPr>
          <w:rFonts w:ascii="Times New Roman" w:hAnsi="Times New Roman" w:cs="Times New Roman"/>
        </w:rPr>
        <w:t>e</w:t>
      </w:r>
      <w:r>
        <w:rPr>
          <w:rFonts w:ascii="Times New Roman" w:hAnsi="Times New Roman" w:cs="Times New Roman"/>
        </w:rPr>
        <w:t xml:space="preserve"> transitioning to the new band plan</w:t>
      </w:r>
      <w:r w:rsidRPr="007C52B8">
        <w:rPr>
          <w:rFonts w:ascii="Times New Roman" w:hAnsi="Times New Roman" w:cs="Times New Roman"/>
        </w:rPr>
        <w:t>.</w:t>
      </w:r>
      <w:r>
        <w:rPr>
          <w:rStyle w:val="FootnoteReference"/>
          <w:rFonts w:ascii="Times New Roman" w:hAnsi="Times New Roman" w:cs="Times New Roman"/>
        </w:rPr>
        <w:footnoteReference w:id="6"/>
      </w:r>
      <w:r>
        <w:rPr>
          <w:rFonts w:ascii="Times New Roman" w:hAnsi="Times New Roman" w:cs="Times New Roman"/>
        </w:rPr>
        <w:t xml:space="preserve">  </w:t>
      </w:r>
      <w:r w:rsidRPr="00760072">
        <w:rPr>
          <w:rFonts w:ascii="Times New Roman" w:hAnsi="Times New Roman" w:cs="Times New Roman"/>
        </w:rPr>
        <w:t xml:space="preserve">The Upper 37 GHz and 47 GHz bands </w:t>
      </w:r>
      <w:r>
        <w:rPr>
          <w:rFonts w:ascii="Times New Roman" w:hAnsi="Times New Roman" w:cs="Times New Roman"/>
        </w:rPr>
        <w:t xml:space="preserve">do not </w:t>
      </w:r>
      <w:r w:rsidRPr="00760072">
        <w:rPr>
          <w:rFonts w:ascii="Times New Roman" w:hAnsi="Times New Roman" w:cs="Times New Roman"/>
        </w:rPr>
        <w:t>currently have commercial terrestrial wireless incumbent licensees.</w:t>
      </w:r>
    </w:p>
    <w:p w:rsidR="00A6490E" w14:paraId="3754FAD1" w14:textId="75E95E8F">
      <w:pPr>
        <w:pStyle w:val="ListParagraph"/>
        <w:numPr>
          <w:ilvl w:val="0"/>
          <w:numId w:val="10"/>
        </w:numPr>
        <w:spacing w:line="240" w:lineRule="auto"/>
        <w:ind w:left="1080"/>
        <w:contextualSpacing w:val="0"/>
        <w:rPr>
          <w:rFonts w:ascii="Times New Roman" w:hAnsi="Times New Roman" w:cs="Times New Roman"/>
        </w:rPr>
      </w:pPr>
      <w:r w:rsidRPr="00A6490E">
        <w:rPr>
          <w:rFonts w:ascii="Times New Roman" w:hAnsi="Times New Roman" w:cs="Times New Roman"/>
        </w:rPr>
        <w:t>Incumbent 39 GHz licensees can but are not required to participate in the incentive auction that</w:t>
      </w:r>
      <w:r>
        <w:rPr>
          <w:rFonts w:ascii="Times New Roman" w:hAnsi="Times New Roman" w:cs="Times New Roman"/>
        </w:rPr>
        <w:t xml:space="preserve"> t</w:t>
      </w:r>
      <w:r w:rsidR="009C4EA5">
        <w:rPr>
          <w:rFonts w:ascii="Times New Roman" w:hAnsi="Times New Roman" w:cs="Times New Roman"/>
        </w:rPr>
        <w:t xml:space="preserve">he Commission </w:t>
      </w:r>
      <w:r w:rsidRPr="009C4EA5" w:rsidR="009C4EA5">
        <w:rPr>
          <w:rFonts w:ascii="Times New Roman" w:hAnsi="Times New Roman" w:cs="Times New Roman"/>
        </w:rPr>
        <w:t xml:space="preserve">will conduct </w:t>
      </w:r>
      <w:r w:rsidR="009C4EA5">
        <w:rPr>
          <w:rFonts w:ascii="Times New Roman" w:hAnsi="Times New Roman" w:cs="Times New Roman"/>
        </w:rPr>
        <w:t>to</w:t>
      </w:r>
      <w:r w:rsidRPr="009C4EA5" w:rsidR="009C4EA5">
        <w:rPr>
          <w:rFonts w:ascii="Times New Roman" w:hAnsi="Times New Roman" w:cs="Times New Roman"/>
        </w:rPr>
        <w:t xml:space="preserve"> clear existing 39 GHz licenses and offer new spectrum licenses in the Upper 37 GHz, 39 GHz, and 47 GHz bands.</w:t>
      </w:r>
      <w:r w:rsidR="008A6381">
        <w:rPr>
          <w:rFonts w:ascii="Times New Roman" w:hAnsi="Times New Roman" w:cs="Times New Roman"/>
        </w:rPr>
        <w:t xml:space="preserve">  </w:t>
      </w:r>
    </w:p>
    <w:p w:rsidR="00BE3165" w:rsidRPr="00107EDF" w14:paraId="5226E749" w14:textId="2CB33F03">
      <w:pPr>
        <w:pStyle w:val="ListParagraph"/>
        <w:numPr>
          <w:ilvl w:val="0"/>
          <w:numId w:val="10"/>
        </w:numPr>
        <w:spacing w:line="240" w:lineRule="auto"/>
        <w:ind w:left="1080"/>
        <w:contextualSpacing w:val="0"/>
        <w:rPr>
          <w:rFonts w:ascii="Times New Roman" w:hAnsi="Times New Roman" w:cs="Times New Roman"/>
        </w:rPr>
      </w:pPr>
      <w:r>
        <w:rPr>
          <w:rFonts w:ascii="Times New Roman" w:hAnsi="Times New Roman" w:cs="Times New Roman"/>
        </w:rPr>
        <w:t>I</w:t>
      </w:r>
      <w:r w:rsidR="00787BAF">
        <w:rPr>
          <w:rFonts w:ascii="Times New Roman" w:hAnsi="Times New Roman" w:cs="Times New Roman"/>
        </w:rPr>
        <w:t xml:space="preserve">ncumbent </w:t>
      </w:r>
      <w:r w:rsidRPr="009C4EA5" w:rsidR="00787BAF">
        <w:rPr>
          <w:rFonts w:ascii="Times New Roman" w:hAnsi="Times New Roman" w:cs="Times New Roman"/>
        </w:rPr>
        <w:t>39 GHz license</w:t>
      </w:r>
      <w:r w:rsidR="00787BAF">
        <w:rPr>
          <w:rFonts w:ascii="Times New Roman" w:hAnsi="Times New Roman" w:cs="Times New Roman"/>
        </w:rPr>
        <w:t>e</w:t>
      </w:r>
      <w:r w:rsidRPr="009C4EA5" w:rsidR="00787BAF">
        <w:rPr>
          <w:rFonts w:ascii="Times New Roman" w:hAnsi="Times New Roman" w:cs="Times New Roman"/>
        </w:rPr>
        <w:t>s</w:t>
      </w:r>
      <w:r>
        <w:rPr>
          <w:rFonts w:ascii="Times New Roman" w:hAnsi="Times New Roman" w:cs="Times New Roman"/>
        </w:rPr>
        <w:t xml:space="preserve"> will be allowed</w:t>
      </w:r>
      <w:r w:rsidRPr="009C4EA5" w:rsidR="00787BAF">
        <w:rPr>
          <w:rFonts w:ascii="Times New Roman" w:hAnsi="Times New Roman" w:cs="Times New Roman"/>
        </w:rPr>
        <w:t xml:space="preserve"> </w:t>
      </w:r>
      <w:r w:rsidR="00787BAF">
        <w:rPr>
          <w:rFonts w:ascii="Times New Roman" w:hAnsi="Times New Roman" w:cs="Times New Roman"/>
        </w:rPr>
        <w:t xml:space="preserve">to </w:t>
      </w:r>
      <w:r w:rsidRPr="009C4EA5" w:rsidR="00787BAF">
        <w:rPr>
          <w:rFonts w:ascii="Times New Roman" w:hAnsi="Times New Roman" w:cs="Times New Roman"/>
        </w:rPr>
        <w:t xml:space="preserve">relinquish their existing licensed spectrum usage rights in exchange for a payment </w:t>
      </w:r>
      <w:r w:rsidR="00787BAF">
        <w:rPr>
          <w:rFonts w:ascii="Times New Roman" w:hAnsi="Times New Roman" w:cs="Times New Roman"/>
        </w:rPr>
        <w:t xml:space="preserve">amount </w:t>
      </w:r>
      <w:r w:rsidRPr="009C4EA5" w:rsidR="00787BAF">
        <w:rPr>
          <w:rFonts w:ascii="Times New Roman" w:hAnsi="Times New Roman" w:cs="Times New Roman"/>
        </w:rPr>
        <w:t>determined by the auction and/or replace existing licenses with new</w:t>
      </w:r>
      <w:r w:rsidR="00787BAF">
        <w:rPr>
          <w:rFonts w:ascii="Times New Roman" w:hAnsi="Times New Roman" w:cs="Times New Roman"/>
        </w:rPr>
        <w:t xml:space="preserve"> unencumbered</w:t>
      </w:r>
      <w:r w:rsidRPr="009C4EA5" w:rsidR="00787BAF">
        <w:rPr>
          <w:rFonts w:ascii="Times New Roman" w:hAnsi="Times New Roman" w:cs="Times New Roman"/>
        </w:rPr>
        <w:t xml:space="preserve"> licenses that will be assigned contiguous frequencies within license areas.</w:t>
      </w:r>
    </w:p>
    <w:p w:rsidR="00090D0E" w:rsidP="00BE3165" w14:paraId="0E836892" w14:textId="631AB258">
      <w:pPr>
        <w:pStyle w:val="ListParagraph"/>
        <w:numPr>
          <w:ilvl w:val="0"/>
          <w:numId w:val="10"/>
        </w:numPr>
        <w:spacing w:line="240" w:lineRule="auto"/>
        <w:ind w:left="1080"/>
        <w:contextualSpacing w:val="0"/>
        <w:rPr>
          <w:rFonts w:ascii="Times New Roman" w:hAnsi="Times New Roman" w:cs="Times New Roman"/>
        </w:rPr>
      </w:pPr>
      <w:r>
        <w:rPr>
          <w:rFonts w:ascii="Times New Roman" w:hAnsi="Times New Roman" w:cs="Times New Roman"/>
        </w:rPr>
        <w:t>E</w:t>
      </w:r>
      <w:r w:rsidRPr="00090D0E">
        <w:rPr>
          <w:rFonts w:ascii="Times New Roman" w:hAnsi="Times New Roman" w:cs="Times New Roman"/>
        </w:rPr>
        <w:t xml:space="preserve">ach incumbent </w:t>
      </w:r>
      <w:r w:rsidR="00C7740B">
        <w:rPr>
          <w:rFonts w:ascii="Times New Roman" w:hAnsi="Times New Roman" w:cs="Times New Roman"/>
        </w:rPr>
        <w:t xml:space="preserve">39 GHz licensee </w:t>
      </w:r>
      <w:r w:rsidRPr="00090D0E">
        <w:rPr>
          <w:rFonts w:ascii="Times New Roman" w:hAnsi="Times New Roman" w:cs="Times New Roman"/>
        </w:rPr>
        <w:t>that does not wish to participate in the auction</w:t>
      </w:r>
      <w:r>
        <w:rPr>
          <w:rFonts w:ascii="Times New Roman" w:hAnsi="Times New Roman" w:cs="Times New Roman"/>
        </w:rPr>
        <w:t xml:space="preserve"> </w:t>
      </w:r>
      <w:r>
        <w:rPr>
          <w:rFonts w:ascii="Times New Roman" w:hAnsi="Times New Roman" w:cs="Times New Roman"/>
        </w:rPr>
        <w:t xml:space="preserve">will be provided </w:t>
      </w:r>
      <w:r w:rsidRPr="00090D0E">
        <w:rPr>
          <w:rFonts w:ascii="Times New Roman" w:hAnsi="Times New Roman" w:cs="Times New Roman"/>
        </w:rPr>
        <w:t>modified licenses for contiguous 100 megahertz blocks covering full PEAs (with possibly up to one partial PEA</w:t>
      </w:r>
      <w:r w:rsidR="00787BAF">
        <w:rPr>
          <w:rFonts w:ascii="Times New Roman" w:hAnsi="Times New Roman" w:cs="Times New Roman"/>
        </w:rPr>
        <w:t>, i.e., covering a smaller geographic area than the entire PEA license area</w:t>
      </w:r>
      <w:r w:rsidRPr="00090D0E">
        <w:rPr>
          <w:rFonts w:ascii="Times New Roman" w:hAnsi="Times New Roman" w:cs="Times New Roman"/>
        </w:rPr>
        <w:t>), leaving these incumbents better able to provide next-generation services.</w:t>
      </w:r>
    </w:p>
    <w:p w:rsidR="00D303DE" w:rsidRPr="0011721C" w:rsidP="00BE3165" w14:paraId="624F5399" w14:textId="64E92F99">
      <w:pPr>
        <w:pStyle w:val="ListParagraph"/>
        <w:numPr>
          <w:ilvl w:val="0"/>
          <w:numId w:val="10"/>
        </w:numPr>
        <w:spacing w:line="240" w:lineRule="auto"/>
        <w:ind w:left="1080"/>
        <w:contextualSpacing w:val="0"/>
        <w:rPr>
          <w:rFonts w:ascii="Times New Roman" w:hAnsi="Times New Roman" w:cs="Times New Roman"/>
        </w:rPr>
      </w:pPr>
      <w:r>
        <w:rPr>
          <w:rFonts w:ascii="Times New Roman" w:hAnsi="Times New Roman" w:cs="Times New Roman"/>
        </w:rPr>
        <w:t>B</w:t>
      </w:r>
      <w:r>
        <w:rPr>
          <w:rFonts w:ascii="Times New Roman" w:hAnsi="Times New Roman" w:cs="Times New Roman"/>
        </w:rPr>
        <w:t xml:space="preserve">oth </w:t>
      </w:r>
      <w:r w:rsidR="00D92735">
        <w:rPr>
          <w:rFonts w:ascii="Times New Roman" w:hAnsi="Times New Roman" w:cs="Times New Roman"/>
        </w:rPr>
        <w:t>incumbent</w:t>
      </w:r>
      <w:r>
        <w:rPr>
          <w:rFonts w:ascii="Times New Roman" w:hAnsi="Times New Roman" w:cs="Times New Roman"/>
        </w:rPr>
        <w:t xml:space="preserve"> 39 GHz license holders and prospective </w:t>
      </w:r>
      <w:r w:rsidRPr="00D303DE">
        <w:rPr>
          <w:rFonts w:ascii="Times New Roman" w:hAnsi="Times New Roman" w:cs="Times New Roman"/>
        </w:rPr>
        <w:t>Upper 37 GHz, 39 GHz, and 47 GHz</w:t>
      </w:r>
      <w:r>
        <w:rPr>
          <w:rFonts w:ascii="Times New Roman" w:hAnsi="Times New Roman" w:cs="Times New Roman"/>
        </w:rPr>
        <w:t xml:space="preserve"> auction participants should close</w:t>
      </w:r>
      <w:r w:rsidR="00D92735">
        <w:rPr>
          <w:rFonts w:ascii="Times New Roman" w:hAnsi="Times New Roman" w:cs="Times New Roman"/>
        </w:rPr>
        <w:t>ly follow</w:t>
      </w:r>
      <w:r>
        <w:rPr>
          <w:rFonts w:ascii="Times New Roman" w:hAnsi="Times New Roman" w:cs="Times New Roman"/>
        </w:rPr>
        <w:t xml:space="preserve"> </w:t>
      </w:r>
      <w:r w:rsidR="00967615">
        <w:rPr>
          <w:rFonts w:ascii="Times New Roman" w:hAnsi="Times New Roman" w:cs="Times New Roman"/>
        </w:rPr>
        <w:t>developments and upcoming deadlines related to this proceeding.</w:t>
      </w:r>
      <w:r w:rsidR="00C017E3">
        <w:rPr>
          <w:rFonts w:ascii="Times New Roman" w:hAnsi="Times New Roman" w:cs="Times New Roman"/>
        </w:rPr>
        <w:t xml:space="preserve">  </w:t>
      </w:r>
      <w:r w:rsidRPr="00C017E3" w:rsidR="00C017E3">
        <w:rPr>
          <w:rFonts w:ascii="Times New Roman" w:hAnsi="Times New Roman" w:cs="Times New Roman"/>
        </w:rPr>
        <w:t>The Commission will develop and detail all</w:t>
      </w:r>
      <w:r w:rsidR="00C02A62">
        <w:rPr>
          <w:rFonts w:ascii="Times New Roman" w:hAnsi="Times New Roman" w:cs="Times New Roman"/>
        </w:rPr>
        <w:t xml:space="preserve"> of</w:t>
      </w:r>
      <w:r w:rsidRPr="00C017E3" w:rsidR="00C017E3">
        <w:rPr>
          <w:rFonts w:ascii="Times New Roman" w:hAnsi="Times New Roman" w:cs="Times New Roman"/>
        </w:rPr>
        <w:t xml:space="preserve"> the procedures necessary to implement the decisions in</w:t>
      </w:r>
      <w:r w:rsidR="006F13CA">
        <w:rPr>
          <w:rFonts w:ascii="Times New Roman" w:hAnsi="Times New Roman" w:cs="Times New Roman"/>
        </w:rPr>
        <w:t xml:space="preserve"> the</w:t>
      </w:r>
      <w:r w:rsidRPr="00C017E3" w:rsidR="00C017E3">
        <w:rPr>
          <w:rFonts w:ascii="Times New Roman" w:hAnsi="Times New Roman" w:cs="Times New Roman"/>
        </w:rPr>
        <w:t xml:space="preserve"> </w:t>
      </w:r>
      <w:r w:rsidRPr="00A21BAF" w:rsidR="00C017E3">
        <w:rPr>
          <w:rFonts w:ascii="Times New Roman" w:hAnsi="Times New Roman" w:cs="Times New Roman"/>
          <w:i/>
        </w:rPr>
        <w:t>Fourt</w:t>
      </w:r>
      <w:r w:rsidRPr="00A21BAF" w:rsidR="006F13CA">
        <w:rPr>
          <w:rFonts w:ascii="Times New Roman" w:hAnsi="Times New Roman" w:cs="Times New Roman"/>
          <w:i/>
        </w:rPr>
        <w:t>h Report</w:t>
      </w:r>
      <w:r w:rsidRPr="00A21BAF" w:rsidR="00C017E3">
        <w:rPr>
          <w:rFonts w:ascii="Times New Roman" w:hAnsi="Times New Roman" w:cs="Times New Roman"/>
          <w:i/>
        </w:rPr>
        <w:t xml:space="preserve"> and Order</w:t>
      </w:r>
      <w:r w:rsidRPr="00C017E3" w:rsidR="00C017E3">
        <w:rPr>
          <w:rFonts w:ascii="Times New Roman" w:hAnsi="Times New Roman" w:cs="Times New Roman"/>
        </w:rPr>
        <w:t xml:space="preserve"> in a pre-auction process framed by an Auction Comment Public Notice and Auction Procedures Public Notice</w:t>
      </w:r>
      <w:r w:rsidR="006F13CA">
        <w:rPr>
          <w:rFonts w:ascii="Times New Roman" w:hAnsi="Times New Roman" w:cs="Times New Roman"/>
        </w:rPr>
        <w:t>.</w:t>
      </w:r>
      <w:r w:rsidR="006678D7">
        <w:rPr>
          <w:rFonts w:ascii="Times New Roman" w:hAnsi="Times New Roman" w:cs="Times New Roman"/>
        </w:rPr>
        <w:t xml:space="preserve"> </w:t>
      </w:r>
    </w:p>
    <w:p w:rsidR="00007FAA" w:rsidRPr="00007FAA" w:rsidP="00250E4F" w14:paraId="1846F504" w14:textId="77777777">
      <w:pPr>
        <w:pStyle w:val="Heading3"/>
      </w:pPr>
      <w:r>
        <w:t>Incumbent</w:t>
      </w:r>
      <w:r w:rsidR="00D731FE">
        <w:t xml:space="preserve"> </w:t>
      </w:r>
      <w:r w:rsidR="00787BAF">
        <w:t>39 GHz</w:t>
      </w:r>
      <w:r>
        <w:t xml:space="preserve"> Licensees</w:t>
      </w:r>
      <w:r>
        <w:rPr>
          <w:rStyle w:val="FootnoteReference"/>
        </w:rPr>
        <w:footnoteReference w:id="7"/>
      </w:r>
    </w:p>
    <w:p w:rsidR="001F6DA7" w:rsidRPr="00D92735" w:rsidP="0059789C" w14:paraId="75326B86" w14:textId="77777777">
      <w:pPr>
        <w:pStyle w:val="ListParagraph"/>
        <w:numPr>
          <w:ilvl w:val="0"/>
          <w:numId w:val="10"/>
        </w:numPr>
        <w:spacing w:line="240" w:lineRule="auto"/>
        <w:ind w:left="1080"/>
        <w:contextualSpacing w:val="0"/>
        <w:rPr>
          <w:rFonts w:ascii="Times New Roman" w:hAnsi="Times New Roman" w:cs="Times New Roman"/>
          <w:i/>
        </w:rPr>
      </w:pPr>
      <w:r w:rsidRPr="00D92735">
        <w:rPr>
          <w:rFonts w:ascii="Times New Roman" w:eastAsia="Times New Roman" w:hAnsi="Times New Roman" w:cs="Times New Roman"/>
          <w:i/>
          <w:snapToGrid w:val="0"/>
          <w:kern w:val="28"/>
          <w:szCs w:val="20"/>
        </w:rPr>
        <w:t>Modifying 39 GHz Licenses Based on Reconfigured Spectrum Usage Rights</w:t>
      </w:r>
    </w:p>
    <w:p w:rsidR="008C627B" w:rsidP="00C9452C" w14:paraId="6F13D5A0" w14:textId="441928B1">
      <w:pPr>
        <w:pStyle w:val="ListParagraph"/>
        <w:numPr>
          <w:ilvl w:val="1"/>
          <w:numId w:val="10"/>
        </w:numPr>
        <w:spacing w:line="240" w:lineRule="auto"/>
        <w:contextualSpacing w:val="0"/>
        <w:rPr>
          <w:rFonts w:ascii="Times New Roman" w:hAnsi="Times New Roman" w:cs="Times New Roman"/>
        </w:rPr>
      </w:pPr>
      <w:r w:rsidRPr="00C9452C">
        <w:rPr>
          <w:rFonts w:ascii="Times New Roman" w:hAnsi="Times New Roman" w:cs="Times New Roman"/>
        </w:rPr>
        <w:t xml:space="preserve">Prior to the </w:t>
      </w:r>
      <w:r w:rsidRPr="00C9452C" w:rsidR="00814BA0">
        <w:rPr>
          <w:rFonts w:ascii="Times New Roman" w:hAnsi="Times New Roman" w:cs="Times New Roman"/>
        </w:rPr>
        <w:t xml:space="preserve">incentive </w:t>
      </w:r>
      <w:r w:rsidRPr="00C9452C">
        <w:rPr>
          <w:rFonts w:ascii="Times New Roman" w:hAnsi="Times New Roman" w:cs="Times New Roman"/>
        </w:rPr>
        <w:t xml:space="preserve">auction, </w:t>
      </w:r>
      <w:r w:rsidRPr="00C9452C" w:rsidR="003A0710">
        <w:rPr>
          <w:rFonts w:ascii="Times New Roman" w:hAnsi="Times New Roman" w:cs="Times New Roman"/>
        </w:rPr>
        <w:t xml:space="preserve">the Commission will offer </w:t>
      </w:r>
      <w:r w:rsidRPr="00C9452C">
        <w:rPr>
          <w:rFonts w:ascii="Times New Roman" w:hAnsi="Times New Roman" w:cs="Times New Roman"/>
        </w:rPr>
        <w:t>each incumbent 39 GHz license</w:t>
      </w:r>
      <w:r w:rsidRPr="00C9452C" w:rsidR="00FA4075">
        <w:rPr>
          <w:rFonts w:ascii="Times New Roman" w:hAnsi="Times New Roman" w:cs="Times New Roman"/>
        </w:rPr>
        <w:t>e</w:t>
      </w:r>
      <w:r w:rsidRPr="00C9452C">
        <w:rPr>
          <w:rFonts w:ascii="Times New Roman" w:hAnsi="Times New Roman" w:cs="Times New Roman"/>
        </w:rPr>
        <w:t xml:space="preserve"> a reconfiguration of its existing spectrum usage rights that will conform more closely with the new band plan. </w:t>
      </w:r>
      <w:r w:rsidRPr="00C9452C" w:rsidR="00F937EB">
        <w:rPr>
          <w:rFonts w:ascii="Times New Roman" w:hAnsi="Times New Roman" w:cs="Times New Roman"/>
        </w:rPr>
        <w:t xml:space="preserve"> </w:t>
      </w:r>
      <w:r w:rsidRPr="00C9452C">
        <w:rPr>
          <w:rFonts w:ascii="Times New Roman" w:hAnsi="Times New Roman" w:cs="Times New Roman"/>
        </w:rPr>
        <w:t xml:space="preserve">These reconfigurations will </w:t>
      </w:r>
      <w:r w:rsidRPr="00C9452C" w:rsidR="00B42171">
        <w:rPr>
          <w:rFonts w:ascii="Times New Roman" w:hAnsi="Times New Roman" w:cs="Times New Roman"/>
        </w:rPr>
        <w:t xml:space="preserve">reduce the total number of partial PEA block holdings </w:t>
      </w:r>
      <w:r w:rsidRPr="00C9452C">
        <w:rPr>
          <w:rFonts w:ascii="Times New Roman" w:hAnsi="Times New Roman" w:cs="Times New Roman"/>
        </w:rPr>
        <w:t xml:space="preserve">and </w:t>
      </w:r>
      <w:r w:rsidRPr="00C9452C">
        <w:rPr>
          <w:rFonts w:ascii="Times New Roman" w:hAnsi="Times New Roman" w:cs="Times New Roman"/>
        </w:rPr>
        <w:t>maintain the overall value of spectrum usage rights by quantifying those rights by weighted MHz-Pops (bandwidth times covered population).</w:t>
      </w:r>
      <w:r w:rsidRPr="00C9452C" w:rsidR="00814BA0">
        <w:rPr>
          <w:rFonts w:ascii="Times New Roman" w:hAnsi="Times New Roman" w:cs="Times New Roman"/>
        </w:rPr>
        <w:t xml:space="preserve">  </w:t>
      </w:r>
      <w:r w:rsidRPr="00C9452C" w:rsidR="00776D56">
        <w:rPr>
          <w:rFonts w:ascii="Times New Roman" w:hAnsi="Times New Roman" w:cs="Times New Roman"/>
        </w:rPr>
        <w:t>As a result of reconfiguration</w:t>
      </w:r>
      <w:r w:rsidRPr="00C9452C">
        <w:rPr>
          <w:rFonts w:ascii="Times New Roman" w:hAnsi="Times New Roman" w:cs="Times New Roman"/>
        </w:rPr>
        <w:t xml:space="preserve">, each incumbent </w:t>
      </w:r>
      <w:r w:rsidRPr="00C9452C" w:rsidR="00776D56">
        <w:rPr>
          <w:rFonts w:ascii="Times New Roman" w:hAnsi="Times New Roman" w:cs="Times New Roman"/>
        </w:rPr>
        <w:t xml:space="preserve">will </w:t>
      </w:r>
      <w:r w:rsidRPr="00C9452C">
        <w:rPr>
          <w:rFonts w:ascii="Times New Roman" w:hAnsi="Times New Roman" w:cs="Times New Roman"/>
        </w:rPr>
        <w:t xml:space="preserve">hold </w:t>
      </w:r>
      <w:r w:rsidRPr="00C9452C" w:rsidR="00622137">
        <w:rPr>
          <w:rFonts w:ascii="Times New Roman" w:hAnsi="Times New Roman" w:cs="Times New Roman"/>
        </w:rPr>
        <w:t xml:space="preserve">contiguous whole blocks and </w:t>
      </w:r>
      <w:r w:rsidRPr="00C9452C">
        <w:rPr>
          <w:rFonts w:ascii="Times New Roman" w:hAnsi="Times New Roman" w:cs="Times New Roman"/>
        </w:rPr>
        <w:t xml:space="preserve">at most one partial PEA block, </w:t>
      </w:r>
      <w:r w:rsidRPr="00C9452C" w:rsidR="004930CD">
        <w:rPr>
          <w:rFonts w:ascii="Times New Roman" w:hAnsi="Times New Roman" w:cs="Times New Roman"/>
        </w:rPr>
        <w:t xml:space="preserve">in a </w:t>
      </w:r>
      <w:r w:rsidRPr="00C9452C">
        <w:rPr>
          <w:rFonts w:ascii="Times New Roman" w:hAnsi="Times New Roman" w:cs="Times New Roman"/>
        </w:rPr>
        <w:t>PEA in which it has existing holdings.</w:t>
      </w:r>
    </w:p>
    <w:p w:rsidR="00C9452C" w:rsidRPr="00A21BAF" w:rsidP="00C9452C" w14:paraId="143AF04F" w14:textId="37E9CD4D">
      <w:pPr>
        <w:pStyle w:val="ListParagraph"/>
        <w:numPr>
          <w:ilvl w:val="1"/>
          <w:numId w:val="10"/>
        </w:numPr>
        <w:spacing w:line="240" w:lineRule="auto"/>
        <w:contextualSpacing w:val="0"/>
        <w:rPr>
          <w:rFonts w:ascii="Times New Roman" w:hAnsi="Times New Roman" w:cs="Times New Roman"/>
        </w:rPr>
      </w:pPr>
      <w:r w:rsidRPr="00A21BAF">
        <w:rPr>
          <w:rFonts w:ascii="Times New Roman" w:hAnsi="Times New Roman" w:cs="Times New Roman"/>
        </w:rPr>
        <w:t>Each incumbent will be given an option to choose an alternate reconfiguration, subject to certain constraints (described below), in order to more closely align the reconfiguration with the incumbent’s interests, such as current operations.</w:t>
      </w:r>
    </w:p>
    <w:p w:rsidR="00C9452C" w:rsidP="00C9452C" w14:paraId="1F75E0EF" w14:textId="1B284318">
      <w:pPr>
        <w:pStyle w:val="ListParagraph"/>
        <w:numPr>
          <w:ilvl w:val="1"/>
          <w:numId w:val="10"/>
        </w:numPr>
        <w:spacing w:line="240" w:lineRule="auto"/>
        <w:contextualSpacing w:val="0"/>
        <w:rPr>
          <w:rFonts w:ascii="Times New Roman" w:hAnsi="Times New Roman" w:cs="Times New Roman"/>
        </w:rPr>
      </w:pPr>
      <w:r>
        <w:rPr>
          <w:rFonts w:ascii="Times New Roman" w:hAnsi="Times New Roman" w:cs="Times New Roman"/>
        </w:rPr>
        <w:t xml:space="preserve">Each incumbent will be provided a proposed modification implementing the decisions in the </w:t>
      </w:r>
      <w:r w:rsidRPr="00A21BAF">
        <w:rPr>
          <w:rFonts w:ascii="Times New Roman" w:hAnsi="Times New Roman" w:cs="Times New Roman"/>
          <w:i/>
        </w:rPr>
        <w:t>Fourth Report and Order</w:t>
      </w:r>
      <w:r>
        <w:rPr>
          <w:rFonts w:ascii="Times New Roman" w:hAnsi="Times New Roman" w:cs="Times New Roman"/>
        </w:rPr>
        <w:t xml:space="preserve"> in advance of the auction application window.</w:t>
      </w:r>
    </w:p>
    <w:p w:rsidR="009C7525" w:rsidP="00C9452C" w14:paraId="72A2B626" w14:textId="6E1ADCD7">
      <w:pPr>
        <w:pStyle w:val="ListParagraph"/>
        <w:numPr>
          <w:ilvl w:val="1"/>
          <w:numId w:val="10"/>
        </w:numPr>
        <w:spacing w:line="240" w:lineRule="auto"/>
        <w:contextualSpacing w:val="0"/>
        <w:rPr>
          <w:rFonts w:ascii="Times New Roman" w:hAnsi="Times New Roman" w:cs="Times New Roman"/>
          <w:i/>
        </w:rPr>
      </w:pPr>
      <w:r w:rsidRPr="00A21BAF">
        <w:rPr>
          <w:rFonts w:ascii="Times New Roman" w:hAnsi="Times New Roman" w:cs="Times New Roman"/>
        </w:rPr>
        <w:t>All existing licenses are subject to change, regardless of the licensee’s participation in the incentive auction, in order to implement the Commission’s transition to a new band plan and service rules for the 39 GHz band.  Such modifications will include both frequency reassignments and, in many cases, geographical reassignments</w:t>
      </w:r>
      <w:r w:rsidR="00FD70F5">
        <w:rPr>
          <w:rFonts w:ascii="Times New Roman" w:hAnsi="Times New Roman" w:cs="Times New Roman"/>
        </w:rPr>
        <w:t>.</w:t>
      </w:r>
      <w:r w:rsidRPr="00A21BAF">
        <w:rPr>
          <w:rFonts w:ascii="Times New Roman" w:hAnsi="Times New Roman" w:cs="Times New Roman"/>
          <w:i/>
        </w:rPr>
        <w:t xml:space="preserve"> </w:t>
      </w:r>
    </w:p>
    <w:p w:rsidR="001A4206" w:rsidRPr="001A4206" w:rsidP="00C9452C" w14:paraId="1797286E" w14:textId="64E31887">
      <w:pPr>
        <w:pStyle w:val="ListParagraph"/>
        <w:numPr>
          <w:ilvl w:val="1"/>
          <w:numId w:val="10"/>
        </w:numPr>
        <w:spacing w:line="240" w:lineRule="auto"/>
        <w:contextualSpacing w:val="0"/>
        <w:rPr>
          <w:rFonts w:ascii="Times New Roman" w:hAnsi="Times New Roman" w:cs="Times New Roman"/>
        </w:rPr>
      </w:pPr>
      <w:r w:rsidRPr="00A21BAF">
        <w:rPr>
          <w:rFonts w:ascii="Times New Roman" w:hAnsi="Times New Roman" w:cs="Times New Roman"/>
        </w:rPr>
        <w:t xml:space="preserve">Separate licenses held by entities that control or are controlled by each other and/or have controlling ownership interests in common will be treated as held by one incumbent.  For </w:t>
      </w:r>
      <w:r w:rsidRPr="00A21BAF">
        <w:rPr>
          <w:rFonts w:ascii="Times New Roman" w:hAnsi="Times New Roman" w:cs="Times New Roman"/>
        </w:rPr>
        <w:t>this purpose, we will use the definition of “controlling interest” as an entity with de jure or de facto control that we use with respect to auction applications, specifically the rule prohibiting an individual or entity from having a controlling interest in more than one application to participate in the auction</w:t>
      </w:r>
      <w:r>
        <w:rPr>
          <w:rFonts w:ascii="Times New Roman" w:hAnsi="Times New Roman" w:cs="Times New Roman"/>
        </w:rPr>
        <w:t>.</w:t>
      </w:r>
    </w:p>
    <w:p w:rsidR="00331BDE" w:rsidRPr="00D92735" w:rsidP="000456D7" w14:paraId="66F75136" w14:textId="77777777">
      <w:pPr>
        <w:pStyle w:val="ListParagraph"/>
        <w:numPr>
          <w:ilvl w:val="0"/>
          <w:numId w:val="10"/>
        </w:numPr>
        <w:spacing w:line="240" w:lineRule="auto"/>
        <w:ind w:left="1080"/>
        <w:contextualSpacing w:val="0"/>
        <w:rPr>
          <w:rFonts w:ascii="Times New Roman" w:hAnsi="Times New Roman" w:cs="Times New Roman"/>
          <w:i/>
        </w:rPr>
      </w:pPr>
      <w:r w:rsidRPr="00D92735">
        <w:rPr>
          <w:rFonts w:ascii="Times New Roman" w:hAnsi="Times New Roman" w:cs="Times New Roman"/>
          <w:i/>
        </w:rPr>
        <w:t>Incumbent Options Following Reconfiguration</w:t>
      </w:r>
    </w:p>
    <w:p w:rsidR="00331BDE" w:rsidP="00331BDE" w14:paraId="38F368A6" w14:textId="77777777">
      <w:pPr>
        <w:pStyle w:val="ListParagraph"/>
        <w:numPr>
          <w:ilvl w:val="1"/>
          <w:numId w:val="10"/>
        </w:numPr>
        <w:spacing w:line="240" w:lineRule="auto"/>
        <w:contextualSpacing w:val="0"/>
        <w:rPr>
          <w:rFonts w:ascii="Times New Roman" w:hAnsi="Times New Roman" w:cs="Times New Roman"/>
        </w:rPr>
      </w:pPr>
      <w:r w:rsidRPr="00331BDE">
        <w:rPr>
          <w:rFonts w:ascii="Times New Roman" w:hAnsi="Times New Roman" w:cs="Times New Roman"/>
        </w:rPr>
        <w:t xml:space="preserve">After reconfiguration </w:t>
      </w:r>
      <w:r w:rsidRPr="00331BDE" w:rsidR="004930CD">
        <w:rPr>
          <w:rFonts w:ascii="Times New Roman" w:hAnsi="Times New Roman" w:cs="Times New Roman"/>
        </w:rPr>
        <w:t xml:space="preserve">results </w:t>
      </w:r>
      <w:r w:rsidRPr="00331BDE">
        <w:rPr>
          <w:rFonts w:ascii="Times New Roman" w:hAnsi="Times New Roman" w:cs="Times New Roman"/>
        </w:rPr>
        <w:t xml:space="preserve">are announced, an incumbent 39 GHz licensee will have three options.  It can choose to: (1) have its licenses modified based on the Commission’s proposed reconfiguration of its holdings; or (2) have its licenses modified based on its </w:t>
      </w:r>
      <w:r w:rsidR="00622137">
        <w:rPr>
          <w:rFonts w:ascii="Times New Roman" w:hAnsi="Times New Roman" w:cs="Times New Roman"/>
        </w:rPr>
        <w:t xml:space="preserve">own </w:t>
      </w:r>
      <w:r w:rsidRPr="00331BDE">
        <w:rPr>
          <w:rFonts w:ascii="Times New Roman" w:hAnsi="Times New Roman" w:cs="Times New Roman"/>
        </w:rPr>
        <w:t xml:space="preserve">proposed alternative reconfiguration </w:t>
      </w:r>
      <w:r w:rsidR="00622137">
        <w:rPr>
          <w:rFonts w:ascii="Times New Roman" w:hAnsi="Times New Roman" w:cs="Times New Roman"/>
        </w:rPr>
        <w:t xml:space="preserve">as long as </w:t>
      </w:r>
      <w:r w:rsidRPr="00331BDE">
        <w:rPr>
          <w:rFonts w:ascii="Times New Roman" w:hAnsi="Times New Roman" w:cs="Times New Roman"/>
        </w:rPr>
        <w:t xml:space="preserve">that </w:t>
      </w:r>
      <w:r w:rsidR="00A071DD">
        <w:rPr>
          <w:rFonts w:ascii="Times New Roman" w:hAnsi="Times New Roman" w:cs="Times New Roman"/>
        </w:rPr>
        <w:t xml:space="preserve">alternative reconfiguration </w:t>
      </w:r>
      <w:r w:rsidRPr="00331BDE">
        <w:rPr>
          <w:rFonts w:ascii="Times New Roman" w:hAnsi="Times New Roman" w:cs="Times New Roman"/>
        </w:rPr>
        <w:t>satisfies certain specified conditions; or (3) commit to relinquish its licenses in exchange for an incentive payment and/or the ability to bid for new licenses.</w:t>
      </w:r>
    </w:p>
    <w:p w:rsidR="00A31D31" w:rsidP="00D731FE" w14:paraId="051E341D" w14:textId="29E56119">
      <w:pPr>
        <w:pStyle w:val="ListParagraph"/>
        <w:numPr>
          <w:ilvl w:val="1"/>
          <w:numId w:val="10"/>
        </w:numPr>
        <w:spacing w:line="240" w:lineRule="auto"/>
        <w:contextualSpacing w:val="0"/>
        <w:rPr>
          <w:rFonts w:ascii="Times New Roman" w:hAnsi="Times New Roman" w:cs="Times New Roman"/>
        </w:rPr>
      </w:pPr>
      <w:r w:rsidRPr="00A31D31">
        <w:rPr>
          <w:rFonts w:ascii="Times New Roman" w:hAnsi="Times New Roman" w:cs="Times New Roman"/>
        </w:rPr>
        <w:t xml:space="preserve">Once </w:t>
      </w:r>
      <w:r w:rsidR="00C02A62">
        <w:rPr>
          <w:rFonts w:ascii="Times New Roman" w:hAnsi="Times New Roman" w:cs="Times New Roman"/>
        </w:rPr>
        <w:t>the incumbents have</w:t>
      </w:r>
      <w:r w:rsidRPr="00A31D31">
        <w:rPr>
          <w:rFonts w:ascii="Times New Roman" w:hAnsi="Times New Roman" w:cs="Times New Roman"/>
        </w:rPr>
        <w:t xml:space="preserve"> review</w:t>
      </w:r>
      <w:r w:rsidR="00C02A62">
        <w:rPr>
          <w:rFonts w:ascii="Times New Roman" w:hAnsi="Times New Roman" w:cs="Times New Roman"/>
        </w:rPr>
        <w:t>ed</w:t>
      </w:r>
      <w:r w:rsidRPr="00A31D31">
        <w:rPr>
          <w:rFonts w:ascii="Times New Roman" w:hAnsi="Times New Roman" w:cs="Times New Roman"/>
        </w:rPr>
        <w:t xml:space="preserve"> the results of the Commission’s reconfiguration, each incumbent will be allowed to propose modifications to its existing licenses before it decides whether it will participate in the auction.  If the incumbent ultimately decides to participate in the auction, however, any proposed modifications to its existing licenses will not have any effect.</w:t>
      </w:r>
    </w:p>
    <w:p w:rsidR="00D731FE" w:rsidP="00D731FE" w14:paraId="6D026E96" w14:textId="5C09F58E">
      <w:pPr>
        <w:pStyle w:val="ListParagraph"/>
        <w:numPr>
          <w:ilvl w:val="1"/>
          <w:numId w:val="10"/>
        </w:numPr>
        <w:spacing w:line="240" w:lineRule="auto"/>
        <w:contextualSpacing w:val="0"/>
        <w:rPr>
          <w:rFonts w:ascii="Times New Roman" w:hAnsi="Times New Roman" w:cs="Times New Roman"/>
        </w:rPr>
      </w:pPr>
      <w:r>
        <w:rPr>
          <w:rFonts w:ascii="Times New Roman" w:hAnsi="Times New Roman" w:cs="Times New Roman"/>
        </w:rPr>
        <w:t>A</w:t>
      </w:r>
      <w:r w:rsidRPr="005C0469">
        <w:rPr>
          <w:rFonts w:ascii="Times New Roman" w:hAnsi="Times New Roman" w:cs="Times New Roman"/>
        </w:rPr>
        <w:t xml:space="preserve">n incumbent </w:t>
      </w:r>
      <w:r>
        <w:rPr>
          <w:rFonts w:ascii="Times New Roman" w:hAnsi="Times New Roman" w:cs="Times New Roman"/>
        </w:rPr>
        <w:t xml:space="preserve">that </w:t>
      </w:r>
      <w:r w:rsidRPr="005C0469">
        <w:rPr>
          <w:rFonts w:ascii="Times New Roman" w:hAnsi="Times New Roman" w:cs="Times New Roman"/>
        </w:rPr>
        <w:t>choos</w:t>
      </w:r>
      <w:r>
        <w:rPr>
          <w:rFonts w:ascii="Times New Roman" w:hAnsi="Times New Roman" w:cs="Times New Roman"/>
        </w:rPr>
        <w:t>es</w:t>
      </w:r>
      <w:r w:rsidRPr="005C0469">
        <w:rPr>
          <w:rFonts w:ascii="Times New Roman" w:hAnsi="Times New Roman" w:cs="Times New Roman"/>
        </w:rPr>
        <w:t xml:space="preserve"> to have its licenses modified, either b</w:t>
      </w:r>
      <w:r>
        <w:rPr>
          <w:rFonts w:ascii="Times New Roman" w:hAnsi="Times New Roman" w:cs="Times New Roman"/>
        </w:rPr>
        <w:t>ased on</w:t>
      </w:r>
      <w:r w:rsidRPr="005C0469">
        <w:rPr>
          <w:rFonts w:ascii="Times New Roman" w:hAnsi="Times New Roman" w:cs="Times New Roman"/>
        </w:rPr>
        <w:t xml:space="preserve"> the Commission</w:t>
      </w:r>
      <w:r>
        <w:rPr>
          <w:rFonts w:ascii="Times New Roman" w:hAnsi="Times New Roman" w:cs="Times New Roman"/>
        </w:rPr>
        <w:t>’s proposed reconfiguration</w:t>
      </w:r>
      <w:r w:rsidRPr="005C0469">
        <w:rPr>
          <w:rFonts w:ascii="Times New Roman" w:hAnsi="Times New Roman" w:cs="Times New Roman"/>
        </w:rPr>
        <w:t xml:space="preserve"> or under an acceptable alternative </w:t>
      </w:r>
      <w:r>
        <w:rPr>
          <w:rFonts w:ascii="Times New Roman" w:hAnsi="Times New Roman" w:cs="Times New Roman"/>
        </w:rPr>
        <w:t>reconfiguration</w:t>
      </w:r>
      <w:r w:rsidRPr="005C0469">
        <w:rPr>
          <w:rFonts w:ascii="Times New Roman" w:hAnsi="Times New Roman" w:cs="Times New Roman"/>
        </w:rPr>
        <w:t>, cannot bid on new licenses in the incentive auction</w:t>
      </w:r>
      <w:r>
        <w:rPr>
          <w:rFonts w:ascii="Times New Roman" w:hAnsi="Times New Roman" w:cs="Times New Roman"/>
        </w:rPr>
        <w:t xml:space="preserve"> or </w:t>
      </w:r>
      <w:r w:rsidRPr="00082622">
        <w:rPr>
          <w:rFonts w:ascii="Times New Roman" w:hAnsi="Times New Roman" w:cs="Times New Roman"/>
        </w:rPr>
        <w:t>relinquish any full block licenses in exchange for incentive payments</w:t>
      </w:r>
      <w:r>
        <w:rPr>
          <w:rFonts w:ascii="Times New Roman" w:hAnsi="Times New Roman" w:cs="Times New Roman"/>
        </w:rPr>
        <w:t>.  I</w:t>
      </w:r>
      <w:r w:rsidRPr="005C0469">
        <w:rPr>
          <w:rFonts w:ascii="Times New Roman" w:hAnsi="Times New Roman" w:cs="Times New Roman"/>
        </w:rPr>
        <w:t>t will</w:t>
      </w:r>
      <w:r>
        <w:rPr>
          <w:rFonts w:ascii="Times New Roman" w:hAnsi="Times New Roman" w:cs="Times New Roman"/>
        </w:rPr>
        <w:t>, however,</w:t>
      </w:r>
      <w:r w:rsidRPr="005C0469">
        <w:rPr>
          <w:rFonts w:ascii="Times New Roman" w:hAnsi="Times New Roman" w:cs="Times New Roman"/>
        </w:rPr>
        <w:t xml:space="preserve"> be allowed to relinquish the licensed spectrum usage rights associated with its single partial PEA block holding in exchange for an incentive payment.  </w:t>
      </w:r>
    </w:p>
    <w:p w:rsidR="00D731FE" w:rsidRPr="00107EDF" w:rsidP="00D731FE" w14:paraId="115958DF" w14:textId="77777777">
      <w:pPr>
        <w:pStyle w:val="ListParagraph"/>
        <w:numPr>
          <w:ilvl w:val="1"/>
          <w:numId w:val="10"/>
        </w:numPr>
        <w:spacing w:line="240" w:lineRule="auto"/>
        <w:contextualSpacing w:val="0"/>
        <w:rPr>
          <w:rFonts w:ascii="Times New Roman" w:hAnsi="Times New Roman" w:cs="Times New Roman"/>
        </w:rPr>
      </w:pPr>
      <w:r w:rsidRPr="00082622">
        <w:rPr>
          <w:rFonts w:ascii="Times New Roman" w:hAnsi="Times New Roman" w:cs="Times New Roman"/>
        </w:rPr>
        <w:t>An incumbent that chooses to accept reconfigured holdings</w:t>
      </w:r>
      <w:r>
        <w:rPr>
          <w:rFonts w:ascii="Times New Roman" w:hAnsi="Times New Roman" w:cs="Times New Roman"/>
        </w:rPr>
        <w:t xml:space="preserve"> </w:t>
      </w:r>
      <w:r w:rsidRPr="00082622">
        <w:rPr>
          <w:rFonts w:ascii="Times New Roman" w:hAnsi="Times New Roman" w:cs="Times New Roman"/>
        </w:rPr>
        <w:t>will have frequency-specific licenses assigned for its reconfigured holdings after the incentive auction has concluded.</w:t>
      </w:r>
    </w:p>
    <w:p w:rsidR="008E1A8C" w:rsidP="00331BDE" w14:paraId="2BB3178A" w14:textId="77777777">
      <w:pPr>
        <w:pStyle w:val="ListParagraph"/>
        <w:numPr>
          <w:ilvl w:val="1"/>
          <w:numId w:val="10"/>
        </w:numPr>
        <w:spacing w:line="240" w:lineRule="auto"/>
        <w:contextualSpacing w:val="0"/>
        <w:rPr>
          <w:rFonts w:ascii="Times New Roman" w:hAnsi="Times New Roman" w:cs="Times New Roman"/>
        </w:rPr>
      </w:pPr>
      <w:r>
        <w:rPr>
          <w:rFonts w:ascii="Times New Roman" w:hAnsi="Times New Roman" w:cs="Times New Roman"/>
        </w:rPr>
        <w:t>Incumbent 39 GHz licensees that propose an</w:t>
      </w:r>
      <w:r>
        <w:rPr>
          <w:rFonts w:ascii="Times New Roman" w:hAnsi="Times New Roman" w:cs="Times New Roman"/>
        </w:rPr>
        <w:t xml:space="preserve"> alternate reconfiguration</w:t>
      </w:r>
      <w:r>
        <w:rPr>
          <w:rFonts w:ascii="Times New Roman" w:hAnsi="Times New Roman" w:cs="Times New Roman"/>
        </w:rPr>
        <w:t xml:space="preserve"> must provide an alternative reconfiguration that meets the following constraints</w:t>
      </w:r>
      <w:r>
        <w:rPr>
          <w:rFonts w:ascii="Times New Roman" w:hAnsi="Times New Roman" w:cs="Times New Roman"/>
        </w:rPr>
        <w:t>:</w:t>
      </w:r>
    </w:p>
    <w:p w:rsidR="0000174B" w:rsidP="00714115" w14:paraId="109AC946" w14:textId="77777777">
      <w:pPr>
        <w:pStyle w:val="ListParagraph"/>
        <w:numPr>
          <w:ilvl w:val="3"/>
          <w:numId w:val="26"/>
        </w:numPr>
        <w:spacing w:line="240" w:lineRule="auto"/>
        <w:ind w:left="1800"/>
        <w:contextualSpacing w:val="0"/>
        <w:rPr>
          <w:rFonts w:ascii="Times New Roman" w:hAnsi="Times New Roman" w:cs="Times New Roman"/>
        </w:rPr>
      </w:pPr>
      <w:r>
        <w:rPr>
          <w:rFonts w:ascii="Times New Roman" w:hAnsi="Times New Roman" w:cs="Times New Roman"/>
        </w:rPr>
        <w:t>A</w:t>
      </w:r>
      <w:r w:rsidRPr="005C0469">
        <w:rPr>
          <w:rFonts w:ascii="Times New Roman" w:hAnsi="Times New Roman" w:cs="Times New Roman"/>
        </w:rPr>
        <w:t>ggregate holdings in a PEA can only be reduced to the greatest integer less than or equal to the incumbent’s aggregate initial holdings or increased up to the least integer greater than or equal to the incumbent’s aggregate initial holdings</w:t>
      </w:r>
      <w:r>
        <w:rPr>
          <w:rFonts w:ascii="Times New Roman" w:hAnsi="Times New Roman" w:cs="Times New Roman"/>
        </w:rPr>
        <w:t xml:space="preserve">; </w:t>
      </w:r>
    </w:p>
    <w:p w:rsidR="00622137" w:rsidP="00714115" w14:paraId="1D28487D" w14:textId="77777777">
      <w:pPr>
        <w:pStyle w:val="ListParagraph"/>
        <w:numPr>
          <w:ilvl w:val="3"/>
          <w:numId w:val="26"/>
        </w:numPr>
        <w:spacing w:line="240" w:lineRule="auto"/>
        <w:ind w:left="1800"/>
        <w:contextualSpacing w:val="0"/>
        <w:rPr>
          <w:rFonts w:ascii="Times New Roman" w:hAnsi="Times New Roman" w:cs="Times New Roman"/>
        </w:rPr>
      </w:pPr>
      <w:r>
        <w:rPr>
          <w:rFonts w:ascii="Times New Roman" w:hAnsi="Times New Roman" w:cs="Times New Roman"/>
        </w:rPr>
        <w:t>All holdings may only be in PEAs in which the incumbent has existing holdings; and</w:t>
      </w:r>
    </w:p>
    <w:p w:rsidR="008E1A8C" w:rsidRPr="0033248C" w:rsidP="00714115" w14:paraId="2D71B6E2" w14:textId="77777777">
      <w:pPr>
        <w:pStyle w:val="ListParagraph"/>
        <w:numPr>
          <w:ilvl w:val="3"/>
          <w:numId w:val="26"/>
        </w:numPr>
        <w:spacing w:line="240" w:lineRule="auto"/>
        <w:ind w:left="1800"/>
        <w:contextualSpacing w:val="0"/>
        <w:rPr>
          <w:rFonts w:ascii="Times New Roman" w:hAnsi="Times New Roman" w:cs="Times New Roman"/>
        </w:rPr>
      </w:pPr>
      <w:r>
        <w:rPr>
          <w:rFonts w:ascii="Times New Roman" w:hAnsi="Times New Roman" w:cs="Times New Roman"/>
        </w:rPr>
        <w:t>A</w:t>
      </w:r>
      <w:r w:rsidRPr="005C0469">
        <w:rPr>
          <w:rFonts w:ascii="Times New Roman" w:hAnsi="Times New Roman" w:cs="Times New Roman"/>
        </w:rPr>
        <w:t>n incumbent</w:t>
      </w:r>
      <w:r w:rsidR="00A071DD">
        <w:rPr>
          <w:rFonts w:ascii="Times New Roman" w:hAnsi="Times New Roman" w:cs="Times New Roman"/>
        </w:rPr>
        <w:t xml:space="preserve"> can hold</w:t>
      </w:r>
      <w:r w:rsidRPr="005C0469">
        <w:rPr>
          <w:rFonts w:ascii="Times New Roman" w:hAnsi="Times New Roman" w:cs="Times New Roman"/>
        </w:rPr>
        <w:t xml:space="preserve"> at most one partial PEA block</w:t>
      </w:r>
      <w:r w:rsidR="00543C21">
        <w:rPr>
          <w:rFonts w:ascii="Times New Roman" w:hAnsi="Times New Roman" w:cs="Times New Roman"/>
        </w:rPr>
        <w:t xml:space="preserve"> (covering fewer pops than the full population in the entire PEA)</w:t>
      </w:r>
      <w:r w:rsidRPr="005C0469">
        <w:rPr>
          <w:rFonts w:ascii="Times New Roman" w:hAnsi="Times New Roman" w:cs="Times New Roman"/>
        </w:rPr>
        <w:t xml:space="preserve">, </w:t>
      </w:r>
      <w:r>
        <w:rPr>
          <w:rFonts w:ascii="Times New Roman" w:hAnsi="Times New Roman" w:cs="Times New Roman"/>
        </w:rPr>
        <w:t>with</w:t>
      </w:r>
      <w:r w:rsidRPr="005C0469">
        <w:rPr>
          <w:rFonts w:ascii="Times New Roman" w:hAnsi="Times New Roman" w:cs="Times New Roman"/>
        </w:rPr>
        <w:t>in a PEA in which it has existing holdings</w:t>
      </w:r>
      <w:r w:rsidR="0000174B">
        <w:rPr>
          <w:rFonts w:ascii="Times New Roman" w:hAnsi="Times New Roman" w:cs="Times New Roman"/>
        </w:rPr>
        <w:t>.</w:t>
      </w:r>
    </w:p>
    <w:p w:rsidR="00D731FE" w:rsidP="00082622" w14:paraId="7E81BCE9" w14:textId="77777777">
      <w:pPr>
        <w:pStyle w:val="ListParagraph"/>
        <w:numPr>
          <w:ilvl w:val="1"/>
          <w:numId w:val="10"/>
        </w:numPr>
        <w:spacing w:line="240" w:lineRule="auto"/>
        <w:contextualSpacing w:val="0"/>
        <w:rPr>
          <w:rFonts w:ascii="Times New Roman" w:hAnsi="Times New Roman" w:cs="Times New Roman"/>
        </w:rPr>
      </w:pPr>
      <w:r w:rsidRPr="007926C8">
        <w:rPr>
          <w:rFonts w:ascii="Times New Roman" w:hAnsi="Times New Roman" w:cs="Times New Roman"/>
        </w:rPr>
        <w:t xml:space="preserve">Incumbents that commit to relinquishing </w:t>
      </w:r>
      <w:r w:rsidRPr="007926C8" w:rsidR="004F72B8">
        <w:rPr>
          <w:rFonts w:ascii="Times New Roman" w:hAnsi="Times New Roman" w:cs="Times New Roman"/>
        </w:rPr>
        <w:t>all</w:t>
      </w:r>
      <w:r w:rsidRPr="007926C8">
        <w:rPr>
          <w:rFonts w:ascii="Times New Roman" w:hAnsi="Times New Roman" w:cs="Times New Roman"/>
        </w:rPr>
        <w:t xml:space="preserve"> their existing licenses will receive “vouchers” sufficient to win blocks in the auction equivalent to their existing PEA holdings.  </w:t>
      </w:r>
    </w:p>
    <w:p w:rsidR="00A66166" w:rsidP="00714115" w14:paraId="52393B6B" w14:textId="77777777">
      <w:pPr>
        <w:pStyle w:val="ListParagraph"/>
        <w:numPr>
          <w:ilvl w:val="3"/>
          <w:numId w:val="26"/>
        </w:numPr>
        <w:spacing w:line="240" w:lineRule="auto"/>
        <w:ind w:left="1800"/>
        <w:contextualSpacing w:val="0"/>
        <w:rPr>
          <w:rFonts w:ascii="Times New Roman" w:hAnsi="Times New Roman" w:cs="Times New Roman"/>
        </w:rPr>
      </w:pPr>
      <w:r>
        <w:rPr>
          <w:rFonts w:ascii="Times New Roman" w:hAnsi="Times New Roman" w:cs="Times New Roman"/>
        </w:rPr>
        <w:t>I</w:t>
      </w:r>
      <w:r w:rsidRPr="007926C8" w:rsidR="007926C8">
        <w:rPr>
          <w:rFonts w:ascii="Times New Roman" w:hAnsi="Times New Roman" w:cs="Times New Roman"/>
        </w:rPr>
        <w:t xml:space="preserve">ncumbents </w:t>
      </w:r>
      <w:r w:rsidR="007926C8">
        <w:rPr>
          <w:rFonts w:ascii="Times New Roman" w:hAnsi="Times New Roman" w:cs="Times New Roman"/>
        </w:rPr>
        <w:t>are not required</w:t>
      </w:r>
      <w:r w:rsidRPr="007926C8" w:rsidR="007926C8">
        <w:rPr>
          <w:rFonts w:ascii="Times New Roman" w:hAnsi="Times New Roman" w:cs="Times New Roman"/>
        </w:rPr>
        <w:t xml:space="preserve"> to rebid on spectrum blocks equivalent to their existing holdings, unless they want to continue to hold licenses in those areas.  </w:t>
      </w:r>
    </w:p>
    <w:p w:rsidR="00A66166" w:rsidP="00714115" w14:paraId="78A94C9D" w14:textId="77777777">
      <w:pPr>
        <w:pStyle w:val="ListParagraph"/>
        <w:numPr>
          <w:ilvl w:val="3"/>
          <w:numId w:val="26"/>
        </w:numPr>
        <w:spacing w:line="240" w:lineRule="auto"/>
        <w:ind w:left="1800"/>
        <w:contextualSpacing w:val="0"/>
        <w:rPr>
          <w:rFonts w:ascii="Times New Roman" w:hAnsi="Times New Roman" w:cs="Times New Roman"/>
        </w:rPr>
      </w:pPr>
      <w:r w:rsidRPr="003341A0">
        <w:rPr>
          <w:rFonts w:ascii="Times New Roman" w:hAnsi="Times New Roman" w:cs="Times New Roman"/>
        </w:rPr>
        <w:t xml:space="preserve">Prior to round one of the incentive auction clock phase, incumbent licensees that decide to participate in the auction </w:t>
      </w:r>
      <w:r w:rsidR="0000174B">
        <w:rPr>
          <w:rFonts w:ascii="Times New Roman" w:hAnsi="Times New Roman" w:cs="Times New Roman"/>
        </w:rPr>
        <w:t xml:space="preserve">will have </w:t>
      </w:r>
      <w:r w:rsidRPr="003341A0">
        <w:rPr>
          <w:rFonts w:ascii="Times New Roman" w:hAnsi="Times New Roman" w:cs="Times New Roman"/>
        </w:rPr>
        <w:t>a limited opportunity to redistribute their initial voucher holdings across PEAs in which they hold rights for a partial PEA block (Round Zero</w:t>
      </w:r>
      <w:r>
        <w:rPr>
          <w:rFonts w:ascii="Times New Roman" w:hAnsi="Times New Roman" w:cs="Times New Roman"/>
        </w:rPr>
        <w:t>)</w:t>
      </w:r>
      <w:r w:rsidR="0000174B">
        <w:rPr>
          <w:rFonts w:ascii="Times New Roman" w:hAnsi="Times New Roman" w:cs="Times New Roman"/>
        </w:rPr>
        <w:t>,</w:t>
      </w:r>
      <w:r>
        <w:rPr>
          <w:rFonts w:ascii="Times New Roman" w:hAnsi="Times New Roman" w:cs="Times New Roman"/>
        </w:rPr>
        <w:t xml:space="preserve"> subject to </w:t>
      </w:r>
      <w:r w:rsidR="0000174B">
        <w:rPr>
          <w:rFonts w:ascii="Times New Roman" w:hAnsi="Times New Roman" w:cs="Times New Roman"/>
        </w:rPr>
        <w:t xml:space="preserve">certain </w:t>
      </w:r>
      <w:r>
        <w:rPr>
          <w:rFonts w:ascii="Times New Roman" w:hAnsi="Times New Roman" w:cs="Times New Roman"/>
        </w:rPr>
        <w:t>restrictions</w:t>
      </w:r>
      <w:r w:rsidRPr="00A66166">
        <w:rPr>
          <w:rFonts w:ascii="Times New Roman" w:hAnsi="Times New Roman" w:cs="Times New Roman"/>
        </w:rPr>
        <w:t>.</w:t>
      </w:r>
    </w:p>
    <w:p w:rsidR="00D731FE" w:rsidP="00714115" w14:paraId="11ED0D96" w14:textId="77777777">
      <w:pPr>
        <w:pStyle w:val="ListParagraph"/>
        <w:numPr>
          <w:ilvl w:val="3"/>
          <w:numId w:val="26"/>
        </w:numPr>
        <w:spacing w:line="240" w:lineRule="auto"/>
        <w:ind w:left="1800"/>
        <w:contextualSpacing w:val="0"/>
        <w:rPr>
          <w:rFonts w:ascii="Times New Roman" w:hAnsi="Times New Roman" w:cs="Times New Roman"/>
        </w:rPr>
      </w:pPr>
      <w:r w:rsidRPr="007926C8">
        <w:rPr>
          <w:rFonts w:ascii="Times New Roman" w:hAnsi="Times New Roman" w:cs="Times New Roman"/>
        </w:rPr>
        <w:t xml:space="preserve">Participating incumbents can apply the vouchers toward payments for blocks in other PEAs and receive a cash incentive payment if the value of their vouchers exceeds their net auction obligations.  </w:t>
      </w:r>
    </w:p>
    <w:p w:rsidR="00F30CD3" w:rsidP="00714115" w14:paraId="4E2EF25B" w14:textId="77777777">
      <w:pPr>
        <w:pStyle w:val="ListParagraph"/>
        <w:numPr>
          <w:ilvl w:val="3"/>
          <w:numId w:val="26"/>
        </w:numPr>
        <w:spacing w:line="240" w:lineRule="auto"/>
        <w:ind w:left="1800"/>
        <w:contextualSpacing w:val="0"/>
        <w:rPr>
          <w:rFonts w:ascii="Times New Roman" w:hAnsi="Times New Roman" w:cs="Times New Roman"/>
        </w:rPr>
      </w:pPr>
      <w:r w:rsidRPr="007926C8">
        <w:rPr>
          <w:rFonts w:ascii="Times New Roman" w:hAnsi="Times New Roman" w:cs="Times New Roman"/>
        </w:rPr>
        <w:t>Auction participants can also relinquish their holdings and choose not to bid on any new licenses, in which case they will receive a cash payment for their vouchers.</w:t>
      </w:r>
    </w:p>
    <w:p w:rsidR="003D227E" w:rsidP="0033248C" w14:paraId="1B8AE34A" w14:textId="7B4847BE">
      <w:pPr>
        <w:pStyle w:val="Heading3"/>
      </w:pPr>
      <w:r>
        <w:t>Incentive Auction Structure</w:t>
      </w:r>
      <w:r>
        <w:rPr>
          <w:rStyle w:val="FootnoteReference"/>
        </w:rPr>
        <w:footnoteReference w:id="8"/>
      </w:r>
    </w:p>
    <w:p w:rsidR="00C501BD" w:rsidRPr="00A21BAF" w:rsidP="00A21BAF" w14:paraId="2EE920F4" w14:textId="5FCAC43D">
      <w:pPr>
        <w:pStyle w:val="ListParagraph"/>
        <w:numPr>
          <w:ilvl w:val="0"/>
          <w:numId w:val="27"/>
        </w:numPr>
        <w:ind w:left="1080"/>
        <w:rPr>
          <w:rFonts w:ascii="Times New Roman" w:hAnsi="Times New Roman" w:cs="Times New Roman"/>
          <w:i/>
        </w:rPr>
      </w:pPr>
      <w:r w:rsidRPr="00A21BAF">
        <w:rPr>
          <w:rFonts w:ascii="Times New Roman" w:hAnsi="Times New Roman" w:cs="Times New Roman"/>
          <w:i/>
        </w:rPr>
        <w:t>Eligibility</w:t>
      </w:r>
      <w:r>
        <w:rPr>
          <w:rFonts w:ascii="Times New Roman" w:hAnsi="Times New Roman" w:cs="Times New Roman"/>
          <w:i/>
        </w:rPr>
        <w:t xml:space="preserve"> </w:t>
      </w:r>
    </w:p>
    <w:p w:rsidR="00C501BD" w:rsidRPr="00A21BAF" w:rsidP="00A21BAF" w14:paraId="75A299F5" w14:textId="77777777">
      <w:pPr>
        <w:pStyle w:val="ListParagraph"/>
        <w:ind w:left="1080"/>
        <w:rPr>
          <w:rFonts w:ascii="Times New Roman" w:hAnsi="Times New Roman" w:cs="Times New Roman"/>
          <w:sz w:val="10"/>
          <w:szCs w:val="10"/>
        </w:rPr>
      </w:pPr>
      <w:r>
        <w:rPr>
          <w:rFonts w:ascii="Times New Roman" w:hAnsi="Times New Roman" w:cs="Times New Roman"/>
        </w:rPr>
        <w:t xml:space="preserve"> </w:t>
      </w:r>
    </w:p>
    <w:p w:rsidR="00397C3D" w:rsidP="00C501BD" w14:paraId="22A08F1B" w14:textId="448AEAE1">
      <w:pPr>
        <w:pStyle w:val="ListParagraph"/>
        <w:numPr>
          <w:ilvl w:val="1"/>
          <w:numId w:val="27"/>
        </w:numPr>
        <w:ind w:left="1440"/>
        <w:rPr>
          <w:rFonts w:ascii="Times New Roman" w:hAnsi="Times New Roman" w:cs="Times New Roman"/>
        </w:rPr>
      </w:pPr>
      <w:r w:rsidRPr="00A21BAF">
        <w:rPr>
          <w:rFonts w:ascii="Times New Roman" w:hAnsi="Times New Roman" w:cs="Times New Roman"/>
        </w:rPr>
        <w:t>Any party eligible to hold a license in these bands will be eligible, subject to meeting the Commission’s application requirements, to participate in the auction for new licenses, except for incumbent 39 GHz licensees that accept modified licenses as reconfigured and decline to relinquish all existing licenses.</w:t>
      </w:r>
    </w:p>
    <w:p w:rsidR="00C501BD" w:rsidRPr="00A21BAF" w:rsidP="00A21BAF" w14:paraId="20618ABD" w14:textId="77777777">
      <w:pPr>
        <w:pStyle w:val="ListParagraph"/>
        <w:ind w:left="1440"/>
        <w:rPr>
          <w:rFonts w:ascii="Times New Roman" w:hAnsi="Times New Roman" w:cs="Times New Roman"/>
        </w:rPr>
      </w:pPr>
    </w:p>
    <w:p w:rsidR="00C501BD" w:rsidRPr="00A21BAF" w:rsidP="00A21BAF" w14:paraId="002F2EB6" w14:textId="00D72EEE">
      <w:pPr>
        <w:pStyle w:val="ListParagraph"/>
        <w:numPr>
          <w:ilvl w:val="0"/>
          <w:numId w:val="27"/>
        </w:numPr>
        <w:ind w:left="1080"/>
        <w:rPr>
          <w:rFonts w:ascii="Times New Roman" w:hAnsi="Times New Roman" w:cs="Times New Roman"/>
          <w:i/>
        </w:rPr>
      </w:pPr>
      <w:r w:rsidRPr="00A21BAF">
        <w:rPr>
          <w:rFonts w:ascii="Times New Roman" w:hAnsi="Times New Roman" w:cs="Times New Roman"/>
          <w:i/>
        </w:rPr>
        <w:t>Other Structural Issues</w:t>
      </w:r>
      <w:r>
        <w:rPr>
          <w:rFonts w:ascii="Times New Roman" w:hAnsi="Times New Roman" w:cs="Times New Roman"/>
          <w:i/>
        </w:rPr>
        <w:t xml:space="preserve"> </w:t>
      </w:r>
    </w:p>
    <w:p w:rsidR="00C501BD" w:rsidRPr="00A21BAF" w:rsidP="00A21BAF" w14:paraId="34F63C81" w14:textId="77777777">
      <w:pPr>
        <w:pStyle w:val="ListParagraph"/>
        <w:ind w:left="1080"/>
        <w:rPr>
          <w:rFonts w:ascii="Times New Roman" w:hAnsi="Times New Roman" w:cs="Times New Roman"/>
          <w:sz w:val="10"/>
          <w:szCs w:val="10"/>
        </w:rPr>
      </w:pPr>
    </w:p>
    <w:p w:rsidR="00397C3D" w:rsidRPr="00A21BAF" w:rsidP="00A21BAF" w14:paraId="07BDD2CD" w14:textId="5A3020F9">
      <w:pPr>
        <w:pStyle w:val="ListParagraph"/>
        <w:numPr>
          <w:ilvl w:val="1"/>
          <w:numId w:val="27"/>
        </w:numPr>
        <w:ind w:left="1530"/>
        <w:rPr>
          <w:rFonts w:ascii="Times New Roman" w:hAnsi="Times New Roman" w:cs="Times New Roman"/>
        </w:rPr>
      </w:pPr>
      <w:r w:rsidRPr="00A21BAF">
        <w:rPr>
          <w:rFonts w:ascii="Times New Roman" w:hAnsi="Times New Roman" w:cs="Times New Roman"/>
        </w:rPr>
        <w:t>Incumbents</w:t>
      </w:r>
      <w:r w:rsidRPr="00A21BAF" w:rsidR="003F3F80">
        <w:rPr>
          <w:rFonts w:ascii="Times New Roman" w:hAnsi="Times New Roman" w:cs="Times New Roman"/>
        </w:rPr>
        <w:t xml:space="preserve"> </w:t>
      </w:r>
      <w:r w:rsidRPr="00A21BAF">
        <w:rPr>
          <w:rFonts w:ascii="Times New Roman" w:hAnsi="Times New Roman" w:cs="Times New Roman"/>
        </w:rPr>
        <w:t>may seek designated entity bidding credits as small businesses or rural service providers.</w:t>
      </w:r>
    </w:p>
    <w:p w:rsidR="003D227E" w:rsidP="0033248C" w14:paraId="5220E373" w14:textId="036DD95D">
      <w:pPr>
        <w:pStyle w:val="Heading3"/>
      </w:pPr>
      <w:bookmarkStart w:id="2" w:name="_Toc529438870"/>
      <w:bookmarkStart w:id="3" w:name="_Toc529546049"/>
      <w:bookmarkStart w:id="4" w:name="_Toc529546346"/>
      <w:bookmarkStart w:id="5" w:name="_Toc529557760"/>
      <w:bookmarkStart w:id="6" w:name="_Toc530170130"/>
      <w:bookmarkStart w:id="7" w:name="_Toc530170606"/>
      <w:r>
        <w:t xml:space="preserve">Incentive Auction </w:t>
      </w:r>
      <w:bookmarkEnd w:id="2"/>
      <w:bookmarkEnd w:id="3"/>
      <w:bookmarkEnd w:id="4"/>
      <w:r>
        <w:t>Bidding</w:t>
      </w:r>
      <w:bookmarkEnd w:id="5"/>
      <w:bookmarkEnd w:id="6"/>
      <w:bookmarkEnd w:id="7"/>
      <w:r>
        <w:rPr>
          <w:rStyle w:val="FootnoteReference"/>
        </w:rPr>
        <w:footnoteReference w:id="9"/>
      </w:r>
    </w:p>
    <w:p w:rsidR="006773B6" w:rsidP="0087538D" w14:paraId="6313DFDF" w14:textId="09F38314">
      <w:pPr>
        <w:pStyle w:val="ListParagraph"/>
        <w:numPr>
          <w:ilvl w:val="0"/>
          <w:numId w:val="29"/>
        </w:numPr>
        <w:ind w:left="1080"/>
        <w:rPr>
          <w:rFonts w:ascii="Times New Roman" w:hAnsi="Times New Roman" w:cs="Times New Roman"/>
        </w:rPr>
      </w:pPr>
      <w:r w:rsidRPr="00A21BAF">
        <w:rPr>
          <w:rFonts w:ascii="Times New Roman" w:hAnsi="Times New Roman" w:cs="Times New Roman"/>
          <w:i/>
        </w:rPr>
        <w:t xml:space="preserve">The Bidding Process </w:t>
      </w:r>
      <w:r w:rsidRPr="00A21BAF" w:rsidR="00117109">
        <w:rPr>
          <w:rFonts w:ascii="Times New Roman" w:hAnsi="Times New Roman" w:cs="Times New Roman"/>
          <w:i/>
        </w:rPr>
        <w:t xml:space="preserve">Overview – </w:t>
      </w:r>
      <w:r w:rsidRPr="00A21BAF" w:rsidR="00117109">
        <w:rPr>
          <w:rFonts w:ascii="Times New Roman" w:hAnsi="Times New Roman" w:cs="Times New Roman"/>
        </w:rPr>
        <w:t xml:space="preserve">Comprehensive information on the bidding process will be detailed in the Auction Comment and Auction Procedures Public Notices. </w:t>
      </w:r>
    </w:p>
    <w:p w:rsidR="00237771" w:rsidRPr="00A21BAF" w:rsidP="00A21BAF" w14:paraId="125B0FA0" w14:textId="77777777">
      <w:pPr>
        <w:pStyle w:val="ListParagraph"/>
        <w:ind w:left="1080"/>
        <w:rPr>
          <w:rFonts w:ascii="Times New Roman" w:hAnsi="Times New Roman" w:cs="Times New Roman"/>
        </w:rPr>
      </w:pPr>
    </w:p>
    <w:p w:rsidR="0087538D" w:rsidP="0087538D" w14:paraId="1D679D00" w14:textId="5DF84B2A">
      <w:pPr>
        <w:pStyle w:val="ListParagraph"/>
        <w:numPr>
          <w:ilvl w:val="1"/>
          <w:numId w:val="29"/>
        </w:numPr>
        <w:rPr>
          <w:rFonts w:ascii="Times New Roman" w:hAnsi="Times New Roman" w:cs="Times New Roman"/>
        </w:rPr>
      </w:pPr>
      <w:r w:rsidRPr="00A21BAF">
        <w:rPr>
          <w:rFonts w:ascii="Times New Roman" w:hAnsi="Times New Roman" w:cs="Times New Roman"/>
        </w:rPr>
        <w:t>A two-phase auction procedure will be used where in the first phase, participants will bid for generic spectrum blocks by PEA in the Upper 37, 39, and 47 GHz Bands using an ascending clock auction.  The second phase will assign frequency-specific licenses to the winners of generic blocks in the bands.</w:t>
      </w:r>
      <w:r>
        <w:rPr>
          <w:rFonts w:ascii="Times New Roman" w:hAnsi="Times New Roman" w:cs="Times New Roman"/>
        </w:rPr>
        <w:t xml:space="preserve"> </w:t>
      </w:r>
    </w:p>
    <w:p w:rsidR="0087538D" w:rsidRPr="00A21BAF" w:rsidP="00A21BAF" w14:paraId="2BF465C3" w14:textId="77777777">
      <w:pPr>
        <w:pStyle w:val="ListParagraph"/>
        <w:ind w:left="1440"/>
        <w:rPr>
          <w:rFonts w:ascii="Times New Roman" w:hAnsi="Times New Roman" w:cs="Times New Roman"/>
        </w:rPr>
      </w:pPr>
    </w:p>
    <w:p w:rsidR="002258A8" w:rsidRPr="00A21BAF" w:rsidP="00A21BAF" w14:paraId="0E12B814" w14:textId="63A54A18">
      <w:pPr>
        <w:pStyle w:val="ListParagraph"/>
        <w:numPr>
          <w:ilvl w:val="1"/>
          <w:numId w:val="29"/>
        </w:numPr>
        <w:rPr>
          <w:rFonts w:ascii="Times New Roman" w:hAnsi="Times New Roman" w:cs="Times New Roman"/>
        </w:rPr>
      </w:pPr>
      <w:r w:rsidRPr="00A21BAF">
        <w:rPr>
          <w:rFonts w:ascii="Times New Roman" w:hAnsi="Times New Roman" w:cs="Times New Roman"/>
        </w:rPr>
        <w:t>In the Auction Clock Phase bidders will indicate their demand for quantities of spectrum blocks in two generic bidding categories in each PEA.</w:t>
      </w:r>
    </w:p>
    <w:p w:rsidR="0087538D" w:rsidRPr="00A21BAF" w:rsidP="00A21BAF" w14:paraId="1448DFD4" w14:textId="77777777">
      <w:pPr>
        <w:pStyle w:val="ListParagraph"/>
        <w:ind w:left="1440"/>
        <w:rPr>
          <w:rFonts w:ascii="Times New Roman" w:hAnsi="Times New Roman" w:cs="Times New Roman"/>
        </w:rPr>
      </w:pPr>
    </w:p>
    <w:p w:rsidR="0087538D" w:rsidRPr="00A21BAF" w:rsidP="0087538D" w14:paraId="21045FA5" w14:textId="19686D3E">
      <w:pPr>
        <w:pStyle w:val="ListParagraph"/>
        <w:numPr>
          <w:ilvl w:val="1"/>
          <w:numId w:val="29"/>
        </w:numPr>
        <w:rPr>
          <w:rFonts w:ascii="Times New Roman" w:hAnsi="Times New Roman" w:cs="Times New Roman"/>
        </w:rPr>
      </w:pPr>
      <w:r w:rsidRPr="00A21BAF">
        <w:rPr>
          <w:rFonts w:ascii="Times New Roman" w:hAnsi="Times New Roman" w:cs="Times New Roman"/>
        </w:rPr>
        <w:t>In the Auction Assignment Phase winning bidders for generic blocks will have an opportunity to submit sealed bids by PEA specifying additional amounts, if any, that they would be willing to pay for licenses on particular frequencies.</w:t>
      </w:r>
      <w:r w:rsidRPr="00A21BAF">
        <w:rPr>
          <w:rFonts w:ascii="Times New Roman" w:hAnsi="Times New Roman" w:cs="Times New Roman"/>
        </w:rPr>
        <w:t xml:space="preserve">  </w:t>
      </w:r>
    </w:p>
    <w:p w:rsidR="0087538D" w:rsidRPr="00A21BAF" w:rsidP="00A21BAF" w14:paraId="47DD01A9" w14:textId="77777777">
      <w:pPr>
        <w:pStyle w:val="ListParagraph"/>
        <w:ind w:left="1440"/>
        <w:rPr>
          <w:rFonts w:ascii="Times New Roman" w:hAnsi="Times New Roman" w:cs="Times New Roman"/>
        </w:rPr>
      </w:pPr>
    </w:p>
    <w:p w:rsidR="0087538D" w:rsidP="0087538D" w14:paraId="716B8BFC" w14:textId="563394FA">
      <w:pPr>
        <w:pStyle w:val="ListParagraph"/>
        <w:numPr>
          <w:ilvl w:val="1"/>
          <w:numId w:val="29"/>
        </w:numPr>
        <w:rPr>
          <w:rFonts w:ascii="Times New Roman" w:hAnsi="Times New Roman" w:cs="Times New Roman"/>
        </w:rPr>
      </w:pPr>
      <w:r w:rsidRPr="00A21BAF">
        <w:rPr>
          <w:rFonts w:ascii="Times New Roman" w:hAnsi="Times New Roman" w:cs="Times New Roman"/>
        </w:rPr>
        <w:t>Winning clock phase bidders w</w:t>
      </w:r>
      <w:r w:rsidRPr="00A21BAF" w:rsidR="00091D49">
        <w:rPr>
          <w:rFonts w:ascii="Times New Roman" w:hAnsi="Times New Roman" w:cs="Times New Roman"/>
        </w:rPr>
        <w:t>ill</w:t>
      </w:r>
      <w:r w:rsidRPr="00A21BAF">
        <w:rPr>
          <w:rFonts w:ascii="Times New Roman" w:hAnsi="Times New Roman" w:cs="Times New Roman"/>
        </w:rPr>
        <w:t xml:space="preserve"> not be required to bid in the assignment phase or otherwise pay more than the price for generic blocks in the clock phase and w</w:t>
      </w:r>
      <w:r w:rsidRPr="00A21BAF" w:rsidR="00091D49">
        <w:rPr>
          <w:rFonts w:ascii="Times New Roman" w:hAnsi="Times New Roman" w:cs="Times New Roman"/>
        </w:rPr>
        <w:t>ill</w:t>
      </w:r>
      <w:r w:rsidRPr="00A21BAF">
        <w:rPr>
          <w:rFonts w:ascii="Times New Roman" w:hAnsi="Times New Roman" w:cs="Times New Roman"/>
        </w:rPr>
        <w:t xml:space="preserve"> still be assured to have contiguous frequencies assigned to all of their licenses in the same category in a PEA.  </w:t>
      </w:r>
      <w:r>
        <w:rPr>
          <w:rFonts w:ascii="Times New Roman" w:hAnsi="Times New Roman" w:cs="Times New Roman"/>
        </w:rPr>
        <w:t xml:space="preserve">  </w:t>
      </w:r>
    </w:p>
    <w:p w:rsidR="0087538D" w:rsidRPr="00A21BAF" w:rsidP="00A21BAF" w14:paraId="3124ACDB" w14:textId="77777777">
      <w:pPr>
        <w:pStyle w:val="ListParagraph"/>
        <w:ind w:left="1440"/>
        <w:rPr>
          <w:rFonts w:ascii="Times New Roman" w:hAnsi="Times New Roman" w:cs="Times New Roman"/>
        </w:rPr>
      </w:pPr>
    </w:p>
    <w:p w:rsidR="002936B8" w:rsidRPr="0087538D" w:rsidP="00A21BAF" w14:paraId="26B648A9" w14:textId="20E0E201">
      <w:pPr>
        <w:pStyle w:val="ListParagraph"/>
        <w:numPr>
          <w:ilvl w:val="1"/>
          <w:numId w:val="29"/>
        </w:numPr>
        <w:rPr>
          <w:b/>
        </w:rPr>
      </w:pPr>
      <w:r w:rsidRPr="00A21BAF">
        <w:rPr>
          <w:rFonts w:ascii="Times New Roman" w:hAnsi="Times New Roman" w:cs="Times New Roman"/>
        </w:rPr>
        <w:t>Incumbents that elect to receive modified licenses instead of bidding for new licenses in the auction will be assigned frequencies in the assignment phase but cannot bid for particular frequencies in the assignment phase.</w:t>
      </w:r>
    </w:p>
    <w:p w:rsidR="00823110" w:rsidP="0033248C" w14:paraId="7A14761B" w14:textId="71B544E4">
      <w:pPr>
        <w:pStyle w:val="Heading3"/>
      </w:pPr>
      <w:r w:rsidRPr="00823110">
        <w:t>Post-Auction Transition</w:t>
      </w:r>
      <w:r>
        <w:rPr>
          <w:rStyle w:val="FootnoteReference"/>
        </w:rPr>
        <w:footnoteReference w:id="10"/>
      </w:r>
    </w:p>
    <w:p w:rsidR="00744F1E" w:rsidRPr="00107EDF" w:rsidP="0059707E" w14:paraId="7E03DCF8" w14:textId="77777777">
      <w:pPr>
        <w:pStyle w:val="ListParagraph"/>
        <w:numPr>
          <w:ilvl w:val="0"/>
          <w:numId w:val="18"/>
        </w:numPr>
        <w:spacing w:line="240" w:lineRule="auto"/>
        <w:ind w:left="1080"/>
        <w:rPr>
          <w:rFonts w:ascii="Times New Roman" w:hAnsi="Times New Roman" w:cs="Times New Roman"/>
        </w:rPr>
      </w:pPr>
      <w:r>
        <w:rPr>
          <w:rFonts w:ascii="Times New Roman" w:hAnsi="Times New Roman" w:cs="Times New Roman"/>
        </w:rPr>
        <w:t>39 GHz i</w:t>
      </w:r>
      <w:r w:rsidRPr="00F30CD3" w:rsidR="00F30CD3">
        <w:rPr>
          <w:rFonts w:ascii="Times New Roman" w:hAnsi="Times New Roman" w:cs="Times New Roman"/>
        </w:rPr>
        <w:t xml:space="preserve">ncumbents will retain their existing licenses until after the </w:t>
      </w:r>
      <w:r>
        <w:rPr>
          <w:rFonts w:ascii="Times New Roman" w:hAnsi="Times New Roman" w:cs="Times New Roman"/>
        </w:rPr>
        <w:t xml:space="preserve">incentive </w:t>
      </w:r>
      <w:r w:rsidRPr="00F30CD3" w:rsidR="00F30CD3">
        <w:rPr>
          <w:rFonts w:ascii="Times New Roman" w:hAnsi="Times New Roman" w:cs="Times New Roman"/>
        </w:rPr>
        <w:t xml:space="preserve">auction, when either the existing licenses are modified or relinquished, and new licenses are issued.  </w:t>
      </w:r>
      <w:r>
        <w:rPr>
          <w:rFonts w:ascii="Times New Roman" w:hAnsi="Times New Roman" w:cs="Times New Roman"/>
        </w:rPr>
        <w:t xml:space="preserve">Modified licenses will be assigned frequencies in the incentive auction.  </w:t>
      </w:r>
      <w:r w:rsidRPr="00F30CD3" w:rsidR="00F30CD3">
        <w:rPr>
          <w:rFonts w:ascii="Times New Roman" w:hAnsi="Times New Roman" w:cs="Times New Roman"/>
        </w:rPr>
        <w:t>New licenses will be assigned based on the results of bidding in the incentive auction.</w:t>
      </w:r>
    </w:p>
    <w:p w:rsidR="0001069B" w:rsidP="002B56A6" w14:paraId="75411D56" w14:textId="77777777">
      <w:pPr>
        <w:pStyle w:val="Heading1"/>
        <w:spacing w:line="240" w:lineRule="auto"/>
        <w:ind w:left="720"/>
      </w:pPr>
      <w:r w:rsidRPr="002B56A6">
        <w:t>RECORDKEEPING AND REPORTING REQUIREMENTS</w:t>
      </w:r>
    </w:p>
    <w:p w:rsidR="002735BD" w:rsidRPr="00A21BAF" w14:paraId="4F04FF09" w14:textId="075EE8ED">
      <w:pPr>
        <w:ind w:firstLine="720"/>
        <w:rPr>
          <w:rFonts w:ascii="Times New Roman" w:hAnsi="Times New Roman" w:cs="Times New Roman"/>
          <w:color w:val="010101"/>
        </w:rPr>
      </w:pPr>
      <w:r w:rsidRPr="00A21BAF">
        <w:rPr>
          <w:rFonts w:ascii="Times New Roman" w:hAnsi="Times New Roman" w:cs="Times New Roman"/>
          <w:color w:val="010101"/>
        </w:rPr>
        <w:t xml:space="preserve">The Commission’s actions in the </w:t>
      </w:r>
      <w:r w:rsidRPr="00A21BAF" w:rsidR="00AE299E">
        <w:rPr>
          <w:rFonts w:ascii="Times New Roman" w:hAnsi="Times New Roman" w:cs="Times New Roman"/>
          <w:i/>
          <w:color w:val="010101"/>
        </w:rPr>
        <w:t>Fourth</w:t>
      </w:r>
      <w:r w:rsidRPr="00A21BAF">
        <w:rPr>
          <w:rFonts w:ascii="Times New Roman" w:hAnsi="Times New Roman" w:cs="Times New Roman"/>
          <w:i/>
          <w:color w:val="010101"/>
        </w:rPr>
        <w:t xml:space="preserve"> Report and Order</w:t>
      </w:r>
      <w:r w:rsidRPr="00A21BAF" w:rsidR="00BB04FE">
        <w:rPr>
          <w:rFonts w:ascii="Times New Roman" w:hAnsi="Times New Roman" w:cs="Times New Roman"/>
          <w:color w:val="010101"/>
        </w:rPr>
        <w:t xml:space="preserve"> did not create any new recordkeeping or reporting requirements, although it did set forth procedures under which the Commission would auction new </w:t>
      </w:r>
      <w:r w:rsidRPr="00A21BAF" w:rsidR="00BB04FE">
        <w:rPr>
          <w:rFonts w:ascii="Times New Roman" w:hAnsi="Times New Roman" w:cs="Times New Roman"/>
        </w:rPr>
        <w:t>Upper 37 GHz, 39 GHz, and 47 GHz spectrum licenses and rationalize current licenses in the 39 GHz band</w:t>
      </w:r>
      <w:r w:rsidRPr="00A21BAF">
        <w:rPr>
          <w:rFonts w:ascii="Times New Roman" w:hAnsi="Times New Roman" w:cs="Times New Roman"/>
          <w:color w:val="010101"/>
        </w:rPr>
        <w:t>.</w:t>
      </w:r>
      <w:r w:rsidRPr="00A21BAF" w:rsidR="00BB04FE">
        <w:rPr>
          <w:rFonts w:ascii="Times New Roman" w:hAnsi="Times New Roman" w:cs="Times New Roman"/>
          <w:color w:val="010101"/>
        </w:rPr>
        <w:t xml:space="preserve"> </w:t>
      </w:r>
      <w:r w:rsidRPr="00A21BAF" w:rsidR="001726CB">
        <w:rPr>
          <w:rFonts w:ascii="Times New Roman" w:hAnsi="Times New Roman" w:cs="Times New Roman"/>
          <w:color w:val="010101"/>
        </w:rPr>
        <w:t xml:space="preserve"> </w:t>
      </w:r>
      <w:r w:rsidRPr="00A21BAF" w:rsidR="00D11200">
        <w:rPr>
          <w:rFonts w:ascii="Times New Roman" w:hAnsi="Times New Roman" w:cs="Times New Roman"/>
          <w:color w:val="010101"/>
        </w:rPr>
        <w:t xml:space="preserve">The Commission will provide public notice of </w:t>
      </w:r>
      <w:r w:rsidRPr="00A21BAF" w:rsidR="00A143FD">
        <w:rPr>
          <w:rFonts w:ascii="Times New Roman" w:hAnsi="Times New Roman" w:cs="Times New Roman"/>
          <w:color w:val="010101"/>
        </w:rPr>
        <w:t xml:space="preserve">the </w:t>
      </w:r>
      <w:r w:rsidRPr="00A21BAF" w:rsidR="00D11200">
        <w:rPr>
          <w:rFonts w:ascii="Times New Roman" w:hAnsi="Times New Roman" w:cs="Times New Roman"/>
          <w:color w:val="010101"/>
        </w:rPr>
        <w:t>procedures necessary for implement</w:t>
      </w:r>
      <w:r w:rsidRPr="00A21BAF" w:rsidR="00A143FD">
        <w:rPr>
          <w:rFonts w:ascii="Times New Roman" w:hAnsi="Times New Roman" w:cs="Times New Roman"/>
          <w:color w:val="010101"/>
        </w:rPr>
        <w:t>ing</w:t>
      </w:r>
      <w:r w:rsidRPr="00A21BAF" w:rsidR="00D11200">
        <w:rPr>
          <w:rFonts w:ascii="Times New Roman" w:hAnsi="Times New Roman" w:cs="Times New Roman"/>
          <w:color w:val="010101"/>
        </w:rPr>
        <w:t xml:space="preserve"> and participati</w:t>
      </w:r>
      <w:r w:rsidRPr="00A21BAF" w:rsidR="00A143FD">
        <w:rPr>
          <w:rFonts w:ascii="Times New Roman" w:hAnsi="Times New Roman" w:cs="Times New Roman"/>
          <w:color w:val="010101"/>
        </w:rPr>
        <w:t>ng</w:t>
      </w:r>
      <w:r w:rsidRPr="00A21BAF" w:rsidR="00D11200">
        <w:rPr>
          <w:rFonts w:ascii="Times New Roman" w:hAnsi="Times New Roman" w:cs="Times New Roman"/>
          <w:color w:val="010101"/>
        </w:rPr>
        <w:t xml:space="preserve"> in the auction</w:t>
      </w:r>
      <w:r w:rsidRPr="00A21BAF" w:rsidR="00845A1A">
        <w:rPr>
          <w:rFonts w:ascii="Times New Roman" w:hAnsi="Times New Roman" w:cs="Times New Roman"/>
          <w:color w:val="010101"/>
        </w:rPr>
        <w:t xml:space="preserve"> which will include </w:t>
      </w:r>
      <w:r w:rsidRPr="00A21BAF" w:rsidR="00A143FD">
        <w:rPr>
          <w:rFonts w:ascii="Times New Roman" w:hAnsi="Times New Roman" w:cs="Times New Roman"/>
          <w:color w:val="010101"/>
        </w:rPr>
        <w:t xml:space="preserve">any </w:t>
      </w:r>
      <w:r w:rsidR="000C7889">
        <w:rPr>
          <w:rFonts w:ascii="Times New Roman" w:hAnsi="Times New Roman" w:cs="Times New Roman"/>
          <w:color w:val="010101"/>
        </w:rPr>
        <w:t>filing, recordkeeping and reporting</w:t>
      </w:r>
      <w:r w:rsidR="000B4476">
        <w:rPr>
          <w:rFonts w:ascii="Times New Roman" w:hAnsi="Times New Roman" w:cs="Times New Roman"/>
          <w:color w:val="010101"/>
        </w:rPr>
        <w:t xml:space="preserve"> requirements</w:t>
      </w:r>
      <w:r w:rsidRPr="00A21BAF" w:rsidR="00A143FD">
        <w:rPr>
          <w:rFonts w:ascii="Times New Roman" w:hAnsi="Times New Roman" w:cs="Times New Roman"/>
          <w:color w:val="010101"/>
        </w:rPr>
        <w:t xml:space="preserve">. </w:t>
      </w:r>
      <w:r w:rsidR="00F209B7">
        <w:rPr>
          <w:rFonts w:ascii="Times New Roman" w:hAnsi="Times New Roman" w:cs="Times New Roman"/>
          <w:color w:val="010101"/>
        </w:rPr>
        <w:t xml:space="preserve"> </w:t>
      </w:r>
      <w:r w:rsidRPr="00A21BAF" w:rsidR="00BB04FE">
        <w:rPr>
          <w:rFonts w:ascii="Times New Roman" w:hAnsi="Times New Roman" w:cs="Times New Roman"/>
          <w:color w:val="010101"/>
        </w:rPr>
        <w:t xml:space="preserve">Incumbent 39 GHz licensees and those interested in participating in the incentive auction should review </w:t>
      </w:r>
      <w:r w:rsidRPr="00A21BAF" w:rsidR="00D92735">
        <w:rPr>
          <w:rFonts w:ascii="Times New Roman" w:hAnsi="Times New Roman" w:cs="Times New Roman"/>
          <w:color w:val="010101"/>
        </w:rPr>
        <w:t xml:space="preserve">forthcoming </w:t>
      </w:r>
      <w:r w:rsidRPr="00A21BAF" w:rsidR="00BB04FE">
        <w:rPr>
          <w:rFonts w:ascii="Times New Roman" w:hAnsi="Times New Roman" w:cs="Times New Roman"/>
          <w:color w:val="010101"/>
        </w:rPr>
        <w:t>items in this docket carefully and without delay.</w:t>
      </w:r>
    </w:p>
    <w:p w:rsidR="00141E55" w:rsidRPr="002B56A6" w:rsidP="002B56A6" w14:paraId="0FF6EC38" w14:textId="77777777">
      <w:pPr>
        <w:pStyle w:val="Heading1"/>
        <w:spacing w:line="240" w:lineRule="auto"/>
        <w:ind w:left="720"/>
      </w:pPr>
      <w:r w:rsidRPr="002B56A6">
        <w:t>IMPLEMENTATION DATE</w:t>
      </w:r>
    </w:p>
    <w:p w:rsidR="00931400" w:rsidRPr="00B16481" w:rsidP="00BB04FE" w14:paraId="0ED0C7E9" w14:textId="77777777">
      <w:pPr>
        <w:pStyle w:val="ParaNum"/>
        <w:numPr>
          <w:ilvl w:val="0"/>
          <w:numId w:val="0"/>
        </w:numPr>
        <w:spacing w:after="200"/>
        <w:ind w:firstLine="720"/>
        <w:rPr>
          <w:szCs w:val="22"/>
        </w:rPr>
      </w:pPr>
      <w:r w:rsidRPr="00D403F9">
        <w:rPr>
          <w:szCs w:val="22"/>
        </w:rPr>
        <w:t xml:space="preserve">The rules in the </w:t>
      </w:r>
      <w:r w:rsidR="000A4C0E">
        <w:rPr>
          <w:i/>
          <w:szCs w:val="22"/>
        </w:rPr>
        <w:t>Fourth</w:t>
      </w:r>
      <w:r>
        <w:rPr>
          <w:i/>
          <w:szCs w:val="22"/>
        </w:rPr>
        <w:t xml:space="preserve"> </w:t>
      </w:r>
      <w:r w:rsidRPr="00B16481">
        <w:rPr>
          <w:i/>
          <w:szCs w:val="22"/>
        </w:rPr>
        <w:t>Report and Order</w:t>
      </w:r>
      <w:r w:rsidRPr="00B16481">
        <w:rPr>
          <w:szCs w:val="22"/>
        </w:rPr>
        <w:t xml:space="preserve"> became effective on </w:t>
      </w:r>
      <w:r w:rsidRPr="00084E55" w:rsidR="00084E55">
        <w:rPr>
          <w:szCs w:val="22"/>
        </w:rPr>
        <w:t>March 7, 2019</w:t>
      </w:r>
      <w:r w:rsidRPr="00B16481">
        <w:rPr>
          <w:szCs w:val="22"/>
        </w:rPr>
        <w:t xml:space="preserve">, </w:t>
      </w:r>
      <w:r w:rsidR="004F72B8">
        <w:rPr>
          <w:szCs w:val="22"/>
        </w:rPr>
        <w:t>thirty</w:t>
      </w:r>
      <w:r w:rsidRPr="00AE299E" w:rsidR="004F72B8">
        <w:rPr>
          <w:szCs w:val="22"/>
        </w:rPr>
        <w:t xml:space="preserve"> (</w:t>
      </w:r>
      <w:r w:rsidR="00AE299E">
        <w:rPr>
          <w:szCs w:val="22"/>
        </w:rPr>
        <w:t>30</w:t>
      </w:r>
      <w:r w:rsidRPr="00AE299E" w:rsidR="00AE299E">
        <w:rPr>
          <w:szCs w:val="22"/>
        </w:rPr>
        <w:t>) days after publication of the text or summary thereof in the Federal Register.</w:t>
      </w:r>
    </w:p>
    <w:p w:rsidR="00141E55" w:rsidRPr="002B56A6" w:rsidP="002B56A6" w14:paraId="7A91E585" w14:textId="77777777">
      <w:pPr>
        <w:pStyle w:val="Heading1"/>
        <w:spacing w:line="240" w:lineRule="auto"/>
        <w:ind w:left="720"/>
      </w:pPr>
      <w:r w:rsidRPr="002B56A6">
        <w:t>INTERNET LINKS</w:t>
      </w:r>
    </w:p>
    <w:p w:rsidR="001563B0" w:rsidRPr="002B56A6" w:rsidP="002B56A6" w14:paraId="4A1F2224" w14:textId="77777777">
      <w:pPr>
        <w:spacing w:after="0" w:line="240" w:lineRule="auto"/>
        <w:ind w:left="720"/>
        <w:rPr>
          <w:rFonts w:ascii="Times New Roman" w:hAnsi="Times New Roman" w:cs="Times New Roman"/>
        </w:rPr>
      </w:pPr>
      <w:r w:rsidRPr="002B56A6">
        <w:rPr>
          <w:rFonts w:ascii="Times New Roman" w:hAnsi="Times New Roman" w:cs="Times New Roman"/>
        </w:rPr>
        <w:t xml:space="preserve">A copy of the </w:t>
      </w:r>
      <w:r w:rsidR="000A4C0E">
        <w:rPr>
          <w:rFonts w:ascii="Times New Roman" w:hAnsi="Times New Roman" w:cs="Times New Roman"/>
          <w:i/>
        </w:rPr>
        <w:t>Fourth</w:t>
      </w:r>
      <w:r>
        <w:rPr>
          <w:rFonts w:ascii="Times New Roman" w:hAnsi="Times New Roman" w:cs="Times New Roman"/>
          <w:i/>
        </w:rPr>
        <w:t xml:space="preserve"> </w:t>
      </w:r>
      <w:r w:rsidRPr="002B56A6">
        <w:rPr>
          <w:rFonts w:ascii="Times New Roman" w:hAnsi="Times New Roman" w:cs="Times New Roman"/>
          <w:i/>
        </w:rPr>
        <w:t>Report and Order</w:t>
      </w:r>
      <w:r w:rsidRPr="002B56A6">
        <w:rPr>
          <w:rFonts w:ascii="Times New Roman" w:hAnsi="Times New Roman" w:cs="Times New Roman"/>
        </w:rPr>
        <w:t xml:space="preserve"> is available at:</w:t>
      </w:r>
    </w:p>
    <w:p w:rsidR="00C85CAD" w:rsidRPr="002B56A6" w14:paraId="403D8C18" w14:textId="10557AD7">
      <w:pPr>
        <w:spacing w:after="0" w:line="240" w:lineRule="auto"/>
        <w:rPr>
          <w:rFonts w:ascii="Times New Roman" w:hAnsi="Times New Roman" w:cs="Times New Roman"/>
        </w:rPr>
      </w:pPr>
      <w:hyperlink r:id="rId10" w:history="1">
        <w:r w:rsidRPr="003436D5">
          <w:rPr>
            <w:rStyle w:val="Hyperlink"/>
            <w:rFonts w:ascii="Times New Roman" w:hAnsi="Times New Roman" w:cs="Times New Roman"/>
          </w:rPr>
          <w:t>https://docs.fcc.gov/public/attachments/FCC-18-180A1.pdf</w:t>
        </w:r>
      </w:hyperlink>
    </w:p>
    <w:p w:rsidR="001563B0" w:rsidRPr="002B56A6" w:rsidP="00A21BAF" w14:paraId="336AB737" w14:textId="77777777">
      <w:pPr>
        <w:spacing w:after="0" w:line="240" w:lineRule="auto"/>
        <w:rPr>
          <w:rFonts w:ascii="Times New Roman" w:hAnsi="Times New Roman" w:cs="Times New Roman"/>
        </w:rPr>
      </w:pPr>
    </w:p>
    <w:p w:rsidR="001563B0" w:rsidRPr="002B56A6" w:rsidP="002B56A6" w14:paraId="20038C14" w14:textId="77777777">
      <w:pPr>
        <w:spacing w:after="0" w:line="240" w:lineRule="auto"/>
        <w:ind w:left="720"/>
        <w:rPr>
          <w:rFonts w:ascii="Times New Roman" w:hAnsi="Times New Roman" w:cs="Times New Roman"/>
        </w:rPr>
      </w:pPr>
      <w:r w:rsidRPr="002B56A6">
        <w:rPr>
          <w:rFonts w:ascii="Times New Roman" w:hAnsi="Times New Roman" w:cs="Times New Roman"/>
        </w:rPr>
        <w:t xml:space="preserve">A copy of the Federal Register Summary of the </w:t>
      </w:r>
      <w:r w:rsidR="00AE299E">
        <w:rPr>
          <w:rFonts w:ascii="Times New Roman" w:hAnsi="Times New Roman" w:cs="Times New Roman"/>
          <w:i/>
        </w:rPr>
        <w:t>Fourth</w:t>
      </w:r>
      <w:r>
        <w:rPr>
          <w:rFonts w:ascii="Times New Roman" w:hAnsi="Times New Roman" w:cs="Times New Roman"/>
          <w:i/>
        </w:rPr>
        <w:t xml:space="preserve"> </w:t>
      </w:r>
      <w:r w:rsidRPr="002B56A6">
        <w:rPr>
          <w:rFonts w:ascii="Times New Roman" w:hAnsi="Times New Roman" w:cs="Times New Roman"/>
          <w:i/>
        </w:rPr>
        <w:t>Report and Order</w:t>
      </w:r>
      <w:r w:rsidRPr="002B56A6">
        <w:rPr>
          <w:rFonts w:ascii="Times New Roman" w:hAnsi="Times New Roman" w:cs="Times New Roman"/>
        </w:rPr>
        <w:t xml:space="preserve"> is available at:</w:t>
      </w:r>
    </w:p>
    <w:p w:rsidR="0001069B" w:rsidRPr="002B56A6" w:rsidP="00291F81" w14:paraId="43219F9A" w14:textId="77777777">
      <w:pPr>
        <w:spacing w:line="240" w:lineRule="auto"/>
        <w:rPr>
          <w:rFonts w:ascii="Times New Roman" w:hAnsi="Times New Roman" w:cs="Times New Roman"/>
        </w:rPr>
      </w:pPr>
      <w:hyperlink r:id="rId11" w:history="1">
        <w:r w:rsidRPr="00C95490" w:rsidR="000A4C0E">
          <w:rPr>
            <w:rStyle w:val="Hyperlink"/>
            <w:rFonts w:ascii="Times New Roman" w:hAnsi="Times New Roman" w:cs="Times New Roman"/>
          </w:rPr>
          <w:t>https://www.govinfo.gov/content/pkg/FR-2019-02-05/pdf/2018-27975.pdf</w:t>
        </w:r>
      </w:hyperlink>
      <w:r w:rsidR="000A4C0E">
        <w:rPr>
          <w:rFonts w:ascii="Times New Roman" w:hAnsi="Times New Roman" w:cs="Times New Roman"/>
        </w:rPr>
        <w:t xml:space="preserve"> </w:t>
      </w:r>
    </w:p>
    <w:sectPr w:rsidSect="00714115">
      <w:footerReference w:type="default" r:id="rId12"/>
      <w:footerReference w:type="first" r:id="rId13"/>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F82" w:rsidRPr="00511023" w14:paraId="10957836" w14:textId="77777777">
    <w:pPr>
      <w:pStyle w:val="Footer"/>
      <w:jc w:val="center"/>
      <w:rPr>
        <w:rFonts w:ascii="Times New Roman" w:hAnsi="Times New Roman" w:cs="Times New Roman"/>
      </w:rPr>
    </w:pPr>
  </w:p>
  <w:p w:rsidR="00C75F82" w14:paraId="513179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27AC" w14:paraId="26E02FA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27AC" w14:paraId="3BC57BF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4115" w14:paraId="0E062D5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4115" w14:paraId="52D89E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59DC" w:rsidP="004A5D6B" w14:paraId="0762464F" w14:textId="77777777">
      <w:pPr>
        <w:spacing w:after="0" w:line="240" w:lineRule="auto"/>
      </w:pPr>
      <w:r>
        <w:separator/>
      </w:r>
    </w:p>
  </w:footnote>
  <w:footnote w:type="continuationSeparator" w:id="1">
    <w:p w:rsidR="004359DC" w:rsidP="004A5D6B" w14:paraId="2DDA4ACB" w14:textId="77777777">
      <w:pPr>
        <w:spacing w:after="0" w:line="240" w:lineRule="auto"/>
      </w:pPr>
      <w:r>
        <w:continuationSeparator/>
      </w:r>
    </w:p>
  </w:footnote>
  <w:footnote w:type="continuationNotice" w:id="2">
    <w:p w:rsidR="004359DC" w14:paraId="43760A4E" w14:textId="77777777">
      <w:pPr>
        <w:spacing w:after="0" w:line="240" w:lineRule="auto"/>
      </w:pPr>
    </w:p>
  </w:footnote>
  <w:footnote w:id="3">
    <w:p w:rsidR="00CD62C4" w:rsidRPr="00291F81" w:rsidP="00FB40F6" w14:paraId="4FB24061" w14:textId="77777777">
      <w:pPr>
        <w:spacing w:after="120"/>
        <w:rPr>
          <w:rFonts w:ascii="Times New Roman" w:hAnsi="Times New Roman" w:cs="Times New Roman"/>
        </w:rPr>
      </w:pPr>
      <w:r w:rsidRPr="00291F81">
        <w:rPr>
          <w:rStyle w:val="FootnoteReference"/>
          <w:rFonts w:ascii="Times New Roman" w:hAnsi="Times New Roman" w:cs="Times New Roman"/>
          <w:sz w:val="20"/>
          <w:szCs w:val="20"/>
        </w:rPr>
        <w:footnoteRef/>
      </w:r>
      <w:r w:rsidRPr="00291F81">
        <w:rPr>
          <w:rFonts w:ascii="Times New Roman" w:hAnsi="Times New Roman" w:cs="Times New Roman"/>
          <w:sz w:val="20"/>
          <w:szCs w:val="20"/>
        </w:rPr>
        <w:t xml:space="preserve"> </w:t>
      </w:r>
      <w:r w:rsidRPr="009C1F52">
        <w:rPr>
          <w:rFonts w:ascii="Times New Roman" w:hAnsi="Times New Roman" w:cs="Times New Roman"/>
          <w:i/>
          <w:sz w:val="20"/>
          <w:szCs w:val="20"/>
        </w:rPr>
        <w:t xml:space="preserve">Use of Spectrum Bands Above 24 GHz For Mobile Radio Services, et al., </w:t>
      </w:r>
      <w:r w:rsidR="001F529C">
        <w:rPr>
          <w:rFonts w:ascii="Times New Roman" w:hAnsi="Times New Roman" w:cs="Times New Roman"/>
          <w:i/>
          <w:sz w:val="20"/>
          <w:szCs w:val="20"/>
        </w:rPr>
        <w:t>Fourth</w:t>
      </w:r>
      <w:r w:rsidRPr="009C1F52">
        <w:rPr>
          <w:rFonts w:ascii="Times New Roman" w:hAnsi="Times New Roman" w:cs="Times New Roman"/>
          <w:i/>
          <w:sz w:val="20"/>
          <w:szCs w:val="20"/>
        </w:rPr>
        <w:t xml:space="preserve"> Report and Order, </w:t>
      </w:r>
      <w:r w:rsidR="0094499E">
        <w:rPr>
          <w:rFonts w:ascii="Times New Roman" w:hAnsi="Times New Roman" w:cs="Times New Roman"/>
          <w:sz w:val="20"/>
          <w:szCs w:val="20"/>
        </w:rPr>
        <w:t>FCC 18-180, rel. Dec. 12, 2018</w:t>
      </w:r>
      <w:r w:rsidRPr="009C1F52">
        <w:rPr>
          <w:rFonts w:ascii="Times New Roman" w:hAnsi="Times New Roman" w:cs="Times New Roman"/>
          <w:sz w:val="20"/>
          <w:szCs w:val="20"/>
        </w:rPr>
        <w:t xml:space="preserve"> (</w:t>
      </w:r>
      <w:r w:rsidR="0094499E">
        <w:rPr>
          <w:rFonts w:ascii="Times New Roman" w:hAnsi="Times New Roman" w:cs="Times New Roman"/>
          <w:i/>
          <w:sz w:val="20"/>
          <w:szCs w:val="20"/>
        </w:rPr>
        <w:t>Fourth</w:t>
      </w:r>
      <w:r w:rsidRPr="009C1F52">
        <w:rPr>
          <w:rFonts w:ascii="Times New Roman" w:hAnsi="Times New Roman" w:cs="Times New Roman"/>
          <w:i/>
          <w:sz w:val="20"/>
          <w:szCs w:val="20"/>
        </w:rPr>
        <w:t xml:space="preserve"> Report and Order or </w:t>
      </w:r>
      <w:r w:rsidR="0094499E">
        <w:rPr>
          <w:rFonts w:ascii="Times New Roman" w:hAnsi="Times New Roman" w:cs="Times New Roman"/>
          <w:i/>
          <w:sz w:val="20"/>
          <w:szCs w:val="20"/>
        </w:rPr>
        <w:t>4</w:t>
      </w:r>
      <w:r w:rsidRPr="0094499E" w:rsidR="0094499E">
        <w:rPr>
          <w:rFonts w:ascii="Times New Roman" w:hAnsi="Times New Roman" w:cs="Times New Roman"/>
          <w:i/>
          <w:sz w:val="20"/>
          <w:szCs w:val="20"/>
          <w:vertAlign w:val="superscript"/>
        </w:rPr>
        <w:t>th</w:t>
      </w:r>
      <w:r w:rsidR="0094499E">
        <w:rPr>
          <w:rFonts w:ascii="Times New Roman" w:hAnsi="Times New Roman" w:cs="Times New Roman"/>
          <w:i/>
          <w:sz w:val="20"/>
          <w:szCs w:val="20"/>
        </w:rPr>
        <w:t xml:space="preserve"> </w:t>
      </w:r>
      <w:r w:rsidRPr="009C1F52">
        <w:rPr>
          <w:rFonts w:ascii="Times New Roman" w:hAnsi="Times New Roman" w:cs="Times New Roman"/>
          <w:i/>
          <w:sz w:val="20"/>
          <w:szCs w:val="20"/>
        </w:rPr>
        <w:t>R&amp;O</w:t>
      </w:r>
      <w:r w:rsidRPr="009C1F52">
        <w:rPr>
          <w:rFonts w:ascii="Times New Roman" w:hAnsi="Times New Roman" w:cs="Times New Roman"/>
          <w:sz w:val="20"/>
          <w:szCs w:val="20"/>
        </w:rPr>
        <w:t>).</w:t>
      </w:r>
      <w:r w:rsidRPr="009C1F52">
        <w:rPr>
          <w:rFonts w:ascii="Times New Roman" w:hAnsi="Times New Roman" w:cs="Times New Roman"/>
          <w:i/>
          <w:sz w:val="20"/>
          <w:szCs w:val="20"/>
        </w:rPr>
        <w:t xml:space="preserve"> </w:t>
      </w:r>
    </w:p>
  </w:footnote>
  <w:footnote w:id="4">
    <w:p w:rsidR="0027592D" w:rsidP="00FB40F6" w14:paraId="045CB5AA" w14:textId="77777777">
      <w:pPr>
        <w:pStyle w:val="FootnoteText"/>
        <w:spacing w:after="120"/>
      </w:pPr>
      <w:r>
        <w:rPr>
          <w:rStyle w:val="FootnoteReference"/>
        </w:rPr>
        <w:footnoteRef/>
      </w:r>
      <w:r>
        <w:t xml:space="preserve"> </w:t>
      </w:r>
      <w:r w:rsidRPr="0027592D">
        <w:rPr>
          <w:rFonts w:ascii="Times New Roman" w:hAnsi="Times New Roman" w:cs="Times New Roman"/>
          <w:i/>
        </w:rPr>
        <w:t xml:space="preserve">See </w:t>
      </w:r>
      <w:r w:rsidR="001F529C">
        <w:rPr>
          <w:rFonts w:ascii="Times New Roman" w:hAnsi="Times New Roman" w:cs="Times New Roman"/>
          <w:i/>
        </w:rPr>
        <w:t>4th</w:t>
      </w:r>
      <w:r w:rsidRPr="0027592D">
        <w:rPr>
          <w:rFonts w:ascii="Times New Roman" w:hAnsi="Times New Roman" w:cs="Times New Roman"/>
          <w:i/>
        </w:rPr>
        <w:t xml:space="preserve"> R&amp;O</w:t>
      </w:r>
      <w:r w:rsidRPr="0027592D">
        <w:rPr>
          <w:rFonts w:ascii="Times New Roman" w:hAnsi="Times New Roman" w:cs="Times New Roman"/>
        </w:rPr>
        <w:t xml:space="preserve">, paras. </w:t>
      </w:r>
      <w:r>
        <w:rPr>
          <w:rFonts w:ascii="Times New Roman" w:hAnsi="Times New Roman" w:cs="Times New Roman"/>
        </w:rPr>
        <w:t>1</w:t>
      </w:r>
      <w:r w:rsidR="001F529C">
        <w:rPr>
          <w:rFonts w:ascii="Times New Roman" w:hAnsi="Times New Roman" w:cs="Times New Roman"/>
        </w:rPr>
        <w:t>1-14.</w:t>
      </w:r>
    </w:p>
  </w:footnote>
  <w:footnote w:id="5">
    <w:p w:rsidR="00FD4775" w:rsidP="00250E4F" w14:paraId="73B1E7DD" w14:textId="77777777">
      <w:pPr>
        <w:pStyle w:val="FootnoteText"/>
        <w:spacing w:after="120"/>
      </w:pPr>
      <w:r>
        <w:rPr>
          <w:rStyle w:val="FootnoteReference"/>
        </w:rPr>
        <w:footnoteRef/>
      </w:r>
      <w:r>
        <w:t xml:space="preserve"> </w:t>
      </w:r>
      <w:r w:rsidRPr="0027592D">
        <w:rPr>
          <w:rFonts w:ascii="Times New Roman" w:hAnsi="Times New Roman" w:cs="Times New Roman"/>
          <w:i/>
        </w:rPr>
        <w:t xml:space="preserve">See </w:t>
      </w:r>
      <w:r>
        <w:rPr>
          <w:rFonts w:ascii="Times New Roman" w:hAnsi="Times New Roman" w:cs="Times New Roman"/>
          <w:i/>
        </w:rPr>
        <w:t>4th</w:t>
      </w:r>
      <w:r w:rsidRPr="0027592D">
        <w:rPr>
          <w:rFonts w:ascii="Times New Roman" w:hAnsi="Times New Roman" w:cs="Times New Roman"/>
          <w:i/>
        </w:rPr>
        <w:t xml:space="preserve"> R&amp;O</w:t>
      </w:r>
      <w:r w:rsidRPr="0027592D">
        <w:rPr>
          <w:rFonts w:ascii="Times New Roman" w:hAnsi="Times New Roman" w:cs="Times New Roman"/>
        </w:rPr>
        <w:t xml:space="preserve">, paras. </w:t>
      </w:r>
      <w:r>
        <w:rPr>
          <w:rFonts w:ascii="Times New Roman" w:hAnsi="Times New Roman" w:cs="Times New Roman"/>
        </w:rPr>
        <w:t>3-6.</w:t>
      </w:r>
    </w:p>
  </w:footnote>
  <w:footnote w:id="6">
    <w:p w:rsidR="00ED1FA2" w:rsidRPr="007C52B8" w:rsidP="00ED1FA2" w14:paraId="0B18F077" w14:textId="77777777">
      <w:pPr>
        <w:pStyle w:val="FootnoteText"/>
        <w:rPr>
          <w:rFonts w:ascii="Times New Roman" w:hAnsi="Times New Roman" w:cs="Times New Roman"/>
        </w:rPr>
      </w:pPr>
      <w:r w:rsidRPr="007C52B8">
        <w:rPr>
          <w:rStyle w:val="FootnoteReference"/>
          <w:rFonts w:ascii="Times New Roman" w:hAnsi="Times New Roman" w:cs="Times New Roman"/>
        </w:rPr>
        <w:footnoteRef/>
      </w:r>
      <w:r w:rsidRPr="007C52B8">
        <w:rPr>
          <w:rFonts w:ascii="Times New Roman" w:hAnsi="Times New Roman" w:cs="Times New Roman"/>
        </w:rPr>
        <w:t xml:space="preserve"> </w:t>
      </w:r>
      <w:r w:rsidRPr="007C52B8">
        <w:rPr>
          <w:rFonts w:ascii="Times New Roman" w:hAnsi="Times New Roman" w:cs="Times New Roman"/>
          <w:i/>
        </w:rPr>
        <w:t>Use of Spectrum Bands Above 24 GHz For Mobile Radio Services</w:t>
      </w:r>
      <w:r w:rsidRPr="007C52B8">
        <w:rPr>
          <w:rFonts w:ascii="Times New Roman" w:hAnsi="Times New Roman" w:cs="Times New Roman"/>
        </w:rPr>
        <w:t>, GN Docket No. 14-177, Fourth Further Notice of Proposed Rulemaking, FCC 18-110, at para. 4 (Aug. 2, 2018) (</w:t>
      </w:r>
      <w:r w:rsidRPr="007C52B8">
        <w:rPr>
          <w:rFonts w:ascii="Times New Roman" w:hAnsi="Times New Roman" w:cs="Times New Roman"/>
          <w:i/>
        </w:rPr>
        <w:t>4th FNPRM</w:t>
      </w:r>
      <w:r w:rsidRPr="007C52B8">
        <w:rPr>
          <w:rFonts w:ascii="Times New Roman" w:hAnsi="Times New Roman" w:cs="Times New Roman"/>
        </w:rPr>
        <w:t xml:space="preserve">).  For additional details on existing 39 GHz licenses, </w:t>
      </w:r>
      <w:r w:rsidRPr="007C52B8">
        <w:rPr>
          <w:rFonts w:ascii="Times New Roman" w:hAnsi="Times New Roman" w:cs="Times New Roman"/>
          <w:i/>
        </w:rPr>
        <w:t>see id.</w:t>
      </w:r>
      <w:r w:rsidRPr="007C52B8">
        <w:rPr>
          <w:rFonts w:ascii="Times New Roman" w:hAnsi="Times New Roman" w:cs="Times New Roman"/>
        </w:rPr>
        <w:t xml:space="preserve"> at paras. 3-7.</w:t>
      </w:r>
    </w:p>
  </w:footnote>
  <w:footnote w:id="7">
    <w:p w:rsidR="007C1C5A" w14:paraId="2DE60169" w14:textId="77777777">
      <w:pPr>
        <w:pStyle w:val="FootnoteText"/>
      </w:pPr>
      <w:r>
        <w:rPr>
          <w:rStyle w:val="FootnoteReference"/>
        </w:rPr>
        <w:footnoteRef/>
      </w:r>
      <w:r>
        <w:t xml:space="preserve"> </w:t>
      </w:r>
      <w:r w:rsidRPr="0027592D">
        <w:rPr>
          <w:rFonts w:ascii="Times New Roman" w:hAnsi="Times New Roman" w:cs="Times New Roman"/>
          <w:i/>
        </w:rPr>
        <w:t xml:space="preserve">See </w:t>
      </w:r>
      <w:r>
        <w:rPr>
          <w:rFonts w:ascii="Times New Roman" w:hAnsi="Times New Roman" w:cs="Times New Roman"/>
          <w:i/>
        </w:rPr>
        <w:t>4th</w:t>
      </w:r>
      <w:r w:rsidRPr="0027592D">
        <w:rPr>
          <w:rFonts w:ascii="Times New Roman" w:hAnsi="Times New Roman" w:cs="Times New Roman"/>
          <w:i/>
        </w:rPr>
        <w:t xml:space="preserve"> R&amp;O</w:t>
      </w:r>
      <w:r w:rsidRPr="0027592D">
        <w:rPr>
          <w:rFonts w:ascii="Times New Roman" w:hAnsi="Times New Roman" w:cs="Times New Roman"/>
        </w:rPr>
        <w:t xml:space="preserve">, paras. </w:t>
      </w:r>
      <w:r>
        <w:rPr>
          <w:rFonts w:ascii="Times New Roman" w:hAnsi="Times New Roman" w:cs="Times New Roman"/>
        </w:rPr>
        <w:t>15-36.</w:t>
      </w:r>
    </w:p>
  </w:footnote>
  <w:footnote w:id="8">
    <w:p w:rsidR="00654FB4" w14:paraId="1EF53205" w14:textId="15652E36">
      <w:pPr>
        <w:pStyle w:val="FootnoteText"/>
      </w:pPr>
      <w:r>
        <w:rPr>
          <w:rStyle w:val="FootnoteReference"/>
        </w:rPr>
        <w:footnoteRef/>
      </w:r>
      <w:r>
        <w:t xml:space="preserve"> </w:t>
      </w:r>
      <w:r w:rsidRPr="0027592D">
        <w:rPr>
          <w:rFonts w:ascii="Times New Roman" w:hAnsi="Times New Roman" w:cs="Times New Roman"/>
          <w:i/>
        </w:rPr>
        <w:t xml:space="preserve">See </w:t>
      </w:r>
      <w:r>
        <w:rPr>
          <w:rFonts w:ascii="Times New Roman" w:hAnsi="Times New Roman" w:cs="Times New Roman"/>
          <w:i/>
        </w:rPr>
        <w:t>4th</w:t>
      </w:r>
      <w:r w:rsidRPr="0027592D">
        <w:rPr>
          <w:rFonts w:ascii="Times New Roman" w:hAnsi="Times New Roman" w:cs="Times New Roman"/>
          <w:i/>
        </w:rPr>
        <w:t xml:space="preserve"> R&amp;O</w:t>
      </w:r>
      <w:r w:rsidRPr="0027592D">
        <w:rPr>
          <w:rFonts w:ascii="Times New Roman" w:hAnsi="Times New Roman" w:cs="Times New Roman"/>
        </w:rPr>
        <w:t xml:space="preserve">, paras. </w:t>
      </w:r>
      <w:r>
        <w:rPr>
          <w:rFonts w:ascii="Times New Roman" w:hAnsi="Times New Roman" w:cs="Times New Roman"/>
        </w:rPr>
        <w:t>37-43.</w:t>
      </w:r>
    </w:p>
  </w:footnote>
  <w:footnote w:id="9">
    <w:p w:rsidR="00117109" w14:paraId="0518AD72" w14:textId="7F578C88">
      <w:pPr>
        <w:pStyle w:val="FootnoteText"/>
      </w:pPr>
      <w:r>
        <w:rPr>
          <w:rStyle w:val="FootnoteReference"/>
        </w:rPr>
        <w:footnoteRef/>
      </w:r>
      <w:r>
        <w:t xml:space="preserve"> </w:t>
      </w:r>
      <w:r w:rsidRPr="0027592D">
        <w:rPr>
          <w:rFonts w:ascii="Times New Roman" w:hAnsi="Times New Roman" w:cs="Times New Roman"/>
          <w:i/>
        </w:rPr>
        <w:t xml:space="preserve">See </w:t>
      </w:r>
      <w:r>
        <w:rPr>
          <w:rFonts w:ascii="Times New Roman" w:hAnsi="Times New Roman" w:cs="Times New Roman"/>
          <w:i/>
        </w:rPr>
        <w:t>4th</w:t>
      </w:r>
      <w:r w:rsidRPr="0027592D">
        <w:rPr>
          <w:rFonts w:ascii="Times New Roman" w:hAnsi="Times New Roman" w:cs="Times New Roman"/>
          <w:i/>
        </w:rPr>
        <w:t xml:space="preserve"> R&amp;O</w:t>
      </w:r>
      <w:r w:rsidRPr="0027592D">
        <w:rPr>
          <w:rFonts w:ascii="Times New Roman" w:hAnsi="Times New Roman" w:cs="Times New Roman"/>
        </w:rPr>
        <w:t xml:space="preserve">, paras. </w:t>
      </w:r>
      <w:r>
        <w:rPr>
          <w:rFonts w:ascii="Times New Roman" w:hAnsi="Times New Roman" w:cs="Times New Roman"/>
        </w:rPr>
        <w:t>52-58.</w:t>
      </w:r>
    </w:p>
  </w:footnote>
  <w:footnote w:id="10">
    <w:p w:rsidR="007C1C5A" w14:paraId="6BD0D935" w14:textId="77777777">
      <w:pPr>
        <w:pStyle w:val="FootnoteText"/>
      </w:pPr>
      <w:r>
        <w:rPr>
          <w:rStyle w:val="FootnoteReference"/>
        </w:rPr>
        <w:footnoteRef/>
      </w:r>
      <w:r>
        <w:t xml:space="preserve"> </w:t>
      </w:r>
      <w:r w:rsidRPr="0027592D">
        <w:rPr>
          <w:rFonts w:ascii="Times New Roman" w:hAnsi="Times New Roman" w:cs="Times New Roman"/>
          <w:i/>
        </w:rPr>
        <w:t xml:space="preserve">See </w:t>
      </w:r>
      <w:r>
        <w:rPr>
          <w:rFonts w:ascii="Times New Roman" w:hAnsi="Times New Roman" w:cs="Times New Roman"/>
          <w:i/>
        </w:rPr>
        <w:t>4th</w:t>
      </w:r>
      <w:r w:rsidRPr="0027592D">
        <w:rPr>
          <w:rFonts w:ascii="Times New Roman" w:hAnsi="Times New Roman" w:cs="Times New Roman"/>
          <w:i/>
        </w:rPr>
        <w:t xml:space="preserve"> R&amp;O</w:t>
      </w:r>
      <w:r w:rsidRPr="0027592D">
        <w:rPr>
          <w:rFonts w:ascii="Times New Roman" w:hAnsi="Times New Roman" w:cs="Times New Roman"/>
        </w:rPr>
        <w:t xml:space="preserve">, paras. </w:t>
      </w:r>
      <w:r>
        <w:rPr>
          <w:rFonts w:ascii="Times New Roman" w:hAnsi="Times New Roman" w:cs="Times New Roman"/>
        </w:rPr>
        <w:t>59-61.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F82" w:rsidRPr="00EF0AF7" w:rsidP="00A21BAF" w14:paraId="5A98BEED" w14:textId="77777777">
    <w:pPr>
      <w:pStyle w:val="Header"/>
      <w:tabs>
        <w:tab w:val="left" w:pos="2340"/>
      </w:tabs>
      <w:spacing w:before="360" w:line="228" w:lineRule="auto"/>
      <w:ind w:firstLine="2160"/>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19254660" r:id="rId2"/>
      </w:pict>
    </w:r>
    <w:r w:rsidRPr="00EF0AF7" w:rsidR="00B92B70">
      <w:rPr>
        <w:rFonts w:ascii="CG Times (W1)" w:hAnsi="CG Times (W1)"/>
        <w:sz w:val="28"/>
      </w:rPr>
      <w:t>Federal Communications Commission</w:t>
    </w:r>
  </w:p>
  <w:p w:rsidR="00C75F82" w:rsidRPr="00EF0AF7" w:rsidP="00A21BAF" w14:paraId="30E1673C" w14:textId="77777777">
    <w:pPr>
      <w:tabs>
        <w:tab w:val="left" w:pos="3420"/>
        <w:tab w:val="left" w:pos="3600"/>
      </w:tabs>
      <w:rPr>
        <w:rFonts w:ascii="CG Times (W1)" w:hAnsi="CG Times (W1)"/>
        <w:sz w:val="28"/>
      </w:rPr>
    </w:pPr>
    <w:r>
      <w:rPr>
        <w:rFonts w:ascii="CG Times (W1)" w:hAnsi="CG Times (W1)"/>
        <w:sz w:val="28"/>
      </w:rPr>
      <w:tab/>
    </w:r>
    <w:r>
      <w:rPr>
        <w:rFonts w:ascii="CG Times (W1)" w:hAnsi="CG Times (W1)"/>
        <w:sz w:val="28"/>
      </w:rPr>
      <w:tab/>
    </w:r>
    <w:r w:rsidRPr="00EF0AF7">
      <w:rPr>
        <w:rFonts w:ascii="CG Times (W1)" w:hAnsi="CG Times (W1)"/>
        <w:sz w:val="28"/>
      </w:rPr>
      <w:t>Washington, D.C. 20554</w:t>
    </w:r>
  </w:p>
  <w:p w:rsidR="00C75F82" w:rsidRPr="007608D9" w:rsidP="00A21BAF" w14:paraId="52423A2B" w14:textId="44AA2290">
    <w:pPr>
      <w:tabs>
        <w:tab w:val="left" w:pos="3780"/>
      </w:tabs>
      <w:rPr>
        <w:rFonts w:ascii="Times New Roman" w:hAnsi="Times New Roman" w:cs="Times New Roman"/>
        <w:sz w:val="24"/>
        <w:szCs w:val="24"/>
      </w:rPr>
    </w:pPr>
    <w:r w:rsidRPr="00EF0AF7">
      <w:rPr>
        <w:rFonts w:ascii="CG Times (W1)" w:hAnsi="CG Times (W1)"/>
        <w:sz w:val="24"/>
        <w:szCs w:val="24"/>
      </w:rPr>
      <w:tab/>
    </w:r>
    <w:r w:rsidRPr="00EF0AF7">
      <w:rPr>
        <w:rFonts w:ascii="CG Times (W1)" w:hAnsi="CG Times (W1)"/>
        <w:sz w:val="24"/>
        <w:szCs w:val="24"/>
      </w:rPr>
      <w:tab/>
    </w:r>
    <w:r w:rsidRPr="00A62360" w:rsidR="00087DD1">
      <w:rPr>
        <w:rFonts w:ascii="Times New Roman" w:hAnsi="Times New Roman" w:cs="Times New Roman"/>
        <w:sz w:val="24"/>
        <w:szCs w:val="24"/>
      </w:rPr>
      <w:t>May 13</w:t>
    </w:r>
    <w:r w:rsidRPr="00A62360">
      <w:rPr>
        <w:rFonts w:ascii="Times New Roman" w:hAnsi="Times New Roman" w:cs="Times New Roman"/>
        <w:sz w:val="24"/>
        <w:szCs w:val="24"/>
      </w:rPr>
      <w:t>, 201</w:t>
    </w:r>
    <w:r w:rsidRPr="00A62360" w:rsidR="00BA194F">
      <w:rPr>
        <w:rFonts w:ascii="Times New Roman" w:hAnsi="Times New Roman" w:cs="Times New Roman"/>
        <w:sz w:val="24"/>
        <w:szCs w:val="24"/>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27AC" w14:paraId="6649D17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CB2E05"/>
    <w:multiLevelType w:val="hybridMultilevel"/>
    <w:tmpl w:val="957C6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B956CB"/>
    <w:multiLevelType w:val="hybridMultilevel"/>
    <w:tmpl w:val="217CEF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DC0A97"/>
    <w:multiLevelType w:val="hybridMultilevel"/>
    <w:tmpl w:val="2340CC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620D52"/>
    <w:multiLevelType w:val="hybridMultilevel"/>
    <w:tmpl w:val="7A64D86C"/>
    <w:lvl w:ilvl="0">
      <w:start w:val="1"/>
      <w:numFmt w:val="decimal"/>
      <w:lvlText w:val="%1."/>
      <w:lvlJc w:val="left"/>
      <w:pPr>
        <w:ind w:left="1080" w:hanging="360"/>
      </w:pPr>
      <w:rPr>
        <w:rFonts w:hint="default"/>
        <w:b/>
      </w:rPr>
    </w:lvl>
    <w:lvl w:ilvl="1">
      <w:start w:val="1"/>
      <w:numFmt w:val="bullet"/>
      <w:lvlText w:val=""/>
      <w:lvlJc w:val="left"/>
      <w:pPr>
        <w:ind w:left="1800" w:hanging="360"/>
      </w:pPr>
      <w:rPr>
        <w:rFonts w:ascii="Symbol" w:hAnsi="Symbol" w:hint="default"/>
      </w:rPr>
    </w:lvl>
    <w:lvl w:ilvl="2">
      <w:start w:val="1"/>
      <w:numFmt w:val="bullet"/>
      <w:lvlText w:val="o"/>
      <w:lvlJc w:val="left"/>
      <w:pPr>
        <w:ind w:left="2520" w:hanging="180"/>
      </w:pPr>
      <w:rPr>
        <w:rFonts w:ascii="Courier New" w:hAnsi="Courier New" w:cs="Courier New" w:hint="default"/>
      </w:rPr>
    </w:lvl>
    <w:lvl w:ilvl="3">
      <w:start w:val="1"/>
      <w:numFmt w:val="bullet"/>
      <w:lvlText w:val=""/>
      <w:lvlJc w:val="left"/>
      <w:pPr>
        <w:ind w:left="3240" w:hanging="360"/>
      </w:pPr>
      <w:rPr>
        <w:rFonts w:ascii="Wingdings" w:hAnsi="Wingding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DD97854"/>
    <w:multiLevelType w:val="hybridMultilevel"/>
    <w:tmpl w:val="6A98BE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10A5E15"/>
    <w:multiLevelType w:val="hybridMultilevel"/>
    <w:tmpl w:val="4D60CD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610" w:hanging="360"/>
      </w:pPr>
      <w:rPr>
        <w:rFonts w:ascii="Courier New" w:hAnsi="Courier New" w:cs="Courier New"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88B46FD"/>
    <w:multiLevelType w:val="hybridMultilevel"/>
    <w:tmpl w:val="E0AE1272"/>
    <w:lvl w:ilvl="0">
      <w:start w:val="1"/>
      <w:numFmt w:val="upperLetter"/>
      <w:pStyle w:val="Heading2"/>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2FA7F0E"/>
    <w:multiLevelType w:val="hybridMultilevel"/>
    <w:tmpl w:val="2E6A11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8421E2B"/>
    <w:multiLevelType w:val="hybridMultilevel"/>
    <w:tmpl w:val="338835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D497FFD"/>
    <w:multiLevelType w:val="hybridMultilevel"/>
    <w:tmpl w:val="A3FCAA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5554A53"/>
    <w:multiLevelType w:val="hybridMultilevel"/>
    <w:tmpl w:val="82206CDC"/>
    <w:lvl w:ilvl="0">
      <w:start w:val="1"/>
      <w:numFmt w:val="upperRoman"/>
      <w:pStyle w:val="Heading1"/>
      <w:lvlText w:val="%1."/>
      <w:lvlJc w:val="left"/>
      <w:pPr>
        <w:ind w:left="1080" w:hanging="720"/>
      </w:pPr>
      <w:rPr>
        <w:rFonts w:hint="default"/>
        <w:b/>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B8A4F26"/>
    <w:multiLevelType w:val="hybridMultilevel"/>
    <w:tmpl w:val="4316F858"/>
    <w:lvl w:ilvl="0">
      <w:start w:val="1"/>
      <w:numFmt w:val="upperLetter"/>
      <w:pStyle w:val="TOC2"/>
      <w:lvlText w:val="%1."/>
      <w:lvlJc w:val="left"/>
      <w:pPr>
        <w:ind w:left="810" w:hanging="360"/>
      </w:pPr>
      <w:rPr>
        <w:rFonts w:eastAsiaTheme="minorHAnsi" w:hint="default"/>
        <w:color w:val="auto"/>
        <w:u w:val="none"/>
      </w:rPr>
    </w:lvl>
    <w:lvl w:ilvl="1">
      <w:start w:val="1"/>
      <w:numFmt w:val="decimal"/>
      <w:lvlText w:val="%2."/>
      <w:lvlJc w:val="left"/>
      <w:pPr>
        <w:ind w:left="1530" w:hanging="360"/>
      </w:pPr>
      <w:rPr>
        <w:rFonts w:ascii="Times New Roman" w:hAnsi="Times New Roman" w:eastAsiaTheme="minorHAnsi" w:cs="Times New Roman"/>
      </w:r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2">
    <w:nsid w:val="3D7D2B90"/>
    <w:multiLevelType w:val="hybridMultilevel"/>
    <w:tmpl w:val="F776F3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8385AC0"/>
    <w:multiLevelType w:val="hybridMultilevel"/>
    <w:tmpl w:val="A090589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nsid w:val="4AC703BD"/>
    <w:multiLevelType w:val="hybridMultilevel"/>
    <w:tmpl w:val="C660F554"/>
    <w:lvl w:ilvl="0">
      <w:start w:val="1"/>
      <w:numFmt w:val="upperRoman"/>
      <w:lvlText w:val="%1."/>
      <w:lvlJc w:val="left"/>
      <w:pPr>
        <w:ind w:left="720" w:hanging="765"/>
      </w:pPr>
      <w:rPr>
        <w:rFonts w:hint="default"/>
        <w:b/>
      </w:rPr>
    </w:lvl>
    <w:lvl w:ilvl="1" w:tentative="1">
      <w:start w:val="1"/>
      <w:numFmt w:val="lowerLetter"/>
      <w:lvlText w:val="%2."/>
      <w:lvlJc w:val="left"/>
      <w:pPr>
        <w:ind w:left="1035" w:hanging="360"/>
      </w:pPr>
    </w:lvl>
    <w:lvl w:ilvl="2" w:tentative="1">
      <w:start w:val="1"/>
      <w:numFmt w:val="lowerRoman"/>
      <w:lvlText w:val="%3."/>
      <w:lvlJc w:val="right"/>
      <w:pPr>
        <w:ind w:left="1755" w:hanging="180"/>
      </w:pPr>
    </w:lvl>
    <w:lvl w:ilvl="3" w:tentative="1">
      <w:start w:val="1"/>
      <w:numFmt w:val="decimal"/>
      <w:lvlText w:val="%4."/>
      <w:lvlJc w:val="left"/>
      <w:pPr>
        <w:ind w:left="2475" w:hanging="360"/>
      </w:pPr>
    </w:lvl>
    <w:lvl w:ilvl="4" w:tentative="1">
      <w:start w:val="1"/>
      <w:numFmt w:val="lowerLetter"/>
      <w:lvlText w:val="%5."/>
      <w:lvlJc w:val="left"/>
      <w:pPr>
        <w:ind w:left="3195" w:hanging="360"/>
      </w:pPr>
    </w:lvl>
    <w:lvl w:ilvl="5" w:tentative="1">
      <w:start w:val="1"/>
      <w:numFmt w:val="lowerRoman"/>
      <w:lvlText w:val="%6."/>
      <w:lvlJc w:val="right"/>
      <w:pPr>
        <w:ind w:left="3915" w:hanging="180"/>
      </w:pPr>
    </w:lvl>
    <w:lvl w:ilvl="6" w:tentative="1">
      <w:start w:val="1"/>
      <w:numFmt w:val="decimal"/>
      <w:lvlText w:val="%7."/>
      <w:lvlJc w:val="left"/>
      <w:pPr>
        <w:ind w:left="4635" w:hanging="360"/>
      </w:pPr>
    </w:lvl>
    <w:lvl w:ilvl="7" w:tentative="1">
      <w:start w:val="1"/>
      <w:numFmt w:val="lowerLetter"/>
      <w:lvlText w:val="%8."/>
      <w:lvlJc w:val="left"/>
      <w:pPr>
        <w:ind w:left="5355" w:hanging="360"/>
      </w:pPr>
    </w:lvl>
    <w:lvl w:ilvl="8" w:tentative="1">
      <w:start w:val="1"/>
      <w:numFmt w:val="lowerRoman"/>
      <w:lvlText w:val="%9."/>
      <w:lvlJc w:val="right"/>
      <w:pPr>
        <w:ind w:left="6075" w:hanging="180"/>
      </w:pPr>
    </w:lvl>
  </w:abstractNum>
  <w:abstractNum w:abstractNumId="15">
    <w:nsid w:val="4E81734E"/>
    <w:multiLevelType w:val="hybridMultilevel"/>
    <w:tmpl w:val="8A16D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F9E1E65"/>
    <w:multiLevelType w:val="hybridMultilevel"/>
    <w:tmpl w:val="452E6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2FB373F"/>
    <w:multiLevelType w:val="hybridMultilevel"/>
    <w:tmpl w:val="010A5248"/>
    <w:lvl w:ilvl="0">
      <w:start w:val="1"/>
      <w:numFmt w:val="decimal"/>
      <w:pStyle w:val="Heading3"/>
      <w:lvlText w:val="%1."/>
      <w:lvlJc w:val="left"/>
      <w:pPr>
        <w:ind w:left="1080" w:hanging="36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BB62750"/>
    <w:multiLevelType w:val="hybridMultilevel"/>
    <w:tmpl w:val="A6C08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61B94D5F"/>
    <w:multiLevelType w:val="multilevel"/>
    <w:tmpl w:val="816EB7AC"/>
    <w:lvl w:ilvl="0">
      <w:start w:val="1"/>
      <w:numFmt w:val="bullet"/>
      <w:lvlText w:val=""/>
      <w:lvlJc w:val="left"/>
      <w:pPr>
        <w:ind w:left="1080" w:hanging="360"/>
      </w:pPr>
      <w:rPr>
        <w:rFonts w:ascii="Symbol" w:hAnsi="Symbol" w:hint="default"/>
      </w:rPr>
    </w:lvl>
    <w:lvl w:ilvl="1">
      <w:start w:val="1"/>
      <w:numFmt w:val="upperLetter"/>
      <w:lvlText w:val="%2"/>
      <w:lvlJc w:val="left"/>
      <w:pPr>
        <w:ind w:left="1800" w:hanging="360"/>
      </w:pPr>
      <w:rPr>
        <w:rFonts w:hint="default"/>
      </w:rPr>
    </w:lvl>
    <w:lvl w:ilvl="2">
      <w:start w:val="1"/>
      <w:numFmt w:val="lowerRoman"/>
      <w:lvlText w:val="%3"/>
      <w:lvlJc w:val="left"/>
      <w:pPr>
        <w:ind w:left="2520" w:hanging="360"/>
      </w:pPr>
      <w:rPr>
        <w:rFonts w:hint="default"/>
      </w:rPr>
    </w:lvl>
    <w:lvl w:ilvl="3">
      <w:start w:val="1"/>
      <w:numFmt w:val="lowerLetter"/>
      <w:lvlText w:val="%4"/>
      <w:lvlJc w:val="left"/>
      <w:pPr>
        <w:ind w:left="3240" w:hanging="360"/>
      </w:pPr>
      <w:rPr>
        <w:rFonts w:hint="default"/>
      </w:rPr>
    </w:lvl>
    <w:lvl w:ilvl="4">
      <w:start w:val="1"/>
      <w:numFmt w:val="bullet"/>
      <w:lvlText w:val=""/>
      <w:lvlJc w:val="left"/>
      <w:pPr>
        <w:ind w:left="3960" w:hanging="360"/>
      </w:pPr>
      <w:rPr>
        <w:rFonts w:ascii="Symbol" w:hAnsi="Symbol" w:hint="default"/>
      </w:rPr>
    </w:lvl>
    <w:lvl w:ilvl="5">
      <w:start w:val="1"/>
      <w:numFmt w:val="bullet"/>
      <w:lvlText w:val="o"/>
      <w:lvlJc w:val="left"/>
      <w:pPr>
        <w:ind w:left="4680" w:hanging="360"/>
      </w:pPr>
      <w:rPr>
        <w:rFonts w:ascii="Courier New" w:hAnsi="Courier New" w:hint="default"/>
      </w:rPr>
    </w:lvl>
    <w:lvl w:ilvl="6">
      <w:start w:val="1"/>
      <w:numFmt w:val="bullet"/>
      <w:lvlText w:val=""/>
      <w:lvlJc w:val="left"/>
      <w:pPr>
        <w:ind w:left="5400" w:hanging="360"/>
      </w:pPr>
      <w:rPr>
        <w:rFonts w:ascii="Wingdings" w:hAnsi="Wingdings" w:hint="default"/>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Wingdings" w:hAnsi="Wingdings" w:hint="default"/>
      </w:rPr>
    </w:lvl>
  </w:abstractNum>
  <w:abstractNum w:abstractNumId="21">
    <w:nsid w:val="64BD7BC4"/>
    <w:multiLevelType w:val="hybridMultilevel"/>
    <w:tmpl w:val="786E7BC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A616AED"/>
    <w:multiLevelType w:val="hybridMultilevel"/>
    <w:tmpl w:val="8550EC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121513B"/>
    <w:multiLevelType w:val="hybridMultilevel"/>
    <w:tmpl w:val="CD88906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4">
    <w:nsid w:val="784952F3"/>
    <w:multiLevelType w:val="hybridMultilevel"/>
    <w:tmpl w:val="E35E174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12"/>
  </w:num>
  <w:num w:numId="4">
    <w:abstractNumId w:val="6"/>
  </w:num>
  <w:num w:numId="5">
    <w:abstractNumId w:val="17"/>
  </w:num>
  <w:num w:numId="6">
    <w:abstractNumId w:val="13"/>
  </w:num>
  <w:num w:numId="7">
    <w:abstractNumId w:val="3"/>
  </w:num>
  <w:num w:numId="8">
    <w:abstractNumId w:val="5"/>
  </w:num>
  <w:num w:numId="9">
    <w:abstractNumId w:val="19"/>
  </w:num>
  <w:num w:numId="10">
    <w:abstractNumId w:val="16"/>
  </w:num>
  <w:num w:numId="11">
    <w:abstractNumId w:val="8"/>
  </w:num>
  <w:num w:numId="12">
    <w:abstractNumId w:val="20"/>
  </w:num>
  <w:num w:numId="13">
    <w:abstractNumId w:val="11"/>
  </w:num>
  <w:num w:numId="14">
    <w:abstractNumId w:val="22"/>
  </w:num>
  <w:num w:numId="15">
    <w:abstractNumId w:val="18"/>
  </w:num>
  <w:num w:numId="16">
    <w:abstractNumId w:val="21"/>
  </w:num>
  <w:num w:numId="17">
    <w:abstractNumId w:val="24"/>
  </w:num>
  <w:num w:numId="18">
    <w:abstractNumId w:val="4"/>
  </w:num>
  <w:num w:numId="19">
    <w:abstractNumId w:val="1"/>
  </w:num>
  <w:num w:numId="20">
    <w:abstractNumId w:val="6"/>
  </w:num>
  <w:num w:numId="21">
    <w:abstractNumId w:val="6"/>
  </w:num>
  <w:num w:numId="22">
    <w:abstractNumId w:val="17"/>
  </w:num>
  <w:num w:numId="23">
    <w:abstractNumId w:val="17"/>
  </w:num>
  <w:num w:numId="24">
    <w:abstractNumId w:val="15"/>
  </w:num>
  <w:num w:numId="25">
    <w:abstractNumId w:val="9"/>
  </w:num>
  <w:num w:numId="26">
    <w:abstractNumId w:val="7"/>
  </w:num>
  <w:num w:numId="27">
    <w:abstractNumId w:val="23"/>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85"/>
    <w:rsid w:val="00000FC2"/>
    <w:rsid w:val="0000174B"/>
    <w:rsid w:val="00007FAA"/>
    <w:rsid w:val="0001069B"/>
    <w:rsid w:val="00022581"/>
    <w:rsid w:val="000456D7"/>
    <w:rsid w:val="00056216"/>
    <w:rsid w:val="00057FC3"/>
    <w:rsid w:val="00073AF0"/>
    <w:rsid w:val="00082622"/>
    <w:rsid w:val="00082791"/>
    <w:rsid w:val="00084E55"/>
    <w:rsid w:val="00087DD1"/>
    <w:rsid w:val="00090D0E"/>
    <w:rsid w:val="00091D49"/>
    <w:rsid w:val="000A4C0E"/>
    <w:rsid w:val="000B4476"/>
    <w:rsid w:val="000C0562"/>
    <w:rsid w:val="000C7889"/>
    <w:rsid w:val="000E598A"/>
    <w:rsid w:val="000E5C8D"/>
    <w:rsid w:val="00107EDF"/>
    <w:rsid w:val="00117109"/>
    <w:rsid w:val="0011721C"/>
    <w:rsid w:val="00124DAD"/>
    <w:rsid w:val="00141E55"/>
    <w:rsid w:val="00153ACB"/>
    <w:rsid w:val="001563B0"/>
    <w:rsid w:val="001726CB"/>
    <w:rsid w:val="001A4206"/>
    <w:rsid w:val="001D0DCD"/>
    <w:rsid w:val="001D5585"/>
    <w:rsid w:val="001E4D3A"/>
    <w:rsid w:val="001F529C"/>
    <w:rsid w:val="001F6DA7"/>
    <w:rsid w:val="002132A2"/>
    <w:rsid w:val="00223260"/>
    <w:rsid w:val="002255E2"/>
    <w:rsid w:val="002258A8"/>
    <w:rsid w:val="00237771"/>
    <w:rsid w:val="00250E4F"/>
    <w:rsid w:val="002574D5"/>
    <w:rsid w:val="00271744"/>
    <w:rsid w:val="002735BD"/>
    <w:rsid w:val="0027592D"/>
    <w:rsid w:val="00277F88"/>
    <w:rsid w:val="00291F81"/>
    <w:rsid w:val="002936B8"/>
    <w:rsid w:val="0029758B"/>
    <w:rsid w:val="00297A4C"/>
    <w:rsid w:val="002B56A6"/>
    <w:rsid w:val="002C7690"/>
    <w:rsid w:val="002D5E93"/>
    <w:rsid w:val="003144FF"/>
    <w:rsid w:val="003178AB"/>
    <w:rsid w:val="00323474"/>
    <w:rsid w:val="00327F92"/>
    <w:rsid w:val="00331BDE"/>
    <w:rsid w:val="0033248C"/>
    <w:rsid w:val="003341A0"/>
    <w:rsid w:val="003436D5"/>
    <w:rsid w:val="00357A02"/>
    <w:rsid w:val="00397C3D"/>
    <w:rsid w:val="003A0710"/>
    <w:rsid w:val="003A637D"/>
    <w:rsid w:val="003D227E"/>
    <w:rsid w:val="003E54EA"/>
    <w:rsid w:val="003F3F80"/>
    <w:rsid w:val="003F44F3"/>
    <w:rsid w:val="004239D4"/>
    <w:rsid w:val="004359DC"/>
    <w:rsid w:val="004746D1"/>
    <w:rsid w:val="00483D62"/>
    <w:rsid w:val="004930CD"/>
    <w:rsid w:val="0049320D"/>
    <w:rsid w:val="004A4DAE"/>
    <w:rsid w:val="004A5D6B"/>
    <w:rsid w:val="004B1934"/>
    <w:rsid w:val="004B2223"/>
    <w:rsid w:val="004B61BA"/>
    <w:rsid w:val="004C5F53"/>
    <w:rsid w:val="004F165A"/>
    <w:rsid w:val="004F6E8C"/>
    <w:rsid w:val="004F72B8"/>
    <w:rsid w:val="005040DE"/>
    <w:rsid w:val="00511023"/>
    <w:rsid w:val="00520AE8"/>
    <w:rsid w:val="005413CE"/>
    <w:rsid w:val="00543C21"/>
    <w:rsid w:val="00545380"/>
    <w:rsid w:val="005466A3"/>
    <w:rsid w:val="00562166"/>
    <w:rsid w:val="00582B20"/>
    <w:rsid w:val="00594D81"/>
    <w:rsid w:val="0059707E"/>
    <w:rsid w:val="0059789C"/>
    <w:rsid w:val="005A7DCC"/>
    <w:rsid w:val="005C0469"/>
    <w:rsid w:val="005C16B1"/>
    <w:rsid w:val="005C1AAA"/>
    <w:rsid w:val="00622137"/>
    <w:rsid w:val="00654FB4"/>
    <w:rsid w:val="006673F1"/>
    <w:rsid w:val="006678D7"/>
    <w:rsid w:val="006773B6"/>
    <w:rsid w:val="006A187D"/>
    <w:rsid w:val="006D7BDA"/>
    <w:rsid w:val="006F13CA"/>
    <w:rsid w:val="006F6B60"/>
    <w:rsid w:val="0070618A"/>
    <w:rsid w:val="00706486"/>
    <w:rsid w:val="00714115"/>
    <w:rsid w:val="00744F1E"/>
    <w:rsid w:val="00760072"/>
    <w:rsid w:val="007608D9"/>
    <w:rsid w:val="0077621D"/>
    <w:rsid w:val="00776D56"/>
    <w:rsid w:val="00787BAF"/>
    <w:rsid w:val="007926C8"/>
    <w:rsid w:val="007C1C5A"/>
    <w:rsid w:val="007C2137"/>
    <w:rsid w:val="007C52B8"/>
    <w:rsid w:val="007F74A2"/>
    <w:rsid w:val="0080650A"/>
    <w:rsid w:val="00807890"/>
    <w:rsid w:val="00812DA2"/>
    <w:rsid w:val="00814BA0"/>
    <w:rsid w:val="00823110"/>
    <w:rsid w:val="00840276"/>
    <w:rsid w:val="00845A1A"/>
    <w:rsid w:val="00857843"/>
    <w:rsid w:val="008729AB"/>
    <w:rsid w:val="0087538D"/>
    <w:rsid w:val="008A6381"/>
    <w:rsid w:val="008B0154"/>
    <w:rsid w:val="008C1538"/>
    <w:rsid w:val="008C1C45"/>
    <w:rsid w:val="008C627B"/>
    <w:rsid w:val="008E0609"/>
    <w:rsid w:val="008E1A8C"/>
    <w:rsid w:val="008F2E3C"/>
    <w:rsid w:val="0090035F"/>
    <w:rsid w:val="00910FE5"/>
    <w:rsid w:val="00931400"/>
    <w:rsid w:val="00935BE4"/>
    <w:rsid w:val="0094499E"/>
    <w:rsid w:val="0094783D"/>
    <w:rsid w:val="00962D97"/>
    <w:rsid w:val="00967191"/>
    <w:rsid w:val="00967615"/>
    <w:rsid w:val="009A2144"/>
    <w:rsid w:val="009B21D0"/>
    <w:rsid w:val="009C1F52"/>
    <w:rsid w:val="009C4EA5"/>
    <w:rsid w:val="009C6756"/>
    <w:rsid w:val="009C7525"/>
    <w:rsid w:val="009D499E"/>
    <w:rsid w:val="009F7BFB"/>
    <w:rsid w:val="00A02904"/>
    <w:rsid w:val="00A071DD"/>
    <w:rsid w:val="00A143FD"/>
    <w:rsid w:val="00A21BAF"/>
    <w:rsid w:val="00A31D31"/>
    <w:rsid w:val="00A358FB"/>
    <w:rsid w:val="00A51920"/>
    <w:rsid w:val="00A525FE"/>
    <w:rsid w:val="00A62360"/>
    <w:rsid w:val="00A6490E"/>
    <w:rsid w:val="00A66166"/>
    <w:rsid w:val="00A9437D"/>
    <w:rsid w:val="00AA2B7F"/>
    <w:rsid w:val="00AA4636"/>
    <w:rsid w:val="00AB6DF2"/>
    <w:rsid w:val="00AE299E"/>
    <w:rsid w:val="00AE452D"/>
    <w:rsid w:val="00AF70E3"/>
    <w:rsid w:val="00B11B82"/>
    <w:rsid w:val="00B14450"/>
    <w:rsid w:val="00B16481"/>
    <w:rsid w:val="00B3341A"/>
    <w:rsid w:val="00B42171"/>
    <w:rsid w:val="00B92B70"/>
    <w:rsid w:val="00BA194F"/>
    <w:rsid w:val="00BB04FE"/>
    <w:rsid w:val="00BB6F5F"/>
    <w:rsid w:val="00BE3165"/>
    <w:rsid w:val="00BE5ACF"/>
    <w:rsid w:val="00C017E3"/>
    <w:rsid w:val="00C02A62"/>
    <w:rsid w:val="00C437F7"/>
    <w:rsid w:val="00C501BD"/>
    <w:rsid w:val="00C75F82"/>
    <w:rsid w:val="00C7740B"/>
    <w:rsid w:val="00C77D2F"/>
    <w:rsid w:val="00C85CAD"/>
    <w:rsid w:val="00C9452C"/>
    <w:rsid w:val="00C95490"/>
    <w:rsid w:val="00CB75E7"/>
    <w:rsid w:val="00CD3DA2"/>
    <w:rsid w:val="00CD62C4"/>
    <w:rsid w:val="00CF15D6"/>
    <w:rsid w:val="00D11200"/>
    <w:rsid w:val="00D22F32"/>
    <w:rsid w:val="00D303DE"/>
    <w:rsid w:val="00D32EF3"/>
    <w:rsid w:val="00D33087"/>
    <w:rsid w:val="00D37AE5"/>
    <w:rsid w:val="00D403F9"/>
    <w:rsid w:val="00D67A33"/>
    <w:rsid w:val="00D706FC"/>
    <w:rsid w:val="00D731FE"/>
    <w:rsid w:val="00D8042B"/>
    <w:rsid w:val="00D92735"/>
    <w:rsid w:val="00D927AC"/>
    <w:rsid w:val="00DA5BAB"/>
    <w:rsid w:val="00DE237C"/>
    <w:rsid w:val="00E3184B"/>
    <w:rsid w:val="00E3416B"/>
    <w:rsid w:val="00E57BA9"/>
    <w:rsid w:val="00E57FF2"/>
    <w:rsid w:val="00E618DB"/>
    <w:rsid w:val="00E67B83"/>
    <w:rsid w:val="00E906BA"/>
    <w:rsid w:val="00EB5756"/>
    <w:rsid w:val="00EC4902"/>
    <w:rsid w:val="00ED1FA2"/>
    <w:rsid w:val="00EE6E55"/>
    <w:rsid w:val="00EF0AF7"/>
    <w:rsid w:val="00F209B7"/>
    <w:rsid w:val="00F265C9"/>
    <w:rsid w:val="00F30CD3"/>
    <w:rsid w:val="00F84D23"/>
    <w:rsid w:val="00F937EB"/>
    <w:rsid w:val="00F94A10"/>
    <w:rsid w:val="00F94BBC"/>
    <w:rsid w:val="00FA2186"/>
    <w:rsid w:val="00FA4075"/>
    <w:rsid w:val="00FB40F6"/>
    <w:rsid w:val="00FB4EC8"/>
    <w:rsid w:val="00FD4775"/>
    <w:rsid w:val="00FD70F5"/>
    <w:rsid w:val="00FF37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D6B"/>
  </w:style>
  <w:style w:type="paragraph" w:styleId="Heading1">
    <w:name w:val="heading 1"/>
    <w:basedOn w:val="ListParagraph"/>
    <w:next w:val="Normal"/>
    <w:link w:val="Heading1Char"/>
    <w:uiPriority w:val="9"/>
    <w:qFormat/>
    <w:rsid w:val="004A5D6B"/>
    <w:pPr>
      <w:numPr>
        <w:numId w:val="2"/>
      </w:numPr>
      <w:outlineLvl w:val="0"/>
    </w:pPr>
    <w:rPr>
      <w:rFonts w:ascii="Times New Roman" w:hAnsi="Times New Roman" w:cs="Times New Roman"/>
      <w:b/>
      <w:u w:val="single"/>
    </w:rPr>
  </w:style>
  <w:style w:type="paragraph" w:styleId="Heading2">
    <w:name w:val="heading 2"/>
    <w:basedOn w:val="ListParagraph"/>
    <w:next w:val="Normal"/>
    <w:link w:val="Heading2Char"/>
    <w:uiPriority w:val="9"/>
    <w:unhideWhenUsed/>
    <w:qFormat/>
    <w:rsid w:val="006473FA"/>
    <w:pPr>
      <w:numPr>
        <w:numId w:val="4"/>
      </w:numPr>
      <w:outlineLvl w:val="1"/>
    </w:pPr>
    <w:rPr>
      <w:rFonts w:ascii="Times New Roman" w:hAnsi="Times New Roman" w:cs="Times New Roman"/>
      <w:b/>
    </w:rPr>
  </w:style>
  <w:style w:type="paragraph" w:styleId="Heading3">
    <w:name w:val="heading 3"/>
    <w:basedOn w:val="ListParagraph"/>
    <w:next w:val="Normal"/>
    <w:link w:val="Heading3Char"/>
    <w:uiPriority w:val="9"/>
    <w:unhideWhenUsed/>
    <w:qFormat/>
    <w:rsid w:val="006473FA"/>
    <w:pPr>
      <w:numPr>
        <w:numId w:val="5"/>
      </w:numPr>
      <w:outlineLvl w:val="2"/>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D6B"/>
  </w:style>
  <w:style w:type="paragraph" w:styleId="Footer">
    <w:name w:val="footer"/>
    <w:basedOn w:val="Normal"/>
    <w:link w:val="FooterChar"/>
    <w:uiPriority w:val="99"/>
    <w:unhideWhenUsed/>
    <w:rsid w:val="004A5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D6B"/>
  </w:style>
  <w:style w:type="character" w:customStyle="1" w:styleId="Heading1Char">
    <w:name w:val="Heading 1 Char"/>
    <w:basedOn w:val="DefaultParagraphFont"/>
    <w:link w:val="Heading1"/>
    <w:uiPriority w:val="9"/>
    <w:rsid w:val="004A5D6B"/>
    <w:rPr>
      <w:rFonts w:ascii="Times New Roman" w:hAnsi="Times New Roman" w:cs="Times New Roman"/>
      <w:b/>
      <w:u w:val="single"/>
    </w:rPr>
  </w:style>
  <w:style w:type="paragraph" w:styleId="TOCHeading">
    <w:name w:val="TOC Heading"/>
    <w:basedOn w:val="Heading1"/>
    <w:next w:val="Normal"/>
    <w:uiPriority w:val="39"/>
    <w:unhideWhenUsed/>
    <w:qFormat/>
    <w:rsid w:val="004A5D6B"/>
    <w:pPr>
      <w:tabs>
        <w:tab w:val="left" w:pos="720"/>
      </w:tabs>
      <w:outlineLvl w:val="9"/>
    </w:pPr>
  </w:style>
  <w:style w:type="paragraph" w:styleId="TOC1">
    <w:name w:val="toc 1"/>
    <w:basedOn w:val="Normal"/>
    <w:next w:val="Normal"/>
    <w:autoRedefine/>
    <w:uiPriority w:val="39"/>
    <w:unhideWhenUsed/>
    <w:rsid w:val="003A637D"/>
    <w:pPr>
      <w:tabs>
        <w:tab w:val="left" w:pos="450"/>
        <w:tab w:val="right" w:leader="dot" w:pos="9350"/>
      </w:tabs>
      <w:spacing w:before="120" w:after="100"/>
      <w:jc w:val="center"/>
    </w:pPr>
    <w:rPr>
      <w:rFonts w:ascii="Times New Roman" w:hAnsi="Times New Roman" w:eastAsiaTheme="minorEastAsia" w:cs="Times New Roman"/>
      <w:noProof/>
    </w:rPr>
  </w:style>
  <w:style w:type="paragraph" w:styleId="ListParagraph">
    <w:name w:val="List Paragraph"/>
    <w:basedOn w:val="Normal"/>
    <w:uiPriority w:val="34"/>
    <w:qFormat/>
    <w:rsid w:val="004A5D6B"/>
    <w:pPr>
      <w:ind w:left="720"/>
      <w:contextualSpacing/>
    </w:pPr>
  </w:style>
  <w:style w:type="character" w:styleId="Hyperlink">
    <w:name w:val="Hyperlink"/>
    <w:basedOn w:val="DefaultParagraphFont"/>
    <w:uiPriority w:val="99"/>
    <w:unhideWhenUsed/>
    <w:rsid w:val="004A5D6B"/>
    <w:rPr>
      <w:color w:val="0563C1" w:themeColor="hyperlink"/>
      <w:u w:val="single"/>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basedOn w:val="Normal"/>
    <w:link w:val="FootnoteTextChar"/>
    <w:unhideWhenUsed/>
    <w:rsid w:val="00DD43D2"/>
    <w:pPr>
      <w:spacing w:after="0" w:line="240" w:lineRule="auto"/>
    </w:pPr>
    <w:rPr>
      <w:sz w:val="20"/>
      <w:szCs w:val="20"/>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basedOn w:val="DefaultParagraphFont"/>
    <w:link w:val="FootnoteText"/>
    <w:rsid w:val="00DD43D2"/>
    <w:rPr>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basedOn w:val="DefaultParagraphFont"/>
    <w:unhideWhenUsed/>
    <w:rsid w:val="00DD43D2"/>
    <w:rPr>
      <w:vertAlign w:val="superscript"/>
    </w:rPr>
  </w:style>
  <w:style w:type="character" w:customStyle="1" w:styleId="Heading2Char">
    <w:name w:val="Heading 2 Char"/>
    <w:basedOn w:val="DefaultParagraphFont"/>
    <w:link w:val="Heading2"/>
    <w:uiPriority w:val="9"/>
    <w:rsid w:val="006473FA"/>
    <w:rPr>
      <w:rFonts w:ascii="Times New Roman" w:hAnsi="Times New Roman" w:cs="Times New Roman"/>
      <w:b/>
    </w:rPr>
  </w:style>
  <w:style w:type="paragraph" w:styleId="TOC2">
    <w:name w:val="toc 2"/>
    <w:basedOn w:val="Normal"/>
    <w:next w:val="Normal"/>
    <w:autoRedefine/>
    <w:uiPriority w:val="39"/>
    <w:unhideWhenUsed/>
    <w:rsid w:val="007B5A28"/>
    <w:pPr>
      <w:numPr>
        <w:numId w:val="13"/>
      </w:numPr>
      <w:tabs>
        <w:tab w:val="left" w:pos="450"/>
        <w:tab w:val="left" w:pos="900"/>
        <w:tab w:val="right" w:leader="dot" w:pos="9350"/>
      </w:tabs>
      <w:spacing w:after="0" w:line="240" w:lineRule="auto"/>
      <w:ind w:left="900" w:hanging="450"/>
    </w:pPr>
  </w:style>
  <w:style w:type="character" w:customStyle="1" w:styleId="Heading3Char">
    <w:name w:val="Heading 3 Char"/>
    <w:basedOn w:val="DefaultParagraphFont"/>
    <w:link w:val="Heading3"/>
    <w:uiPriority w:val="9"/>
    <w:rsid w:val="006473FA"/>
    <w:rPr>
      <w:rFonts w:ascii="Times New Roman" w:hAnsi="Times New Roman" w:cs="Times New Roman"/>
      <w:b/>
    </w:rPr>
  </w:style>
  <w:style w:type="paragraph" w:styleId="TOC3">
    <w:name w:val="toc 3"/>
    <w:basedOn w:val="Normal"/>
    <w:next w:val="Normal"/>
    <w:autoRedefine/>
    <w:uiPriority w:val="39"/>
    <w:unhideWhenUsed/>
    <w:rsid w:val="006473FA"/>
    <w:pPr>
      <w:spacing w:after="100"/>
      <w:ind w:left="440"/>
    </w:pPr>
  </w:style>
  <w:style w:type="character" w:customStyle="1" w:styleId="UnresolvedMention1">
    <w:name w:val="Unresolved Mention1"/>
    <w:basedOn w:val="DefaultParagraphFont"/>
    <w:uiPriority w:val="99"/>
    <w:semiHidden/>
    <w:unhideWhenUsed/>
    <w:rsid w:val="001563B0"/>
    <w:rPr>
      <w:color w:val="808080"/>
      <w:shd w:val="clear" w:color="auto" w:fill="E6E6E6"/>
    </w:rPr>
  </w:style>
  <w:style w:type="paragraph" w:customStyle="1" w:styleId="ParaNum">
    <w:name w:val="ParaNum"/>
    <w:basedOn w:val="Normal"/>
    <w:link w:val="ParaNumChar"/>
    <w:rsid w:val="00931400"/>
    <w:pPr>
      <w:widowControl w:val="0"/>
      <w:numPr>
        <w:numId w:val="9"/>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931400"/>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B82B88"/>
    <w:rPr>
      <w:color w:val="954F72" w:themeColor="followedHyperlink"/>
      <w:u w:val="single"/>
    </w:rPr>
  </w:style>
  <w:style w:type="paragraph" w:styleId="BalloonText">
    <w:name w:val="Balloon Text"/>
    <w:basedOn w:val="Normal"/>
    <w:link w:val="BalloonTextChar"/>
    <w:uiPriority w:val="99"/>
    <w:semiHidden/>
    <w:unhideWhenUsed/>
    <w:rsid w:val="00B82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B88"/>
    <w:rPr>
      <w:rFonts w:ascii="Segoe UI" w:hAnsi="Segoe UI" w:cs="Segoe UI"/>
      <w:sz w:val="18"/>
      <w:szCs w:val="18"/>
    </w:rPr>
  </w:style>
  <w:style w:type="character" w:styleId="CommentReference">
    <w:name w:val="annotation reference"/>
    <w:uiPriority w:val="99"/>
    <w:semiHidden/>
    <w:unhideWhenUsed/>
    <w:rsid w:val="00BE4762"/>
    <w:rPr>
      <w:sz w:val="16"/>
      <w:szCs w:val="16"/>
    </w:rPr>
  </w:style>
  <w:style w:type="paragraph" w:styleId="CommentText">
    <w:name w:val="annotation text"/>
    <w:basedOn w:val="Normal"/>
    <w:link w:val="CommentTextChar"/>
    <w:uiPriority w:val="99"/>
    <w:unhideWhenUsed/>
    <w:rsid w:val="00BE4762"/>
    <w:rPr>
      <w:sz w:val="20"/>
    </w:rPr>
  </w:style>
  <w:style w:type="character" w:customStyle="1" w:styleId="CommentTextChar">
    <w:name w:val="Comment Text Char"/>
    <w:basedOn w:val="DefaultParagraphFont"/>
    <w:link w:val="CommentText"/>
    <w:uiPriority w:val="99"/>
    <w:rsid w:val="00BE4762"/>
    <w:rPr>
      <w:sz w:val="20"/>
    </w:rPr>
  </w:style>
  <w:style w:type="paragraph" w:styleId="CommentSubject">
    <w:name w:val="annotation subject"/>
    <w:basedOn w:val="CommentText"/>
    <w:next w:val="CommentText"/>
    <w:link w:val="CommentSubjectChar"/>
    <w:uiPriority w:val="99"/>
    <w:semiHidden/>
    <w:unhideWhenUsed/>
    <w:rsid w:val="00717793"/>
    <w:pPr>
      <w:spacing w:line="240" w:lineRule="auto"/>
    </w:pPr>
    <w:rPr>
      <w:b/>
      <w:bCs/>
      <w:szCs w:val="20"/>
    </w:rPr>
  </w:style>
  <w:style w:type="character" w:customStyle="1" w:styleId="CommentSubjectChar">
    <w:name w:val="Comment Subject Char"/>
    <w:basedOn w:val="CommentTextChar"/>
    <w:link w:val="CommentSubject"/>
    <w:uiPriority w:val="99"/>
    <w:semiHidden/>
    <w:rsid w:val="00717793"/>
    <w:rPr>
      <w:b/>
      <w:bCs/>
      <w:sz w:val="20"/>
      <w:szCs w:val="20"/>
    </w:rPr>
  </w:style>
  <w:style w:type="paragraph" w:styleId="Revision">
    <w:name w:val="Revision"/>
    <w:hidden/>
    <w:uiPriority w:val="99"/>
    <w:semiHidden/>
    <w:rsid w:val="00C22713"/>
    <w:pPr>
      <w:spacing w:after="0" w:line="240" w:lineRule="auto"/>
    </w:pPr>
  </w:style>
  <w:style w:type="character" w:customStyle="1" w:styleId="UnresolvedMention2">
    <w:name w:val="Unresolved Mention2"/>
    <w:basedOn w:val="DefaultParagraphFont"/>
    <w:uiPriority w:val="99"/>
    <w:semiHidden/>
    <w:unhideWhenUsed/>
    <w:rsid w:val="008E0313"/>
    <w:rPr>
      <w:color w:val="808080"/>
      <w:shd w:val="clear" w:color="auto" w:fill="E6E6E6"/>
    </w:rPr>
  </w:style>
  <w:style w:type="character" w:customStyle="1" w:styleId="UnresolvedMention">
    <w:name w:val="Unresolved Mention"/>
    <w:basedOn w:val="DefaultParagraphFont"/>
    <w:uiPriority w:val="99"/>
    <w:rsid w:val="000A4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docs.fcc.gov/public/attachments/FCC-18-180A1.pdf" TargetMode="External" /><Relationship Id="rId11" Type="http://schemas.openxmlformats.org/officeDocument/2006/relationships/hyperlink" Target="https://www.govinfo.gov/content/pkg/FR-2019-02-05/pdf/2018-27975.pdf" TargetMode="Externa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