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C67F0" w:rsidRPr="006346F3">
      <w:pPr>
        <w:widowControl/>
        <w:jc w:val="center"/>
        <w:rPr>
          <w:b/>
          <w:szCs w:val="22"/>
        </w:rPr>
      </w:pPr>
      <w:bookmarkStart w:id="0" w:name="_GoBack"/>
      <w:bookmarkEnd w:id="0"/>
      <w:r w:rsidRPr="006346F3">
        <w:rPr>
          <w:b/>
          <w:szCs w:val="22"/>
        </w:rPr>
        <w:t>Before the</w:t>
      </w:r>
    </w:p>
    <w:p w:rsidR="00CC67F0" w:rsidRPr="006346F3">
      <w:pPr>
        <w:widowControl/>
        <w:jc w:val="center"/>
        <w:rPr>
          <w:b/>
          <w:szCs w:val="22"/>
        </w:rPr>
      </w:pPr>
      <w:r w:rsidRPr="006346F3">
        <w:rPr>
          <w:b/>
          <w:szCs w:val="22"/>
        </w:rPr>
        <w:t>Federal Communications Commission</w:t>
      </w:r>
    </w:p>
    <w:p w:rsidR="00CC67F0" w:rsidRPr="006346F3">
      <w:pPr>
        <w:widowControl/>
        <w:jc w:val="center"/>
        <w:rPr>
          <w:b/>
          <w:szCs w:val="22"/>
        </w:rPr>
      </w:pPr>
      <w:r w:rsidRPr="006346F3">
        <w:rPr>
          <w:b/>
          <w:szCs w:val="22"/>
        </w:rPr>
        <w:t>Washington, D.C. 20554</w:t>
      </w:r>
    </w:p>
    <w:p w:rsidR="00CC67F0" w:rsidRPr="006346F3">
      <w:pPr>
        <w:widowControl/>
        <w:rPr>
          <w:szCs w:val="22"/>
        </w:rPr>
      </w:pPr>
    </w:p>
    <w:p w:rsidR="00CC67F0" w:rsidRPr="006346F3">
      <w:pPr>
        <w:widowControl/>
        <w:rPr>
          <w:szCs w:val="22"/>
        </w:rPr>
      </w:pPr>
    </w:p>
    <w:tbl>
      <w:tblPr>
        <w:tblW w:w="0" w:type="auto"/>
        <w:tblLayout w:type="fixed"/>
        <w:tblLook w:val="0000"/>
      </w:tblPr>
      <w:tblGrid>
        <w:gridCol w:w="4698"/>
        <w:gridCol w:w="720"/>
        <w:gridCol w:w="4230"/>
      </w:tblGrid>
      <w:tr>
        <w:tblPrEx>
          <w:tblW w:w="0" w:type="auto"/>
          <w:tblLayout w:type="fixed"/>
          <w:tblLook w:val="0000"/>
        </w:tblPrEx>
        <w:trPr>
          <w:trHeight w:val="1593"/>
        </w:trPr>
        <w:tc>
          <w:tcPr>
            <w:tcW w:w="4698" w:type="dxa"/>
          </w:tcPr>
          <w:p w:rsidR="00CC67F0" w:rsidRPr="006346F3">
            <w:pPr>
              <w:widowControl/>
              <w:ind w:right="-18"/>
              <w:rPr>
                <w:szCs w:val="22"/>
              </w:rPr>
            </w:pPr>
            <w:r w:rsidRPr="006346F3">
              <w:rPr>
                <w:szCs w:val="22"/>
              </w:rPr>
              <w:t>In the Matter of</w:t>
            </w:r>
          </w:p>
          <w:p w:rsidR="00CC67F0" w:rsidRPr="006346F3">
            <w:pPr>
              <w:widowControl/>
              <w:ind w:right="-18"/>
              <w:rPr>
                <w:szCs w:val="22"/>
              </w:rPr>
            </w:pPr>
          </w:p>
          <w:p w:rsidR="00CC67F0" w:rsidRPr="006346F3">
            <w:pPr>
              <w:widowControl/>
              <w:jc w:val="left"/>
              <w:rPr>
                <w:szCs w:val="22"/>
              </w:rPr>
            </w:pPr>
            <w:r w:rsidRPr="006346F3">
              <w:rPr>
                <w:szCs w:val="22"/>
              </w:rPr>
              <w:t>VANTAGE GEOPHYSICAL CORPORATION</w:t>
            </w:r>
          </w:p>
          <w:p w:rsidR="00CC67F0" w:rsidRPr="006346F3">
            <w:pPr>
              <w:widowControl/>
              <w:jc w:val="left"/>
              <w:rPr>
                <w:szCs w:val="22"/>
              </w:rPr>
            </w:pPr>
          </w:p>
          <w:p w:rsidR="00CC67F0" w:rsidRPr="006346F3">
            <w:pPr>
              <w:widowControl/>
              <w:tabs>
                <w:tab w:val="left" w:pos="1242"/>
              </w:tabs>
              <w:ind w:right="-18"/>
              <w:jc w:val="left"/>
              <w:rPr>
                <w:szCs w:val="22"/>
              </w:rPr>
            </w:pPr>
            <w:r w:rsidRPr="006346F3">
              <w:rPr>
                <w:szCs w:val="22"/>
              </w:rPr>
              <w:t xml:space="preserve">Licensee of Private Land Mobile Radio Station </w:t>
            </w:r>
            <w:r w:rsidRPr="006346F3" w:rsidR="00A57489">
              <w:rPr>
                <w:szCs w:val="22"/>
              </w:rPr>
              <w:t>WRBZ878</w:t>
            </w:r>
          </w:p>
        </w:tc>
        <w:tc>
          <w:tcPr>
            <w:tcW w:w="720" w:type="dxa"/>
          </w:tcPr>
          <w:p w:rsidR="00CC67F0" w:rsidRPr="006346F3">
            <w:pPr>
              <w:widowControl/>
              <w:rPr>
                <w:b/>
                <w:szCs w:val="22"/>
              </w:rPr>
            </w:pPr>
            <w:r w:rsidRPr="006346F3">
              <w:rPr>
                <w:b/>
                <w:szCs w:val="22"/>
              </w:rPr>
              <w:t>)</w:t>
            </w:r>
          </w:p>
          <w:p w:rsidR="00CC67F0" w:rsidRPr="006346F3">
            <w:pPr>
              <w:widowControl/>
              <w:rPr>
                <w:b/>
                <w:szCs w:val="22"/>
              </w:rPr>
            </w:pPr>
            <w:r w:rsidRPr="006346F3">
              <w:rPr>
                <w:b/>
                <w:szCs w:val="22"/>
              </w:rPr>
              <w:t>)</w:t>
            </w:r>
          </w:p>
          <w:p w:rsidR="00CC67F0" w:rsidRPr="006346F3">
            <w:pPr>
              <w:widowControl/>
              <w:rPr>
                <w:b/>
                <w:szCs w:val="22"/>
              </w:rPr>
            </w:pPr>
            <w:r w:rsidRPr="006346F3">
              <w:rPr>
                <w:b/>
                <w:szCs w:val="22"/>
              </w:rPr>
              <w:t>)</w:t>
            </w:r>
          </w:p>
          <w:p w:rsidR="00CC67F0" w:rsidRPr="006346F3">
            <w:pPr>
              <w:widowControl/>
              <w:rPr>
                <w:b/>
                <w:szCs w:val="22"/>
              </w:rPr>
            </w:pPr>
            <w:r w:rsidRPr="006346F3">
              <w:rPr>
                <w:b/>
                <w:szCs w:val="22"/>
              </w:rPr>
              <w:t>)</w:t>
            </w:r>
          </w:p>
          <w:p w:rsidR="00CC67F0" w:rsidRPr="006346F3">
            <w:pPr>
              <w:widowControl/>
              <w:rPr>
                <w:b/>
                <w:szCs w:val="22"/>
              </w:rPr>
            </w:pPr>
            <w:r w:rsidRPr="006346F3">
              <w:rPr>
                <w:b/>
                <w:szCs w:val="22"/>
              </w:rPr>
              <w:t>)</w:t>
            </w:r>
          </w:p>
          <w:p w:rsidR="00CC67F0" w:rsidRPr="006346F3">
            <w:pPr>
              <w:widowControl/>
              <w:rPr>
                <w:b/>
                <w:szCs w:val="22"/>
              </w:rPr>
            </w:pPr>
            <w:r w:rsidRPr="006346F3">
              <w:rPr>
                <w:b/>
                <w:szCs w:val="22"/>
              </w:rPr>
              <w:t>)</w:t>
            </w:r>
          </w:p>
        </w:tc>
        <w:tc>
          <w:tcPr>
            <w:tcW w:w="4230" w:type="dxa"/>
          </w:tcPr>
          <w:p w:rsidR="00CC67F0" w:rsidRPr="006346F3">
            <w:pPr>
              <w:widowControl/>
              <w:rPr>
                <w:szCs w:val="22"/>
              </w:rPr>
            </w:pPr>
          </w:p>
        </w:tc>
      </w:tr>
    </w:tbl>
    <w:p w:rsidR="00CC67F0" w:rsidRPr="006346F3">
      <w:pPr>
        <w:widowControl/>
        <w:jc w:val="center"/>
        <w:rPr>
          <w:b/>
          <w:szCs w:val="22"/>
        </w:rPr>
      </w:pPr>
    </w:p>
    <w:p w:rsidR="00CC67F0" w:rsidRPr="006346F3">
      <w:pPr>
        <w:widowControl/>
        <w:jc w:val="center"/>
        <w:rPr>
          <w:b/>
          <w:szCs w:val="22"/>
        </w:rPr>
      </w:pPr>
      <w:r w:rsidRPr="006346F3">
        <w:rPr>
          <w:b/>
          <w:szCs w:val="22"/>
        </w:rPr>
        <w:t>ORDER PROPOSING MODIFICATION</w:t>
      </w:r>
    </w:p>
    <w:p w:rsidR="00CC67F0" w:rsidRPr="006346F3">
      <w:pPr>
        <w:widowControl/>
        <w:jc w:val="center"/>
        <w:rPr>
          <w:b/>
          <w:szCs w:val="22"/>
        </w:rPr>
      </w:pPr>
    </w:p>
    <w:p w:rsidR="00CC67F0" w:rsidRPr="006346F3">
      <w:pPr>
        <w:widowControl/>
        <w:tabs>
          <w:tab w:val="left" w:pos="5760"/>
        </w:tabs>
        <w:rPr>
          <w:b/>
          <w:szCs w:val="22"/>
        </w:rPr>
      </w:pPr>
      <w:r w:rsidRPr="006346F3">
        <w:rPr>
          <w:b/>
          <w:szCs w:val="22"/>
        </w:rPr>
        <w:t xml:space="preserve">   Adopted:  </w:t>
      </w:r>
      <w:r w:rsidR="00C04841">
        <w:rPr>
          <w:b/>
          <w:szCs w:val="22"/>
        </w:rPr>
        <w:t>May 13, 2019</w:t>
      </w:r>
      <w:r w:rsidRPr="006346F3" w:rsidR="002978C1">
        <w:rPr>
          <w:b/>
          <w:szCs w:val="22"/>
        </w:rPr>
        <w:tab/>
        <w:t xml:space="preserve">Released:  </w:t>
      </w:r>
      <w:r w:rsidR="00C04841">
        <w:rPr>
          <w:b/>
          <w:szCs w:val="22"/>
        </w:rPr>
        <w:t>May 13, 2019</w:t>
      </w:r>
    </w:p>
    <w:p w:rsidR="00CC67F0" w:rsidRPr="006346F3">
      <w:pPr>
        <w:widowControl/>
        <w:tabs>
          <w:tab w:val="left" w:pos="5760"/>
        </w:tabs>
        <w:rPr>
          <w:b/>
          <w:szCs w:val="22"/>
        </w:rPr>
      </w:pPr>
    </w:p>
    <w:p w:rsidR="00CC67F0" w:rsidRPr="006346F3">
      <w:pPr>
        <w:tabs>
          <w:tab w:val="left" w:pos="5760"/>
        </w:tabs>
        <w:rPr>
          <w:spacing w:val="-2"/>
          <w:szCs w:val="22"/>
        </w:rPr>
      </w:pPr>
      <w:r w:rsidRPr="006346F3">
        <w:rPr>
          <w:szCs w:val="22"/>
        </w:rPr>
        <w:t>By the Deputy Chief, Mobility Division, Wireless Telecommunications Bureau</w:t>
      </w:r>
      <w:r w:rsidRPr="006346F3">
        <w:rPr>
          <w:spacing w:val="-2"/>
          <w:szCs w:val="22"/>
        </w:rPr>
        <w:t>:</w:t>
      </w:r>
    </w:p>
    <w:p w:rsidR="00CC67F0" w:rsidRPr="006346F3">
      <w:pPr>
        <w:widowControl/>
        <w:rPr>
          <w:b/>
          <w:szCs w:val="22"/>
        </w:rPr>
      </w:pPr>
    </w:p>
    <w:p w:rsidR="00CC67F0" w:rsidRPr="006346F3">
      <w:pPr>
        <w:widowControl/>
        <w:numPr>
          <w:ilvl w:val="0"/>
          <w:numId w:val="33"/>
        </w:numPr>
        <w:spacing w:after="200"/>
        <w:jc w:val="left"/>
        <w:rPr>
          <w:szCs w:val="22"/>
        </w:rPr>
      </w:pPr>
      <w:r>
        <w:rPr>
          <w:i/>
          <w:szCs w:val="22"/>
        </w:rPr>
        <w:t xml:space="preserve">Introduction.  </w:t>
      </w:r>
      <w:r w:rsidRPr="006346F3" w:rsidR="0079096E">
        <w:rPr>
          <w:szCs w:val="22"/>
        </w:rPr>
        <w:t xml:space="preserve">By this </w:t>
      </w:r>
      <w:r w:rsidRPr="006346F3" w:rsidR="0079096E">
        <w:rPr>
          <w:i/>
          <w:szCs w:val="22"/>
        </w:rPr>
        <w:t>Order Proposing Modification</w:t>
      </w:r>
      <w:r w:rsidRPr="006346F3" w:rsidR="0079096E">
        <w:rPr>
          <w:szCs w:val="22"/>
        </w:rPr>
        <w:t xml:space="preserve">, we initiate a proceeding to modify the license of </w:t>
      </w:r>
      <w:r w:rsidRPr="006346F3" w:rsidR="002978C1">
        <w:rPr>
          <w:szCs w:val="22"/>
        </w:rPr>
        <w:t>Vantage Geophysical Corporation (Vantage)</w:t>
      </w:r>
      <w:r w:rsidRPr="006346F3" w:rsidR="0079096E">
        <w:rPr>
          <w:szCs w:val="22"/>
        </w:rPr>
        <w:t xml:space="preserve"> for </w:t>
      </w:r>
      <w:r w:rsidR="001C3EA4">
        <w:rPr>
          <w:szCs w:val="22"/>
        </w:rPr>
        <w:t>conventional Industrial/Business Pool S</w:t>
      </w:r>
      <w:r w:rsidRPr="006346F3" w:rsidR="0079096E">
        <w:rPr>
          <w:szCs w:val="22"/>
        </w:rPr>
        <w:t xml:space="preserve">tation </w:t>
      </w:r>
      <w:r w:rsidRPr="006346F3" w:rsidR="002978C1">
        <w:rPr>
          <w:szCs w:val="22"/>
        </w:rPr>
        <w:t>WRBZ878</w:t>
      </w:r>
      <w:r w:rsidRPr="006346F3" w:rsidR="0079096E">
        <w:rPr>
          <w:szCs w:val="22"/>
        </w:rPr>
        <w:t xml:space="preserve"> to change the station’s frequencies as detailed below.  We take this action in furtherance of ensuring compliance with Commission rules. </w:t>
      </w:r>
    </w:p>
    <w:p w:rsidR="001C3EA4">
      <w:pPr>
        <w:widowControl/>
        <w:numPr>
          <w:ilvl w:val="0"/>
          <w:numId w:val="33"/>
        </w:numPr>
        <w:spacing w:after="200"/>
        <w:jc w:val="left"/>
        <w:rPr>
          <w:szCs w:val="22"/>
        </w:rPr>
      </w:pPr>
      <w:r>
        <w:rPr>
          <w:i/>
          <w:szCs w:val="22"/>
        </w:rPr>
        <w:t xml:space="preserve">Background.  </w:t>
      </w:r>
      <w:r>
        <w:rPr>
          <w:szCs w:val="22"/>
        </w:rPr>
        <w:t>Certain frequencies in the Industrial/Business Pool are designated for itinerant operation,</w:t>
      </w:r>
      <w:r>
        <w:rPr>
          <w:rStyle w:val="FootnoteReference"/>
          <w:szCs w:val="22"/>
        </w:rPr>
        <w:footnoteReference w:id="3"/>
      </w:r>
      <w:r>
        <w:rPr>
          <w:szCs w:val="22"/>
        </w:rPr>
        <w:t xml:space="preserve"> which is defined as “[o]</w:t>
      </w:r>
      <w:r>
        <w:rPr>
          <w:szCs w:val="22"/>
        </w:rPr>
        <w:t>peration</w:t>
      </w:r>
      <w:r>
        <w:rPr>
          <w:szCs w:val="22"/>
        </w:rPr>
        <w:t xml:space="preserve"> of a radio station at unspecified locations for varying periods of time.”</w:t>
      </w:r>
      <w:r>
        <w:rPr>
          <w:rStyle w:val="FootnoteReference"/>
          <w:szCs w:val="22"/>
        </w:rPr>
        <w:footnoteReference w:id="4"/>
      </w:r>
      <w:r w:rsidR="00FE7C3D">
        <w:rPr>
          <w:szCs w:val="22"/>
        </w:rPr>
        <w:t xml:space="preserve">  Itinerant operations </w:t>
      </w:r>
      <w:r w:rsidR="00AC5CCD">
        <w:rPr>
          <w:szCs w:val="22"/>
        </w:rPr>
        <w:t xml:space="preserve">do not provide or </w:t>
      </w:r>
      <w:r w:rsidR="00FE7C3D">
        <w:rPr>
          <w:szCs w:val="22"/>
        </w:rPr>
        <w:t xml:space="preserve">receive interference protection </w:t>
      </w:r>
      <w:r w:rsidR="00AC5CCD">
        <w:rPr>
          <w:szCs w:val="22"/>
        </w:rPr>
        <w:t>with respect to</w:t>
      </w:r>
      <w:r w:rsidR="00FE7C3D">
        <w:rPr>
          <w:szCs w:val="22"/>
        </w:rPr>
        <w:t xml:space="preserve"> other itinerant operations</w:t>
      </w:r>
      <w:r w:rsidR="003F4BE2">
        <w:rPr>
          <w:szCs w:val="22"/>
        </w:rPr>
        <w:t xml:space="preserve"> on these frequencies</w:t>
      </w:r>
      <w:r w:rsidR="00FE7C3D">
        <w:rPr>
          <w:szCs w:val="22"/>
        </w:rPr>
        <w:t>.</w:t>
      </w:r>
      <w:r>
        <w:rPr>
          <w:rStyle w:val="FootnoteReference"/>
          <w:szCs w:val="22"/>
        </w:rPr>
        <w:footnoteReference w:id="5"/>
      </w:r>
      <w:r w:rsidR="00FE7C3D">
        <w:rPr>
          <w:szCs w:val="22"/>
        </w:rPr>
        <w:t xml:space="preserve">  An application for itinerant operation need not be accompanied by evidence of frequency coordination</w:t>
      </w:r>
      <w:r w:rsidR="00271C08">
        <w:rPr>
          <w:szCs w:val="22"/>
        </w:rPr>
        <w:t xml:space="preserve">, but </w:t>
      </w:r>
      <w:r w:rsidRPr="00271C08" w:rsidR="00271C08">
        <w:rPr>
          <w:szCs w:val="22"/>
        </w:rPr>
        <w:t>must re</w:t>
      </w:r>
      <w:r w:rsidR="00271C08">
        <w:rPr>
          <w:szCs w:val="22"/>
        </w:rPr>
        <w:t xml:space="preserve">quest </w:t>
      </w:r>
      <w:r w:rsidRPr="00271C08" w:rsidR="00271C08">
        <w:rPr>
          <w:szCs w:val="22"/>
        </w:rPr>
        <w:t>o</w:t>
      </w:r>
      <w:r w:rsidR="00271C08">
        <w:rPr>
          <w:szCs w:val="22"/>
        </w:rPr>
        <w:t>nly</w:t>
      </w:r>
      <w:r w:rsidRPr="00271C08" w:rsidR="00271C08">
        <w:rPr>
          <w:szCs w:val="22"/>
        </w:rPr>
        <w:t xml:space="preserve"> itinerant frequencies</w:t>
      </w:r>
      <w:r w:rsidR="00FE7C3D">
        <w:rPr>
          <w:szCs w:val="22"/>
        </w:rPr>
        <w:t>.</w:t>
      </w:r>
      <w:r>
        <w:rPr>
          <w:rStyle w:val="FootnoteReference"/>
          <w:szCs w:val="22"/>
        </w:rPr>
        <w:footnoteReference w:id="6"/>
      </w:r>
    </w:p>
    <w:p w:rsidR="00CC67F0" w:rsidRPr="006346F3">
      <w:pPr>
        <w:widowControl/>
        <w:numPr>
          <w:ilvl w:val="0"/>
          <w:numId w:val="33"/>
        </w:numPr>
        <w:spacing w:after="200"/>
        <w:jc w:val="left"/>
        <w:rPr>
          <w:szCs w:val="22"/>
        </w:rPr>
      </w:pPr>
      <w:r w:rsidRPr="006346F3">
        <w:rPr>
          <w:szCs w:val="22"/>
        </w:rPr>
        <w:t>Vantage</w:t>
      </w:r>
      <w:r w:rsidR="00271C08">
        <w:rPr>
          <w:szCs w:val="22"/>
        </w:rPr>
        <w:t>’s</w:t>
      </w:r>
      <w:r w:rsidRPr="006346F3" w:rsidR="0079096E">
        <w:rPr>
          <w:szCs w:val="22"/>
        </w:rPr>
        <w:t xml:space="preserve"> license f</w:t>
      </w:r>
      <w:r w:rsidR="00271C08">
        <w:rPr>
          <w:szCs w:val="22"/>
        </w:rPr>
        <w:t>or</w:t>
      </w:r>
      <w:r w:rsidRPr="006346F3" w:rsidR="0079096E">
        <w:rPr>
          <w:szCs w:val="22"/>
        </w:rPr>
        <w:t xml:space="preserve"> Station </w:t>
      </w:r>
      <w:r w:rsidRPr="006346F3">
        <w:rPr>
          <w:szCs w:val="22"/>
        </w:rPr>
        <w:t>WRBZ878</w:t>
      </w:r>
      <w:r w:rsidR="00271C08">
        <w:rPr>
          <w:szCs w:val="22"/>
        </w:rPr>
        <w:t xml:space="preserve"> authorizes itinerant operations throughout the continental United States</w:t>
      </w:r>
      <w:r w:rsidR="00137C64">
        <w:rPr>
          <w:szCs w:val="22"/>
        </w:rPr>
        <w:t>, but t</w:t>
      </w:r>
      <w:r w:rsidR="00463AFE">
        <w:rPr>
          <w:szCs w:val="22"/>
        </w:rPr>
        <w:t>he authorized frequencies (451.125 MHz, 451.675 MHz, 452.675 MHz, 456.175 MHz, 456.725 MHz, 462.125 MHz, and 463.725 MHz) are not designated for itinerant use and the underlying application did not undergo frequency coordination.</w:t>
      </w:r>
      <w:r>
        <w:rPr>
          <w:rStyle w:val="FootnoteReference"/>
          <w:sz w:val="22"/>
          <w:szCs w:val="22"/>
        </w:rPr>
        <w:footnoteReference w:id="7"/>
      </w:r>
      <w:r w:rsidR="00463AFE">
        <w:rPr>
          <w:szCs w:val="22"/>
        </w:rPr>
        <w:t xml:space="preserve">  Thus, it appears that the </w:t>
      </w:r>
      <w:r w:rsidRPr="006346F3" w:rsidR="0009493C">
        <w:rPr>
          <w:szCs w:val="22"/>
        </w:rPr>
        <w:t>application was granted in error.</w:t>
      </w:r>
    </w:p>
    <w:p w:rsidR="00DE7801" w:rsidP="004C6A65">
      <w:pPr>
        <w:widowControl/>
        <w:numPr>
          <w:ilvl w:val="0"/>
          <w:numId w:val="33"/>
        </w:numPr>
        <w:spacing w:after="200"/>
        <w:jc w:val="left"/>
        <w:rPr>
          <w:szCs w:val="22"/>
        </w:rPr>
      </w:pPr>
      <w:r>
        <w:rPr>
          <w:i/>
          <w:szCs w:val="22"/>
        </w:rPr>
        <w:t xml:space="preserve">Discussion.  </w:t>
      </w:r>
      <w:r w:rsidRPr="004C6A65" w:rsidR="00650367">
        <w:rPr>
          <w:szCs w:val="22"/>
        </w:rPr>
        <w:t xml:space="preserve">We believe that </w:t>
      </w:r>
      <w:r w:rsidR="00137C64">
        <w:rPr>
          <w:szCs w:val="22"/>
        </w:rPr>
        <w:t>s</w:t>
      </w:r>
      <w:r w:rsidRPr="004C6A65" w:rsidR="00650367">
        <w:rPr>
          <w:szCs w:val="22"/>
        </w:rPr>
        <w:t xml:space="preserve">ection 316(a)(1) of the Communications Act of 1934, as amended, provides the appropriate vehicle </w:t>
      </w:r>
      <w:r w:rsidR="00AC5CCD">
        <w:rPr>
          <w:szCs w:val="22"/>
        </w:rPr>
        <w:t>to correct this error</w:t>
      </w:r>
      <w:r w:rsidRPr="004C6A65" w:rsidR="00650367">
        <w:rPr>
          <w:szCs w:val="22"/>
        </w:rPr>
        <w:t>.</w:t>
      </w:r>
      <w:r>
        <w:rPr>
          <w:rStyle w:val="FootnoteReference"/>
          <w:sz w:val="22"/>
          <w:szCs w:val="22"/>
        </w:rPr>
        <w:footnoteReference w:id="8"/>
      </w:r>
      <w:r w:rsidRPr="004C6A65" w:rsidR="00650367">
        <w:rPr>
          <w:szCs w:val="22"/>
        </w:rPr>
        <w:t xml:space="preserve">  Section 316(a)(1) permits the Commission to modify a station license if the action will promote public interest, convenience, and necessity.</w:t>
      </w:r>
      <w:r>
        <w:rPr>
          <w:rStyle w:val="FootnoteReference"/>
          <w:sz w:val="22"/>
          <w:szCs w:val="22"/>
        </w:rPr>
        <w:footnoteReference w:id="9"/>
      </w:r>
      <w:r w:rsidRPr="004C6A65" w:rsidR="00650367">
        <w:rPr>
          <w:szCs w:val="22"/>
        </w:rPr>
        <w:t xml:space="preserve">  In this connection, </w:t>
      </w:r>
      <w:r>
        <w:rPr>
          <w:szCs w:val="22"/>
        </w:rPr>
        <w:t xml:space="preserve">we note that modifying the license for Station WRBZ878 will serve the </w:t>
      </w:r>
      <w:r>
        <w:rPr>
          <w:szCs w:val="22"/>
        </w:rPr>
        <w:t>public interest because operation at unspecified locations around the country for varying periods of time</w:t>
      </w:r>
      <w:r w:rsidRPr="004C6A65">
        <w:rPr>
          <w:szCs w:val="22"/>
        </w:rPr>
        <w:t xml:space="preserve"> </w:t>
      </w:r>
      <w:r>
        <w:rPr>
          <w:szCs w:val="22"/>
        </w:rPr>
        <w:t>on frequencies designated for permanent use is likely to cause interference to other licensed stations.</w:t>
      </w:r>
      <w:r>
        <w:rPr>
          <w:rStyle w:val="FootnoteReference"/>
          <w:szCs w:val="22"/>
        </w:rPr>
        <w:footnoteReference w:id="10"/>
      </w:r>
      <w:r>
        <w:rPr>
          <w:szCs w:val="22"/>
        </w:rPr>
        <w:t xml:space="preserve">  </w:t>
      </w:r>
    </w:p>
    <w:p w:rsidR="004C6A65" w:rsidRPr="00DE7801" w:rsidP="009978C4">
      <w:pPr>
        <w:widowControl/>
        <w:numPr>
          <w:ilvl w:val="0"/>
          <w:numId w:val="33"/>
        </w:numPr>
        <w:spacing w:after="200"/>
        <w:jc w:val="left"/>
        <w:rPr>
          <w:szCs w:val="22"/>
        </w:rPr>
      </w:pPr>
      <w:r w:rsidRPr="00DE7801">
        <w:rPr>
          <w:szCs w:val="22"/>
        </w:rPr>
        <w:t xml:space="preserve">Consequently, we propose to modify Vantage’s license for Station WRBZ878 </w:t>
      </w:r>
      <w:r w:rsidR="00DE7801">
        <w:rPr>
          <w:szCs w:val="22"/>
        </w:rPr>
        <w:t xml:space="preserve">by replacing </w:t>
      </w:r>
      <w:r w:rsidRPr="004C6A65" w:rsidR="00DE7801">
        <w:rPr>
          <w:szCs w:val="22"/>
        </w:rPr>
        <w:t xml:space="preserve">frequencies </w:t>
      </w:r>
      <w:r w:rsidR="00DE7801">
        <w:rPr>
          <w:szCs w:val="22"/>
        </w:rPr>
        <w:t xml:space="preserve">451.125 MHz, 451.675 MHz, 452.675 MHz, 456.175 MHz, 456.725 MHz, 462.125 MHz, and 463.725 MHz with </w:t>
      </w:r>
      <w:r w:rsidRPr="00DE7801">
        <w:rPr>
          <w:szCs w:val="22"/>
        </w:rPr>
        <w:t xml:space="preserve">the following </w:t>
      </w:r>
      <w:r w:rsidR="00DE7801">
        <w:rPr>
          <w:szCs w:val="22"/>
        </w:rPr>
        <w:t>itinerant frequencies</w:t>
      </w:r>
      <w:r w:rsidRPr="00DE7801">
        <w:rPr>
          <w:szCs w:val="22"/>
        </w:rPr>
        <w:t xml:space="preserve">:  </w:t>
      </w:r>
      <w:r w:rsidRPr="004C6A65" w:rsidR="00DE7801">
        <w:rPr>
          <w:szCs w:val="22"/>
        </w:rPr>
        <w:t>451.8</w:t>
      </w:r>
      <w:r w:rsidR="00DE7801">
        <w:rPr>
          <w:szCs w:val="22"/>
        </w:rPr>
        <w:t>00 MHz,</w:t>
      </w:r>
      <w:r w:rsidRPr="004C6A65" w:rsidR="00DE7801">
        <w:rPr>
          <w:szCs w:val="22"/>
        </w:rPr>
        <w:t xml:space="preserve"> 451.8125</w:t>
      </w:r>
      <w:r w:rsidR="00DE7801">
        <w:rPr>
          <w:szCs w:val="22"/>
        </w:rPr>
        <w:t xml:space="preserve"> MHz</w:t>
      </w:r>
      <w:r w:rsidRPr="004C6A65" w:rsidR="00DE7801">
        <w:rPr>
          <w:szCs w:val="22"/>
        </w:rPr>
        <w:t>, 456.8</w:t>
      </w:r>
      <w:r w:rsidR="00DE7801">
        <w:rPr>
          <w:szCs w:val="22"/>
        </w:rPr>
        <w:t>00 MHz,</w:t>
      </w:r>
      <w:r w:rsidRPr="004C6A65" w:rsidR="00DE7801">
        <w:rPr>
          <w:szCs w:val="22"/>
        </w:rPr>
        <w:t xml:space="preserve"> 456.8125</w:t>
      </w:r>
      <w:r w:rsidR="00DE7801">
        <w:rPr>
          <w:szCs w:val="22"/>
        </w:rPr>
        <w:t xml:space="preserve"> MHz</w:t>
      </w:r>
      <w:r w:rsidRPr="004C6A65" w:rsidR="00DE7801">
        <w:rPr>
          <w:szCs w:val="22"/>
        </w:rPr>
        <w:t>, 464.5</w:t>
      </w:r>
      <w:r w:rsidR="00DE7801">
        <w:rPr>
          <w:szCs w:val="22"/>
        </w:rPr>
        <w:t>00 MHz,</w:t>
      </w:r>
      <w:r w:rsidRPr="004C6A65" w:rsidR="00DE7801">
        <w:rPr>
          <w:szCs w:val="22"/>
        </w:rPr>
        <w:t xml:space="preserve"> 464.55</w:t>
      </w:r>
      <w:r w:rsidR="00DE7801">
        <w:rPr>
          <w:szCs w:val="22"/>
        </w:rPr>
        <w:t>0</w:t>
      </w:r>
      <w:r w:rsidRPr="004C6A65" w:rsidR="00DE7801">
        <w:rPr>
          <w:szCs w:val="22"/>
        </w:rPr>
        <w:t xml:space="preserve"> MHz</w:t>
      </w:r>
      <w:r w:rsidR="00C04841">
        <w:rPr>
          <w:szCs w:val="22"/>
        </w:rPr>
        <w:t xml:space="preserve">, and 469.500 </w:t>
      </w:r>
      <w:r w:rsidR="00C04841">
        <w:rPr>
          <w:szCs w:val="22"/>
        </w:rPr>
        <w:t>MHz</w:t>
      </w:r>
      <w:r w:rsidRPr="00DE7801">
        <w:rPr>
          <w:szCs w:val="22"/>
        </w:rPr>
        <w:t>.</w:t>
      </w:r>
      <w:r w:rsidRPr="00DE7801" w:rsidR="00DE7801">
        <w:rPr>
          <w:szCs w:val="22"/>
        </w:rPr>
        <w:t xml:space="preserve">  </w:t>
      </w:r>
      <w:r w:rsidRPr="00DE7801">
        <w:rPr>
          <w:szCs w:val="22"/>
        </w:rPr>
        <w:t xml:space="preserve">In accordance with </w:t>
      </w:r>
      <w:r w:rsidR="00DE7801">
        <w:rPr>
          <w:szCs w:val="22"/>
        </w:rPr>
        <w:t>s</w:t>
      </w:r>
      <w:r w:rsidRPr="00DE7801">
        <w:rPr>
          <w:szCs w:val="22"/>
        </w:rPr>
        <w:t xml:space="preserve">ection 1.87(a) of the Commission's </w:t>
      </w:r>
      <w:r w:rsidR="00DE7801">
        <w:rPr>
          <w:szCs w:val="22"/>
        </w:rPr>
        <w:t>r</w:t>
      </w:r>
      <w:r w:rsidRPr="00DE7801">
        <w:rPr>
          <w:szCs w:val="22"/>
        </w:rPr>
        <w:t>ules,</w:t>
      </w:r>
      <w:r>
        <w:rPr>
          <w:rStyle w:val="FootnoteReference"/>
          <w:sz w:val="22"/>
          <w:szCs w:val="22"/>
        </w:rPr>
        <w:footnoteReference w:id="11"/>
      </w:r>
      <w:r w:rsidRPr="00DE7801">
        <w:rPr>
          <w:szCs w:val="22"/>
        </w:rPr>
        <w:t xml:space="preserve"> we will not issue a modification order until </w:t>
      </w:r>
      <w:r w:rsidRPr="00DE7801" w:rsidR="00881051">
        <w:rPr>
          <w:szCs w:val="22"/>
        </w:rPr>
        <w:t>Vantage</w:t>
      </w:r>
      <w:r w:rsidRPr="00DE7801">
        <w:rPr>
          <w:szCs w:val="22"/>
        </w:rPr>
        <w:t xml:space="preserve"> has received notice of our proposed action and has had an opportunity to file a protest.  To protest the modification, </w:t>
      </w:r>
      <w:r w:rsidRPr="00DE7801" w:rsidR="00881051">
        <w:rPr>
          <w:szCs w:val="22"/>
        </w:rPr>
        <w:t>Vantage</w:t>
      </w:r>
      <w:r w:rsidRPr="00DE7801">
        <w:rPr>
          <w:szCs w:val="22"/>
        </w:rPr>
        <w:t xml:space="preserve"> must, within thirty days of the release date of this </w:t>
      </w:r>
      <w:r w:rsidRPr="00DE7801">
        <w:rPr>
          <w:i/>
          <w:szCs w:val="22"/>
        </w:rPr>
        <w:t>Order Proposing Modification</w:t>
      </w:r>
      <w:r w:rsidRPr="00DE7801">
        <w:rPr>
          <w:szCs w:val="22"/>
        </w:rPr>
        <w:t xml:space="preserve">, submit a written statement with sufficient evidence to show that the modification would not be in the public interest.  The protest must be mailed to the Office of the Secretary, Federal Communications Commission, 445 </w:t>
      </w:r>
      <w:r w:rsidRPr="00DE7801" w:rsidR="006346F3">
        <w:rPr>
          <w:szCs w:val="22"/>
        </w:rPr>
        <w:t>12th</w:t>
      </w:r>
      <w:r w:rsidRPr="00DE7801">
        <w:rPr>
          <w:szCs w:val="22"/>
        </w:rPr>
        <w:t xml:space="preserve"> Street, S.W., Washington, DC </w:t>
      </w:r>
      <w:r w:rsidR="00DE7801">
        <w:rPr>
          <w:szCs w:val="22"/>
        </w:rPr>
        <w:t xml:space="preserve"> </w:t>
      </w:r>
      <w:r w:rsidRPr="00DE7801">
        <w:rPr>
          <w:szCs w:val="22"/>
        </w:rPr>
        <w:t xml:space="preserve">20554, Attn:  </w:t>
      </w:r>
      <w:r w:rsidRPr="00DE7801" w:rsidR="00881051">
        <w:rPr>
          <w:szCs w:val="22"/>
        </w:rPr>
        <w:t>Paul Moon</w:t>
      </w:r>
      <w:r w:rsidRPr="00DE7801">
        <w:rPr>
          <w:szCs w:val="22"/>
        </w:rPr>
        <w:t>.</w:t>
      </w:r>
      <w:r>
        <w:rPr>
          <w:rStyle w:val="FootnoteReference"/>
          <w:sz w:val="22"/>
          <w:szCs w:val="22"/>
        </w:rPr>
        <w:footnoteReference w:id="12"/>
      </w:r>
      <w:r w:rsidRPr="00DE7801">
        <w:rPr>
          <w:szCs w:val="22"/>
        </w:rPr>
        <w:t xml:space="preserve">  If no protest is filed, </w:t>
      </w:r>
      <w:r w:rsidRPr="00DE7801" w:rsidR="00881051">
        <w:rPr>
          <w:szCs w:val="22"/>
        </w:rPr>
        <w:t>Vantage</w:t>
      </w:r>
      <w:r w:rsidRPr="00DE7801">
        <w:rPr>
          <w:szCs w:val="22"/>
        </w:rPr>
        <w:t xml:space="preserve"> will have waived </w:t>
      </w:r>
      <w:r w:rsidRPr="00DE7801" w:rsidR="00881051">
        <w:rPr>
          <w:szCs w:val="22"/>
        </w:rPr>
        <w:t>its</w:t>
      </w:r>
      <w:r w:rsidRPr="00DE7801">
        <w:rPr>
          <w:szCs w:val="22"/>
        </w:rPr>
        <w:t xml:space="preserve"> right to protest the modification and will be deemed to have consented to the modification.</w:t>
      </w:r>
    </w:p>
    <w:p w:rsidR="004C6A65" w:rsidP="004C6A65">
      <w:pPr>
        <w:widowControl/>
        <w:numPr>
          <w:ilvl w:val="0"/>
          <w:numId w:val="33"/>
        </w:numPr>
        <w:spacing w:after="200"/>
        <w:jc w:val="left"/>
        <w:rPr>
          <w:szCs w:val="22"/>
        </w:rPr>
      </w:pPr>
      <w:r w:rsidRPr="004C6A65">
        <w:rPr>
          <w:szCs w:val="22"/>
        </w:rPr>
        <w:t xml:space="preserve">ACCORDINGLY, IT IS PROPOSED, pursuant to </w:t>
      </w:r>
      <w:r>
        <w:rPr>
          <w:szCs w:val="22"/>
        </w:rPr>
        <w:t>s</w:t>
      </w:r>
      <w:r w:rsidRPr="004C6A65">
        <w:rPr>
          <w:szCs w:val="22"/>
        </w:rPr>
        <w:t xml:space="preserve">ections 4(i) and 316(a) of the Communications Act of 1934, 47 U.S.C. §§ 154(i), 316, and </w:t>
      </w:r>
      <w:r>
        <w:rPr>
          <w:szCs w:val="22"/>
        </w:rPr>
        <w:t>s</w:t>
      </w:r>
      <w:r w:rsidRPr="004C6A65">
        <w:rPr>
          <w:szCs w:val="22"/>
        </w:rPr>
        <w:t>ection 1.8</w:t>
      </w:r>
      <w:r w:rsidRPr="004C6A65" w:rsidR="00881051">
        <w:rPr>
          <w:szCs w:val="22"/>
        </w:rPr>
        <w:t xml:space="preserve">7 of the Commission's </w:t>
      </w:r>
      <w:r>
        <w:rPr>
          <w:szCs w:val="22"/>
        </w:rPr>
        <w:t>r</w:t>
      </w:r>
      <w:r w:rsidRPr="004C6A65" w:rsidR="00881051">
        <w:rPr>
          <w:szCs w:val="22"/>
        </w:rPr>
        <w:t>ules, 47 </w:t>
      </w:r>
      <w:r w:rsidRPr="004C6A65">
        <w:rPr>
          <w:szCs w:val="22"/>
        </w:rPr>
        <w:t xml:space="preserve">CFR § 1.87, that the license for Private Land Mobile Radio Service Station </w:t>
      </w:r>
      <w:r w:rsidRPr="004C6A65" w:rsidR="00881051">
        <w:rPr>
          <w:szCs w:val="22"/>
        </w:rPr>
        <w:t>WRBZ878</w:t>
      </w:r>
      <w:r w:rsidRPr="004C6A65">
        <w:rPr>
          <w:szCs w:val="22"/>
        </w:rPr>
        <w:t xml:space="preserve"> held by </w:t>
      </w:r>
      <w:r w:rsidRPr="004C6A65" w:rsidR="00881051">
        <w:rPr>
          <w:szCs w:val="22"/>
        </w:rPr>
        <w:t>Vantage Geophysical Corporation</w:t>
      </w:r>
      <w:r w:rsidRPr="004C6A65">
        <w:rPr>
          <w:szCs w:val="22"/>
        </w:rPr>
        <w:t xml:space="preserve">, BE MODIFIED by replacing </w:t>
      </w:r>
      <w:r w:rsidRPr="004C6A65" w:rsidR="00881051">
        <w:rPr>
          <w:szCs w:val="22"/>
        </w:rPr>
        <w:t xml:space="preserve">frequencies </w:t>
      </w:r>
      <w:r>
        <w:rPr>
          <w:szCs w:val="22"/>
        </w:rPr>
        <w:t xml:space="preserve">451.125 MHz, 451.675 MHz, 452.675 MHz, 456.175 MHz, 456.725 MHz, </w:t>
      </w:r>
      <w:r w:rsidR="00321930">
        <w:rPr>
          <w:szCs w:val="22"/>
        </w:rPr>
        <w:t>462.125 MHz, and 463.725 MHz with frequencies</w:t>
      </w:r>
      <w:r w:rsidRPr="004C6A65" w:rsidR="00881051">
        <w:rPr>
          <w:szCs w:val="22"/>
        </w:rPr>
        <w:t xml:space="preserve"> 451.8</w:t>
      </w:r>
      <w:r w:rsidR="00321930">
        <w:rPr>
          <w:szCs w:val="22"/>
        </w:rPr>
        <w:t>00</w:t>
      </w:r>
      <w:r w:rsidR="00C56037">
        <w:rPr>
          <w:szCs w:val="22"/>
        </w:rPr>
        <w:t xml:space="preserve"> MHz,</w:t>
      </w:r>
      <w:r w:rsidRPr="004C6A65" w:rsidR="00881051">
        <w:rPr>
          <w:szCs w:val="22"/>
        </w:rPr>
        <w:t xml:space="preserve"> 451.8125</w:t>
      </w:r>
      <w:r w:rsidR="00C56037">
        <w:rPr>
          <w:szCs w:val="22"/>
        </w:rPr>
        <w:t xml:space="preserve"> MHz</w:t>
      </w:r>
      <w:r w:rsidRPr="004C6A65" w:rsidR="00881051">
        <w:rPr>
          <w:szCs w:val="22"/>
        </w:rPr>
        <w:t>, 456.8</w:t>
      </w:r>
      <w:r w:rsidR="00C56037">
        <w:rPr>
          <w:szCs w:val="22"/>
        </w:rPr>
        <w:t>00 MHz,</w:t>
      </w:r>
      <w:r w:rsidRPr="004C6A65" w:rsidR="00881051">
        <w:rPr>
          <w:szCs w:val="22"/>
        </w:rPr>
        <w:t xml:space="preserve"> 456.8125</w:t>
      </w:r>
      <w:r w:rsidR="00C56037">
        <w:rPr>
          <w:szCs w:val="22"/>
        </w:rPr>
        <w:t xml:space="preserve"> MHz</w:t>
      </w:r>
      <w:r w:rsidRPr="004C6A65" w:rsidR="00881051">
        <w:rPr>
          <w:szCs w:val="22"/>
        </w:rPr>
        <w:t>, 464.5</w:t>
      </w:r>
      <w:r w:rsidR="00C56037">
        <w:rPr>
          <w:szCs w:val="22"/>
        </w:rPr>
        <w:t>00 MHz,</w:t>
      </w:r>
      <w:r w:rsidRPr="004C6A65" w:rsidR="00881051">
        <w:rPr>
          <w:szCs w:val="22"/>
        </w:rPr>
        <w:t xml:space="preserve"> 464.55</w:t>
      </w:r>
      <w:r w:rsidR="00C56037">
        <w:rPr>
          <w:szCs w:val="22"/>
        </w:rPr>
        <w:t>0</w:t>
      </w:r>
      <w:r w:rsidRPr="004C6A65" w:rsidR="00881051">
        <w:rPr>
          <w:szCs w:val="22"/>
        </w:rPr>
        <w:t xml:space="preserve"> MHz</w:t>
      </w:r>
      <w:r w:rsidR="00C04841">
        <w:rPr>
          <w:szCs w:val="22"/>
        </w:rPr>
        <w:t>, and 469.500 MHz</w:t>
      </w:r>
      <w:r w:rsidRPr="004C6A65">
        <w:rPr>
          <w:szCs w:val="22"/>
        </w:rPr>
        <w:t>.</w:t>
      </w:r>
    </w:p>
    <w:p w:rsidR="004C6A65" w:rsidP="004C6A65">
      <w:pPr>
        <w:widowControl/>
        <w:numPr>
          <w:ilvl w:val="0"/>
          <w:numId w:val="33"/>
        </w:numPr>
        <w:spacing w:after="200"/>
        <w:jc w:val="left"/>
        <w:rPr>
          <w:szCs w:val="22"/>
        </w:rPr>
      </w:pPr>
      <w:r w:rsidRPr="004C6A65">
        <w:rPr>
          <w:szCs w:val="22"/>
        </w:rPr>
        <w:t xml:space="preserve">IT IS FURTHER ORDERED that this </w:t>
      </w:r>
      <w:r w:rsidRPr="004C6A65">
        <w:rPr>
          <w:i/>
          <w:szCs w:val="22"/>
        </w:rPr>
        <w:t xml:space="preserve">Order Proposing Modification </w:t>
      </w:r>
      <w:r w:rsidRPr="004C6A65">
        <w:rPr>
          <w:szCs w:val="22"/>
        </w:rPr>
        <w:t xml:space="preserve">SHALL BE SENT by certified mail, return receipt requested, to </w:t>
      </w:r>
      <w:r w:rsidRPr="004C6A65" w:rsidR="00881051">
        <w:rPr>
          <w:szCs w:val="22"/>
        </w:rPr>
        <w:t xml:space="preserve">Vantage Geophysical Corporation, </w:t>
      </w:r>
      <w:r w:rsidR="00C56037">
        <w:rPr>
          <w:szCs w:val="22"/>
        </w:rPr>
        <w:t xml:space="preserve">P.O. Box 421116, </w:t>
      </w:r>
      <w:r w:rsidRPr="004C6A65" w:rsidR="00881051">
        <w:rPr>
          <w:szCs w:val="22"/>
        </w:rPr>
        <w:t>10727 Inwood Drive, Houston, Texas  77042</w:t>
      </w:r>
      <w:r w:rsidR="00C56037">
        <w:rPr>
          <w:szCs w:val="22"/>
        </w:rPr>
        <w:t>,</w:t>
      </w:r>
      <w:r w:rsidRPr="00C56037" w:rsidR="00C56037">
        <w:rPr>
          <w:szCs w:val="22"/>
        </w:rPr>
        <w:t xml:space="preserve"> </w:t>
      </w:r>
      <w:r w:rsidRPr="004C6A65" w:rsidR="00C56037">
        <w:rPr>
          <w:szCs w:val="22"/>
        </w:rPr>
        <w:t>Attn: Robert Beal</w:t>
      </w:r>
      <w:r w:rsidRPr="004C6A65" w:rsidR="00881051">
        <w:rPr>
          <w:szCs w:val="22"/>
        </w:rPr>
        <w:t>.</w:t>
      </w:r>
    </w:p>
    <w:p w:rsidR="00396072" w:rsidRPr="004C6A65" w:rsidP="004C6A65">
      <w:pPr>
        <w:widowControl/>
        <w:numPr>
          <w:ilvl w:val="0"/>
          <w:numId w:val="33"/>
        </w:numPr>
        <w:spacing w:after="200"/>
        <w:jc w:val="left"/>
        <w:rPr>
          <w:szCs w:val="22"/>
        </w:rPr>
      </w:pPr>
      <w:r w:rsidRPr="004C6A65">
        <w:rPr>
          <w:szCs w:val="22"/>
        </w:rPr>
        <w:t xml:space="preserve">This action is taken under delegated authority pursuant to </w:t>
      </w:r>
      <w:r w:rsidR="004C6A65">
        <w:rPr>
          <w:szCs w:val="22"/>
        </w:rPr>
        <w:t>s</w:t>
      </w:r>
      <w:r w:rsidRPr="004C6A65">
        <w:rPr>
          <w:szCs w:val="22"/>
        </w:rPr>
        <w:t>ections 0.131 and 0.331 of the Commission’s Rules, 47 CFR §§ 0.131, 0.331.</w:t>
      </w:r>
    </w:p>
    <w:p w:rsidR="00396072" w:rsidRPr="006346F3" w:rsidP="00396072">
      <w:pPr>
        <w:ind w:left="1440" w:firstLine="720"/>
        <w:rPr>
          <w:szCs w:val="22"/>
        </w:rPr>
      </w:pPr>
      <w:r w:rsidRPr="006346F3">
        <w:rPr>
          <w:szCs w:val="22"/>
        </w:rPr>
        <w:tab/>
      </w:r>
      <w:r w:rsidRPr="006346F3">
        <w:rPr>
          <w:szCs w:val="22"/>
        </w:rPr>
        <w:tab/>
      </w:r>
      <w:r w:rsidRPr="006346F3">
        <w:rPr>
          <w:szCs w:val="22"/>
        </w:rPr>
        <w:tab/>
        <w:t>FEDERAL COMMUNICATION COMMISSION</w:t>
      </w:r>
    </w:p>
    <w:p w:rsidR="00396072" w:rsidRPr="006346F3" w:rsidP="00396072">
      <w:pPr>
        <w:rPr>
          <w:szCs w:val="22"/>
        </w:rPr>
      </w:pPr>
    </w:p>
    <w:p w:rsidR="00396072" w:rsidRPr="006346F3" w:rsidP="00396072">
      <w:pPr>
        <w:rPr>
          <w:szCs w:val="22"/>
        </w:rPr>
      </w:pPr>
    </w:p>
    <w:p w:rsidR="00396072" w:rsidRPr="006346F3" w:rsidP="00396072">
      <w:pPr>
        <w:rPr>
          <w:szCs w:val="22"/>
        </w:rPr>
      </w:pPr>
    </w:p>
    <w:p w:rsidR="00396072" w:rsidRPr="006346F3" w:rsidP="00396072">
      <w:pPr>
        <w:ind w:firstLine="720"/>
        <w:rPr>
          <w:szCs w:val="22"/>
        </w:rPr>
      </w:pPr>
      <w:r w:rsidRPr="006346F3">
        <w:rPr>
          <w:szCs w:val="22"/>
        </w:rPr>
        <w:tab/>
      </w:r>
      <w:r w:rsidRPr="006346F3">
        <w:rPr>
          <w:szCs w:val="22"/>
        </w:rPr>
        <w:tab/>
      </w:r>
      <w:r w:rsidRPr="006346F3">
        <w:rPr>
          <w:szCs w:val="22"/>
        </w:rPr>
        <w:tab/>
      </w:r>
      <w:r w:rsidRPr="006346F3">
        <w:rPr>
          <w:szCs w:val="22"/>
        </w:rPr>
        <w:tab/>
      </w:r>
      <w:r w:rsidRPr="006346F3">
        <w:rPr>
          <w:szCs w:val="22"/>
        </w:rPr>
        <w:tab/>
        <w:t>Scot Stone</w:t>
      </w:r>
    </w:p>
    <w:p w:rsidR="00396072" w:rsidRPr="006346F3" w:rsidP="00396072">
      <w:pPr>
        <w:ind w:firstLine="720"/>
        <w:rPr>
          <w:szCs w:val="22"/>
        </w:rPr>
      </w:pPr>
      <w:r w:rsidRPr="006346F3">
        <w:rPr>
          <w:szCs w:val="22"/>
        </w:rPr>
        <w:tab/>
      </w:r>
      <w:r w:rsidRPr="006346F3">
        <w:rPr>
          <w:szCs w:val="22"/>
        </w:rPr>
        <w:tab/>
      </w:r>
      <w:r w:rsidRPr="006346F3">
        <w:rPr>
          <w:szCs w:val="22"/>
        </w:rPr>
        <w:tab/>
      </w:r>
      <w:r w:rsidRPr="006346F3">
        <w:rPr>
          <w:szCs w:val="22"/>
        </w:rPr>
        <w:tab/>
      </w:r>
      <w:r w:rsidRPr="006346F3">
        <w:rPr>
          <w:szCs w:val="22"/>
        </w:rPr>
        <w:tab/>
        <w:t>Deputy Chief, Mobility Division</w:t>
      </w:r>
    </w:p>
    <w:p w:rsidR="00396072" w:rsidRPr="006346F3" w:rsidP="00396072">
      <w:pPr>
        <w:rPr>
          <w:szCs w:val="22"/>
        </w:rPr>
      </w:pPr>
      <w:r w:rsidRPr="006346F3">
        <w:rPr>
          <w:szCs w:val="22"/>
        </w:rPr>
        <w:tab/>
      </w:r>
      <w:r w:rsidRPr="006346F3">
        <w:rPr>
          <w:szCs w:val="22"/>
        </w:rPr>
        <w:tab/>
      </w:r>
      <w:r w:rsidRPr="006346F3">
        <w:rPr>
          <w:szCs w:val="22"/>
        </w:rPr>
        <w:tab/>
      </w:r>
      <w:r w:rsidRPr="006346F3">
        <w:rPr>
          <w:szCs w:val="22"/>
        </w:rPr>
        <w:tab/>
      </w:r>
      <w:r w:rsidRPr="006346F3">
        <w:rPr>
          <w:szCs w:val="22"/>
        </w:rPr>
        <w:tab/>
      </w:r>
      <w:r w:rsidRPr="006346F3">
        <w:rPr>
          <w:szCs w:val="22"/>
        </w:rPr>
        <w:tab/>
        <w:t>Wireless Telecommunications Bureau</w:t>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7F0">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CC6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7F0" w:rsidRPr="00881051" w:rsidP="00881051">
    <w:pPr>
      <w:pStyle w:val="Footer"/>
      <w:jc w:val="center"/>
    </w:pPr>
    <w:r>
      <w:fldChar w:fldCharType="begin"/>
    </w:r>
    <w:r>
      <w:instrText xml:space="preserve"> PAGE   \* MERGEFORMAT </w:instrText>
    </w:r>
    <w:r>
      <w:fldChar w:fldCharType="separate"/>
    </w:r>
    <w:r w:rsidR="00033DC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5132">
      <w:r>
        <w:separator/>
      </w:r>
    </w:p>
  </w:footnote>
  <w:footnote w:type="continuationSeparator" w:id="1">
    <w:p w:rsidR="00965132">
      <w:pPr>
        <w:rPr>
          <w:sz w:val="20"/>
        </w:rPr>
      </w:pPr>
    </w:p>
  </w:footnote>
  <w:footnote w:type="continuationNotice" w:id="2">
    <w:p w:rsidR="00965132" w:rsidRPr="004C6A65" w:rsidP="004C6A65">
      <w:pPr>
        <w:pStyle w:val="Footer"/>
      </w:pPr>
    </w:p>
  </w:footnote>
  <w:footnote w:id="3">
    <w:p w:rsidR="001C3EA4" w:rsidRPr="001C3EA4">
      <w:pPr>
        <w:pStyle w:val="FootnoteText"/>
      </w:pPr>
      <w:r>
        <w:rPr>
          <w:rStyle w:val="FootnoteReference"/>
        </w:rPr>
        <w:footnoteRef/>
      </w:r>
      <w:r>
        <w:t xml:space="preserve"> </w:t>
      </w:r>
      <w:r>
        <w:rPr>
          <w:i/>
        </w:rPr>
        <w:t xml:space="preserve">See </w:t>
      </w:r>
      <w:r>
        <w:t xml:space="preserve">47 CFR </w:t>
      </w:r>
      <w:r w:rsidRPr="002F3598">
        <w:t>§</w:t>
      </w:r>
      <w:r>
        <w:t xml:space="preserve"> 90.35(c)(17), (58).</w:t>
      </w:r>
    </w:p>
  </w:footnote>
  <w:footnote w:id="4">
    <w:p w:rsidR="001C3EA4">
      <w:pPr>
        <w:pStyle w:val="FootnoteText"/>
      </w:pPr>
      <w:r>
        <w:rPr>
          <w:rStyle w:val="FootnoteReference"/>
        </w:rPr>
        <w:footnoteRef/>
      </w:r>
      <w:r>
        <w:t xml:space="preserve"> </w:t>
      </w:r>
      <w:r w:rsidR="00FE7C3D">
        <w:rPr>
          <w:i/>
        </w:rPr>
        <w:t xml:space="preserve">See </w:t>
      </w:r>
      <w:r w:rsidR="00FE7C3D">
        <w:t xml:space="preserve">47 CFR </w:t>
      </w:r>
      <w:r w:rsidRPr="002F3598" w:rsidR="00FE7C3D">
        <w:t>§</w:t>
      </w:r>
      <w:r w:rsidR="00FE7C3D">
        <w:t xml:space="preserve"> 90.7.</w:t>
      </w:r>
    </w:p>
  </w:footnote>
  <w:footnote w:id="5">
    <w:p w:rsidR="00FE7C3D" w:rsidP="00FE7C3D">
      <w:pPr>
        <w:pStyle w:val="FootnoteText"/>
      </w:pPr>
      <w:r>
        <w:rPr>
          <w:rStyle w:val="FootnoteReference"/>
        </w:rPr>
        <w:footnoteRef/>
      </w:r>
      <w:r>
        <w:t xml:space="preserve"> </w:t>
      </w:r>
      <w:r>
        <w:rPr>
          <w:i/>
        </w:rPr>
        <w:t xml:space="preserve">See </w:t>
      </w:r>
      <w:r>
        <w:t xml:space="preserve">47 CFR </w:t>
      </w:r>
      <w:r w:rsidRPr="002F3598">
        <w:t>§</w:t>
      </w:r>
      <w:r>
        <w:t xml:space="preserve"> 90.138.</w:t>
      </w:r>
    </w:p>
  </w:footnote>
  <w:footnote w:id="6">
    <w:p w:rsidR="00FE7C3D" w:rsidRPr="00FE7C3D">
      <w:pPr>
        <w:pStyle w:val="FootnoteText"/>
        <w:rPr>
          <w:i/>
        </w:rPr>
      </w:pPr>
      <w:r>
        <w:rPr>
          <w:rStyle w:val="FootnoteReference"/>
        </w:rPr>
        <w:footnoteRef/>
      </w:r>
      <w:r>
        <w:t xml:space="preserve"> </w:t>
      </w:r>
      <w:r>
        <w:rPr>
          <w:i/>
        </w:rPr>
        <w:t>Id.</w:t>
      </w:r>
    </w:p>
  </w:footnote>
  <w:footnote w:id="7">
    <w:p w:rsidR="00463AFE" w:rsidP="00463AFE">
      <w:pPr>
        <w:pStyle w:val="FootnoteText"/>
      </w:pPr>
      <w:r>
        <w:rPr>
          <w:rStyle w:val="FootnoteReference"/>
        </w:rPr>
        <w:footnoteRef/>
      </w:r>
      <w:r>
        <w:t xml:space="preserve"> </w:t>
      </w:r>
      <w:r w:rsidR="00AC5CCD">
        <w:t>FCC</w:t>
      </w:r>
      <w:r>
        <w:t xml:space="preserve"> File No. 0008272572 (filed July 3, 2018).</w:t>
      </w:r>
    </w:p>
  </w:footnote>
  <w:footnote w:id="8">
    <w:p w:rsidR="00650367" w:rsidRPr="002F3598" w:rsidP="00650367">
      <w:pPr>
        <w:pStyle w:val="FootnoteTex"/>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sz w:val="20"/>
          <w:szCs w:val="20"/>
        </w:rPr>
      </w:pPr>
      <w:r w:rsidRPr="002F3598">
        <w:rPr>
          <w:rStyle w:val="FootnoteReference"/>
          <w:szCs w:val="20"/>
        </w:rPr>
        <w:footnoteRef/>
      </w:r>
      <w:r w:rsidRPr="002F3598">
        <w:rPr>
          <w:sz w:val="20"/>
          <w:szCs w:val="20"/>
        </w:rPr>
        <w:t xml:space="preserve"> 47 U.S.C. § 316(a)(1).</w:t>
      </w:r>
    </w:p>
  </w:footnote>
  <w:footnote w:id="9">
    <w:p w:rsidR="00650367" w:rsidP="00650367">
      <w:pPr>
        <w:pStyle w:val="FootnoteTex"/>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rPr>
          <w:rFonts w:ascii="Baskerville Old Face" w:hAnsi="Baskerville Old Face" w:cs="Baskerville Old Face"/>
          <w:sz w:val="22"/>
          <w:szCs w:val="22"/>
        </w:rPr>
      </w:pPr>
      <w:r w:rsidRPr="002F3598">
        <w:rPr>
          <w:rStyle w:val="FootnoteReference"/>
          <w:szCs w:val="20"/>
        </w:rPr>
        <w:footnoteRef/>
      </w:r>
      <w:r w:rsidRPr="002F3598">
        <w:rPr>
          <w:sz w:val="20"/>
          <w:szCs w:val="20"/>
        </w:rPr>
        <w:t xml:space="preserve"> </w:t>
      </w:r>
      <w:smartTag w:uri="urn:schemas-microsoft-com:office:smarttags" w:element="place">
        <w:smartTag w:uri="urn:schemas-microsoft-com:office:smarttags" w:element="State">
          <w:r w:rsidRPr="002F3598">
            <w:rPr>
              <w:i/>
              <w:iCs/>
              <w:sz w:val="20"/>
              <w:szCs w:val="20"/>
            </w:rPr>
            <w:t>Id.</w:t>
          </w:r>
        </w:smartTag>
      </w:smartTag>
    </w:p>
  </w:footnote>
  <w:footnote w:id="10">
    <w:p w:rsidR="00DE7801" w:rsidRPr="003F4BE2" w:rsidP="00DE7801">
      <w:pPr>
        <w:pStyle w:val="FootnoteText"/>
      </w:pPr>
      <w:r>
        <w:rPr>
          <w:rStyle w:val="FootnoteReference"/>
        </w:rPr>
        <w:footnoteRef/>
      </w:r>
      <w:r>
        <w:t xml:space="preserve"> </w:t>
      </w:r>
      <w:r>
        <w:rPr>
          <w:i/>
        </w:rPr>
        <w:t>See</w:t>
      </w:r>
      <w:r>
        <w:t xml:space="preserve">, </w:t>
      </w:r>
      <w:r>
        <w:rPr>
          <w:i/>
        </w:rPr>
        <w:t>e.g.</w:t>
      </w:r>
      <w:r>
        <w:t xml:space="preserve">, </w:t>
      </w:r>
      <w:r>
        <w:rPr>
          <w:i/>
        </w:rPr>
        <w:t>Amendment of Part 11 Rules Governing the Industrial Radio Services, to Delete, Modify and Create Services, and to Effect Changes in the Availability of Frequencies</w:t>
      </w:r>
      <w:r>
        <w:t>, First Report and Order, 42 F.C.C. 820, 839, para. 45 (1958) (“</w:t>
      </w:r>
      <w:r w:rsidRPr="00DE7801">
        <w:t xml:space="preserve">In providing exclusive frequencies for both </w:t>
      </w:r>
      <w:r>
        <w:t>‘</w:t>
      </w:r>
      <w:r w:rsidRPr="00DE7801">
        <w:t>permanent</w:t>
      </w:r>
      <w:r>
        <w:t>’</w:t>
      </w:r>
      <w:r w:rsidRPr="00DE7801">
        <w:t xml:space="preserve"> and </w:t>
      </w:r>
      <w:r>
        <w:t>‘</w:t>
      </w:r>
      <w:r w:rsidRPr="00DE7801">
        <w:t>itinerant</w:t>
      </w:r>
      <w:r>
        <w:t>’</w:t>
      </w:r>
      <w:r w:rsidRPr="00DE7801">
        <w:t xml:space="preserve"> types of stations, it is the Commission's purpose to make possible for a station of either type an operation free of co-channel interference from stations of the opposite type.</w:t>
      </w:r>
      <w:r>
        <w:t>”).</w:t>
      </w:r>
    </w:p>
  </w:footnote>
  <w:footnote w:id="11">
    <w:p w:rsidR="00396072" w:rsidP="00396072">
      <w:pPr>
        <w:pStyle w:val="FootnoteText"/>
      </w:pPr>
      <w:r>
        <w:rPr>
          <w:rStyle w:val="FootnoteReference"/>
        </w:rPr>
        <w:footnoteRef/>
      </w:r>
      <w:r>
        <w:t xml:space="preserve"> 47 CFR § 1.87(a).</w:t>
      </w:r>
    </w:p>
  </w:footnote>
  <w:footnote w:id="12">
    <w:p w:rsidR="00396072" w:rsidP="00DE7801">
      <w:pPr>
        <w:autoSpaceDE w:val="0"/>
        <w:autoSpaceDN w:val="0"/>
        <w:adjustRightInd w:val="0"/>
        <w:ind w:right="90"/>
        <w:jc w:val="left"/>
        <w:rPr>
          <w:rFonts w:ascii="Microsoft Sans Serif" w:hAnsi="Microsoft Sans Serif"/>
          <w:sz w:val="20"/>
        </w:rPr>
      </w:pPr>
      <w:r>
        <w:rPr>
          <w:rStyle w:val="FootnoteReference"/>
        </w:rPr>
        <w:footnoteRef/>
      </w:r>
      <w:r>
        <w:t xml:space="preserve"> </w:t>
      </w:r>
      <w:r>
        <w:rPr>
          <w:sz w:val="20"/>
        </w:rPr>
        <w:t>Th</w:t>
      </w:r>
      <w:r w:rsidR="00DE7801">
        <w:rPr>
          <w:sz w:val="20"/>
        </w:rPr>
        <w:t>is</w:t>
      </w:r>
      <w:r>
        <w:rPr>
          <w:sz w:val="20"/>
        </w:rPr>
        <w:t xml:space="preserve"> address should be used only for documents filed by United States Postal Service first-class mail, Express Mail, and Priority Mail.  Hand-delivered or messenger-delivered documents for the Commission's Secretary are accepted only at </w:t>
      </w:r>
      <w:r w:rsidR="00DE7801">
        <w:rPr>
          <w:sz w:val="20"/>
        </w:rPr>
        <w:t>9050 Junction Drive, Annapolis Junction, MD  20701.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7F0">
    <w:pPr>
      <w:tabs>
        <w:tab w:val="center" w:pos="4680"/>
        <w:tab w:val="right" w:pos="9360"/>
      </w:tabs>
      <w:suppressAutoHyphens/>
      <w:spacing w:line="227" w:lineRule="auto"/>
      <w:rPr>
        <w:spacing w:val="-2"/>
      </w:rPr>
    </w:pPr>
    <w:r>
      <w:rPr>
        <w:b/>
        <w:spacing w:val="-2"/>
      </w:rPr>
      <w:tab/>
      <w:t>Federal Communications Commission</w:t>
    </w:r>
    <w:r>
      <w:rPr>
        <w:spacing w:val="-2"/>
      </w:rPr>
      <w:tab/>
    </w:r>
    <w:r>
      <w:rPr>
        <w:b/>
        <w:spacing w:val="-2"/>
      </w:rPr>
      <w:t xml:space="preserve">DA </w:t>
    </w:r>
    <w:r w:rsidR="00A01CBF">
      <w:rPr>
        <w:b/>
        <w:spacing w:val="-2"/>
      </w:rPr>
      <w:t>1</w:t>
    </w:r>
    <w:r w:rsidR="004C6A65">
      <w:rPr>
        <w:b/>
        <w:spacing w:val="-2"/>
      </w:rPr>
      <w:t>9</w:t>
    </w:r>
    <w:r w:rsidR="00A01CBF">
      <w:rPr>
        <w:b/>
        <w:spacing w:val="-2"/>
      </w:rPr>
      <w:t>-</w:t>
    </w:r>
    <w:r w:rsidR="00033DC4">
      <w:rPr>
        <w:b/>
        <w:spacing w:val="-2"/>
      </w:rPr>
      <w:t>411</w:t>
    </w:r>
    <w:r>
      <w:rPr>
        <w:b/>
        <w:spacing w:val="-2"/>
      </w:rPr>
      <w:t xml:space="preserve"> </w:t>
    </w:r>
  </w:p>
  <w:p w:rsidR="00CC67F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txbx>
                      <w:txbxContent>
                        <w:p w:rsidR="00CC67F0"/>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textbox>
                <w:txbxContent>
                  <w:p w:rsidR="00CC67F0"/>
                </w:txbxContent>
              </v:textbox>
              <w10:wrap anchorx="margin"/>
            </v:rect>
          </w:pict>
        </mc:Fallback>
      </mc:AlternateContent>
    </w:r>
  </w:p>
  <w:p w:rsidR="00CC67F0">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7F0">
    <w:pPr>
      <w:pStyle w:val="Header"/>
      <w:pBdr>
        <w:bottom w:val="single" w:sz="12" w:space="1" w:color="auto"/>
      </w:pBdr>
      <w:rPr>
        <w:b w:val="0"/>
      </w:rPr>
    </w:pPr>
    <w:r>
      <w:tab/>
      <w:t>Federal Communications Commission</w:t>
    </w:r>
    <w:r>
      <w:tab/>
      <w:t xml:space="preserve">DA </w:t>
    </w:r>
    <w:r w:rsidR="00A01CBF">
      <w:t>1</w:t>
    </w:r>
    <w:r w:rsidR="004C6A65">
      <w:t>9</w:t>
    </w:r>
    <w:r w:rsidR="00A01CBF">
      <w:t>-</w:t>
    </w:r>
    <w:r w:rsidR="00033DC4">
      <w:t>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48BCB83E"/>
    <w:lvl w:ilvl="0">
      <w:start w:val="3"/>
      <w:numFmt w:val="decimal"/>
      <w:pStyle w:val="BodyText"/>
      <w:lvlText w:val="%1."/>
      <w:lvlJc w:val="left"/>
      <w:pPr>
        <w:tabs>
          <w:tab w:val="num" w:pos="1080"/>
        </w:tabs>
        <w:ind w:left="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3E61A1"/>
    <w:multiLevelType w:val="singleLevel"/>
    <w:tmpl w:val="0DDC1D58"/>
    <w:lvl w:ilvl="0">
      <w:start w:val="13"/>
      <w:numFmt w:val="decimal"/>
      <w:lvlText w:val="%1."/>
      <w:lvlJc w:val="left"/>
      <w:pPr>
        <w:tabs>
          <w:tab w:val="num" w:pos="1080"/>
        </w:tabs>
        <w:ind w:left="0" w:firstLine="720"/>
      </w:pPr>
      <w:rPr>
        <w:b w:val="0"/>
        <w:i w:val="0"/>
      </w:r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21E507CA"/>
    <w:multiLevelType w:val="singleLevel"/>
    <w:tmpl w:val="ECC02806"/>
    <w:lvl w:ilvl="0">
      <w:start w:val="1"/>
      <w:numFmt w:val="upperRoman"/>
      <w:lvlText w:val="%1."/>
      <w:lvlJc w:val="left"/>
      <w:pPr>
        <w:tabs>
          <w:tab w:val="num" w:pos="720"/>
        </w:tabs>
        <w:ind w:left="720" w:hanging="720"/>
      </w:pPr>
      <w:rPr>
        <w:rFont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314EA4"/>
    <w:multiLevelType w:val="singleLevel"/>
    <w:tmpl w:val="DCAC5B10"/>
    <w:lvl w:ilvl="0">
      <w:start w:val="1"/>
      <w:numFmt w:val="upperRoman"/>
      <w:lvlText w:val="%1."/>
      <w:lvlJc w:val="left"/>
      <w:pPr>
        <w:tabs>
          <w:tab w:val="num" w:pos="1440"/>
        </w:tabs>
        <w:ind w:left="0" w:firstLine="720"/>
      </w:pPr>
      <w:rPr>
        <w:rFonts w:ascii="Times New Roman" w:hAnsi="Times New Roman" w:hint="default"/>
        <w:b/>
        <w:i w:val="0"/>
        <w:sz w:val="22"/>
        <w:u w:val="none"/>
      </w:rPr>
    </w:lvl>
  </w:abstractNum>
  <w:abstractNum w:abstractNumId="1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1567AA9"/>
    <w:multiLevelType w:val="singleLevel"/>
    <w:tmpl w:val="8612C2A2"/>
    <w:lvl w:ilvl="0">
      <w:start w:val="1"/>
      <w:numFmt w:val="decimal"/>
      <w:lvlText w:val="%1."/>
      <w:lvlJc w:val="left"/>
      <w:pPr>
        <w:tabs>
          <w:tab w:val="num" w:pos="1080"/>
        </w:tabs>
        <w:ind w:left="0" w:firstLine="720"/>
      </w:pPr>
      <w:rPr>
        <w:b w:val="0"/>
        <w:i w:val="0"/>
      </w:rPr>
    </w:lvl>
  </w:abstractNum>
  <w:abstractNum w:abstractNumId="16">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9">
    <w:nsid w:val="43D27EFD"/>
    <w:multiLevelType w:val="singleLevel"/>
    <w:tmpl w:val="42701C86"/>
    <w:lvl w:ilvl="0">
      <w:start w:val="1"/>
      <w:numFmt w:val="decimal"/>
      <w:lvlText w:val="%1."/>
      <w:lvlJc w:val="left"/>
      <w:pPr>
        <w:tabs>
          <w:tab w:val="num" w:pos="1440"/>
        </w:tabs>
        <w:ind w:left="1440" w:hanging="720"/>
      </w:pPr>
    </w:lvl>
  </w:abstractNum>
  <w:abstractNum w:abstractNumId="20">
    <w:nsid w:val="4A880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2">
    <w:nsid w:val="5A105ECF"/>
    <w:multiLevelType w:val="singleLevel"/>
    <w:tmpl w:val="D1A68880"/>
    <w:lvl w:ilvl="0">
      <w:start w:val="13"/>
      <w:numFmt w:val="decimal"/>
      <w:lvlText w:val="%1."/>
      <w:lvlJc w:val="left"/>
      <w:pPr>
        <w:tabs>
          <w:tab w:val="num" w:pos="1440"/>
        </w:tabs>
        <w:ind w:left="1440" w:hanging="720"/>
      </w:pPr>
      <w:rPr>
        <w:rFonts w:hint="default"/>
      </w:rPr>
    </w:lvl>
  </w:abstractNum>
  <w:abstractNum w:abstractNumId="23">
    <w:nsid w:val="5FFF125B"/>
    <w:multiLevelType w:val="singleLevel"/>
    <w:tmpl w:val="B1F45678"/>
    <w:lvl w:ilvl="0">
      <w:start w:val="1"/>
      <w:numFmt w:val="decimal"/>
      <w:lvlText w:val="%1."/>
      <w:lvlJc w:val="left"/>
      <w:pPr>
        <w:tabs>
          <w:tab w:val="num" w:pos="1080"/>
        </w:tabs>
        <w:ind w:left="0" w:firstLine="720"/>
      </w:pPr>
    </w:lvl>
  </w:abstractNum>
  <w:abstractNum w:abstractNumId="24">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cap="rnd">
          <w14:noFill/>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03621C9"/>
    <w:multiLevelType w:val="singleLevel"/>
    <w:tmpl w:val="373411A8"/>
    <w:lvl w:ilvl="0">
      <w:start w:val="1"/>
      <w:numFmt w:val="decimal"/>
      <w:lvlText w:val="%1."/>
      <w:lvlJc w:val="left"/>
      <w:pPr>
        <w:tabs>
          <w:tab w:val="num" w:pos="1080"/>
        </w:tabs>
        <w:ind w:left="0" w:firstLine="720"/>
      </w:pPr>
    </w:lvl>
  </w:abstractNum>
  <w:abstractNum w:abstractNumId="27">
    <w:nsid w:val="75993104"/>
    <w:multiLevelType w:val="singleLevel"/>
    <w:tmpl w:val="8612C2A2"/>
    <w:lvl w:ilvl="0">
      <w:start w:val="1"/>
      <w:numFmt w:val="decimal"/>
      <w:lvlText w:val="%1."/>
      <w:lvlJc w:val="left"/>
      <w:pPr>
        <w:tabs>
          <w:tab w:val="num" w:pos="1080"/>
        </w:tabs>
        <w:ind w:left="0" w:firstLine="720"/>
      </w:pPr>
      <w:rPr>
        <w:b w:val="0"/>
        <w:i w:val="0"/>
      </w:rPr>
    </w:lvl>
  </w:abstractNum>
  <w:abstractNum w:abstractNumId="28">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9">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5"/>
  </w:num>
  <w:num w:numId="2">
    <w:abstractNumId w:val="10"/>
  </w:num>
  <w:num w:numId="3">
    <w:abstractNumId w:val="3"/>
  </w:num>
  <w:num w:numId="4">
    <w:abstractNumId w:val="23"/>
  </w:num>
  <w:num w:numId="5">
    <w:abstractNumId w:val="26"/>
  </w:num>
  <w:num w:numId="6">
    <w:abstractNumId w:val="14"/>
  </w:num>
  <w:num w:numId="7">
    <w:abstractNumId w:val="16"/>
  </w:num>
  <w:num w:numId="8">
    <w:abstractNumId w:val="19"/>
  </w:num>
  <w:num w:numId="9">
    <w:abstractNumId w:val="1"/>
  </w:num>
  <w:num w:numId="10">
    <w:abstractNumId w:val="0"/>
  </w:num>
  <w:num w:numId="11">
    <w:abstractNumId w:val="5"/>
  </w:num>
  <w:num w:numId="12">
    <w:abstractNumId w:val="13"/>
  </w:num>
  <w:num w:numId="13">
    <w:abstractNumId w:val="3"/>
  </w:num>
  <w:num w:numId="14">
    <w:abstractNumId w:val="21"/>
  </w:num>
  <w:num w:numId="15">
    <w:abstractNumId w:val="6"/>
  </w:num>
  <w:num w:numId="16">
    <w:abstractNumId w:val="18"/>
  </w:num>
  <w:num w:numId="17">
    <w:abstractNumId w:val="7"/>
  </w:num>
  <w:num w:numId="18">
    <w:abstractNumId w:val="28"/>
  </w:num>
  <w:num w:numId="19">
    <w:abstractNumId w:val="2"/>
  </w:num>
  <w:num w:numId="20">
    <w:abstractNumId w:val="24"/>
  </w:num>
  <w:num w:numId="21">
    <w:abstractNumId w:val="12"/>
  </w:num>
  <w:num w:numId="22">
    <w:abstractNumId w:val="2"/>
  </w:num>
  <w:num w:numId="23">
    <w:abstractNumId w:val="24"/>
  </w:num>
  <w:num w:numId="24">
    <w:abstractNumId w:val="24"/>
  </w:num>
  <w:num w:numId="25">
    <w:abstractNumId w:val="24"/>
  </w:num>
  <w:num w:numId="26">
    <w:abstractNumId w:val="29"/>
  </w:num>
  <w:num w:numId="27">
    <w:abstractNumId w:val="9"/>
  </w:num>
  <w:num w:numId="28">
    <w:abstractNumId w:val="12"/>
  </w:num>
  <w:num w:numId="29">
    <w:abstractNumId w:val="20"/>
  </w:num>
  <w:num w:numId="30">
    <w:abstractNumId w:val="4"/>
  </w:num>
  <w:num w:numId="31">
    <w:abstractNumId w:val="11"/>
  </w:num>
  <w:num w:numId="32">
    <w:abstractNumId w:val="15"/>
  </w:num>
  <w:num w:numId="33">
    <w:abstractNumId w:val="27"/>
  </w:num>
  <w:num w:numId="34">
    <w:abstractNumId w:val="8"/>
  </w:num>
  <w:num w:numId="35">
    <w:abstractNumId w:val="2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89"/>
    <w:rsid w:val="00033DC4"/>
    <w:rsid w:val="0009493C"/>
    <w:rsid w:val="000C5DC1"/>
    <w:rsid w:val="00137C64"/>
    <w:rsid w:val="00186C0A"/>
    <w:rsid w:val="001C3EA4"/>
    <w:rsid w:val="00271C08"/>
    <w:rsid w:val="002978C1"/>
    <w:rsid w:val="002F3598"/>
    <w:rsid w:val="00321930"/>
    <w:rsid w:val="00396072"/>
    <w:rsid w:val="003F4BE2"/>
    <w:rsid w:val="00463AFE"/>
    <w:rsid w:val="004C6A65"/>
    <w:rsid w:val="006346F3"/>
    <w:rsid w:val="00650367"/>
    <w:rsid w:val="0079096E"/>
    <w:rsid w:val="00881051"/>
    <w:rsid w:val="00891F67"/>
    <w:rsid w:val="00965132"/>
    <w:rsid w:val="009978C4"/>
    <w:rsid w:val="00A01CBF"/>
    <w:rsid w:val="00A57489"/>
    <w:rsid w:val="00AC5CCD"/>
    <w:rsid w:val="00C04841"/>
    <w:rsid w:val="00C56037"/>
    <w:rsid w:val="00CC67F0"/>
    <w:rsid w:val="00DE7801"/>
    <w:rsid w:val="00FA2F48"/>
    <w:rsid w:val="00FE7C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220"/>
      <w:ind w:firstLine="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1 Char Char"/>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0"/>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Title">
    <w:name w:val="Title"/>
    <w:basedOn w:val="Normal"/>
    <w:qFormat/>
    <w:pPr>
      <w:jc w:val="center"/>
    </w:pPr>
    <w:rPr>
      <w:b/>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widowControl/>
      <w:numPr>
        <w:numId w:val="22"/>
      </w:numPr>
    </w:pPr>
    <w:rPr>
      <w:snapToGrid/>
      <w:kern w:val="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Default">
    <w:name w:val="Default"/>
    <w:pPr>
      <w:widowControl w:val="0"/>
      <w:autoSpaceDE w:val="0"/>
      <w:autoSpaceDN w:val="0"/>
      <w:adjustRightInd w:val="0"/>
    </w:pPr>
    <w:rPr>
      <w:color w:val="000000"/>
      <w:sz w:val="24"/>
      <w:szCs w:val="24"/>
    </w:rPr>
  </w:style>
  <w:style w:type="character" w:customStyle="1" w:styleId="ParaNumChar">
    <w:name w:val="ParaNum Char"/>
    <w:link w:val="ParaNum"/>
    <w:rsid w:val="00650367"/>
    <w:rPr>
      <w:snapToGrid w:val="0"/>
      <w:kern w:val="28"/>
      <w:sz w:val="22"/>
    </w:rPr>
  </w:style>
  <w:style w:type="paragraph" w:customStyle="1" w:styleId="FootnoteTex">
    <w:name w:val="Footnote Tex"/>
    <w:basedOn w:val="Normal"/>
    <w:rsid w:val="00650367"/>
    <w:pPr>
      <w:autoSpaceDE w:val="0"/>
      <w:autoSpaceDN w:val="0"/>
      <w:adjustRightInd w:val="0"/>
      <w:jc w:val="left"/>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