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E2544" w:rsidRPr="00287D1B" w:rsidP="00287D1B">
      <w:pPr>
        <w:spacing w:after="120"/>
        <w:jc w:val="right"/>
        <w:rPr>
          <w:b/>
          <w:sz w:val="26"/>
          <w:szCs w:val="2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287D1B">
        <w:rPr>
          <w:b/>
          <w:sz w:val="26"/>
          <w:szCs w:val="26"/>
        </w:rPr>
        <w:t>DA 1</w:t>
      </w:r>
      <w:r w:rsidR="00C05560">
        <w:rPr>
          <w:b/>
          <w:sz w:val="26"/>
          <w:szCs w:val="26"/>
        </w:rPr>
        <w:t>9</w:t>
      </w:r>
      <w:r w:rsidRPr="00287D1B">
        <w:rPr>
          <w:b/>
          <w:sz w:val="26"/>
          <w:szCs w:val="26"/>
        </w:rPr>
        <w:t>-</w:t>
      </w:r>
      <w:r w:rsidRPr="003A2F0D" w:rsidR="003A2F0D">
        <w:rPr>
          <w:b/>
          <w:sz w:val="26"/>
          <w:szCs w:val="26"/>
        </w:rPr>
        <w:t>42</w:t>
      </w:r>
    </w:p>
    <w:p w:rsidR="003E2544" w:rsidRPr="00287D1B" w:rsidP="00B53BF0">
      <w:pPr>
        <w:tabs>
          <w:tab w:val="left" w:pos="3994"/>
        </w:tabs>
        <w:spacing w:after="120"/>
        <w:rPr>
          <w:sz w:val="24"/>
          <w:szCs w:val="24"/>
        </w:rPr>
      </w:pPr>
      <w:r>
        <w:rPr>
          <w:sz w:val="24"/>
          <w:szCs w:val="24"/>
        </w:rPr>
        <w:tab/>
      </w:r>
    </w:p>
    <w:p w:rsidR="00584892" w:rsidRPr="00287D1B" w:rsidP="00287D1B">
      <w:pPr>
        <w:jc w:val="center"/>
        <w:rPr>
          <w:b/>
          <w:caps/>
          <w:sz w:val="28"/>
          <w:szCs w:val="36"/>
        </w:rPr>
      </w:pPr>
      <w:r w:rsidRPr="00287D1B">
        <w:rPr>
          <w:b/>
          <w:caps/>
          <w:sz w:val="28"/>
          <w:szCs w:val="36"/>
        </w:rPr>
        <w:t>Small Entity Compliance Guide</w:t>
      </w:r>
    </w:p>
    <w:p w:rsidR="00FA4056" w:rsidRPr="00287D1B">
      <w:pPr>
        <w:spacing w:after="120"/>
        <w:jc w:val="center"/>
        <w:rPr>
          <w:b/>
          <w:sz w:val="16"/>
          <w:szCs w:val="16"/>
        </w:rPr>
      </w:pPr>
    </w:p>
    <w:p w:rsidR="00496FB3">
      <w:pPr>
        <w:spacing w:after="120"/>
        <w:jc w:val="center"/>
        <w:rPr>
          <w:b/>
          <w:szCs w:val="22"/>
        </w:rPr>
      </w:pPr>
      <w:r>
        <w:rPr>
          <w:b/>
          <w:szCs w:val="22"/>
        </w:rPr>
        <w:t>Creation of Interstitial 12.5 Kilohertz Channels in the 800 MHz Band Between 809-817/854-862 MHz; Amendment of Part 90 of the Commission’s Rules to Improve Access to Private Land Mobile Radio Spectrum</w:t>
      </w:r>
    </w:p>
    <w:p w:rsidR="00584892" w:rsidRPr="002A7440" w:rsidP="002A7440">
      <w:pPr>
        <w:jc w:val="center"/>
        <w:rPr>
          <w:b/>
          <w:spacing w:val="-2"/>
          <w:szCs w:val="22"/>
        </w:rPr>
      </w:pPr>
      <w:r w:rsidRPr="002A7440">
        <w:rPr>
          <w:b/>
          <w:spacing w:val="-2"/>
          <w:szCs w:val="22"/>
        </w:rPr>
        <w:t xml:space="preserve"> </w:t>
      </w:r>
      <w:r w:rsidRPr="002A7440">
        <w:rPr>
          <w:b/>
          <w:spacing w:val="-2"/>
          <w:szCs w:val="22"/>
        </w:rPr>
        <w:t>FCC 1</w:t>
      </w:r>
      <w:r w:rsidRPr="002A7440" w:rsidR="002A7440">
        <w:rPr>
          <w:b/>
          <w:spacing w:val="-2"/>
          <w:szCs w:val="22"/>
        </w:rPr>
        <w:t>8</w:t>
      </w:r>
      <w:r w:rsidRPr="002A7440">
        <w:rPr>
          <w:b/>
          <w:spacing w:val="-2"/>
          <w:szCs w:val="22"/>
        </w:rPr>
        <w:t>-</w:t>
      </w:r>
      <w:r w:rsidRPr="002A7440" w:rsidR="0059659F">
        <w:rPr>
          <w:b/>
          <w:spacing w:val="-2"/>
          <w:szCs w:val="22"/>
        </w:rPr>
        <w:t>1</w:t>
      </w:r>
      <w:r w:rsidRPr="002A7440" w:rsidR="002A7440">
        <w:rPr>
          <w:b/>
          <w:spacing w:val="-2"/>
          <w:szCs w:val="22"/>
        </w:rPr>
        <w:t>43</w:t>
      </w:r>
    </w:p>
    <w:p w:rsidR="00584892" w:rsidP="00B53BF0">
      <w:pPr>
        <w:tabs>
          <w:tab w:val="left" w:pos="930"/>
          <w:tab w:val="left" w:pos="1035"/>
          <w:tab w:val="center" w:pos="4680"/>
        </w:tabs>
        <w:rPr>
          <w:b/>
          <w:spacing w:val="-2"/>
          <w:szCs w:val="22"/>
        </w:rPr>
      </w:pPr>
      <w:r>
        <w:rPr>
          <w:b/>
          <w:spacing w:val="-2"/>
          <w:szCs w:val="22"/>
        </w:rPr>
        <w:tab/>
      </w:r>
      <w:r w:rsidR="008C01F5">
        <w:rPr>
          <w:b/>
          <w:spacing w:val="-2"/>
          <w:szCs w:val="22"/>
        </w:rPr>
        <w:tab/>
      </w:r>
      <w:r>
        <w:rPr>
          <w:b/>
          <w:spacing w:val="-2"/>
          <w:szCs w:val="22"/>
        </w:rPr>
        <w:tab/>
      </w:r>
      <w:r w:rsidR="002A7440">
        <w:rPr>
          <w:b/>
          <w:spacing w:val="-2"/>
          <w:szCs w:val="22"/>
        </w:rPr>
        <w:t>WP</w:t>
      </w:r>
      <w:r w:rsidRPr="004B1666">
        <w:rPr>
          <w:b/>
          <w:spacing w:val="-2"/>
          <w:szCs w:val="22"/>
        </w:rPr>
        <w:t xml:space="preserve"> Docket No</w:t>
      </w:r>
      <w:r w:rsidR="002A7440">
        <w:rPr>
          <w:b/>
          <w:spacing w:val="-2"/>
          <w:szCs w:val="22"/>
        </w:rPr>
        <w:t>s</w:t>
      </w:r>
      <w:r w:rsidRPr="004B1666">
        <w:rPr>
          <w:b/>
          <w:spacing w:val="-2"/>
          <w:szCs w:val="22"/>
        </w:rPr>
        <w:t xml:space="preserve">. </w:t>
      </w:r>
      <w:r>
        <w:rPr>
          <w:b/>
          <w:spacing w:val="-2"/>
          <w:szCs w:val="22"/>
        </w:rPr>
        <w:t>1</w:t>
      </w:r>
      <w:r w:rsidR="002A7440">
        <w:rPr>
          <w:b/>
          <w:spacing w:val="-2"/>
          <w:szCs w:val="22"/>
        </w:rPr>
        <w:t>5</w:t>
      </w:r>
      <w:r w:rsidRPr="004B1666">
        <w:rPr>
          <w:b/>
          <w:spacing w:val="-2"/>
          <w:szCs w:val="22"/>
        </w:rPr>
        <w:t>-</w:t>
      </w:r>
      <w:r w:rsidR="00B610E7">
        <w:rPr>
          <w:b/>
          <w:spacing w:val="-2"/>
          <w:szCs w:val="22"/>
        </w:rPr>
        <w:t>3</w:t>
      </w:r>
      <w:r w:rsidR="002A7440">
        <w:rPr>
          <w:b/>
          <w:spacing w:val="-2"/>
          <w:szCs w:val="22"/>
        </w:rPr>
        <w:t>2, 16-261</w:t>
      </w:r>
    </w:p>
    <w:p w:rsidR="002A7440">
      <w:pPr>
        <w:jc w:val="center"/>
        <w:rPr>
          <w:b/>
          <w:spacing w:val="-2"/>
          <w:szCs w:val="22"/>
        </w:rPr>
      </w:pPr>
      <w:r>
        <w:rPr>
          <w:b/>
          <w:spacing w:val="-2"/>
          <w:szCs w:val="22"/>
        </w:rPr>
        <w:t xml:space="preserve">Released </w:t>
      </w:r>
      <w:r w:rsidR="00EC13EA">
        <w:rPr>
          <w:b/>
          <w:spacing w:val="-2"/>
          <w:szCs w:val="22"/>
        </w:rPr>
        <w:t>October 22</w:t>
      </w:r>
      <w:r w:rsidR="003D778D">
        <w:rPr>
          <w:b/>
          <w:spacing w:val="-2"/>
          <w:szCs w:val="22"/>
        </w:rPr>
        <w:t>, 2018</w:t>
      </w:r>
    </w:p>
    <w:p w:rsidR="00584892" w:rsidRPr="00F74B2B">
      <w:pPr>
        <w:jc w:val="center"/>
        <w:rPr>
          <w:b/>
          <w:szCs w:val="22"/>
        </w:rPr>
      </w:pPr>
    </w:p>
    <w:p w:rsidR="00584892" w:rsidP="000876D4">
      <w:pPr>
        <w:tabs>
          <w:tab w:val="left" w:pos="360"/>
        </w:tabs>
        <w:ind w:left="360"/>
        <w:jc w:val="both"/>
        <w:rPr>
          <w:b/>
          <w:szCs w:val="22"/>
        </w:rPr>
      </w:pPr>
      <w:r w:rsidRPr="004B1666">
        <w:rPr>
          <w:b/>
          <w:szCs w:val="22"/>
        </w:rPr>
        <w:t>This Guide is prepared in accordance with the requirements of Section 212 of the Small Business Regulatory Enforcement Fairness Act of 1996.  It is intended to help small entities—small businesses, small organizations (non-profits), and sm</w:t>
      </w:r>
      <w:r>
        <w:rPr>
          <w:b/>
          <w:szCs w:val="22"/>
        </w:rPr>
        <w:t>all governmental jurisdictions—</w:t>
      </w:r>
      <w:r w:rsidRPr="004B1666">
        <w:rPr>
          <w:b/>
          <w:szCs w:val="22"/>
        </w:rPr>
        <w:t xml:space="preserve">comply with the </w:t>
      </w:r>
      <w:r w:rsidR="00EC13EA">
        <w:rPr>
          <w:b/>
          <w:szCs w:val="22"/>
        </w:rPr>
        <w:t xml:space="preserve">revised </w:t>
      </w:r>
      <w:r>
        <w:rPr>
          <w:b/>
          <w:szCs w:val="22"/>
        </w:rPr>
        <w:t xml:space="preserve">rules adopted in the </w:t>
      </w:r>
      <w:r w:rsidRPr="004B1666">
        <w:rPr>
          <w:b/>
          <w:szCs w:val="22"/>
        </w:rPr>
        <w:t xml:space="preserve">above-referenced </w:t>
      </w:r>
      <w:r w:rsidR="00EC13EA">
        <w:rPr>
          <w:b/>
          <w:szCs w:val="22"/>
        </w:rPr>
        <w:t>Federal Communications Commission (</w:t>
      </w:r>
      <w:r w:rsidRPr="004B1666">
        <w:rPr>
          <w:b/>
          <w:szCs w:val="22"/>
        </w:rPr>
        <w:t>FCC</w:t>
      </w:r>
      <w:r w:rsidR="00EC13EA">
        <w:rPr>
          <w:b/>
          <w:szCs w:val="22"/>
        </w:rPr>
        <w:t xml:space="preserve"> or Commission)</w:t>
      </w:r>
      <w:r w:rsidRPr="004B1666">
        <w:rPr>
          <w:b/>
          <w:szCs w:val="22"/>
        </w:rPr>
        <w:t xml:space="preserve"> rule</w:t>
      </w:r>
      <w:r>
        <w:rPr>
          <w:b/>
          <w:szCs w:val="22"/>
        </w:rPr>
        <w:t>making docket(s)</w:t>
      </w:r>
      <w:r w:rsidRPr="004B1666">
        <w:rPr>
          <w:b/>
          <w:szCs w:val="22"/>
        </w:rPr>
        <w:t xml:space="preserve">.  This Guide is not intended to replace </w:t>
      </w:r>
      <w:r w:rsidR="007C754A">
        <w:rPr>
          <w:b/>
          <w:szCs w:val="22"/>
        </w:rPr>
        <w:t xml:space="preserve">or supersede </w:t>
      </w:r>
      <w:r w:rsidRPr="004B1666">
        <w:rPr>
          <w:b/>
          <w:szCs w:val="22"/>
        </w:rPr>
        <w:t>the</w:t>
      </w:r>
      <w:r w:rsidR="007C754A">
        <w:rPr>
          <w:b/>
          <w:szCs w:val="22"/>
        </w:rPr>
        <w:t>se</w:t>
      </w:r>
      <w:r w:rsidRPr="004B1666">
        <w:rPr>
          <w:b/>
          <w:szCs w:val="22"/>
        </w:rPr>
        <w:t xml:space="preserve"> rules</w:t>
      </w:r>
      <w:r>
        <w:rPr>
          <w:b/>
          <w:szCs w:val="22"/>
        </w:rPr>
        <w:t xml:space="preserve">, </w:t>
      </w:r>
      <w:r w:rsidR="007C754A">
        <w:rPr>
          <w:b/>
          <w:szCs w:val="22"/>
        </w:rPr>
        <w:t xml:space="preserve">but to facilitate compliance with </w:t>
      </w:r>
      <w:r w:rsidRPr="004B1666">
        <w:rPr>
          <w:b/>
          <w:szCs w:val="22"/>
        </w:rPr>
        <w:t xml:space="preserve">the rules.  Although we have attempted to cover all parts of the rules that might be especially important to small entities, the coverage may not be exhaustive.  This Guide </w:t>
      </w:r>
      <w:r w:rsidR="007C754A">
        <w:rPr>
          <w:b/>
          <w:szCs w:val="22"/>
        </w:rPr>
        <w:t xml:space="preserve">cannot anticipate all situations in which the rules apply.  Furthermore, the Commission retains </w:t>
      </w:r>
      <w:r w:rsidRPr="004B1666">
        <w:rPr>
          <w:b/>
          <w:szCs w:val="22"/>
        </w:rPr>
        <w:t xml:space="preserve">the discretion to adopt </w:t>
      </w:r>
      <w:r w:rsidRPr="004B1666" w:rsidR="007C754A">
        <w:rPr>
          <w:b/>
          <w:szCs w:val="22"/>
        </w:rPr>
        <w:t xml:space="preserve">case-by-case </w:t>
      </w:r>
      <w:r w:rsidRPr="004B1666">
        <w:rPr>
          <w:b/>
          <w:szCs w:val="22"/>
        </w:rPr>
        <w:t>approaches, where appropriate</w:t>
      </w:r>
      <w:r w:rsidR="007C754A">
        <w:rPr>
          <w:b/>
          <w:szCs w:val="22"/>
        </w:rPr>
        <w:t>, that may differ from this Guide</w:t>
      </w:r>
      <w:r w:rsidRPr="004B1666">
        <w:rPr>
          <w:b/>
          <w:szCs w:val="22"/>
        </w:rPr>
        <w:t xml:space="preserve">.  Any decision regarding a particular small entity will be based on the statute and </w:t>
      </w:r>
      <w:r w:rsidR="007C754A">
        <w:rPr>
          <w:b/>
          <w:szCs w:val="22"/>
        </w:rPr>
        <w:t>any relevant rule</w:t>
      </w:r>
      <w:r w:rsidRPr="004B1666">
        <w:rPr>
          <w:b/>
          <w:szCs w:val="22"/>
        </w:rPr>
        <w:t xml:space="preserve">s. </w:t>
      </w:r>
    </w:p>
    <w:p w:rsidR="00584892" w:rsidP="000876D4">
      <w:pPr>
        <w:tabs>
          <w:tab w:val="left" w:pos="360"/>
        </w:tabs>
        <w:ind w:left="360"/>
        <w:jc w:val="both"/>
        <w:rPr>
          <w:b/>
          <w:szCs w:val="22"/>
        </w:rPr>
      </w:pPr>
    </w:p>
    <w:p w:rsidR="00584892" w:rsidP="000876D4">
      <w:pPr>
        <w:tabs>
          <w:tab w:val="left" w:pos="360"/>
        </w:tabs>
        <w:ind w:left="36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w:t>
      </w:r>
      <w:r w:rsidRPr="004B1666">
        <w:rPr>
          <w:b/>
          <w:szCs w:val="22"/>
        </w:rPr>
        <w:t xml:space="preserve"> Interested parties are free to file comments regarding this Guide and the appropriateness of its application to a particular situation</w:t>
      </w:r>
      <w:r w:rsidR="007C754A">
        <w:rPr>
          <w:b/>
          <w:szCs w:val="22"/>
        </w:rPr>
        <w:t>.  T</w:t>
      </w:r>
      <w:r w:rsidRPr="004B1666">
        <w:rPr>
          <w:b/>
          <w:szCs w:val="22"/>
        </w:rPr>
        <w:t xml:space="preserve">he FCC will </w:t>
      </w:r>
      <w:r w:rsidR="007C754A">
        <w:rPr>
          <w:b/>
          <w:szCs w:val="22"/>
        </w:rPr>
        <w:t xml:space="preserve">then </w:t>
      </w:r>
      <w:r w:rsidRPr="004B1666">
        <w:rPr>
          <w:b/>
          <w:szCs w:val="22"/>
        </w:rPr>
        <w:t xml:space="preserve">consider whether the recommendations or interpretations in the Guide are appropriate in that situation. </w:t>
      </w:r>
      <w:r>
        <w:rPr>
          <w:b/>
          <w:szCs w:val="22"/>
        </w:rPr>
        <w:t xml:space="preserve"> </w:t>
      </w:r>
      <w:r w:rsidRPr="004B1666">
        <w:rPr>
          <w:b/>
          <w:szCs w:val="22"/>
        </w:rPr>
        <w:t xml:space="preserve">The FCC may </w:t>
      </w:r>
      <w:r>
        <w:rPr>
          <w:b/>
          <w:szCs w:val="22"/>
        </w:rPr>
        <w:t xml:space="preserve">decide to </w:t>
      </w:r>
      <w:r w:rsidRPr="004B1666">
        <w:rPr>
          <w:b/>
          <w:szCs w:val="22"/>
        </w:rPr>
        <w:t xml:space="preserve">revise this Guide without public notice to </w:t>
      </w:r>
      <w:r>
        <w:rPr>
          <w:b/>
          <w:szCs w:val="22"/>
        </w:rPr>
        <w:t xml:space="preserve">reflect changes in the FCC’s approach to implementing a rule, </w:t>
      </w:r>
      <w:r w:rsidRPr="004B1666">
        <w:rPr>
          <w:b/>
          <w:szCs w:val="22"/>
        </w:rPr>
        <w:t>or</w:t>
      </w:r>
      <w:r>
        <w:rPr>
          <w:b/>
          <w:szCs w:val="22"/>
        </w:rPr>
        <w:t xml:space="preserve"> </w:t>
      </w:r>
      <w:r w:rsidR="00A03BCB">
        <w:rPr>
          <w:b/>
          <w:szCs w:val="22"/>
        </w:rPr>
        <w:t xml:space="preserve">it may </w:t>
      </w:r>
      <w:r>
        <w:rPr>
          <w:b/>
          <w:szCs w:val="22"/>
        </w:rPr>
        <w:t>clarify or</w:t>
      </w:r>
      <w:r w:rsidRPr="004B1666">
        <w:rPr>
          <w:b/>
          <w:szCs w:val="22"/>
        </w:rPr>
        <w:t xml:space="preserve"> update</w:t>
      </w:r>
      <w:r>
        <w:rPr>
          <w:b/>
          <w:szCs w:val="22"/>
        </w:rPr>
        <w:t xml:space="preserve"> the text of the Guide.  </w:t>
      </w:r>
      <w:r w:rsidRPr="004B1666">
        <w:rPr>
          <w:b/>
          <w:szCs w:val="22"/>
        </w:rPr>
        <w:t>Direct your comments and recommendations, or calls for further assistance, to the FCC’s Consumer Center:</w:t>
      </w:r>
    </w:p>
    <w:p w:rsidR="00B51D73" w:rsidP="000876D4">
      <w:pPr>
        <w:tabs>
          <w:tab w:val="left" w:pos="360"/>
        </w:tabs>
        <w:ind w:left="360"/>
        <w:jc w:val="both"/>
        <w:rPr>
          <w:b/>
          <w:szCs w:val="22"/>
        </w:rPr>
      </w:pPr>
    </w:p>
    <w:p w:rsidR="007C754A" w:rsidRPr="004B1666" w:rsidP="002A7440">
      <w:pPr>
        <w:tabs>
          <w:tab w:val="left" w:pos="360"/>
        </w:tabs>
        <w:ind w:right="720"/>
        <w:jc w:val="both"/>
        <w:rPr>
          <w:b/>
          <w:szCs w:val="22"/>
        </w:rPr>
      </w:pPr>
    </w:p>
    <w:p w:rsidR="0083079C" w:rsidP="00287D1B">
      <w:pPr>
        <w:jc w:val="center"/>
        <w:rPr>
          <w:b/>
          <w:color w:val="000000"/>
          <w:szCs w:val="22"/>
        </w:rPr>
      </w:pPr>
      <w:r w:rsidRPr="004B1666">
        <w:rPr>
          <w:b/>
          <w:color w:val="000000"/>
          <w:szCs w:val="22"/>
        </w:rPr>
        <w:t>1-888-CALL-</w:t>
      </w:r>
      <w:r w:rsidRPr="004B1666" w:rsidR="001C40D7">
        <w:rPr>
          <w:b/>
          <w:color w:val="000000"/>
          <w:szCs w:val="22"/>
        </w:rPr>
        <w:t>FCC (</w:t>
      </w:r>
      <w:r w:rsidRPr="004B1666">
        <w:rPr>
          <w:b/>
          <w:color w:val="000000"/>
          <w:szCs w:val="22"/>
        </w:rPr>
        <w:t>1-888-225-5322)  </w:t>
      </w:r>
      <w:r w:rsidRPr="004B1666">
        <w:rPr>
          <w:b/>
          <w:color w:val="000000"/>
          <w:szCs w:val="22"/>
        </w:rPr>
        <w:br/>
        <w:t>TTY: 1-888-TELL-FCC (1-888-835-5322)</w:t>
      </w:r>
    </w:p>
    <w:p w:rsidR="00584892" w:rsidRPr="004B1666" w:rsidP="00287D1B">
      <w:pPr>
        <w:pStyle w:val="ListParagraph"/>
        <w:ind w:left="0"/>
        <w:jc w:val="center"/>
        <w:rPr>
          <w:b/>
          <w:color w:val="000000"/>
          <w:szCs w:val="22"/>
        </w:rPr>
      </w:pPr>
      <w:r w:rsidRPr="00287D1B">
        <w:rPr>
          <w:b/>
        </w:rPr>
        <w:t>Videophone: 1-844-4-FCC-ASL (1-844-432-2275)</w:t>
      </w:r>
      <w:r w:rsidRPr="00287D1B">
        <w:rPr>
          <w:b/>
          <w:szCs w:val="22"/>
        </w:rPr>
        <w:t>  </w:t>
      </w:r>
      <w:r w:rsidRPr="004B1666">
        <w:rPr>
          <w:b/>
          <w:color w:val="000000"/>
          <w:szCs w:val="22"/>
        </w:rPr>
        <w:br/>
        <w:t xml:space="preserve">Fax: </w:t>
      </w:r>
      <w:r w:rsidR="002D3D5E">
        <w:rPr>
          <w:b/>
          <w:color w:val="000000"/>
          <w:szCs w:val="22"/>
        </w:rPr>
        <w:t>1-866</w:t>
      </w:r>
      <w:r w:rsidRPr="004B1666">
        <w:rPr>
          <w:b/>
          <w:color w:val="000000"/>
          <w:szCs w:val="22"/>
        </w:rPr>
        <w:t>-418-0232</w:t>
      </w:r>
    </w:p>
    <w:p w:rsidR="00584892" w:rsidRPr="004B1666" w:rsidP="000876D4">
      <w:pPr>
        <w:ind w:left="720"/>
        <w:jc w:val="center"/>
        <w:rPr>
          <w:b/>
          <w:color w:val="000000"/>
          <w:szCs w:val="22"/>
        </w:rPr>
      </w:pPr>
    </w:p>
    <w:p w:rsidR="00584892" w:rsidRPr="004B1666">
      <w:pPr>
        <w:jc w:val="center"/>
        <w:rPr>
          <w:b/>
          <w:noProof/>
          <w:szCs w:val="22"/>
        </w:rPr>
      </w:pPr>
    </w:p>
    <w:p w:rsidR="002A7440">
      <w:pPr>
        <w:widowControl/>
        <w:rPr>
          <w:b/>
          <w:noProof/>
          <w:szCs w:val="22"/>
        </w:rPr>
      </w:pPr>
      <w:r>
        <w:rPr>
          <w:b/>
          <w:noProof/>
          <w:szCs w:val="22"/>
        </w:rPr>
        <w:br w:type="page"/>
      </w:r>
    </w:p>
    <w:p w:rsidR="00584892" w:rsidRPr="004B1666">
      <w:pPr>
        <w:jc w:val="center"/>
        <w:rPr>
          <w:b/>
          <w:noProof/>
          <w:szCs w:val="22"/>
        </w:rPr>
      </w:pPr>
      <w:r>
        <w:rPr>
          <w:u w:val="single"/>
        </w:rPr>
        <w:t>TABLE OF CONTENTS</w:t>
      </w:r>
    </w:p>
    <w:p w:rsidR="00584892" w:rsidRPr="000A779E" w:rsidP="000A779E">
      <w:pPr>
        <w:pStyle w:val="TOC4"/>
        <w:rPr>
          <w:u w:val="single"/>
        </w:rPr>
      </w:pPr>
      <w:bookmarkStart w:id="0" w:name="TOChere"/>
    </w:p>
    <w:p w:rsidR="002C6AF7" w:rsidRPr="002C6AF7" w:rsidP="002C6AF7"/>
    <w:p w:rsidR="00EF7A84" w:rsidRPr="00127826" w:rsidP="00287D1B"/>
    <w:bookmarkEnd w:id="0"/>
    <w:p w:rsidR="002C6AF7" w:rsidP="002C6AF7">
      <w:pPr>
        <w:pStyle w:val="TOC1"/>
        <w:rPr>
          <w:szCs w:val="22"/>
        </w:rPr>
      </w:pPr>
      <w:r w:rsidRPr="002C6AF7">
        <w:rPr>
          <w:szCs w:val="22"/>
        </w:rPr>
        <w:t>I.</w:t>
      </w:r>
      <w:r w:rsidRPr="002C6AF7">
        <w:rPr>
          <w:szCs w:val="22"/>
        </w:rPr>
        <w:tab/>
        <w:t>OBJECTIVES OF THE PROCEEDING</w:t>
      </w:r>
      <w:r w:rsidRPr="002C6AF7">
        <w:rPr>
          <w:szCs w:val="22"/>
        </w:rPr>
        <w:tab/>
      </w:r>
      <w:r w:rsidR="00913F70">
        <w:rPr>
          <w:szCs w:val="22"/>
        </w:rPr>
        <w:t>1</w:t>
      </w:r>
    </w:p>
    <w:p w:rsidR="002C6AF7" w:rsidRPr="002C6AF7" w:rsidP="002C6AF7"/>
    <w:p w:rsidR="002C6AF7" w:rsidRPr="002C6AF7" w:rsidP="002C6AF7">
      <w:pPr>
        <w:pStyle w:val="TOC1"/>
        <w:rPr>
          <w:szCs w:val="22"/>
        </w:rPr>
      </w:pPr>
      <w:r w:rsidRPr="002C6AF7">
        <w:rPr>
          <w:szCs w:val="22"/>
        </w:rPr>
        <w:t>II.</w:t>
      </w:r>
      <w:r w:rsidRPr="002C6AF7">
        <w:rPr>
          <w:szCs w:val="22"/>
        </w:rPr>
        <w:tab/>
        <w:t>COMPLIANCE REQUIREMENTS</w:t>
      </w:r>
      <w:r w:rsidRPr="002C6AF7">
        <w:rPr>
          <w:szCs w:val="22"/>
        </w:rPr>
        <w:tab/>
      </w:r>
      <w:r w:rsidR="00913F70">
        <w:rPr>
          <w:szCs w:val="22"/>
        </w:rPr>
        <w:t>1</w:t>
      </w:r>
    </w:p>
    <w:p w:rsidR="002C6AF7" w:rsidRPr="002C6AF7" w:rsidP="002C6AF7">
      <w:pPr>
        <w:pStyle w:val="TOC1"/>
        <w:tabs>
          <w:tab w:val="clear" w:pos="360"/>
          <w:tab w:val="left" w:pos="720"/>
        </w:tabs>
        <w:ind w:left="720"/>
        <w:rPr>
          <w:szCs w:val="22"/>
        </w:rPr>
      </w:pPr>
      <w:r w:rsidRPr="002C6AF7">
        <w:rPr>
          <w:szCs w:val="22"/>
        </w:rPr>
        <w:t>A.</w:t>
      </w:r>
      <w:r w:rsidRPr="002C6AF7">
        <w:rPr>
          <w:szCs w:val="22"/>
        </w:rPr>
        <w:tab/>
      </w:r>
      <w:r w:rsidRPr="002C6AF7">
        <w:rPr>
          <w:caps w:val="0"/>
          <w:szCs w:val="22"/>
        </w:rPr>
        <w:t>Additional Industrial/Business Pool Frequencies</w:t>
      </w:r>
      <w:r w:rsidRPr="002C6AF7">
        <w:rPr>
          <w:szCs w:val="22"/>
        </w:rPr>
        <w:tab/>
      </w:r>
      <w:r w:rsidR="00140FA5">
        <w:rPr>
          <w:szCs w:val="22"/>
        </w:rPr>
        <w:t>1</w:t>
      </w:r>
    </w:p>
    <w:p w:rsidR="002C6AF7" w:rsidRPr="002C6AF7" w:rsidP="002C6AF7">
      <w:pPr>
        <w:pStyle w:val="TOC1"/>
        <w:tabs>
          <w:tab w:val="clear" w:pos="360"/>
          <w:tab w:val="left" w:pos="720"/>
        </w:tabs>
        <w:ind w:left="720"/>
        <w:rPr>
          <w:szCs w:val="22"/>
        </w:rPr>
      </w:pPr>
      <w:r w:rsidRPr="002C6AF7">
        <w:rPr>
          <w:szCs w:val="22"/>
        </w:rPr>
        <w:t>B.</w:t>
      </w:r>
      <w:r w:rsidRPr="002C6AF7">
        <w:rPr>
          <w:szCs w:val="22"/>
        </w:rPr>
        <w:tab/>
      </w:r>
      <w:r w:rsidRPr="002C6AF7">
        <w:rPr>
          <w:caps w:val="0"/>
          <w:szCs w:val="22"/>
        </w:rPr>
        <w:t>Interstitial Channels in the 800 MHz Band</w:t>
      </w:r>
      <w:r w:rsidRPr="002C6AF7">
        <w:rPr>
          <w:szCs w:val="22"/>
        </w:rPr>
        <w:tab/>
      </w:r>
      <w:r w:rsidR="00140FA5">
        <w:rPr>
          <w:szCs w:val="22"/>
        </w:rPr>
        <w:t>1</w:t>
      </w:r>
    </w:p>
    <w:p w:rsidR="002C6AF7" w:rsidRPr="002C6AF7" w:rsidP="002C6AF7">
      <w:pPr>
        <w:pStyle w:val="TOC1"/>
        <w:tabs>
          <w:tab w:val="clear" w:pos="360"/>
          <w:tab w:val="left" w:pos="720"/>
        </w:tabs>
        <w:ind w:left="720"/>
        <w:rPr>
          <w:szCs w:val="22"/>
        </w:rPr>
      </w:pPr>
      <w:r w:rsidRPr="002C6AF7">
        <w:rPr>
          <w:szCs w:val="22"/>
        </w:rPr>
        <w:t>C.</w:t>
      </w:r>
      <w:r w:rsidRPr="002C6AF7">
        <w:rPr>
          <w:szCs w:val="22"/>
        </w:rPr>
        <w:tab/>
      </w:r>
      <w:r w:rsidRPr="002C6AF7">
        <w:rPr>
          <w:caps w:val="0"/>
          <w:szCs w:val="22"/>
        </w:rPr>
        <w:t>Licensing Additional 800 MHz Channels</w:t>
      </w:r>
      <w:r w:rsidRPr="002C6AF7">
        <w:rPr>
          <w:szCs w:val="22"/>
        </w:rPr>
        <w:tab/>
      </w:r>
      <w:r w:rsidR="00140FA5">
        <w:rPr>
          <w:szCs w:val="22"/>
        </w:rPr>
        <w:t>2</w:t>
      </w:r>
    </w:p>
    <w:p w:rsidR="002C6AF7" w:rsidRPr="002C6AF7" w:rsidP="002C6AF7">
      <w:pPr>
        <w:pStyle w:val="TOC1"/>
        <w:tabs>
          <w:tab w:val="clear" w:pos="360"/>
          <w:tab w:val="left" w:pos="720"/>
        </w:tabs>
        <w:ind w:left="720"/>
        <w:rPr>
          <w:szCs w:val="22"/>
        </w:rPr>
      </w:pPr>
      <w:r w:rsidRPr="002C6AF7">
        <w:rPr>
          <w:szCs w:val="22"/>
        </w:rPr>
        <w:t>D.</w:t>
      </w:r>
      <w:r w:rsidRPr="002C6AF7">
        <w:rPr>
          <w:szCs w:val="22"/>
        </w:rPr>
        <w:tab/>
      </w:r>
      <w:r w:rsidRPr="002C6AF7">
        <w:rPr>
          <w:caps w:val="0"/>
          <w:szCs w:val="22"/>
        </w:rPr>
        <w:t>Trackside Signal Boosters</w:t>
      </w:r>
      <w:r w:rsidRPr="002C6AF7">
        <w:rPr>
          <w:szCs w:val="22"/>
        </w:rPr>
        <w:tab/>
      </w:r>
      <w:r w:rsidR="00140FA5">
        <w:rPr>
          <w:szCs w:val="22"/>
        </w:rPr>
        <w:t>3</w:t>
      </w:r>
    </w:p>
    <w:p w:rsidR="002C6AF7" w:rsidRPr="002C6AF7" w:rsidP="002C6AF7">
      <w:pPr>
        <w:pStyle w:val="TOC1"/>
        <w:tabs>
          <w:tab w:val="clear" w:pos="360"/>
          <w:tab w:val="left" w:pos="720"/>
        </w:tabs>
        <w:ind w:left="720"/>
        <w:rPr>
          <w:szCs w:val="22"/>
        </w:rPr>
      </w:pPr>
      <w:r w:rsidRPr="002C6AF7">
        <w:rPr>
          <w:szCs w:val="22"/>
        </w:rPr>
        <w:t>E.</w:t>
      </w:r>
      <w:r w:rsidRPr="002C6AF7">
        <w:rPr>
          <w:szCs w:val="22"/>
        </w:rPr>
        <w:tab/>
      </w:r>
      <w:r w:rsidRPr="002C6AF7">
        <w:rPr>
          <w:caps w:val="0"/>
          <w:szCs w:val="22"/>
        </w:rPr>
        <w:t>Conditional Licensing Authority</w:t>
      </w:r>
      <w:r w:rsidRPr="002C6AF7">
        <w:rPr>
          <w:szCs w:val="22"/>
        </w:rPr>
        <w:tab/>
      </w:r>
      <w:r w:rsidR="00140FA5">
        <w:rPr>
          <w:szCs w:val="22"/>
        </w:rPr>
        <w:t>3</w:t>
      </w:r>
    </w:p>
    <w:p w:rsidR="002C6AF7" w:rsidRPr="002C6AF7" w:rsidP="002C6AF7">
      <w:pPr>
        <w:pStyle w:val="TOC1"/>
        <w:tabs>
          <w:tab w:val="clear" w:pos="360"/>
          <w:tab w:val="left" w:pos="720"/>
        </w:tabs>
        <w:ind w:left="720"/>
        <w:rPr>
          <w:szCs w:val="22"/>
        </w:rPr>
      </w:pPr>
      <w:r w:rsidRPr="002C6AF7">
        <w:rPr>
          <w:szCs w:val="22"/>
        </w:rPr>
        <w:t>F.</w:t>
      </w:r>
      <w:r w:rsidRPr="002C6AF7">
        <w:rPr>
          <w:szCs w:val="22"/>
        </w:rPr>
        <w:tab/>
      </w:r>
      <w:r w:rsidRPr="002C6AF7">
        <w:rPr>
          <w:caps w:val="0"/>
          <w:szCs w:val="22"/>
        </w:rPr>
        <w:t>Termination of the Freeze on Inter-Category Sharing in the 800 MHz Band</w:t>
      </w:r>
      <w:r w:rsidRPr="002C6AF7">
        <w:rPr>
          <w:szCs w:val="22"/>
        </w:rPr>
        <w:tab/>
      </w:r>
      <w:r w:rsidR="00140FA5">
        <w:rPr>
          <w:szCs w:val="22"/>
        </w:rPr>
        <w:t>3</w:t>
      </w:r>
    </w:p>
    <w:p w:rsidR="002C6AF7" w:rsidRPr="002C6AF7" w:rsidP="002C6AF7">
      <w:pPr>
        <w:pStyle w:val="TOC1"/>
        <w:tabs>
          <w:tab w:val="clear" w:pos="360"/>
          <w:tab w:val="left" w:pos="720"/>
        </w:tabs>
        <w:ind w:left="720"/>
        <w:rPr>
          <w:szCs w:val="22"/>
        </w:rPr>
      </w:pPr>
      <w:r w:rsidRPr="002C6AF7">
        <w:rPr>
          <w:szCs w:val="22"/>
        </w:rPr>
        <w:t>G.</w:t>
      </w:r>
      <w:r w:rsidRPr="002C6AF7">
        <w:rPr>
          <w:szCs w:val="22"/>
        </w:rPr>
        <w:tab/>
      </w:r>
      <w:r w:rsidRPr="002C6AF7">
        <w:rPr>
          <w:caps w:val="0"/>
          <w:szCs w:val="22"/>
        </w:rPr>
        <w:t>Central Station Alarm Channels</w:t>
      </w:r>
      <w:r w:rsidRPr="002C6AF7">
        <w:rPr>
          <w:szCs w:val="22"/>
        </w:rPr>
        <w:tab/>
      </w:r>
      <w:r w:rsidR="00140FA5">
        <w:rPr>
          <w:szCs w:val="22"/>
        </w:rPr>
        <w:t>3</w:t>
      </w:r>
    </w:p>
    <w:p w:rsidR="002C6AF7" w:rsidP="002C6AF7">
      <w:pPr>
        <w:pStyle w:val="TOC1"/>
        <w:tabs>
          <w:tab w:val="clear" w:pos="360"/>
          <w:tab w:val="left" w:pos="720"/>
        </w:tabs>
        <w:ind w:left="720"/>
        <w:rPr>
          <w:szCs w:val="22"/>
        </w:rPr>
      </w:pPr>
      <w:r w:rsidRPr="002C6AF7">
        <w:rPr>
          <w:szCs w:val="22"/>
        </w:rPr>
        <w:t>H.</w:t>
      </w:r>
      <w:r w:rsidRPr="002C6AF7">
        <w:rPr>
          <w:szCs w:val="22"/>
        </w:rPr>
        <w:tab/>
      </w:r>
      <w:r w:rsidRPr="002C6AF7">
        <w:rPr>
          <w:caps w:val="0"/>
          <w:szCs w:val="22"/>
        </w:rPr>
        <w:t>Editorial Corrections and Updates</w:t>
      </w:r>
      <w:r w:rsidRPr="002C6AF7">
        <w:rPr>
          <w:szCs w:val="22"/>
        </w:rPr>
        <w:tab/>
      </w:r>
      <w:r w:rsidR="00140FA5">
        <w:rPr>
          <w:szCs w:val="22"/>
        </w:rPr>
        <w:t>3</w:t>
      </w:r>
    </w:p>
    <w:p w:rsidR="002C6AF7" w:rsidRPr="002C6AF7" w:rsidP="002C6AF7"/>
    <w:p w:rsidR="002C6AF7" w:rsidP="002C6AF7">
      <w:pPr>
        <w:pStyle w:val="TOC1"/>
        <w:rPr>
          <w:szCs w:val="22"/>
        </w:rPr>
      </w:pPr>
      <w:r w:rsidRPr="002C6AF7">
        <w:rPr>
          <w:szCs w:val="22"/>
        </w:rPr>
        <w:t>III.</w:t>
      </w:r>
      <w:r w:rsidRPr="002C6AF7">
        <w:rPr>
          <w:szCs w:val="22"/>
        </w:rPr>
        <w:tab/>
        <w:t>RECORDKEEPING AND REPORTING REQUIREMENTS</w:t>
      </w:r>
      <w:r w:rsidRPr="002C6AF7">
        <w:rPr>
          <w:szCs w:val="22"/>
        </w:rPr>
        <w:tab/>
      </w:r>
      <w:r w:rsidR="00140FA5">
        <w:rPr>
          <w:szCs w:val="22"/>
        </w:rPr>
        <w:t>4</w:t>
      </w:r>
    </w:p>
    <w:p w:rsidR="002C6AF7" w:rsidRPr="002C6AF7" w:rsidP="002C6AF7"/>
    <w:p w:rsidR="002C6AF7" w:rsidP="002C6AF7">
      <w:pPr>
        <w:pStyle w:val="TOC1"/>
        <w:rPr>
          <w:szCs w:val="22"/>
        </w:rPr>
      </w:pPr>
      <w:r w:rsidRPr="002C6AF7">
        <w:rPr>
          <w:szCs w:val="22"/>
        </w:rPr>
        <w:t>IV.</w:t>
      </w:r>
      <w:r w:rsidRPr="002C6AF7">
        <w:rPr>
          <w:szCs w:val="22"/>
        </w:rPr>
        <w:tab/>
        <w:t>IMPLEMENTATION DATE</w:t>
      </w:r>
      <w:r w:rsidRPr="002C6AF7">
        <w:rPr>
          <w:szCs w:val="22"/>
        </w:rPr>
        <w:tab/>
      </w:r>
      <w:r w:rsidR="00140FA5">
        <w:rPr>
          <w:szCs w:val="22"/>
        </w:rPr>
        <w:t>4</w:t>
      </w:r>
    </w:p>
    <w:p w:rsidR="002C6AF7" w:rsidRPr="002C6AF7" w:rsidP="002C6AF7"/>
    <w:p w:rsidR="002C6AF7" w:rsidRPr="002C6AF7" w:rsidP="002C6AF7">
      <w:pPr>
        <w:pStyle w:val="TOC1"/>
        <w:rPr>
          <w:szCs w:val="22"/>
        </w:rPr>
      </w:pPr>
      <w:r w:rsidRPr="002C6AF7">
        <w:rPr>
          <w:szCs w:val="22"/>
        </w:rPr>
        <w:t>V.</w:t>
      </w:r>
      <w:r w:rsidRPr="002C6AF7">
        <w:rPr>
          <w:szCs w:val="22"/>
        </w:rPr>
        <w:tab/>
        <w:t>INTERNET LINKS</w:t>
      </w:r>
      <w:r w:rsidRPr="002C6AF7">
        <w:rPr>
          <w:szCs w:val="22"/>
        </w:rPr>
        <w:tab/>
      </w:r>
      <w:r w:rsidR="00140FA5">
        <w:rPr>
          <w:szCs w:val="22"/>
        </w:rPr>
        <w:t>5</w:t>
      </w:r>
    </w:p>
    <w:p w:rsidR="002C6AF7" w:rsidP="00287D1B">
      <w:pPr>
        <w:pStyle w:val="TOC1"/>
        <w:rPr>
          <w:szCs w:val="22"/>
        </w:rPr>
      </w:pPr>
    </w:p>
    <w:p w:rsidR="002C6AF7" w:rsidP="00287D1B">
      <w:pPr>
        <w:pStyle w:val="TOC1"/>
        <w:rPr>
          <w:szCs w:val="22"/>
        </w:rPr>
      </w:pPr>
    </w:p>
    <w:p w:rsidR="005F3CB7" w:rsidP="00287D1B">
      <w:pPr>
        <w:pStyle w:val="TOC1"/>
        <w:rPr>
          <w:szCs w:val="22"/>
        </w:rPr>
        <w:sectPr w:rsidSect="005F3CB7">
          <w:headerReference w:type="even" r:id="rId4"/>
          <w:footerReference w:type="even" r:id="rId5"/>
          <w:footerReference w:type="default" r:id="rId6"/>
          <w:headerReference w:type="first" r:id="rId7"/>
          <w:pgSz w:w="12240" w:h="15840" w:code="1"/>
          <w:pgMar w:top="1987" w:right="1440" w:bottom="1440" w:left="1440" w:header="720" w:footer="720" w:gutter="0"/>
          <w:pgNumType w:start="0"/>
          <w:cols w:space="720"/>
          <w:titlePg/>
          <w:docGrid w:linePitch="299"/>
        </w:sectPr>
      </w:pPr>
    </w:p>
    <w:p w:rsidR="005F3CB7" w:rsidP="00287D1B">
      <w:pPr>
        <w:pStyle w:val="TOC1"/>
        <w:rPr>
          <w:szCs w:val="22"/>
        </w:rPr>
        <w:sectPr w:rsidSect="005F3CB7">
          <w:footerReference w:type="default" r:id="rId8"/>
          <w:type w:val="continuous"/>
          <w:pgSz w:w="12240" w:h="15840" w:code="1"/>
          <w:pgMar w:top="1987" w:right="1440" w:bottom="1440" w:left="1440" w:header="720" w:footer="720" w:gutter="0"/>
          <w:pgNumType w:start="1"/>
          <w:cols w:space="720"/>
          <w:titlePg/>
          <w:docGrid w:linePitch="299"/>
        </w:sectPr>
      </w:pPr>
      <w:r>
        <w:rPr>
          <w:szCs w:val="22"/>
        </w:rPr>
        <w:br w:type="page"/>
      </w:r>
      <w:bookmarkStart w:id="1" w:name="_GoBack"/>
      <w:bookmarkEnd w:id="1"/>
    </w:p>
    <w:p w:rsidR="00584892" w:rsidRPr="001E4E01" w:rsidP="00AD762B">
      <w:pPr>
        <w:pStyle w:val="Heading1"/>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419722978"/>
      <w:bookmarkStart w:id="27" w:name="_Toc419800653"/>
      <w:bookmarkStart w:id="28" w:name="_Toc419800718"/>
      <w:bookmarkStart w:id="29" w:name="_Toc529184991"/>
      <w:r w:rsidRPr="001E4E01">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C754A" w:rsidP="00222A68">
      <w:pPr>
        <w:ind w:firstLine="720"/>
        <w:jc w:val="both"/>
        <w:rPr>
          <w:szCs w:val="22"/>
        </w:rPr>
      </w:pPr>
      <w:r>
        <w:rPr>
          <w:szCs w:val="22"/>
        </w:rPr>
        <w:t>In th</w:t>
      </w:r>
      <w:r w:rsidR="008636F3">
        <w:rPr>
          <w:szCs w:val="22"/>
        </w:rPr>
        <w:t>e</w:t>
      </w:r>
      <w:r>
        <w:rPr>
          <w:szCs w:val="22"/>
        </w:rPr>
        <w:t xml:space="preserve"> </w:t>
      </w:r>
      <w:r>
        <w:rPr>
          <w:i/>
          <w:szCs w:val="22"/>
        </w:rPr>
        <w:t xml:space="preserve">Report and Order and Order </w:t>
      </w:r>
      <w:r>
        <w:rPr>
          <w:szCs w:val="22"/>
        </w:rPr>
        <w:t>in WP Docket Nos. 15-32 and 16-261, the Commission adopted rules that are intended to expand access to private land mobile radio (PLMR) spectrum.  PLMR services provide for the private, internal communications needs of public safety organizations, state and local government entities, large and small businesses, transportation providers, the medical community, and other diverse users of two-way radio systems.</w:t>
      </w:r>
    </w:p>
    <w:p w:rsidR="003D778D" w:rsidP="00222A68">
      <w:pPr>
        <w:ind w:firstLine="720"/>
        <w:jc w:val="both"/>
        <w:rPr>
          <w:szCs w:val="22"/>
        </w:rPr>
      </w:pPr>
    </w:p>
    <w:p w:rsidR="003D778D" w:rsidRPr="003D778D" w:rsidP="00222A68">
      <w:pPr>
        <w:ind w:firstLine="720"/>
        <w:jc w:val="both"/>
        <w:rPr>
          <w:szCs w:val="22"/>
        </w:rPr>
      </w:pPr>
      <w:r>
        <w:rPr>
          <w:szCs w:val="22"/>
        </w:rPr>
        <w:t xml:space="preserve">Specifically, in the </w:t>
      </w:r>
      <w:r>
        <w:rPr>
          <w:i/>
          <w:szCs w:val="22"/>
        </w:rPr>
        <w:t xml:space="preserve">Report and Order and Order </w:t>
      </w:r>
      <w:r>
        <w:rPr>
          <w:szCs w:val="22"/>
        </w:rPr>
        <w:t xml:space="preserve">the Commission amended its rules to (a) </w:t>
      </w:r>
      <w:r w:rsidR="00392216">
        <w:rPr>
          <w:szCs w:val="22"/>
        </w:rPr>
        <w:t xml:space="preserve">make available for PLMR use particular 450-470 MHz frequencies located between the Industrial/Business Pool and either General Mobile Radio Service or Broadcast Auxiliary Service spectrum; (b) </w:t>
      </w:r>
      <w:r>
        <w:rPr>
          <w:szCs w:val="22"/>
        </w:rPr>
        <w:t>introduce 318 new, full power, interstitial 12.5 kilohertz bandwidth offset channels to the 809-817/854-862 MHz band</w:t>
      </w:r>
      <w:r w:rsidR="00A84FCD">
        <w:rPr>
          <w:szCs w:val="22"/>
        </w:rPr>
        <w:t xml:space="preserve"> (800 MHz Mid-Band)</w:t>
      </w:r>
      <w:r>
        <w:rPr>
          <w:szCs w:val="22"/>
        </w:rPr>
        <w:t>, subject to certain protections designed to minimize the possibility of interference between licensees operating on adjacent channels; (</w:t>
      </w:r>
      <w:r w:rsidR="00392216">
        <w:rPr>
          <w:szCs w:val="22"/>
        </w:rPr>
        <w:t>c</w:t>
      </w:r>
      <w:r>
        <w:rPr>
          <w:szCs w:val="22"/>
        </w:rPr>
        <w:t>)</w:t>
      </w:r>
      <w:r w:rsidR="00392216">
        <w:rPr>
          <w:szCs w:val="22"/>
        </w:rPr>
        <w:t xml:space="preserve"> </w:t>
      </w:r>
      <w:r w:rsidR="00CD1143">
        <w:rPr>
          <w:szCs w:val="22"/>
        </w:rPr>
        <w:t>authorize trackside boosters on PLMR railroad channels to facilitate communication between the front and rear of trains where direct communicati</w:t>
      </w:r>
      <w:r w:rsidR="00096E99">
        <w:rPr>
          <w:szCs w:val="22"/>
        </w:rPr>
        <w:t>o</w:t>
      </w:r>
      <w:r w:rsidR="00CD1143">
        <w:rPr>
          <w:szCs w:val="22"/>
        </w:rPr>
        <w:t>n is unsatisfactory because of the length of the train or intervening terrain</w:t>
      </w:r>
      <w:r w:rsidR="00392216">
        <w:rPr>
          <w:szCs w:val="22"/>
        </w:rPr>
        <w:t>;</w:t>
      </w:r>
      <w:r>
        <w:rPr>
          <w:szCs w:val="22"/>
        </w:rPr>
        <w:t xml:space="preserve"> </w:t>
      </w:r>
      <w:r w:rsidR="00392216">
        <w:rPr>
          <w:szCs w:val="22"/>
        </w:rPr>
        <w:t xml:space="preserve">(d) extend conditional licensing authority to applicants for site-based licenses in the 769-775/799-805 MHz </w:t>
      </w:r>
      <w:r w:rsidR="00CD1143">
        <w:rPr>
          <w:szCs w:val="22"/>
        </w:rPr>
        <w:t xml:space="preserve">(700 MHz) narrowband </w:t>
      </w:r>
      <w:r w:rsidR="00392216">
        <w:rPr>
          <w:szCs w:val="22"/>
        </w:rPr>
        <w:t xml:space="preserve">and 806-824/851-869 MHz </w:t>
      </w:r>
      <w:r w:rsidR="00CD1143">
        <w:rPr>
          <w:szCs w:val="22"/>
        </w:rPr>
        <w:t xml:space="preserve">(800 MHz) </w:t>
      </w:r>
      <w:r w:rsidR="00392216">
        <w:rPr>
          <w:szCs w:val="22"/>
        </w:rPr>
        <w:t xml:space="preserve">bands; (e) </w:t>
      </w:r>
      <w:r>
        <w:rPr>
          <w:szCs w:val="22"/>
        </w:rPr>
        <w:t xml:space="preserve">allow wider use of frequencies </w:t>
      </w:r>
      <w:r w:rsidR="00392216">
        <w:rPr>
          <w:szCs w:val="22"/>
        </w:rPr>
        <w:t>currently designated for central station alarm operations</w:t>
      </w:r>
      <w:r w:rsidR="00CD1143">
        <w:rPr>
          <w:szCs w:val="22"/>
        </w:rPr>
        <w:t xml:space="preserve"> provided that the central station alarm frequency coordinator concurs</w:t>
      </w:r>
      <w:r w:rsidR="00392216">
        <w:rPr>
          <w:szCs w:val="22"/>
        </w:rPr>
        <w:t>; and (f) correct certain typographical errors</w:t>
      </w:r>
      <w:r w:rsidRPr="00807C17" w:rsidR="00392216">
        <w:rPr>
          <w:szCs w:val="22"/>
        </w:rPr>
        <w:t>.  In addi</w:t>
      </w:r>
      <w:r w:rsidRPr="00807C17" w:rsidR="00CD1143">
        <w:rPr>
          <w:szCs w:val="22"/>
        </w:rPr>
        <w:t>tion, the Commission (a) declined to give incumbent 800 MHz licensees filing priority for 800 MHz Expansion Band and Guard Band over non-incumbents; (b) directed Commission staff to announce when applications for Expansion Band, Guard Band, Sprint-vacated, and interstitial channels may be filed in the 44 of 55 National Public Safety Planning Advisory Committee where 800 MHz rebanding has been completed; and (c) terminated the 1995 freeze on inter-category sharing of 800 MHz channels, making it no longer necessary for applicants to seek a waiver of the freeze.</w:t>
      </w:r>
    </w:p>
    <w:p w:rsidR="007C754A" w:rsidP="00222A68">
      <w:pPr>
        <w:ind w:firstLine="720"/>
        <w:jc w:val="both"/>
        <w:rPr>
          <w:szCs w:val="22"/>
        </w:rPr>
      </w:pPr>
    </w:p>
    <w:p w:rsidR="00584892" w:rsidRPr="001E4E01" w:rsidP="00AD762B">
      <w:pPr>
        <w:pStyle w:val="Heading1"/>
      </w:pPr>
      <w:bookmarkStart w:id="30" w:name="_Toc153861059"/>
      <w:bookmarkStart w:id="31" w:name="_Toc176072635"/>
      <w:bookmarkStart w:id="32" w:name="_Toc176072761"/>
      <w:bookmarkStart w:id="33" w:name="_Toc176072787"/>
      <w:bookmarkStart w:id="34" w:name="_Toc176072811"/>
      <w:bookmarkStart w:id="35" w:name="_Toc179100554"/>
      <w:bookmarkStart w:id="36" w:name="_Toc179100919"/>
      <w:bookmarkStart w:id="37" w:name="_Toc216065689"/>
      <w:bookmarkStart w:id="38" w:name="_Toc326229720"/>
      <w:bookmarkStart w:id="39" w:name="_Toc326658330"/>
      <w:bookmarkStart w:id="40" w:name="_Toc326746786"/>
      <w:bookmarkStart w:id="41" w:name="_Toc326826052"/>
      <w:bookmarkStart w:id="42" w:name="_Toc419722979"/>
      <w:bookmarkStart w:id="43" w:name="_Toc419800654"/>
      <w:bookmarkStart w:id="44" w:name="_Toc419800719"/>
      <w:bookmarkStart w:id="45" w:name="_Toc529184992"/>
      <w:r w:rsidRPr="001E4E01">
        <w:t>compliance requirements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E4E01">
        <w:t xml:space="preserve"> </w:t>
      </w:r>
    </w:p>
    <w:p w:rsidR="00274B11" w:rsidP="00274B11">
      <w:pPr>
        <w:ind w:firstLine="720"/>
        <w:jc w:val="both"/>
      </w:pPr>
      <w:r w:rsidRPr="001E4E01">
        <w:t xml:space="preserve">In the </w:t>
      </w:r>
      <w:r w:rsidRPr="001E4E01" w:rsidR="00A242BF">
        <w:rPr>
          <w:i/>
        </w:rPr>
        <w:t>Report and</w:t>
      </w:r>
      <w:r w:rsidR="00CD1143">
        <w:rPr>
          <w:i/>
        </w:rPr>
        <w:t xml:space="preserve"> Order and</w:t>
      </w:r>
      <w:r w:rsidRPr="001E4E01" w:rsidR="00A242BF">
        <w:t xml:space="preserve"> </w:t>
      </w:r>
      <w:r w:rsidRPr="001E4E01">
        <w:rPr>
          <w:i/>
        </w:rPr>
        <w:t>Order</w:t>
      </w:r>
      <w:r w:rsidRPr="001E4E01">
        <w:t xml:space="preserve"> the Commission </w:t>
      </w:r>
      <w:r>
        <w:t xml:space="preserve">addressed </w:t>
      </w:r>
      <w:r w:rsidR="00B53BF0">
        <w:t>several</w:t>
      </w:r>
      <w:r>
        <w:t xml:space="preserve"> issues pertaining to </w:t>
      </w:r>
      <w:r w:rsidR="00CD1143">
        <w:t>PLMR</w:t>
      </w:r>
      <w:r>
        <w:t xml:space="preserve"> Services and updated the rules and requirements </w:t>
      </w:r>
      <w:r w:rsidRPr="00274B11">
        <w:t xml:space="preserve">to </w:t>
      </w:r>
      <w:r w:rsidR="00CD1143">
        <w:t>provide new spectrum capacity</w:t>
      </w:r>
      <w:r w:rsidR="008636F3">
        <w:t>,</w:t>
      </w:r>
      <w:r w:rsidR="00CD1143">
        <w:t xml:space="preserve"> eliminate unnecessary restrictions in the PLMR </w:t>
      </w:r>
      <w:r w:rsidR="00CA7FE5">
        <w:t>bands and</w:t>
      </w:r>
      <w:r w:rsidR="006A5922">
        <w:t xml:space="preserve"> reduce the</w:t>
      </w:r>
      <w:r w:rsidR="008636F3">
        <w:t xml:space="preserve"> </w:t>
      </w:r>
      <w:r w:rsidR="00CD1143">
        <w:t>administrative burdens on applicants and licensees</w:t>
      </w:r>
      <w:r w:rsidRPr="00274B11">
        <w:t xml:space="preserve">.  </w:t>
      </w:r>
    </w:p>
    <w:p w:rsidR="00274B11" w:rsidP="00274B11">
      <w:pPr>
        <w:ind w:firstLine="720"/>
        <w:jc w:val="both"/>
      </w:pPr>
    </w:p>
    <w:p w:rsidR="00947D8F" w:rsidP="00947D8F">
      <w:pPr>
        <w:pStyle w:val="Heading2"/>
      </w:pPr>
      <w:bookmarkStart w:id="46" w:name="_Toc529184993"/>
      <w:r>
        <w:t>Additional Industrial/Business Pool Frequencies</w:t>
      </w:r>
      <w:bookmarkEnd w:id="46"/>
      <w:r w:rsidR="00FD0140">
        <w:t xml:space="preserve"> (47 CFR § 90.35)</w:t>
      </w:r>
    </w:p>
    <w:p w:rsidR="004E3629" w:rsidP="00287D1B">
      <w:pPr>
        <w:pStyle w:val="ParaNum"/>
        <w:numPr>
          <w:ilvl w:val="0"/>
          <w:numId w:val="46"/>
        </w:numPr>
        <w:ind w:left="1800"/>
        <w:jc w:val="both"/>
      </w:pPr>
      <w:r>
        <w:t>PLMR applicants can apply for licensing of f</w:t>
      </w:r>
      <w:r w:rsidR="00076E17">
        <w:t xml:space="preserve">requency pairs 451/456.00625 MHz </w:t>
      </w:r>
      <w:r w:rsidR="00A84FCD">
        <w:t xml:space="preserve">and </w:t>
      </w:r>
      <w:r w:rsidR="00076E17">
        <w:t>451/456.0125 MHz</w:t>
      </w:r>
      <w:r w:rsidR="00A84FCD">
        <w:t xml:space="preserve"> with an authorized bandwidth not to exceed six kilohertz</w:t>
      </w:r>
      <w:r w:rsidR="00076E17">
        <w:t xml:space="preserve">, </w:t>
      </w:r>
      <w:r w:rsidR="00A84FCD">
        <w:t xml:space="preserve">and frequency pairs </w:t>
      </w:r>
      <w:r w:rsidR="00076E17">
        <w:t>462/467.5375 MHz and 462/467.7375 MHz</w:t>
      </w:r>
      <w:r w:rsidR="00A84FCD">
        <w:t xml:space="preserve"> with an authorized bandwidth not to exceed four kilohertz</w:t>
      </w:r>
      <w:r>
        <w:t>.</w:t>
      </w:r>
      <w:r w:rsidR="00076E17">
        <w:t xml:space="preserve">  </w:t>
      </w:r>
    </w:p>
    <w:p w:rsidR="00076E17" w:rsidP="00287D1B">
      <w:pPr>
        <w:pStyle w:val="ParaNum"/>
        <w:numPr>
          <w:ilvl w:val="0"/>
          <w:numId w:val="46"/>
        </w:numPr>
        <w:ind w:left="1800"/>
        <w:jc w:val="both"/>
      </w:pPr>
      <w:r>
        <w:t>With the addition of the</w:t>
      </w:r>
      <w:r w:rsidR="00E12710">
        <w:t xml:space="preserve"> above</w:t>
      </w:r>
      <w:r>
        <w:t xml:space="preserve"> frequencies to the I/B Pool, these channels are available for licensing </w:t>
      </w:r>
      <w:r w:rsidR="004E3629">
        <w:t xml:space="preserve">by </w:t>
      </w:r>
      <w:r>
        <w:t xml:space="preserve">PLMR </w:t>
      </w:r>
      <w:r w:rsidR="004E3629">
        <w:t xml:space="preserve">applicants for </w:t>
      </w:r>
      <w:r>
        <w:t xml:space="preserve">use on the same basis as other I/B Pool </w:t>
      </w:r>
      <w:r w:rsidR="00CB1DF1">
        <w:t>channels and</w:t>
      </w:r>
      <w:r>
        <w:t xml:space="preserve"> require frequency coordination.</w:t>
      </w:r>
    </w:p>
    <w:p w:rsidR="007B6807" w:rsidRPr="00182DC9" w:rsidP="007B6807">
      <w:pPr>
        <w:pStyle w:val="Heading2"/>
      </w:pPr>
      <w:bookmarkStart w:id="47" w:name="_Toc529184994"/>
      <w:r>
        <w:t>Interstitial Channels in the 800 MHz Band</w:t>
      </w:r>
      <w:bookmarkEnd w:id="47"/>
      <w:r w:rsidR="00CD0B48">
        <w:t xml:space="preserve"> (47 CFR </w:t>
      </w:r>
      <w:r w:rsidRPr="00287D1B" w:rsidR="00CD0B48">
        <w:t>§</w:t>
      </w:r>
      <w:r w:rsidRPr="00287D1B" w:rsidR="00342469">
        <w:t xml:space="preserve"> </w:t>
      </w:r>
      <w:r w:rsidRPr="00287D1B" w:rsidR="00457B1E">
        <w:t>9</w:t>
      </w:r>
      <w:r w:rsidR="00457B1E">
        <w:t>0.613</w:t>
      </w:r>
      <w:r w:rsidR="00CD0B48">
        <w:t>)</w:t>
      </w:r>
    </w:p>
    <w:p w:rsidR="00AC2A75" w:rsidP="00287D1B">
      <w:pPr>
        <w:pStyle w:val="ParaNum"/>
        <w:numPr>
          <w:ilvl w:val="0"/>
          <w:numId w:val="47"/>
        </w:numPr>
        <w:ind w:left="1800"/>
        <w:jc w:val="both"/>
      </w:pPr>
      <w:r>
        <w:t xml:space="preserve">PLMR applicants </w:t>
      </w:r>
      <w:r w:rsidR="00E12710">
        <w:t xml:space="preserve">can </w:t>
      </w:r>
      <w:r>
        <w:t xml:space="preserve">apply for licensing in the </w:t>
      </w:r>
      <w:r w:rsidR="00A84FCD">
        <w:t xml:space="preserve">12.5 kilohertz bandwidth </w:t>
      </w:r>
      <w:r w:rsidR="006B1B7E">
        <w:t xml:space="preserve">offset </w:t>
      </w:r>
      <w:r w:rsidR="00A84FCD">
        <w:t xml:space="preserve">channels </w:t>
      </w:r>
      <w:r w:rsidR="006B1B7E">
        <w:t xml:space="preserve">between the existing 25 kilohertz channels </w:t>
      </w:r>
      <w:r w:rsidR="00A84FCD">
        <w:t>in the heavily used 800 MHz Mid-Band.</w:t>
      </w:r>
    </w:p>
    <w:p w:rsidR="00AC2A75" w:rsidP="00287D1B">
      <w:pPr>
        <w:pStyle w:val="ParaNum"/>
        <w:numPr>
          <w:ilvl w:val="0"/>
          <w:numId w:val="47"/>
        </w:numPr>
        <w:ind w:left="1800"/>
        <w:jc w:val="both"/>
      </w:pPr>
      <w:r>
        <w:t xml:space="preserve">The new interstitial channels will be made available for licensing by </w:t>
      </w:r>
      <w:r w:rsidRPr="00AC2A75">
        <w:t>National Public Safety Planning Advisory Committee (NPSPAC)</w:t>
      </w:r>
      <w:r w:rsidR="00457B1E">
        <w:t xml:space="preserve"> region</w:t>
      </w:r>
      <w:r>
        <w:t>.</w:t>
      </w:r>
      <w:r w:rsidR="00A84FCD">
        <w:t xml:space="preserve">  </w:t>
      </w:r>
    </w:p>
    <w:p w:rsidR="00A61320" w:rsidP="00287D1B">
      <w:pPr>
        <w:pStyle w:val="ParaNum"/>
        <w:numPr>
          <w:ilvl w:val="0"/>
          <w:numId w:val="47"/>
        </w:numPr>
        <w:ind w:left="1800"/>
        <w:jc w:val="both"/>
      </w:pPr>
      <w:r>
        <w:t>Interstitial channels will be available in all regions except the five bordering Mexico</w:t>
      </w:r>
      <w:r w:rsidR="00342662">
        <w:t xml:space="preserve"> (Regions 3 (Arizona), 5 (Southern California), 29 (New Mexico), 50 (West and Central Texas), and 53 (Southern Texas))</w:t>
      </w:r>
      <w:r>
        <w:t>.</w:t>
      </w:r>
    </w:p>
    <w:p w:rsidR="00AC2A75" w:rsidP="00287D1B">
      <w:pPr>
        <w:pStyle w:val="ParaNum"/>
        <w:numPr>
          <w:ilvl w:val="0"/>
          <w:numId w:val="47"/>
        </w:numPr>
        <w:ind w:left="1800"/>
        <w:jc w:val="both"/>
      </w:pPr>
      <w:r>
        <w:t>I</w:t>
      </w:r>
      <w:r w:rsidRPr="00650674" w:rsidR="00A61320">
        <w:t xml:space="preserve">nterstitial channels will only be available for licensing below the dividing line between the 800 MHz Mid-Band and </w:t>
      </w:r>
      <w:r>
        <w:t>Enhanced SMR (</w:t>
      </w:r>
      <w:r w:rsidRPr="00650674">
        <w:t>ESMR</w:t>
      </w:r>
      <w:r>
        <w:t>)</w:t>
      </w:r>
      <w:r w:rsidRPr="00650674">
        <w:t xml:space="preserve"> </w:t>
      </w:r>
      <w:r w:rsidRPr="00650674" w:rsidR="00A61320">
        <w:t>segments of the band</w:t>
      </w:r>
      <w:r w:rsidR="00A61320">
        <w:t xml:space="preserve">, including in regions of the United </w:t>
      </w:r>
      <w:r w:rsidRPr="00650674" w:rsidR="00A61320">
        <w:t>S</w:t>
      </w:r>
      <w:r w:rsidR="00A61320">
        <w:t>tates</w:t>
      </w:r>
      <w:r w:rsidRPr="00650674" w:rsidR="00A61320">
        <w:t xml:space="preserve"> where the Commission adopted alternate channel plans with extended ESMR segments and reduced Mid-Bands</w:t>
      </w:r>
      <w:r>
        <w:t>.</w:t>
      </w:r>
      <w:r>
        <w:t xml:space="preserve"> </w:t>
      </w:r>
    </w:p>
    <w:p w:rsidR="00A84B5A" w:rsidP="00287D1B">
      <w:pPr>
        <w:pStyle w:val="ParaNum"/>
        <w:numPr>
          <w:ilvl w:val="0"/>
          <w:numId w:val="47"/>
        </w:numPr>
        <w:ind w:left="1800"/>
        <w:jc w:val="both"/>
      </w:pPr>
      <w:r>
        <w:t>The Commission’s Public Safety and Homeland Security Bureau and Wireless Telecommunications Bureau (the Bureaus) will announce the availability of the interstitial channels</w:t>
      </w:r>
      <w:r w:rsidR="00342662">
        <w:t>, the application procedures,</w:t>
      </w:r>
      <w:r>
        <w:t xml:space="preserve"> </w:t>
      </w:r>
      <w:r w:rsidR="00AC2A75">
        <w:t xml:space="preserve">and when applicants can apply, </w:t>
      </w:r>
      <w:r>
        <w:t>after the termination of the application freeze (</w:t>
      </w:r>
      <w:r w:rsidRPr="00AC2A75">
        <w:rPr>
          <w:i/>
        </w:rPr>
        <w:t>i.e.</w:t>
      </w:r>
      <w:r>
        <w:t xml:space="preserve">, once all licensees have re-tuned to their replacement channels) in each NPSPAC region.  </w:t>
      </w:r>
    </w:p>
    <w:p w:rsidR="006A2CA0" w:rsidRPr="00127826" w:rsidP="00287D1B">
      <w:pPr>
        <w:pStyle w:val="ParaNum"/>
        <w:numPr>
          <w:ilvl w:val="0"/>
          <w:numId w:val="47"/>
        </w:numPr>
        <w:ind w:left="1800"/>
        <w:jc w:val="both"/>
      </w:pPr>
      <w:r w:rsidRPr="00127826">
        <w:t xml:space="preserve">Frequency coordinators </w:t>
      </w:r>
      <w:r w:rsidR="00E12710">
        <w:t xml:space="preserve">are </w:t>
      </w:r>
      <w:r w:rsidRPr="00127826">
        <w:t xml:space="preserve">required to abide by the contour protection values in the interference matrix set forth in the </w:t>
      </w:r>
      <w:r w:rsidRPr="00127826">
        <w:rPr>
          <w:i/>
        </w:rPr>
        <w:t>Report and Order and Order</w:t>
      </w:r>
      <w:r w:rsidRPr="00127826">
        <w:t xml:space="preserve"> </w:t>
      </w:r>
      <w:r w:rsidRPr="00127826" w:rsidR="00B53BF0">
        <w:t>to</w:t>
      </w:r>
      <w:r w:rsidRPr="00127826">
        <w:t xml:space="preserve"> prevent interference to licensees on adjacent channels.  </w:t>
      </w:r>
    </w:p>
    <w:p w:rsidR="005F5A22" w:rsidP="00287D1B">
      <w:pPr>
        <w:pStyle w:val="ParaNum"/>
        <w:numPr>
          <w:ilvl w:val="0"/>
          <w:numId w:val="47"/>
        </w:numPr>
        <w:ind w:left="1800"/>
        <w:jc w:val="both"/>
      </w:pPr>
      <w:r>
        <w:t>Allocation and assign e</w:t>
      </w:r>
      <w:r w:rsidR="006B1B7E">
        <w:t xml:space="preserve">ligibility for each 12.5 kilohertz channel </w:t>
      </w:r>
      <w:r>
        <w:t xml:space="preserve">is based </w:t>
      </w:r>
      <w:r w:rsidR="006B1B7E">
        <w:t>on the pool to w</w:t>
      </w:r>
      <w:r>
        <w:t>hich</w:t>
      </w:r>
      <w:r w:rsidR="006B1B7E">
        <w:t xml:space="preserve"> the lower-adjacent standard 25 kilohertz channel belongs:  General Category, Public Safety, Business/Industrial/Land Transportation</w:t>
      </w:r>
      <w:r w:rsidR="00454D1D">
        <w:t xml:space="preserve"> (B/ILT)</w:t>
      </w:r>
      <w:r w:rsidR="006B1B7E">
        <w:t>, or Specialized Mobile Radio</w:t>
      </w:r>
      <w:r w:rsidR="00454D1D">
        <w:t xml:space="preserve"> (SMR)</w:t>
      </w:r>
      <w:r w:rsidR="006B1B7E">
        <w:t>.</w:t>
      </w:r>
      <w:r w:rsidRPr="00182DC9" w:rsidR="000D1345">
        <w:t xml:space="preserve"> </w:t>
      </w:r>
    </w:p>
    <w:p w:rsidR="005F5A22" w:rsidP="00287D1B">
      <w:pPr>
        <w:pStyle w:val="ParaNum"/>
        <w:numPr>
          <w:ilvl w:val="0"/>
          <w:numId w:val="47"/>
        </w:numPr>
        <w:ind w:left="1800"/>
        <w:jc w:val="both"/>
      </w:pPr>
      <w:r w:rsidRPr="005F5A22">
        <w:t xml:space="preserve">For a three-year </w:t>
      </w:r>
      <w:r w:rsidRPr="005F5A22" w:rsidR="00591368">
        <w:t>period</w:t>
      </w:r>
      <w:r w:rsidR="00E07B9B">
        <w:t xml:space="preserve"> after the frequencies are made available for licensing</w:t>
      </w:r>
      <w:r w:rsidRPr="005F5A22" w:rsidR="00591368">
        <w:t>,</w:t>
      </w:r>
      <w:r w:rsidRPr="005F5A22">
        <w:t xml:space="preserve"> priority access to 800 MHz Mid-Band interstitial channels will be given to T-Band incumbents in the urban areas specified in section 90.303 of the Commission’s rules.   In this context, priority access means that if a T-Band licensee and another—non-T-Band—applicant timely file for the same frequency, and the frequency conflict cannot be resolved by the Commission-certified frequency coordinator, the frequency coordinator shall recommend the T-Band licensee’s application to the Commission</w:t>
      </w:r>
      <w:r>
        <w:t>.</w:t>
      </w:r>
    </w:p>
    <w:p w:rsidR="00BC764D" w:rsidP="00287D1B">
      <w:pPr>
        <w:pStyle w:val="ParaNum"/>
        <w:numPr>
          <w:ilvl w:val="0"/>
          <w:numId w:val="47"/>
        </w:numPr>
        <w:ind w:left="1800"/>
        <w:jc w:val="both"/>
      </w:pPr>
      <w:r>
        <w:t>T</w:t>
      </w:r>
      <w:r w:rsidRPr="005F5A22">
        <w:t>o be eligible for priority, the T-Band incumbent licensee must commit to surrendering an equal amount of T-Band spectrum.  Channels from the 470-512 MHz band will be counted on a one-for-one basis for 12.5 kilohertz bandwidth interstitial channels from the 800 MHz Mid-Band</w:t>
      </w:r>
      <w:r>
        <w:t>.</w:t>
      </w:r>
      <w:r w:rsidRPr="00182DC9" w:rsidR="000D1345">
        <w:t xml:space="preserve"> </w:t>
      </w:r>
    </w:p>
    <w:p w:rsidR="0073112B" w:rsidP="0073112B">
      <w:pPr>
        <w:pStyle w:val="Heading2"/>
      </w:pPr>
      <w:bookmarkStart w:id="48" w:name="_Toc529184995"/>
      <w:r>
        <w:t>Licensing Additional 800 MHz Channels</w:t>
      </w:r>
      <w:bookmarkEnd w:id="48"/>
      <w:r w:rsidR="00CE059D">
        <w:t xml:space="preserve"> (47 CFR </w:t>
      </w:r>
      <w:r w:rsidRPr="00287D1B" w:rsidR="00CE059D">
        <w:t>§</w:t>
      </w:r>
      <w:r w:rsidRPr="00287D1B" w:rsidR="00457B1E">
        <w:t xml:space="preserve"> 90</w:t>
      </w:r>
      <w:r w:rsidR="00457B1E">
        <w:t>.617</w:t>
      </w:r>
      <w:r w:rsidR="00CE059D">
        <w:t>)</w:t>
      </w:r>
    </w:p>
    <w:p w:rsidR="00E31C6D" w:rsidRPr="002B37DA" w:rsidP="00287D1B">
      <w:pPr>
        <w:pStyle w:val="ParaNum"/>
        <w:numPr>
          <w:ilvl w:val="0"/>
          <w:numId w:val="48"/>
        </w:numPr>
        <w:ind w:left="1800"/>
        <w:jc w:val="both"/>
      </w:pPr>
      <w:r w:rsidRPr="002B37DA">
        <w:t xml:space="preserve">All </w:t>
      </w:r>
      <w:r w:rsidRPr="002B37DA" w:rsidR="002414AF">
        <w:rPr>
          <w:szCs w:val="22"/>
        </w:rPr>
        <w:t>800 MHz Expansion Band</w:t>
      </w:r>
      <w:r w:rsidRPr="00287D1B" w:rsidR="002414AF">
        <w:t xml:space="preserve"> (</w:t>
      </w:r>
      <w:r w:rsidRPr="002B37DA">
        <w:t>EB</w:t>
      </w:r>
      <w:r w:rsidRPr="00287D1B" w:rsidR="002414AF">
        <w:t xml:space="preserve">) and Guard </w:t>
      </w:r>
      <w:r>
        <w:t>Band (</w:t>
      </w:r>
      <w:r w:rsidRPr="002B37DA">
        <w:t>GB</w:t>
      </w:r>
      <w:r>
        <w:t>) collectively, (EB/GB)</w:t>
      </w:r>
      <w:r w:rsidRPr="002B37DA">
        <w:t xml:space="preserve"> channels will be available on an equal basis to incumbents and new applicants when the Bureaus announce the availability of the channels in each NPSPAC region.</w:t>
      </w:r>
    </w:p>
    <w:p w:rsidR="00FF2F56" w:rsidP="00287D1B">
      <w:pPr>
        <w:pStyle w:val="ParaNum"/>
        <w:numPr>
          <w:ilvl w:val="0"/>
          <w:numId w:val="48"/>
        </w:numPr>
        <w:ind w:left="1800"/>
        <w:jc w:val="both"/>
      </w:pPr>
      <w:r>
        <w:t>T</w:t>
      </w:r>
      <w:r w:rsidR="00A51D30">
        <w:t xml:space="preserve">he Bureaus </w:t>
      </w:r>
      <w:r>
        <w:t xml:space="preserve">will </w:t>
      </w:r>
      <w:r w:rsidR="00A51D30">
        <w:t>announce by public notice the dates and procedures for submitting applications for EB/GB and vacated interleaved channels in those regions where rebanding is complete</w:t>
      </w:r>
      <w:r>
        <w:t xml:space="preserve"> - NPSPAC Regions 9 (Florida), 33 (Ohio), and 43 (Washington State).</w:t>
      </w:r>
      <w:r w:rsidR="00A51D30">
        <w:t xml:space="preserve"> </w:t>
      </w:r>
    </w:p>
    <w:p w:rsidR="00215CE3" w:rsidP="00287D1B">
      <w:pPr>
        <w:pStyle w:val="ParaNum"/>
        <w:numPr>
          <w:ilvl w:val="0"/>
          <w:numId w:val="48"/>
        </w:numPr>
        <w:ind w:left="1800"/>
        <w:jc w:val="both"/>
      </w:pPr>
      <w:r>
        <w:t>F</w:t>
      </w:r>
      <w:r w:rsidR="00A51D30">
        <w:t>or EB/GB channels in those regions where EB/GB licensing was deferred pending the resolution of the petition seeking incumbent priority</w:t>
      </w:r>
      <w:r>
        <w:t>, the dates and procedures for submitting applications will also be announced by the Bureaus by public notice.</w:t>
      </w:r>
    </w:p>
    <w:p w:rsidR="00980748" w:rsidRPr="00182DC9" w:rsidP="00980748">
      <w:pPr>
        <w:pStyle w:val="Heading2"/>
      </w:pPr>
      <w:bookmarkStart w:id="49" w:name="_Toc529184996"/>
      <w:r>
        <w:t>Trackside Signal Boosters</w:t>
      </w:r>
      <w:bookmarkEnd w:id="49"/>
      <w:r w:rsidR="00CE059D">
        <w:t xml:space="preserve"> (47 CFR §</w:t>
      </w:r>
      <w:r w:rsidR="00B46D35">
        <w:t>§</w:t>
      </w:r>
      <w:r w:rsidR="00CE059D">
        <w:t xml:space="preserve"> </w:t>
      </w:r>
      <w:r w:rsidR="00CE214D">
        <w:t>90</w:t>
      </w:r>
      <w:r w:rsidR="00B46D35">
        <w:t>.219(d)(3), 90.261(f)</w:t>
      </w:r>
      <w:r w:rsidR="00CE059D">
        <w:t>)</w:t>
      </w:r>
    </w:p>
    <w:p w:rsidR="0004199F" w:rsidP="00287D1B">
      <w:pPr>
        <w:pStyle w:val="ParaNum"/>
        <w:numPr>
          <w:ilvl w:val="0"/>
          <w:numId w:val="49"/>
        </w:numPr>
        <w:ind w:left="1800"/>
        <w:jc w:val="both"/>
      </w:pPr>
      <w:r>
        <w:t>R</w:t>
      </w:r>
      <w:r w:rsidRPr="00C76995">
        <w:rPr>
          <w:szCs w:val="22"/>
        </w:rPr>
        <w:t xml:space="preserve">ailroad licensees </w:t>
      </w:r>
      <w:r>
        <w:rPr>
          <w:szCs w:val="22"/>
        </w:rPr>
        <w:t xml:space="preserve">are permitted </w:t>
      </w:r>
      <w:r w:rsidRPr="00C76995">
        <w:rPr>
          <w:szCs w:val="22"/>
        </w:rPr>
        <w:t xml:space="preserve">to use single-channel Class A signal boosters with up to 30 watts </w:t>
      </w:r>
      <w:r w:rsidR="00E07B9B">
        <w:rPr>
          <w:szCs w:val="22"/>
        </w:rPr>
        <w:t>effective radiated power</w:t>
      </w:r>
      <w:r w:rsidRPr="00C76995" w:rsidR="00E07B9B">
        <w:rPr>
          <w:szCs w:val="22"/>
        </w:rPr>
        <w:t xml:space="preserve"> </w:t>
      </w:r>
      <w:r w:rsidRPr="00C76995">
        <w:rPr>
          <w:szCs w:val="22"/>
        </w:rPr>
        <w:t xml:space="preserve">on frequencies 452/457.9000 MHz to 452/457.96875 MHz </w:t>
      </w:r>
      <w:r>
        <w:t xml:space="preserve">in areas </w:t>
      </w:r>
      <w:r w:rsidR="00A51D30">
        <w:t>where communication between the front and rear of trains is unsatisfactory due to distance or intervening terrain barriers, and not in typical urban or industrial areas</w:t>
      </w:r>
      <w:r w:rsidR="00703DB9">
        <w:t>.</w:t>
      </w:r>
    </w:p>
    <w:p w:rsidR="00D2110E" w:rsidRPr="00182DC9" w:rsidP="00D2110E">
      <w:pPr>
        <w:pStyle w:val="Heading2"/>
      </w:pPr>
      <w:bookmarkStart w:id="50" w:name="_Toc529184997"/>
      <w:r>
        <w:t>Conditional Licensing Authority</w:t>
      </w:r>
      <w:bookmarkEnd w:id="50"/>
      <w:r w:rsidR="00CE059D">
        <w:t xml:space="preserve"> (47 CFR §</w:t>
      </w:r>
      <w:r w:rsidR="00A37DAF">
        <w:t>§</w:t>
      </w:r>
      <w:r w:rsidR="00CE059D">
        <w:t xml:space="preserve"> </w:t>
      </w:r>
      <w:r w:rsidR="00933F39">
        <w:t>90.159</w:t>
      </w:r>
      <w:r w:rsidR="00A37DAF">
        <w:t>, 1.</w:t>
      </w:r>
      <w:r w:rsidR="00F378BC">
        <w:t>931</w:t>
      </w:r>
      <w:r w:rsidR="00CE059D">
        <w:t>)</w:t>
      </w:r>
    </w:p>
    <w:p w:rsidR="000F25FD" w:rsidP="00287D1B">
      <w:pPr>
        <w:pStyle w:val="ParaNum"/>
        <w:numPr>
          <w:ilvl w:val="0"/>
          <w:numId w:val="49"/>
        </w:numPr>
        <w:ind w:left="1800"/>
        <w:jc w:val="both"/>
      </w:pPr>
      <w:r>
        <w:t>700 MHz narrowband and 800 MHz band</w:t>
      </w:r>
      <w:r>
        <w:t xml:space="preserve"> PLMR applicants</w:t>
      </w:r>
      <w:r>
        <w:t xml:space="preserve"> proposing to operate a new or modified PLMR station on frequencies that require frequency coordination </w:t>
      </w:r>
      <w:r>
        <w:t xml:space="preserve">are permitted </w:t>
      </w:r>
      <w:r>
        <w:t xml:space="preserve">to begin operating the proposed station 10 days after the application is filed and to continue to operate it for up to 180 days while the application is pending.  </w:t>
      </w:r>
    </w:p>
    <w:p w:rsidR="0065463E" w:rsidP="00287D1B">
      <w:pPr>
        <w:pStyle w:val="ParaNum"/>
        <w:numPr>
          <w:ilvl w:val="0"/>
          <w:numId w:val="49"/>
        </w:numPr>
        <w:ind w:left="1800"/>
        <w:jc w:val="both"/>
      </w:pPr>
      <w:r w:rsidRPr="000F25FD">
        <w:t xml:space="preserve">An applicant </w:t>
      </w:r>
      <w:r>
        <w:t xml:space="preserve">operating under the conditional licensing authority </w:t>
      </w:r>
      <w:r w:rsidRPr="000F25FD">
        <w:t>whose application is pending longer than 180 days must request and, if warranted, be granted special temporary authority if it wishes to continue operating</w:t>
      </w:r>
      <w:r>
        <w:t>.</w:t>
      </w:r>
    </w:p>
    <w:p w:rsidR="00B07FBD" w:rsidRPr="00182DC9" w:rsidP="00B07FBD">
      <w:pPr>
        <w:pStyle w:val="Heading2"/>
      </w:pPr>
      <w:bookmarkStart w:id="51" w:name="_Toc529184998"/>
      <w:r>
        <w:t>Termination of the Freeze on Inter-Category Sharing in the 800 MHz Band</w:t>
      </w:r>
      <w:bookmarkEnd w:id="51"/>
      <w:r w:rsidR="00CE059D">
        <w:t xml:space="preserve"> (47 CFR </w:t>
      </w:r>
      <w:r w:rsidR="00933F39">
        <w:t>§</w:t>
      </w:r>
      <w:r w:rsidR="00DD6227">
        <w:t xml:space="preserve"> 90.621(e)(1)-(5)</w:t>
      </w:r>
      <w:r w:rsidR="00CE059D">
        <w:t>)</w:t>
      </w:r>
    </w:p>
    <w:p w:rsidR="00C453B0" w:rsidP="00287D1B">
      <w:pPr>
        <w:pStyle w:val="ParaNum"/>
        <w:numPr>
          <w:ilvl w:val="0"/>
          <w:numId w:val="50"/>
        </w:numPr>
        <w:ind w:left="1800"/>
        <w:jc w:val="both"/>
      </w:pPr>
      <w:r>
        <w:t xml:space="preserve">Inter-category sharing </w:t>
      </w:r>
      <w:r w:rsidR="00C12CBE">
        <w:t xml:space="preserve">is permitted allowing </w:t>
      </w:r>
      <w:r>
        <w:t xml:space="preserve">an applicant eligible for licensing in the 800 MHz Public Safety or B/ILT Pool to be licensed on channels outside of its pool if (a) a Commission-certified frequency coordinator certifies that no channels are available in the pool for which the applicant is eligible, and (b) the desired out-of-pool channel is available as certified </w:t>
      </w:r>
      <w:r w:rsidR="00D274B6">
        <w:t>by the out-of-pool channel coordinator.</w:t>
      </w:r>
    </w:p>
    <w:p w:rsidR="007E51FC" w:rsidRPr="00287D1B" w:rsidP="00287D1B">
      <w:pPr>
        <w:pStyle w:val="ParaNum"/>
        <w:numPr>
          <w:ilvl w:val="0"/>
          <w:numId w:val="50"/>
        </w:numPr>
        <w:ind w:left="1800"/>
        <w:jc w:val="both"/>
      </w:pPr>
      <w:r>
        <w:rPr>
          <w:snapToGrid/>
          <w:szCs w:val="22"/>
        </w:rPr>
        <w:t>An inter-category sharing application may be opposed by a party.</w:t>
      </w:r>
    </w:p>
    <w:p w:rsidR="007E51FC" w:rsidP="00287D1B">
      <w:pPr>
        <w:pStyle w:val="ParaNum"/>
        <w:numPr>
          <w:ilvl w:val="0"/>
          <w:numId w:val="50"/>
        </w:numPr>
        <w:ind w:left="1800"/>
        <w:jc w:val="both"/>
      </w:pPr>
      <w:r>
        <w:rPr>
          <w:snapToGrid/>
          <w:szCs w:val="22"/>
        </w:rPr>
        <w:t xml:space="preserve">In event the termination of the freeze results in difficulties similar to those that led to the institution of the 1995 freeze, </w:t>
      </w:r>
      <w:r>
        <w:t xml:space="preserve">the Bureaus are authorized </w:t>
      </w:r>
      <w:r>
        <w:rPr>
          <w:snapToGrid/>
          <w:szCs w:val="22"/>
        </w:rPr>
        <w:t>to reinstitute the freeze as necessary.</w:t>
      </w:r>
    </w:p>
    <w:p w:rsidR="00ED7379" w:rsidRPr="00182DC9" w:rsidP="00ED7379">
      <w:pPr>
        <w:pStyle w:val="Heading2"/>
        <w:tabs>
          <w:tab w:val="left" w:pos="7650"/>
        </w:tabs>
      </w:pPr>
      <w:bookmarkStart w:id="52" w:name="_Toc529184999"/>
      <w:r>
        <w:t>Central Station Alarm Channels</w:t>
      </w:r>
      <w:bookmarkEnd w:id="52"/>
      <w:r w:rsidR="00CE059D">
        <w:t xml:space="preserve"> (47 CFR </w:t>
      </w:r>
      <w:r w:rsidR="00933F39">
        <w:t>§</w:t>
      </w:r>
      <w:r w:rsidR="00AE032B">
        <w:t xml:space="preserve"> 90.35</w:t>
      </w:r>
      <w:r w:rsidR="00576D4A">
        <w:t>(c)</w:t>
      </w:r>
      <w:r w:rsidR="00492641">
        <w:t>, 90.175(b), 90.167(f)</w:t>
      </w:r>
      <w:r w:rsidR="00CE059D">
        <w:t>)</w:t>
      </w:r>
    </w:p>
    <w:p w:rsidR="00F310DD" w:rsidP="00287D1B">
      <w:pPr>
        <w:pStyle w:val="ParaNum"/>
        <w:numPr>
          <w:ilvl w:val="0"/>
          <w:numId w:val="51"/>
        </w:numPr>
        <w:ind w:left="1800"/>
        <w:jc w:val="both"/>
      </w:pPr>
      <w:r>
        <w:t>A</w:t>
      </w:r>
      <w:r w:rsidR="00D274B6">
        <w:t>ll PLMR eligible channels that were set aside for the exclusive use of central station commercial protection services</w:t>
      </w:r>
      <w:r>
        <w:t xml:space="preserve"> will be available for other uses</w:t>
      </w:r>
      <w:r w:rsidRPr="00F24127" w:rsidR="00F24127">
        <w:t>.</w:t>
      </w:r>
      <w:r w:rsidR="00D274B6">
        <w:t xml:space="preserve">  </w:t>
      </w:r>
    </w:p>
    <w:p w:rsidR="00E4084B" w:rsidP="00287D1B">
      <w:pPr>
        <w:pStyle w:val="ParaNum"/>
        <w:numPr>
          <w:ilvl w:val="0"/>
          <w:numId w:val="51"/>
        </w:numPr>
        <w:ind w:left="1800"/>
        <w:jc w:val="both"/>
      </w:pPr>
      <w:r>
        <w:t>Applications for these channels from entities other than central station commercial protection services must receive the concurrence of the central station alarm channel frequency coordinator.  Such concurrence may be withheld only where granting the application would have an adverse effect on safety.</w:t>
      </w:r>
    </w:p>
    <w:p w:rsidR="00F310DD" w:rsidP="00287D1B">
      <w:pPr>
        <w:pStyle w:val="ParaNum"/>
        <w:numPr>
          <w:ilvl w:val="0"/>
          <w:numId w:val="51"/>
        </w:numPr>
        <w:ind w:left="1800"/>
        <w:jc w:val="both"/>
      </w:pPr>
      <w:r>
        <w:t>Central station l</w:t>
      </w:r>
      <w:r>
        <w:t xml:space="preserve">icensees are </w:t>
      </w:r>
      <w:r>
        <w:t xml:space="preserve">allowed more liberal </w:t>
      </w:r>
      <w:r>
        <w:t>use of primary channels for data signal</w:t>
      </w:r>
      <w:r>
        <w:t>ing.</w:t>
      </w:r>
    </w:p>
    <w:p w:rsidR="00F306B6" w:rsidRPr="00182DC9" w:rsidP="00F306B6">
      <w:pPr>
        <w:pStyle w:val="Heading2"/>
      </w:pPr>
      <w:bookmarkStart w:id="53" w:name="_Toc529185000"/>
      <w:r>
        <w:t>Editorial Corrections and Updates</w:t>
      </w:r>
      <w:bookmarkEnd w:id="53"/>
      <w:r w:rsidR="00CE059D">
        <w:t xml:space="preserve"> (47 CFR </w:t>
      </w:r>
      <w:r w:rsidR="00933F39">
        <w:t>§ 90</w:t>
      </w:r>
      <w:r w:rsidR="003E11C2">
        <w:t>.35</w:t>
      </w:r>
      <w:r w:rsidR="00CE059D">
        <w:t>)</w:t>
      </w:r>
    </w:p>
    <w:p w:rsidR="00E57C7E" w:rsidRPr="00287D1B" w:rsidP="00287D1B">
      <w:pPr>
        <w:pStyle w:val="FootnoteText"/>
        <w:numPr>
          <w:ilvl w:val="0"/>
          <w:numId w:val="52"/>
        </w:numPr>
        <w:ind w:left="1800"/>
        <w:jc w:val="both"/>
      </w:pPr>
      <w:r w:rsidRPr="00E57C7E">
        <w:rPr>
          <w:sz w:val="22"/>
          <w:szCs w:val="22"/>
        </w:rPr>
        <w:t>Kahului and Ke-Ahole</w:t>
      </w:r>
      <w:r>
        <w:rPr>
          <w:sz w:val="22"/>
          <w:szCs w:val="22"/>
        </w:rPr>
        <w:t xml:space="preserve"> </w:t>
      </w:r>
      <w:r w:rsidR="00D274B6">
        <w:rPr>
          <w:sz w:val="22"/>
          <w:szCs w:val="22"/>
        </w:rPr>
        <w:t xml:space="preserve">airports </w:t>
      </w:r>
      <w:r>
        <w:rPr>
          <w:sz w:val="22"/>
          <w:szCs w:val="22"/>
        </w:rPr>
        <w:t xml:space="preserve">were restored to the list of airports </w:t>
      </w:r>
      <w:r w:rsidR="00D274B6">
        <w:rPr>
          <w:sz w:val="22"/>
          <w:szCs w:val="22"/>
        </w:rPr>
        <w:t>at or near which certain frequencies are reserved for commercial air transportation services</w:t>
      </w:r>
      <w:r>
        <w:rPr>
          <w:sz w:val="22"/>
          <w:szCs w:val="22"/>
        </w:rPr>
        <w:t xml:space="preserve">.  </w:t>
      </w:r>
      <w:r w:rsidRPr="00E57C7E">
        <w:rPr>
          <w:sz w:val="22"/>
          <w:szCs w:val="22"/>
        </w:rPr>
        <w:t>These two airports were inadvertently deleted when the list was last updated</w:t>
      </w:r>
      <w:r w:rsidR="008A699C">
        <w:rPr>
          <w:sz w:val="22"/>
          <w:szCs w:val="22"/>
        </w:rPr>
        <w:t>.</w:t>
      </w:r>
    </w:p>
    <w:p w:rsidR="008A699C" w:rsidRPr="008A699C" w:rsidP="00287D1B">
      <w:pPr>
        <w:pStyle w:val="FootnoteText"/>
        <w:numPr>
          <w:ilvl w:val="0"/>
          <w:numId w:val="52"/>
        </w:numPr>
        <w:ind w:left="1800"/>
        <w:jc w:val="both"/>
        <w:rPr>
          <w:sz w:val="22"/>
          <w:szCs w:val="22"/>
        </w:rPr>
      </w:pPr>
      <w:r w:rsidRPr="00287D1B">
        <w:rPr>
          <w:sz w:val="22"/>
          <w:szCs w:val="22"/>
        </w:rPr>
        <w:t>The coordinates for the Boeing/King County International airport that were listed incorrectly were corrected.</w:t>
      </w:r>
    </w:p>
    <w:p w:rsidR="00FE6396" w:rsidRPr="00303EFA" w:rsidP="00287D1B">
      <w:pPr>
        <w:pStyle w:val="FootnoteText"/>
        <w:numPr>
          <w:ilvl w:val="0"/>
          <w:numId w:val="52"/>
        </w:numPr>
        <w:ind w:left="1800"/>
        <w:jc w:val="both"/>
      </w:pPr>
      <w:r>
        <w:rPr>
          <w:sz w:val="22"/>
          <w:szCs w:val="22"/>
        </w:rPr>
        <w:t>E</w:t>
      </w:r>
      <w:r w:rsidRPr="008A699C">
        <w:rPr>
          <w:sz w:val="22"/>
          <w:szCs w:val="22"/>
        </w:rPr>
        <w:t>ntries in the I/B Pool table were corrected</w:t>
      </w:r>
      <w:r>
        <w:rPr>
          <w:sz w:val="22"/>
          <w:szCs w:val="22"/>
        </w:rPr>
        <w:t xml:space="preserve"> to </w:t>
      </w:r>
      <w:r w:rsidR="00D274B6">
        <w:rPr>
          <w:sz w:val="22"/>
          <w:szCs w:val="22"/>
        </w:rPr>
        <w:t xml:space="preserve">restore the inadvertent deletion of the notation that applications for </w:t>
      </w:r>
      <w:r w:rsidRPr="008A699C">
        <w:rPr>
          <w:sz w:val="22"/>
          <w:szCs w:val="22"/>
        </w:rPr>
        <w:t xml:space="preserve">frequencies from 153.0425 MHz to 153.4025 MHz </w:t>
      </w:r>
      <w:r w:rsidR="00D274B6">
        <w:rPr>
          <w:sz w:val="22"/>
          <w:szCs w:val="22"/>
        </w:rPr>
        <w:t xml:space="preserve">require the concurrence of the petroleum frequency coordinator.  </w:t>
      </w:r>
    </w:p>
    <w:p w:rsidR="00584892" w:rsidRPr="001E4E01" w:rsidP="009003C9">
      <w:pPr>
        <w:pStyle w:val="Heading1"/>
      </w:pPr>
      <w:bookmarkStart w:id="54" w:name="_Toc103419990"/>
      <w:bookmarkStart w:id="55" w:name="_Toc103420614"/>
      <w:bookmarkStart w:id="56" w:name="_Toc103420756"/>
      <w:bookmarkStart w:id="57" w:name="_Toc103420800"/>
      <w:bookmarkStart w:id="58" w:name="_Toc103420860"/>
      <w:bookmarkStart w:id="59" w:name="_Toc103420907"/>
      <w:bookmarkStart w:id="60" w:name="_Toc103420995"/>
      <w:bookmarkStart w:id="61" w:name="_Toc103421334"/>
      <w:bookmarkStart w:id="62" w:name="_Toc103421422"/>
      <w:bookmarkStart w:id="63" w:name="_Toc103421546"/>
      <w:bookmarkStart w:id="64" w:name="_Toc103488303"/>
      <w:bookmarkStart w:id="65" w:name="_Toc125945586"/>
      <w:bookmarkStart w:id="66" w:name="_Toc176072636"/>
      <w:bookmarkStart w:id="67" w:name="_Toc176072762"/>
      <w:bookmarkStart w:id="68" w:name="_Toc176072788"/>
      <w:bookmarkStart w:id="69" w:name="_Toc176072812"/>
      <w:bookmarkStart w:id="70" w:name="_Toc179100598"/>
      <w:bookmarkStart w:id="71" w:name="_Toc179100963"/>
      <w:bookmarkStart w:id="72" w:name="_Toc216065693"/>
      <w:bookmarkStart w:id="73" w:name="_Toc326229723"/>
      <w:bookmarkStart w:id="74" w:name="_Toc326658333"/>
      <w:bookmarkStart w:id="75" w:name="_Toc326746789"/>
      <w:bookmarkStart w:id="76" w:name="_Toc326826055"/>
      <w:bookmarkStart w:id="77" w:name="_Toc419723026"/>
      <w:bookmarkStart w:id="78" w:name="_Toc419800683"/>
      <w:bookmarkStart w:id="79" w:name="_Toc419800748"/>
      <w:bookmarkStart w:id="80" w:name="_Toc529185001"/>
      <w:r w:rsidRPr="001E4E01">
        <w:t xml:space="preserve">Recordkeeping and </w:t>
      </w:r>
      <w:r w:rsidR="008073E2">
        <w:t xml:space="preserve">Reporting </w:t>
      </w:r>
      <w:r w:rsidRPr="001E4E01">
        <w:t>Requirements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370ED" w:rsidP="00867702">
      <w:pPr>
        <w:pStyle w:val="ParaNum"/>
        <w:numPr>
          <w:ilvl w:val="0"/>
          <w:numId w:val="0"/>
        </w:numPr>
        <w:tabs>
          <w:tab w:val="left" w:pos="720"/>
        </w:tabs>
        <w:jc w:val="both"/>
        <w:rPr>
          <w:spacing w:val="-2"/>
        </w:rPr>
      </w:pPr>
      <w:r>
        <w:tab/>
      </w:r>
      <w:r w:rsidRPr="00C925D0" w:rsidR="00C925D0">
        <w:t>As a result of the Commission’s actions in th</w:t>
      </w:r>
      <w:r w:rsidR="00C925D0">
        <w:t>is</w:t>
      </w:r>
      <w:r w:rsidRPr="00C925D0" w:rsidR="00C925D0">
        <w:t xml:space="preserve"> </w:t>
      </w:r>
      <w:r w:rsidRPr="00C925D0" w:rsidR="00C925D0">
        <w:rPr>
          <w:i/>
        </w:rPr>
        <w:t xml:space="preserve">Report and </w:t>
      </w:r>
      <w:r w:rsidR="00D274B6">
        <w:rPr>
          <w:i/>
        </w:rPr>
        <w:t xml:space="preserve">Order and </w:t>
      </w:r>
      <w:r w:rsidRPr="00C925D0" w:rsidR="00C925D0">
        <w:rPr>
          <w:i/>
        </w:rPr>
        <w:t>Order</w:t>
      </w:r>
      <w:r w:rsidRPr="00C925D0" w:rsidR="00C925D0">
        <w:t xml:space="preserve">, </w:t>
      </w:r>
      <w:r w:rsidR="003F69E1">
        <w:t xml:space="preserve">the </w:t>
      </w:r>
      <w:r w:rsidR="00C4094D">
        <w:t xml:space="preserve">below </w:t>
      </w:r>
      <w:r w:rsidRPr="00182DC9" w:rsidR="00A90132">
        <w:rPr>
          <w:spacing w:val="-2"/>
        </w:rPr>
        <w:t xml:space="preserve">requirements </w:t>
      </w:r>
      <w:r w:rsidR="007F3BA6">
        <w:rPr>
          <w:spacing w:val="-2"/>
        </w:rPr>
        <w:t xml:space="preserve">may impact </w:t>
      </w:r>
      <w:r w:rsidRPr="00182DC9" w:rsidR="00A90132">
        <w:rPr>
          <w:spacing w:val="-2"/>
        </w:rPr>
        <w:t>small entities</w:t>
      </w:r>
      <w:r w:rsidR="00C4094D">
        <w:rPr>
          <w:spacing w:val="-2"/>
        </w:rPr>
        <w:t xml:space="preserve">’ </w:t>
      </w:r>
      <w:r w:rsidRPr="00182DC9" w:rsidR="00C4094D">
        <w:rPr>
          <w:spacing w:val="-2"/>
        </w:rPr>
        <w:t xml:space="preserve">reporting, </w:t>
      </w:r>
      <w:r w:rsidR="00C4094D">
        <w:rPr>
          <w:spacing w:val="-2"/>
        </w:rPr>
        <w:t xml:space="preserve">and/or </w:t>
      </w:r>
      <w:r w:rsidRPr="00182DC9" w:rsidR="00C4094D">
        <w:rPr>
          <w:spacing w:val="-2"/>
        </w:rPr>
        <w:t>recordkeeping</w:t>
      </w:r>
      <w:r w:rsidR="00C4094D">
        <w:rPr>
          <w:spacing w:val="-2"/>
        </w:rPr>
        <w:t xml:space="preserve"> obligations</w:t>
      </w:r>
      <w:r w:rsidRPr="00182DC9" w:rsidR="00A90132">
        <w:rPr>
          <w:spacing w:val="-2"/>
        </w:rPr>
        <w:t xml:space="preserve">. </w:t>
      </w:r>
    </w:p>
    <w:p w:rsidR="007F3BA6" w:rsidP="002C6AF7">
      <w:pPr>
        <w:pStyle w:val="ParaNum"/>
        <w:widowControl/>
        <w:numPr>
          <w:ilvl w:val="0"/>
          <w:numId w:val="53"/>
        </w:numPr>
        <w:ind w:left="1440"/>
        <w:jc w:val="both"/>
      </w:pPr>
      <w:r>
        <w:t>By making 318 additional 12.5 kilohertz bandwidth offset channels available for licensing in the 800 MHz Mid-Band, we potentially increase</w:t>
      </w:r>
      <w:r w:rsidRPr="008223D7">
        <w:t xml:space="preserve"> the number of </w:t>
      </w:r>
      <w:r>
        <w:t xml:space="preserve">PLMR entities </w:t>
      </w:r>
      <w:r w:rsidRPr="008223D7">
        <w:t>subject to the existing information collections</w:t>
      </w:r>
      <w:r>
        <w:t xml:space="preserve"> associated </w:t>
      </w:r>
      <w:r w:rsidRPr="008655DB">
        <w:t>47 CFR § 90.175</w:t>
      </w:r>
      <w:r>
        <w:t xml:space="preserve"> that</w:t>
      </w:r>
      <w:r w:rsidR="00E12710">
        <w:t xml:space="preserve"> requires </w:t>
      </w:r>
      <w:r w:rsidRPr="008655DB">
        <w:t xml:space="preserve">PLMR entities seeking licenses </w:t>
      </w:r>
      <w:r w:rsidR="00E12710">
        <w:t xml:space="preserve">to </w:t>
      </w:r>
      <w:r w:rsidRPr="008655DB">
        <w:t>obtain coordination from certain frequenc</w:t>
      </w:r>
      <w:r>
        <w:t>y coordinators.</w:t>
      </w:r>
      <w:r w:rsidR="0054614F">
        <w:t xml:space="preserve">  </w:t>
      </w:r>
      <w:r w:rsidRPr="008223D7" w:rsidR="0054614F">
        <w:t xml:space="preserve">OMB has already approved the information collection requirements associated with Form 601, including </w:t>
      </w:r>
      <w:r w:rsidR="0054614F">
        <w:t xml:space="preserve">the </w:t>
      </w:r>
      <w:r w:rsidRPr="008223D7" w:rsidR="0054614F">
        <w:t>frequency coordination requirement.</w:t>
      </w:r>
    </w:p>
    <w:p w:rsidR="006348A9" w:rsidP="002C6AF7">
      <w:pPr>
        <w:pStyle w:val="ListParagraph"/>
        <w:numPr>
          <w:ilvl w:val="0"/>
          <w:numId w:val="53"/>
        </w:numPr>
        <w:ind w:left="1440"/>
        <w:jc w:val="both"/>
        <w:rPr>
          <w:spacing w:val="-2"/>
        </w:rPr>
      </w:pPr>
      <w:r>
        <w:rPr>
          <w:spacing w:val="-2"/>
        </w:rPr>
        <w:t>A</w:t>
      </w:r>
      <w:r w:rsidRPr="00287D1B" w:rsidR="00A90132">
        <w:rPr>
          <w:spacing w:val="-2"/>
        </w:rPr>
        <w:t>mended</w:t>
      </w:r>
      <w:r w:rsidRPr="00287D1B" w:rsidR="00ED11AC">
        <w:rPr>
          <w:spacing w:val="-2"/>
        </w:rPr>
        <w:t xml:space="preserve"> Section 9</w:t>
      </w:r>
      <w:r w:rsidRPr="00287D1B" w:rsidR="00A90132">
        <w:rPr>
          <w:spacing w:val="-2"/>
        </w:rPr>
        <w:t>0.6</w:t>
      </w:r>
      <w:r w:rsidRPr="00287D1B" w:rsidR="00ED11AC">
        <w:rPr>
          <w:spacing w:val="-2"/>
        </w:rPr>
        <w:t>2</w:t>
      </w:r>
      <w:r w:rsidRPr="00287D1B" w:rsidR="00A90132">
        <w:rPr>
          <w:spacing w:val="-2"/>
        </w:rPr>
        <w:t>1</w:t>
      </w:r>
      <w:r w:rsidRPr="00287D1B" w:rsidR="00ED11AC">
        <w:rPr>
          <w:spacing w:val="-2"/>
        </w:rPr>
        <w:t>(d)</w:t>
      </w:r>
      <w:r w:rsidRPr="00287D1B" w:rsidR="00A90132">
        <w:rPr>
          <w:spacing w:val="-2"/>
        </w:rPr>
        <w:t xml:space="preserve"> of the rules</w:t>
      </w:r>
      <w:r>
        <w:rPr>
          <w:spacing w:val="-2"/>
        </w:rPr>
        <w:t xml:space="preserve"> </w:t>
      </w:r>
      <w:r w:rsidRPr="00287D1B" w:rsidR="00685FEC">
        <w:rPr>
          <w:spacing w:val="-2"/>
        </w:rPr>
        <w:t>require</w:t>
      </w:r>
      <w:r w:rsidR="003E11C2">
        <w:rPr>
          <w:spacing w:val="-2"/>
        </w:rPr>
        <w:t>s</w:t>
      </w:r>
      <w:r w:rsidRPr="00287D1B" w:rsidR="00685FEC">
        <w:rPr>
          <w:spacing w:val="-2"/>
        </w:rPr>
        <w:t xml:space="preserve"> </w:t>
      </w:r>
      <w:r w:rsidRPr="00287D1B" w:rsidR="00ED11AC">
        <w:rPr>
          <w:spacing w:val="-2"/>
        </w:rPr>
        <w:t xml:space="preserve">frequency coordinators recommending 800 MHz interstitial channels </w:t>
      </w:r>
      <w:r>
        <w:rPr>
          <w:spacing w:val="-2"/>
        </w:rPr>
        <w:t xml:space="preserve">to </w:t>
      </w:r>
      <w:r w:rsidRPr="00287D1B" w:rsidR="00ED11AC">
        <w:rPr>
          <w:spacing w:val="-2"/>
        </w:rPr>
        <w:t xml:space="preserve">perform a </w:t>
      </w:r>
      <w:r w:rsidR="00633FAB">
        <w:rPr>
          <w:spacing w:val="-2"/>
        </w:rPr>
        <w:t xml:space="preserve">forward and reciprocal </w:t>
      </w:r>
      <w:r w:rsidRPr="00287D1B" w:rsidR="00ED11AC">
        <w:rPr>
          <w:spacing w:val="-2"/>
        </w:rPr>
        <w:t xml:space="preserve">contour overlap analysis </w:t>
      </w:r>
      <w:r w:rsidRPr="00287D1B" w:rsidR="00B53BF0">
        <w:rPr>
          <w:spacing w:val="-2"/>
        </w:rPr>
        <w:t>to</w:t>
      </w:r>
      <w:r w:rsidRPr="00287D1B" w:rsidR="00ED11AC">
        <w:rPr>
          <w:spacing w:val="-2"/>
        </w:rPr>
        <w:t xml:space="preserve"> minimize the potential for adjacent-channel interference.</w:t>
      </w:r>
      <w:r w:rsidRPr="00287D1B" w:rsidR="00685FEC">
        <w:rPr>
          <w:spacing w:val="-2"/>
        </w:rPr>
        <w:t xml:space="preserve"> </w:t>
      </w:r>
      <w:r w:rsidR="003E11C2">
        <w:rPr>
          <w:spacing w:val="-2"/>
        </w:rPr>
        <w:t xml:space="preserve"> </w:t>
      </w:r>
      <w:r w:rsidR="003E11C2">
        <w:t xml:space="preserve">A </w:t>
      </w:r>
      <w:r w:rsidRPr="0092168E" w:rsidR="003E11C2">
        <w:rPr>
          <w:szCs w:val="22"/>
        </w:rPr>
        <w:t xml:space="preserve">frequency coordinator must perform the contour overlap analysis detailed in § 90.621(d) when coordinating applications for channels in the </w:t>
      </w:r>
      <w:r w:rsidRPr="0092168E" w:rsidR="003E11C2">
        <w:t xml:space="preserve">809-817 MHz / 854-862 MHz band segment once interstitial 12.5 kHz bandwidth channels become available for licensing in a </w:t>
      </w:r>
      <w:r w:rsidRPr="0092168E" w:rsidR="003E11C2">
        <w:rPr>
          <w:bCs/>
          <w:szCs w:val="22"/>
        </w:rPr>
        <w:t>National Public Safety Planning Advisory Committee region</w:t>
      </w:r>
      <w:r w:rsidR="00E07B9B">
        <w:rPr>
          <w:bCs/>
          <w:szCs w:val="22"/>
        </w:rPr>
        <w:t>.</w:t>
      </w:r>
      <w:r>
        <w:rPr>
          <w:spacing w:val="-2"/>
        </w:rPr>
        <w:t xml:space="preserve"> </w:t>
      </w:r>
    </w:p>
    <w:p w:rsidR="008A68CC" w:rsidP="002C6AF7">
      <w:pPr>
        <w:pStyle w:val="ListParagraph"/>
        <w:ind w:left="1440"/>
        <w:jc w:val="both"/>
        <w:rPr>
          <w:spacing w:val="-2"/>
        </w:rPr>
      </w:pPr>
      <w:r>
        <w:rPr>
          <w:spacing w:val="-2"/>
        </w:rPr>
        <w:t xml:space="preserve"> </w:t>
      </w:r>
    </w:p>
    <w:p w:rsidR="004A6A6A" w:rsidRPr="004A6A6A" w:rsidP="002C6AF7">
      <w:pPr>
        <w:pStyle w:val="ListParagraph"/>
        <w:numPr>
          <w:ilvl w:val="0"/>
          <w:numId w:val="53"/>
        </w:numPr>
        <w:ind w:left="1440"/>
        <w:jc w:val="both"/>
        <w:rPr>
          <w:spacing w:val="-2"/>
        </w:rPr>
      </w:pPr>
      <w:r>
        <w:rPr>
          <w:spacing w:val="-2"/>
        </w:rPr>
        <w:t>A</w:t>
      </w:r>
      <w:r w:rsidRPr="00130150">
        <w:rPr>
          <w:spacing w:val="-2"/>
        </w:rPr>
        <w:t>mended Section 90.621(d)</w:t>
      </w:r>
      <w:r>
        <w:rPr>
          <w:spacing w:val="-2"/>
        </w:rPr>
        <w:t>(4)</w:t>
      </w:r>
      <w:r w:rsidRPr="008654CB" w:rsidR="008654CB">
        <w:rPr>
          <w:spacing w:val="-2"/>
        </w:rPr>
        <w:t xml:space="preserve"> </w:t>
      </w:r>
      <w:r w:rsidRPr="00130150" w:rsidR="008654CB">
        <w:rPr>
          <w:spacing w:val="-2"/>
        </w:rPr>
        <w:t>of the rules</w:t>
      </w:r>
      <w:r>
        <w:rPr>
          <w:spacing w:val="-2"/>
        </w:rPr>
        <w:t xml:space="preserve"> </w:t>
      </w:r>
      <w:r w:rsidR="00E12710">
        <w:rPr>
          <w:spacing w:val="-2"/>
        </w:rPr>
        <w:t>allow</w:t>
      </w:r>
      <w:r w:rsidR="003E11C2">
        <w:rPr>
          <w:spacing w:val="-2"/>
        </w:rPr>
        <w:t>s</w:t>
      </w:r>
      <w:r w:rsidR="00E12710">
        <w:rPr>
          <w:spacing w:val="-2"/>
        </w:rPr>
        <w:t xml:space="preserve"> a</w:t>
      </w:r>
      <w:r w:rsidRPr="004A6A6A">
        <w:rPr>
          <w:spacing w:val="-2"/>
        </w:rPr>
        <w:t>pplicants to submit applications</w:t>
      </w:r>
    </w:p>
    <w:p w:rsidR="00633FAB" w:rsidP="002C6AF7">
      <w:pPr>
        <w:pStyle w:val="ListParagraph"/>
        <w:ind w:left="1440"/>
        <w:jc w:val="both"/>
        <w:rPr>
          <w:spacing w:val="-2"/>
        </w:rPr>
      </w:pPr>
      <w:r w:rsidRPr="004A6A6A">
        <w:rPr>
          <w:spacing w:val="-2"/>
        </w:rPr>
        <w:t xml:space="preserve">which cause overlap under the forward contour analysis required in 90.621(d)(1) provided the applicant includes a </w:t>
      </w:r>
      <w:r w:rsidR="000B4606">
        <w:rPr>
          <w:spacing w:val="-2"/>
        </w:rPr>
        <w:t xml:space="preserve">written </w:t>
      </w:r>
      <w:r w:rsidRPr="004A6A6A">
        <w:rPr>
          <w:spacing w:val="-2"/>
        </w:rPr>
        <w:t xml:space="preserve">letter of concurrence from each incumbent that receives contour overlap agreeing to accept any interference that occurs </w:t>
      </w:r>
      <w:r w:rsidRPr="004A6A6A" w:rsidR="00B53BF0">
        <w:rPr>
          <w:spacing w:val="-2"/>
        </w:rPr>
        <w:t>because of</w:t>
      </w:r>
      <w:r w:rsidRPr="004A6A6A">
        <w:rPr>
          <w:spacing w:val="-2"/>
        </w:rPr>
        <w:t xml:space="preserve"> the contour overlap. </w:t>
      </w:r>
      <w:r w:rsidR="008654CB">
        <w:rPr>
          <w:spacing w:val="-2"/>
        </w:rPr>
        <w:t xml:space="preserve"> </w:t>
      </w:r>
    </w:p>
    <w:p w:rsidR="000B4606" w:rsidP="002C6AF7">
      <w:pPr>
        <w:pStyle w:val="ListParagraph"/>
        <w:ind w:left="1440"/>
        <w:jc w:val="both"/>
        <w:rPr>
          <w:spacing w:val="-2"/>
        </w:rPr>
      </w:pPr>
    </w:p>
    <w:p w:rsidR="000B4606" w:rsidP="002C6AF7">
      <w:pPr>
        <w:pStyle w:val="ListParagraph"/>
        <w:numPr>
          <w:ilvl w:val="0"/>
          <w:numId w:val="53"/>
        </w:numPr>
        <w:ind w:left="1440"/>
        <w:jc w:val="both"/>
        <w:rPr>
          <w:spacing w:val="-2"/>
        </w:rPr>
      </w:pPr>
      <w:r w:rsidRPr="000B4606">
        <w:rPr>
          <w:spacing w:val="-2"/>
        </w:rPr>
        <w:t xml:space="preserve">Amended Section 90.621(d)(4) of the rules </w:t>
      </w:r>
      <w:r>
        <w:rPr>
          <w:spacing w:val="-2"/>
        </w:rPr>
        <w:t xml:space="preserve">also </w:t>
      </w:r>
      <w:r w:rsidR="00E12710">
        <w:rPr>
          <w:spacing w:val="-2"/>
        </w:rPr>
        <w:t>allow</w:t>
      </w:r>
      <w:r w:rsidR="003E11C2">
        <w:rPr>
          <w:spacing w:val="-2"/>
        </w:rPr>
        <w:t>s</w:t>
      </w:r>
      <w:r w:rsidR="00E12710">
        <w:rPr>
          <w:spacing w:val="-2"/>
        </w:rPr>
        <w:t xml:space="preserve"> a</w:t>
      </w:r>
      <w:r w:rsidRPr="000B4606">
        <w:rPr>
          <w:spacing w:val="-2"/>
        </w:rPr>
        <w:t xml:space="preserve">pplicants to submit applications which receive contour overlap under the reciprocal analysis </w:t>
      </w:r>
      <w:r>
        <w:rPr>
          <w:spacing w:val="-2"/>
        </w:rPr>
        <w:t>required in 90.621(d)(2</w:t>
      </w:r>
      <w:r w:rsidRPr="004A6A6A">
        <w:rPr>
          <w:spacing w:val="-2"/>
        </w:rPr>
        <w:t xml:space="preserve">) </w:t>
      </w:r>
      <w:r w:rsidRPr="000B4606">
        <w:rPr>
          <w:spacing w:val="-2"/>
        </w:rPr>
        <w:t>provided the applicant includes a written letter of concurrence from each incumbent that causes contour overlap stating that it does not object to the applicant receiving contour overlap from the incumbent’s facility</w:t>
      </w:r>
      <w:r w:rsidR="00C447E5">
        <w:rPr>
          <w:spacing w:val="-2"/>
        </w:rPr>
        <w:t>.</w:t>
      </w:r>
    </w:p>
    <w:p w:rsidR="00C63EC5" w:rsidP="002C6AF7">
      <w:pPr>
        <w:pStyle w:val="ListParagraph"/>
        <w:ind w:left="1440"/>
        <w:jc w:val="both"/>
      </w:pPr>
    </w:p>
    <w:p w:rsidR="00C63EC5" w:rsidP="002C6AF7">
      <w:pPr>
        <w:pStyle w:val="ListParagraph"/>
        <w:numPr>
          <w:ilvl w:val="0"/>
          <w:numId w:val="53"/>
        </w:numPr>
        <w:ind w:left="1440"/>
      </w:pPr>
      <w:r>
        <w:t xml:space="preserve">Equipment </w:t>
      </w:r>
      <w:r w:rsidRPr="00360770">
        <w:t xml:space="preserve">manufacturers </w:t>
      </w:r>
      <w:r>
        <w:t xml:space="preserve">are </w:t>
      </w:r>
      <w:r w:rsidRPr="00360770">
        <w:t xml:space="preserve">required to </w:t>
      </w:r>
      <w:r w:rsidRPr="00DD3D8C">
        <w:t>obtain a new equipment authorization or modify an existing</w:t>
      </w:r>
      <w:r w:rsidRPr="00360770">
        <w:t xml:space="preserve"> equipment </w:t>
      </w:r>
      <w:r>
        <w:t xml:space="preserve">authorization when designing equipment intended to operate on the new offset channels and must electronically file </w:t>
      </w:r>
      <w:r w:rsidRPr="00A03104">
        <w:t>FCC Form 731</w:t>
      </w:r>
      <w:r>
        <w:t xml:space="preserve">. </w:t>
      </w:r>
      <w:r w:rsidRPr="00360770">
        <w:t xml:space="preserve">OMB has already approved the information collection requirements associated with </w:t>
      </w:r>
      <w:r w:rsidRPr="00DD3D8C">
        <w:t xml:space="preserve">obtaining a new or modified </w:t>
      </w:r>
      <w:r w:rsidRPr="00360770">
        <w:t xml:space="preserve">equipment authorizations. </w:t>
      </w:r>
      <w:r>
        <w:t xml:space="preserve"> </w:t>
      </w:r>
    </w:p>
    <w:p w:rsidR="003E11C2" w:rsidP="002C6AF7">
      <w:pPr>
        <w:pStyle w:val="ListParagraph"/>
        <w:ind w:left="1440"/>
      </w:pPr>
    </w:p>
    <w:p w:rsidR="003E11C2" w:rsidP="002C6AF7">
      <w:pPr>
        <w:pStyle w:val="ListParagraph"/>
        <w:numPr>
          <w:ilvl w:val="0"/>
          <w:numId w:val="53"/>
        </w:numPr>
        <w:ind w:left="1440"/>
      </w:pPr>
      <w:r>
        <w:t>A</w:t>
      </w:r>
      <w:r w:rsidRPr="00182DC9">
        <w:t>mend</w:t>
      </w:r>
      <w:r>
        <w:t>ed</w:t>
      </w:r>
      <w:r w:rsidRPr="00182DC9">
        <w:t xml:space="preserve"> Section 9</w:t>
      </w:r>
      <w:r>
        <w:t>0</w:t>
      </w:r>
      <w:r w:rsidRPr="00182DC9">
        <w:t>.1</w:t>
      </w:r>
      <w:r>
        <w:t xml:space="preserve">75(e) </w:t>
      </w:r>
      <w:r w:rsidRPr="00182DC9">
        <w:t>of the rules</w:t>
      </w:r>
      <w:r>
        <w:t xml:space="preserve"> requires frequency coordinators recommending channels formerly reserved for central station commercial protection services to obtain the concurrence of the central station alarm channel frequency coordinator.  </w:t>
      </w:r>
    </w:p>
    <w:p w:rsidR="008F6A3A" w:rsidP="002C6AF7">
      <w:pPr>
        <w:ind w:left="1440" w:firstLine="720"/>
        <w:jc w:val="both"/>
        <w:rPr>
          <w:spacing w:val="-2"/>
        </w:rPr>
      </w:pPr>
    </w:p>
    <w:p w:rsidR="00B84519" w:rsidP="00287D1B">
      <w:pPr>
        <w:pStyle w:val="Heading1"/>
      </w:pPr>
      <w:bookmarkStart w:id="81" w:name="_Toc529185002"/>
      <w:bookmarkStart w:id="82" w:name="_Toc176072637"/>
      <w:bookmarkStart w:id="83" w:name="_Toc176072763"/>
      <w:bookmarkStart w:id="84" w:name="_Toc176072789"/>
      <w:bookmarkStart w:id="85" w:name="_Toc176072813"/>
      <w:bookmarkStart w:id="86" w:name="_Toc179100599"/>
      <w:bookmarkStart w:id="87" w:name="_Toc179100964"/>
      <w:bookmarkStart w:id="88" w:name="_Toc216065694"/>
      <w:bookmarkStart w:id="89" w:name="_Toc326229724"/>
      <w:bookmarkStart w:id="90" w:name="_Toc326658334"/>
      <w:bookmarkStart w:id="91" w:name="_Toc326746790"/>
      <w:bookmarkStart w:id="92" w:name="_Toc326826056"/>
      <w:bookmarkStart w:id="93" w:name="_Toc419723027"/>
      <w:bookmarkStart w:id="94" w:name="_Toc419800684"/>
      <w:bookmarkStart w:id="95" w:name="_Toc419800749"/>
      <w:r w:rsidRPr="00AE7E61">
        <w:rPr>
          <w:rFonts w:ascii="Times New Roman" w:hAnsi="Times New Roman"/>
          <w:szCs w:val="22"/>
        </w:rPr>
        <w:t>IMPLEMENTATION DATE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287D1B" w:rsidP="00287D1B">
      <w:pPr>
        <w:jc w:val="both"/>
      </w:pPr>
      <w:r w:rsidRPr="00D714C7">
        <w:rPr>
          <w:color w:val="FF0000"/>
        </w:rPr>
        <w:t xml:space="preserve"> </w:t>
      </w:r>
      <w:r w:rsidRPr="00D714C7" w:rsidR="00FE490D">
        <w:rPr>
          <w:color w:val="FF0000"/>
        </w:rPr>
        <w:t xml:space="preserve"> </w:t>
      </w:r>
      <w:r w:rsidR="00B84519">
        <w:rPr>
          <w:color w:val="FF0000"/>
        </w:rPr>
        <w:tab/>
      </w:r>
      <w:r w:rsidRPr="00287D1B" w:rsidR="009A7D9C">
        <w:t xml:space="preserve">The </w:t>
      </w:r>
      <w:r w:rsidR="009A7D9C">
        <w:t>f</w:t>
      </w:r>
      <w:r w:rsidRPr="00EF3569" w:rsidR="00584892">
        <w:t xml:space="preserve">inal rules adopted in the </w:t>
      </w:r>
      <w:r w:rsidRPr="00EF3569" w:rsidR="00890E5C">
        <w:rPr>
          <w:i/>
        </w:rPr>
        <w:t xml:space="preserve">Report and </w:t>
      </w:r>
      <w:r w:rsidR="00ED11AC">
        <w:rPr>
          <w:i/>
        </w:rPr>
        <w:t xml:space="preserve">Order and </w:t>
      </w:r>
      <w:r w:rsidRPr="00EF3569" w:rsidR="00584892">
        <w:rPr>
          <w:i/>
        </w:rPr>
        <w:t>Order</w:t>
      </w:r>
      <w:r w:rsidRPr="00EF3569" w:rsidR="00183191">
        <w:rPr>
          <w:i/>
        </w:rPr>
        <w:t xml:space="preserve"> </w:t>
      </w:r>
      <w:r w:rsidRPr="00AB72FA" w:rsidR="00B31FFE">
        <w:t>bec</w:t>
      </w:r>
      <w:r w:rsidR="00D44124">
        <w:t>a</w:t>
      </w:r>
      <w:r w:rsidRPr="00AB72FA" w:rsidR="00B31FFE">
        <w:t>me effective</w:t>
      </w:r>
      <w:r w:rsidR="00B84519">
        <w:t xml:space="preserve"> </w:t>
      </w:r>
      <w:r w:rsidR="001C570F">
        <w:t xml:space="preserve">on December 27, 2018, </w:t>
      </w:r>
      <w:r w:rsidRPr="00AB72FA" w:rsidR="00B31FFE">
        <w:t xml:space="preserve">thirty (30) days after publication of the </w:t>
      </w:r>
      <w:r w:rsidR="00B70E3E">
        <w:t xml:space="preserve">text or summary thereof </w:t>
      </w:r>
      <w:r w:rsidRPr="009A1B23" w:rsidR="009A1B23">
        <w:t xml:space="preserve">in the Federal Register, except for 47 C.F.R. §§ </w:t>
      </w:r>
      <w:r w:rsidR="00ED11AC">
        <w:t>90.175(e)</w:t>
      </w:r>
      <w:r w:rsidR="00867702">
        <w:t xml:space="preserve"> and </w:t>
      </w:r>
      <w:r w:rsidRPr="00182DC9" w:rsidR="00867702">
        <w:t>9</w:t>
      </w:r>
      <w:r w:rsidR="00ED11AC">
        <w:t>0</w:t>
      </w:r>
      <w:r w:rsidRPr="00182DC9" w:rsidR="00867702">
        <w:t>.</w:t>
      </w:r>
      <w:r w:rsidR="00ED11AC">
        <w:t>62</w:t>
      </w:r>
      <w:r w:rsidRPr="00182DC9" w:rsidR="00867702">
        <w:t>1</w:t>
      </w:r>
      <w:r w:rsidR="00ED11AC">
        <w:t>(d)(4)</w:t>
      </w:r>
      <w:r w:rsidRPr="009A1B23" w:rsidR="009A1B23">
        <w:t xml:space="preserve">, which contain information collection requirements that require </w:t>
      </w:r>
      <w:r w:rsidRPr="009A1B23" w:rsidR="009A1B23">
        <w:t xml:space="preserve">approval by </w:t>
      </w:r>
      <w:r w:rsidRPr="0084392B" w:rsidR="009A7D9C">
        <w:t xml:space="preserve">the Office of Management and Budget </w:t>
      </w:r>
      <w:r w:rsidR="009A7D9C">
        <w:t>(</w:t>
      </w:r>
      <w:r w:rsidRPr="009A1B23" w:rsidR="009A1B23">
        <w:t>OMB</w:t>
      </w:r>
      <w:r w:rsidR="009A7D9C">
        <w:t>)</w:t>
      </w:r>
      <w:r w:rsidRPr="009A1B23" w:rsidR="009A1B23">
        <w:t xml:space="preserve"> under the </w:t>
      </w:r>
      <w:r w:rsidR="009A7D9C">
        <w:t>Paperwork Reduction Act (</w:t>
      </w:r>
      <w:r w:rsidRPr="009A1B23" w:rsidR="009A1B23">
        <w:t>PRA</w:t>
      </w:r>
      <w:r w:rsidR="009A7D9C">
        <w:t>).</w:t>
      </w:r>
      <w:r w:rsidRPr="009A1B23" w:rsidR="009A1B23">
        <w:t xml:space="preserve"> </w:t>
      </w:r>
      <w:r w:rsidR="009A7D9C">
        <w:t xml:space="preserve">These rules </w:t>
      </w:r>
      <w:r w:rsidRPr="0084392B" w:rsidR="009A7D9C">
        <w:t xml:space="preserve">shall become effective after the Commission publishes </w:t>
      </w:r>
      <w:r w:rsidRPr="009A1B23" w:rsidR="009A1B23">
        <w:t xml:space="preserve">a notice in the Federal Register announcing </w:t>
      </w:r>
      <w:r w:rsidR="009A7D9C">
        <w:t xml:space="preserve">OMB </w:t>
      </w:r>
      <w:r w:rsidRPr="009A1B23" w:rsidR="009A1B23">
        <w:t xml:space="preserve">approval and </w:t>
      </w:r>
      <w:r w:rsidR="009A7D9C">
        <w:t xml:space="preserve">the relevant </w:t>
      </w:r>
      <w:r w:rsidRPr="009A1B23" w:rsidR="009A1B23">
        <w:t>effective date.</w:t>
      </w:r>
    </w:p>
    <w:p w:rsidR="00C05560" w:rsidP="00287D1B">
      <w:pPr>
        <w:jc w:val="both"/>
        <w:rPr>
          <w:b/>
          <w:color w:val="FF0000"/>
        </w:rPr>
      </w:pPr>
    </w:p>
    <w:p w:rsidR="00A6587B" w:rsidRPr="001E4E01" w:rsidP="00A6587B">
      <w:pPr>
        <w:pStyle w:val="Heading1"/>
        <w:spacing w:after="220"/>
        <w:jc w:val="both"/>
        <w:rPr>
          <w:rFonts w:ascii="Times New Roman" w:hAnsi="Times New Roman"/>
          <w:szCs w:val="22"/>
        </w:rPr>
      </w:pPr>
      <w:bookmarkStart w:id="96" w:name="_Toc529185004"/>
      <w:r>
        <w:rPr>
          <w:rFonts w:ascii="Times New Roman" w:hAnsi="Times New Roman"/>
          <w:szCs w:val="22"/>
        </w:rPr>
        <w:t xml:space="preserve">internet </w:t>
      </w:r>
      <w:r w:rsidRPr="001E4E01">
        <w:rPr>
          <w:rFonts w:ascii="Times New Roman" w:hAnsi="Times New Roman"/>
          <w:szCs w:val="22"/>
        </w:rPr>
        <w:t>link</w:t>
      </w:r>
      <w:r>
        <w:rPr>
          <w:rFonts w:ascii="Times New Roman" w:hAnsi="Times New Roman"/>
          <w:szCs w:val="22"/>
        </w:rPr>
        <w:t>s</w:t>
      </w:r>
      <w:bookmarkEnd w:id="96"/>
    </w:p>
    <w:p w:rsidR="00442256" w:rsidRPr="00287D1B" w:rsidP="00287D1B">
      <w:pPr>
        <w:ind w:firstLine="720"/>
        <w:jc w:val="both"/>
        <w:rPr>
          <w:color w:val="FF0000"/>
        </w:rPr>
      </w:pPr>
      <w:r w:rsidRPr="00287D1B">
        <w:t xml:space="preserve">A copy of the </w:t>
      </w:r>
      <w:r w:rsidRPr="00287D1B">
        <w:rPr>
          <w:i/>
        </w:rPr>
        <w:t xml:space="preserve">Report </w:t>
      </w:r>
      <w:r w:rsidRPr="00287D1B">
        <w:rPr>
          <w:i/>
        </w:rPr>
        <w:t>Order</w:t>
      </w:r>
      <w:r w:rsidRPr="00287D1B">
        <w:rPr>
          <w:i/>
        </w:rPr>
        <w:t xml:space="preserve"> and Order</w:t>
      </w:r>
      <w:r w:rsidRPr="00287D1B">
        <w:t>, is available at:</w:t>
      </w:r>
    </w:p>
    <w:p w:rsidR="00ED11AC" w:rsidRPr="00287D1B" w:rsidP="00ED11AC">
      <w:pPr>
        <w:jc w:val="both"/>
        <w:rPr>
          <w:szCs w:val="22"/>
        </w:rPr>
      </w:pPr>
      <w:hyperlink r:id="rId9" w:history="1">
        <w:r w:rsidRPr="00287D1B">
          <w:rPr>
            <w:rStyle w:val="Hyperlink"/>
          </w:rPr>
          <w:t>https://docs.fcc.gov/public/attachments/FCC-18-143A1.docx</w:t>
        </w:r>
      </w:hyperlink>
      <w:r w:rsidRPr="00287D1B">
        <w:t xml:space="preserve">  </w:t>
      </w:r>
    </w:p>
    <w:p w:rsidR="00584892" w:rsidRPr="00287D1B" w:rsidP="009E2184">
      <w:pPr>
        <w:jc w:val="both"/>
        <w:rPr>
          <w:szCs w:val="22"/>
        </w:rPr>
      </w:pPr>
      <w:hyperlink r:id="rId10" w:history="1">
        <w:r w:rsidRPr="00287D1B" w:rsidR="00ED11AC">
          <w:rPr>
            <w:rStyle w:val="Hyperlink"/>
            <w:szCs w:val="22"/>
          </w:rPr>
          <w:t>https://docs.fcc.gov/public/attachments/FCC-18-143A1.pdf</w:t>
        </w:r>
      </w:hyperlink>
      <w:r w:rsidRPr="00287D1B" w:rsidR="00ED11AC">
        <w:rPr>
          <w:szCs w:val="22"/>
        </w:rPr>
        <w:t xml:space="preserve"> </w:t>
      </w:r>
    </w:p>
    <w:p w:rsidR="00ED11AC" w:rsidP="009E2184">
      <w:pPr>
        <w:jc w:val="both"/>
        <w:rPr>
          <w:szCs w:val="22"/>
        </w:rPr>
      </w:pPr>
      <w:hyperlink r:id="rId11" w:history="1">
        <w:r w:rsidRPr="00287D1B">
          <w:rPr>
            <w:rStyle w:val="Hyperlink"/>
            <w:szCs w:val="22"/>
          </w:rPr>
          <w:t>https://docs.fcc.gov/public/attachments/FCC-18-143A1.txt</w:t>
        </w:r>
      </w:hyperlink>
      <w:r w:rsidRPr="00287D1B">
        <w:rPr>
          <w:szCs w:val="22"/>
        </w:rPr>
        <w:t xml:space="preserve"> </w:t>
      </w:r>
      <w:r w:rsidR="00557AC6">
        <w:rPr>
          <w:szCs w:val="22"/>
        </w:rPr>
        <w:t xml:space="preserve"> </w:t>
      </w:r>
    </w:p>
    <w:p w:rsidR="00557AC6" w:rsidP="009E2184">
      <w:pPr>
        <w:jc w:val="both"/>
        <w:rPr>
          <w:szCs w:val="22"/>
        </w:rPr>
      </w:pPr>
    </w:p>
    <w:p w:rsidR="00557AC6" w:rsidP="009E2184">
      <w:pPr>
        <w:jc w:val="both"/>
      </w:pPr>
      <w:r>
        <w:rPr>
          <w:szCs w:val="22"/>
        </w:rPr>
        <w:tab/>
      </w:r>
      <w:r w:rsidRPr="00287D1B">
        <w:t>A copy of the Federal Register Summary of the</w:t>
      </w:r>
      <w:r>
        <w:rPr>
          <w:b/>
        </w:rPr>
        <w:t xml:space="preserve"> </w:t>
      </w:r>
      <w:r w:rsidRPr="00444B6A">
        <w:rPr>
          <w:i/>
        </w:rPr>
        <w:t>Report Order and Order</w:t>
      </w:r>
      <w:r w:rsidRPr="00444B6A">
        <w:t>, is available at:</w:t>
      </w:r>
    </w:p>
    <w:p w:rsidR="00557AC6" w:rsidRPr="00287D1B" w:rsidP="009E2184">
      <w:pPr>
        <w:jc w:val="both"/>
        <w:rPr>
          <w:szCs w:val="22"/>
        </w:rPr>
      </w:pPr>
      <w:hyperlink r:id="rId12" w:history="1">
        <w:r w:rsidRPr="008F614E" w:rsidR="00287D1B">
          <w:rPr>
            <w:rStyle w:val="Hyperlink"/>
            <w:szCs w:val="22"/>
          </w:rPr>
          <w:t>https://www.gpo.gov/fdsys/pkg/FR-2018-11-27/pdf/2018-24022.pdf</w:t>
        </w:r>
      </w:hyperlink>
      <w:r w:rsidR="00287D1B">
        <w:rPr>
          <w:szCs w:val="22"/>
        </w:rPr>
        <w:t xml:space="preserve"> </w:t>
      </w:r>
    </w:p>
    <w:sectPr w:rsidSect="00B53BF0">
      <w:headerReference w:type="first" r:id="rId13"/>
      <w:footerReference w:type="first" r:id="rId14"/>
      <w:pgSz w:w="12240" w:h="15840" w:code="1"/>
      <w:pgMar w:top="1987"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46E08">
    <w:pPr>
      <w:pStyle w:val="Footer"/>
    </w:pPr>
  </w:p>
  <w:p w:rsidR="00A46E08"/>
  <w:p w:rsidR="00A46E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pPr>
      <w:pStyle w:val="Footer"/>
    </w:pPr>
  </w:p>
  <w:p w:rsidR="00A46E08"/>
  <w:p w:rsidR="00A46E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C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CB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E08"/>
  <w:p w:rsidR="00A46E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544" w:rsidP="00B53BF0">
    <w:pPr>
      <w:pStyle w:val="Header"/>
      <w:spacing w:before="360" w:line="228" w:lineRule="auto"/>
      <w:ind w:left="180" w:firstLine="1440"/>
      <w:rPr>
        <w:rFonts w:ascii="CG Times (W1)" w:hAnsi="CG Times (W1)"/>
        <w:sz w:val="28"/>
      </w:rPr>
    </w:pPr>
    <w:r>
      <w:rPr>
        <w:rFonts w:ascii="CG Times (W1)" w:hAnsi="CG Times (W1)"/>
        <w:noProof/>
        <w:snapToGrid/>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72.5pt;height:72.5pt;margin-top:33.3pt;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0794988" r:id="rId2"/>
      </w:pict>
    </w:r>
  </w:p>
  <w:p w:rsidR="00A46E08" w:rsidP="00B53BF0">
    <w:pPr>
      <w:pStyle w:val="Header"/>
      <w:spacing w:before="360" w:line="228" w:lineRule="auto"/>
      <w:ind w:firstLine="1170"/>
    </w:pPr>
    <w:r>
      <w:rPr>
        <w:rFonts w:ascii="CG Times (W1)" w:hAnsi="CG Times (W1)"/>
        <w:sz w:val="28"/>
      </w:rPr>
      <w:t xml:space="preserve"> </w:t>
    </w:r>
    <w:r>
      <w:rPr>
        <w:rFonts w:ascii="CG Times (W1)" w:hAnsi="CG Times (W1)"/>
        <w:sz w:val="28"/>
      </w:rPr>
      <w:t>Federal Communications Commission</w:t>
    </w:r>
  </w:p>
  <w:p w:rsidR="00A46E08" w:rsidP="00287D1B">
    <w:pPr>
      <w:ind w:left="2340" w:firstLine="720"/>
      <w:rPr>
        <w:rFonts w:ascii="CG Times (W1)" w:hAnsi="CG Times (W1)"/>
        <w:sz w:val="28"/>
      </w:rPr>
    </w:pPr>
    <w:r>
      <w:rPr>
        <w:rFonts w:ascii="CG Times (W1)" w:hAnsi="CG Times (W1)"/>
        <w:sz w:val="28"/>
      </w:rPr>
      <w:t>Washington, D.C. 20554</w:t>
    </w:r>
  </w:p>
  <w:p w:rsidR="009F55AA" w:rsidRPr="00287D1B" w:rsidP="00287D1B">
    <w:pPr>
      <w:ind w:left="2520" w:firstLine="720"/>
      <w:rPr>
        <w:sz w:val="24"/>
        <w:szCs w:val="24"/>
      </w:rPr>
    </w:pPr>
    <w:r>
      <w:rPr>
        <w:rFonts w:ascii="CG Times (W1)" w:hAnsi="CG Times (W1)"/>
        <w:sz w:val="28"/>
      </w:rPr>
      <w:t xml:space="preserve"> </w:t>
    </w:r>
    <w:r w:rsidR="00FE0380">
      <w:rPr>
        <w:rFonts w:ascii="CG Times (W1)" w:hAnsi="CG Times (W1)"/>
        <w:sz w:val="28"/>
      </w:rPr>
      <w:t xml:space="preserve">    </w:t>
    </w:r>
    <w:r w:rsidR="00B53BF0">
      <w:rPr>
        <w:rFonts w:ascii="CG Times (W1)" w:hAnsi="CG Times (W1)"/>
        <w:sz w:val="24"/>
        <w:szCs w:val="24"/>
      </w:rPr>
      <w:t>February</w:t>
    </w:r>
    <w:r w:rsidR="00C05560">
      <w:rPr>
        <w:rFonts w:ascii="CG Times (W1)" w:hAnsi="CG Times (W1)"/>
        <w:sz w:val="24"/>
        <w:szCs w:val="24"/>
      </w:rPr>
      <w:t xml:space="preserve"> </w:t>
    </w:r>
    <w:r w:rsidR="005A7756">
      <w:rPr>
        <w:rFonts w:ascii="CG Times (W1)" w:hAnsi="CG Times (W1)"/>
        <w:sz w:val="24"/>
        <w:szCs w:val="24"/>
      </w:rPr>
      <w:t>4</w:t>
    </w:r>
    <w:r w:rsidRPr="00287D1B">
      <w:rPr>
        <w:rFonts w:ascii="CG Times (W1)" w:hAnsi="CG Times (W1)"/>
        <w:sz w:val="24"/>
        <w:szCs w:val="24"/>
      </w:rPr>
      <w:t>, 201</w:t>
    </w:r>
    <w:r w:rsidR="00C05560">
      <w:rPr>
        <w:rFonts w:ascii="CG Times (W1)" w:hAnsi="CG Times (W1)"/>
        <w:sz w:val="24"/>
        <w:szCs w:val="24"/>
      </w:rPr>
      <w:t>9</w:t>
    </w:r>
  </w:p>
  <w:p w:rsidR="00A46E08">
    <w:pPr>
      <w:pStyle w:val="Header"/>
      <w:jc w:val="center"/>
    </w:pPr>
  </w:p>
  <w:p w:rsidR="00A46E08" w:rsidRPr="00BA054F">
    <w:pPr>
      <w:pStyle w:val="Header"/>
      <w:jc w:val="center"/>
      <w:rPr>
        <w:b w:val="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3CB7" w:rsidP="00B53BF0">
    <w:pPr>
      <w:pStyle w:val="Header"/>
      <w:spacing w:before="360" w:line="228" w:lineRule="auto"/>
      <w:ind w:left="180" w:firstLine="1440"/>
      <w:rPr>
        <w:rFonts w:ascii="CG Times (W1)" w:hAnsi="CG Times (W1)"/>
        <w:sz w:val="28"/>
      </w:rPr>
    </w:pPr>
  </w:p>
  <w:p w:rsidR="005F3CB7" w:rsidP="00B53BF0">
    <w:pPr>
      <w:pStyle w:val="Header"/>
      <w:spacing w:before="360" w:line="228" w:lineRule="auto"/>
      <w:ind w:firstLine="1170"/>
    </w:pPr>
    <w:r>
      <w:rPr>
        <w:rFonts w:ascii="CG Times (W1)" w:hAnsi="CG Times (W1)"/>
        <w:sz w:val="28"/>
      </w:rPr>
      <w:t xml:space="preserve"> </w:t>
    </w:r>
  </w:p>
  <w:p w:rsidR="005F3CB7" w:rsidRPr="00BA054F">
    <w:pPr>
      <w:pStyle w:val="Header"/>
      <w:jc w:val="center"/>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65853FE"/>
    <w:lvl w:ilvl="0">
      <w:start w:val="1"/>
      <w:numFmt w:val="decimal"/>
      <w:lvlText w:val="%1."/>
      <w:lvlJc w:val="left"/>
      <w:pPr>
        <w:tabs>
          <w:tab w:val="num" w:pos="1800"/>
        </w:tabs>
        <w:ind w:left="1800" w:hanging="360"/>
      </w:pPr>
    </w:lvl>
  </w:abstractNum>
  <w:abstractNum w:abstractNumId="1">
    <w:nsid w:val="FFFFFF7D"/>
    <w:multiLevelType w:val="singleLevel"/>
    <w:tmpl w:val="56E0262C"/>
    <w:lvl w:ilvl="0">
      <w:start w:val="1"/>
      <w:numFmt w:val="decimal"/>
      <w:lvlText w:val="%1."/>
      <w:lvlJc w:val="left"/>
      <w:pPr>
        <w:tabs>
          <w:tab w:val="num" w:pos="1440"/>
        </w:tabs>
        <w:ind w:left="1440" w:hanging="360"/>
      </w:pPr>
    </w:lvl>
  </w:abstractNum>
  <w:abstractNum w:abstractNumId="2">
    <w:nsid w:val="FFFFFF7E"/>
    <w:multiLevelType w:val="singleLevel"/>
    <w:tmpl w:val="FCE461E0"/>
    <w:lvl w:ilvl="0">
      <w:start w:val="1"/>
      <w:numFmt w:val="decimal"/>
      <w:lvlText w:val="%1."/>
      <w:lvlJc w:val="left"/>
      <w:pPr>
        <w:tabs>
          <w:tab w:val="num" w:pos="1080"/>
        </w:tabs>
        <w:ind w:left="1080" w:hanging="360"/>
      </w:pPr>
    </w:lvl>
  </w:abstractNum>
  <w:abstractNum w:abstractNumId="3">
    <w:nsid w:val="FFFFFF7F"/>
    <w:multiLevelType w:val="singleLevel"/>
    <w:tmpl w:val="E862986E"/>
    <w:lvl w:ilvl="0">
      <w:start w:val="1"/>
      <w:numFmt w:val="decimal"/>
      <w:lvlText w:val="%1."/>
      <w:lvlJc w:val="left"/>
      <w:pPr>
        <w:tabs>
          <w:tab w:val="num" w:pos="720"/>
        </w:tabs>
        <w:ind w:left="720" w:hanging="360"/>
      </w:pPr>
    </w:lvl>
  </w:abstractNum>
  <w:abstractNum w:abstractNumId="4">
    <w:nsid w:val="FFFFFF80"/>
    <w:multiLevelType w:val="singleLevel"/>
    <w:tmpl w:val="8E1EB1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1282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EA67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2C1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483F88"/>
    <w:lvl w:ilvl="0">
      <w:start w:val="1"/>
      <w:numFmt w:val="decimal"/>
      <w:lvlText w:val="%1."/>
      <w:lvlJc w:val="left"/>
      <w:pPr>
        <w:tabs>
          <w:tab w:val="num" w:pos="360"/>
        </w:tabs>
        <w:ind w:left="360" w:hanging="360"/>
      </w:pPr>
    </w:lvl>
  </w:abstractNum>
  <w:abstractNum w:abstractNumId="9">
    <w:nsid w:val="FFFFFF89"/>
    <w:multiLevelType w:val="singleLevel"/>
    <w:tmpl w:val="A304558E"/>
    <w:lvl w:ilvl="0">
      <w:start w:val="1"/>
      <w:numFmt w:val="bullet"/>
      <w:lvlText w:val=""/>
      <w:lvlJc w:val="left"/>
      <w:pPr>
        <w:tabs>
          <w:tab w:val="num" w:pos="360"/>
        </w:tabs>
        <w:ind w:left="360" w:hanging="360"/>
      </w:pPr>
      <w:rPr>
        <w:rFonts w:ascii="Symbol" w:hAnsi="Symbol" w:hint="default"/>
      </w:rPr>
    </w:lvl>
  </w:abstractNum>
  <w:abstractNum w:abstractNumId="10">
    <w:nsid w:val="01511F61"/>
    <w:multiLevelType w:val="hybridMultilevel"/>
    <w:tmpl w:val="029EB75A"/>
    <w:lvl w:ilvl="0">
      <w:start w:val="1"/>
      <w:numFmt w:val="bullet"/>
      <w:pStyle w:val="StyleParaNum11p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993CD9"/>
    <w:multiLevelType w:val="hybridMultilevel"/>
    <w:tmpl w:val="33DCFFD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25D3CE0"/>
    <w:multiLevelType w:val="hybridMultilevel"/>
    <w:tmpl w:val="2806EAD4"/>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4">
    <w:nsid w:val="19F0458B"/>
    <w:multiLevelType w:val="hybridMultilevel"/>
    <w:tmpl w:val="36C210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AD87814"/>
    <w:multiLevelType w:val="hybridMultilevel"/>
    <w:tmpl w:val="E048D3D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57E7BF8"/>
    <w:multiLevelType w:val="hybridMultilevel"/>
    <w:tmpl w:val="F0A21AB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9">
    <w:nsid w:val="26705A78"/>
    <w:multiLevelType w:val="hybridMultilevel"/>
    <w:tmpl w:val="E8CC7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2F2153DC"/>
    <w:multiLevelType w:val="hybridMultilevel"/>
    <w:tmpl w:val="C2A84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19561BB"/>
    <w:multiLevelType w:val="hybridMultilevel"/>
    <w:tmpl w:val="0592F89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35802FDE"/>
    <w:multiLevelType w:val="hybridMultilevel"/>
    <w:tmpl w:val="D0945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9150EDD"/>
    <w:multiLevelType w:val="hybridMultilevel"/>
    <w:tmpl w:val="F2AE882C"/>
    <w:lvl w:ilvl="0">
      <w:start w:val="1"/>
      <w:numFmt w:val="lowerLetter"/>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5">
    <w:nsid w:val="47CC2B5F"/>
    <w:multiLevelType w:val="hybridMultilevel"/>
    <w:tmpl w:val="FBC42C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50145327"/>
    <w:multiLevelType w:val="hybridMultilevel"/>
    <w:tmpl w:val="95A41A54"/>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8">
    <w:nsid w:val="52C62A42"/>
    <w:multiLevelType w:val="hybridMultilevel"/>
    <w:tmpl w:val="88AA5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831228B"/>
    <w:multiLevelType w:val="hybridMultilevel"/>
    <w:tmpl w:val="A948D64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0">
    <w:nsid w:val="5A2328F7"/>
    <w:multiLevelType w:val="hybridMultilevel"/>
    <w:tmpl w:val="4EBE65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B4662E9"/>
    <w:multiLevelType w:val="hybridMultilevel"/>
    <w:tmpl w:val="B4F2250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1500B80"/>
    <w:multiLevelType w:val="hybridMultilevel"/>
    <w:tmpl w:val="519E88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64D7732"/>
    <w:multiLevelType w:val="hybridMultilevel"/>
    <w:tmpl w:val="23EA2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9360EF7"/>
    <w:multiLevelType w:val="hybridMultilevel"/>
    <w:tmpl w:val="786687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B5A2C9E"/>
    <w:multiLevelType w:val="hybridMultilevel"/>
    <w:tmpl w:val="B69CF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C2F0C31"/>
    <w:multiLevelType w:val="hybridMultilevel"/>
    <w:tmpl w:val="F03CC4C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6C5B3D99"/>
    <w:multiLevelType w:val="hybridMultilevel"/>
    <w:tmpl w:val="DB20199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73DD42AB"/>
    <w:multiLevelType w:val="hybridMultilevel"/>
    <w:tmpl w:val="B73CE8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4E5413F"/>
    <w:multiLevelType w:val="hybridMultilevel"/>
    <w:tmpl w:val="A4000F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8522EC4"/>
    <w:multiLevelType w:val="hybridMultilevel"/>
    <w:tmpl w:val="BE568D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0"/>
  </w:num>
  <w:num w:numId="2">
    <w:abstractNumId w:val="32"/>
  </w:num>
  <w:num w:numId="3">
    <w:abstractNumId w:val="10"/>
  </w:num>
  <w:num w:numId="4">
    <w:abstractNumId w:val="30"/>
  </w:num>
  <w:num w:numId="5">
    <w:abstractNumId w:val="33"/>
  </w:num>
  <w:num w:numId="6">
    <w:abstractNumId w:val="20"/>
  </w:num>
  <w:num w:numId="7">
    <w:abstractNumId w:val="39"/>
  </w:num>
  <w:num w:numId="8">
    <w:abstractNumId w:val="20"/>
    <w:lvlOverride w:ilvl="0">
      <w:startOverride w:val="1"/>
    </w:lvlOverride>
    <w:lvlOverride w:ilvl="1">
      <w:startOverride w:val="1"/>
    </w:lvlOverride>
    <w:lvlOverride w:ilvl="2">
      <w:startOverride w:val="1"/>
    </w:lvlOverride>
    <w:lvlOverride w:ilvl="3">
      <w:startOverride w:val="3"/>
    </w:lvlOverride>
  </w:num>
  <w:num w:numId="9">
    <w:abstractNumId w:val="40"/>
  </w:num>
  <w:num w:numId="10">
    <w:abstractNumId w:val="20"/>
  </w:num>
  <w:num w:numId="11">
    <w:abstractNumId w:val="20"/>
  </w:num>
  <w:num w:numId="12">
    <w:abstractNumId w:val="25"/>
  </w:num>
  <w:num w:numId="13">
    <w:abstractNumId w:val="14"/>
  </w:num>
  <w:num w:numId="14">
    <w:abstractNumId w:val="24"/>
  </w:num>
  <w:num w:numId="15">
    <w:abstractNumId w:val="38"/>
  </w:num>
  <w:num w:numId="16">
    <w:abstractNumId w:val="27"/>
  </w:num>
  <w:num w:numId="17">
    <w:abstractNumId w:val="28"/>
  </w:num>
  <w:num w:numId="18">
    <w:abstractNumId w:val="20"/>
  </w:num>
  <w:num w:numId="19">
    <w:abstractNumId w:val="20"/>
  </w:num>
  <w:num w:numId="20">
    <w:abstractNumId w:val="13"/>
  </w:num>
  <w:num w:numId="21">
    <w:abstractNumId w:val="12"/>
  </w:num>
  <w:num w:numId="22">
    <w:abstractNumId w:val="16"/>
  </w:num>
  <w:num w:numId="23">
    <w:abstractNumId w:val="26"/>
  </w:num>
  <w:num w:numId="24">
    <w:abstractNumId w:val="17"/>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20"/>
  </w:num>
  <w:num w:numId="38">
    <w:abstractNumId w:val="20"/>
  </w:num>
  <w:num w:numId="39">
    <w:abstractNumId w:val="20"/>
  </w:num>
  <w:num w:numId="40">
    <w:abstractNumId w:val="36"/>
  </w:num>
  <w:num w:numId="41">
    <w:abstractNumId w:val="19"/>
  </w:num>
  <w:num w:numId="42">
    <w:abstractNumId w:val="23"/>
  </w:num>
  <w:num w:numId="43">
    <w:abstractNumId w:val="35"/>
  </w:num>
  <w:num w:numId="44">
    <w:abstractNumId w:val="41"/>
  </w:num>
  <w:num w:numId="45">
    <w:abstractNumId w:val="20"/>
  </w:num>
  <w:num w:numId="46">
    <w:abstractNumId w:val="37"/>
  </w:num>
  <w:num w:numId="47">
    <w:abstractNumId w:val="29"/>
  </w:num>
  <w:num w:numId="48">
    <w:abstractNumId w:val="15"/>
  </w:num>
  <w:num w:numId="49">
    <w:abstractNumId w:val="18"/>
  </w:num>
  <w:num w:numId="50">
    <w:abstractNumId w:val="31"/>
  </w:num>
  <w:num w:numId="51">
    <w:abstractNumId w:val="22"/>
  </w:num>
  <w:num w:numId="52">
    <w:abstractNumId w:val="21"/>
  </w:num>
  <w:num w:numId="5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8F"/>
    <w:rsid w:val="00001C3C"/>
    <w:rsid w:val="00002D3E"/>
    <w:rsid w:val="00003198"/>
    <w:rsid w:val="000040D6"/>
    <w:rsid w:val="00012758"/>
    <w:rsid w:val="00013E57"/>
    <w:rsid w:val="000144DE"/>
    <w:rsid w:val="00014AFD"/>
    <w:rsid w:val="0001759E"/>
    <w:rsid w:val="000218B1"/>
    <w:rsid w:val="000222E2"/>
    <w:rsid w:val="0002481F"/>
    <w:rsid w:val="000254C9"/>
    <w:rsid w:val="000257CF"/>
    <w:rsid w:val="000258B3"/>
    <w:rsid w:val="00025F97"/>
    <w:rsid w:val="00026893"/>
    <w:rsid w:val="000272B8"/>
    <w:rsid w:val="000273C2"/>
    <w:rsid w:val="00030A2C"/>
    <w:rsid w:val="000314BA"/>
    <w:rsid w:val="0003246A"/>
    <w:rsid w:val="0003287A"/>
    <w:rsid w:val="0004199F"/>
    <w:rsid w:val="00041EBD"/>
    <w:rsid w:val="0004220D"/>
    <w:rsid w:val="0004540B"/>
    <w:rsid w:val="00045548"/>
    <w:rsid w:val="000455EE"/>
    <w:rsid w:val="000466F7"/>
    <w:rsid w:val="00046ED8"/>
    <w:rsid w:val="000477C8"/>
    <w:rsid w:val="00050072"/>
    <w:rsid w:val="00051B00"/>
    <w:rsid w:val="00051CE1"/>
    <w:rsid w:val="0005323A"/>
    <w:rsid w:val="00053BF1"/>
    <w:rsid w:val="00064601"/>
    <w:rsid w:val="00064DD0"/>
    <w:rsid w:val="0006518E"/>
    <w:rsid w:val="00065D01"/>
    <w:rsid w:val="00065EFD"/>
    <w:rsid w:val="000667EF"/>
    <w:rsid w:val="00066B48"/>
    <w:rsid w:val="00067683"/>
    <w:rsid w:val="00071E09"/>
    <w:rsid w:val="000726B3"/>
    <w:rsid w:val="00073EB6"/>
    <w:rsid w:val="00075A29"/>
    <w:rsid w:val="000767EF"/>
    <w:rsid w:val="00076E17"/>
    <w:rsid w:val="0008131D"/>
    <w:rsid w:val="0008131F"/>
    <w:rsid w:val="000823FC"/>
    <w:rsid w:val="00083EF1"/>
    <w:rsid w:val="000845C0"/>
    <w:rsid w:val="0008729B"/>
    <w:rsid w:val="000876D4"/>
    <w:rsid w:val="00090888"/>
    <w:rsid w:val="00090BC8"/>
    <w:rsid w:val="000918C1"/>
    <w:rsid w:val="0009511A"/>
    <w:rsid w:val="00096E99"/>
    <w:rsid w:val="00097874"/>
    <w:rsid w:val="000A18B5"/>
    <w:rsid w:val="000A2E8B"/>
    <w:rsid w:val="000A31F6"/>
    <w:rsid w:val="000A46F2"/>
    <w:rsid w:val="000A51ED"/>
    <w:rsid w:val="000A6BBD"/>
    <w:rsid w:val="000A779E"/>
    <w:rsid w:val="000B3690"/>
    <w:rsid w:val="000B4606"/>
    <w:rsid w:val="000B5BB6"/>
    <w:rsid w:val="000B7B25"/>
    <w:rsid w:val="000C038F"/>
    <w:rsid w:val="000C0704"/>
    <w:rsid w:val="000C1390"/>
    <w:rsid w:val="000C638B"/>
    <w:rsid w:val="000C6B79"/>
    <w:rsid w:val="000D0B71"/>
    <w:rsid w:val="000D1345"/>
    <w:rsid w:val="000E1C37"/>
    <w:rsid w:val="000E226B"/>
    <w:rsid w:val="000E3D4C"/>
    <w:rsid w:val="000E406B"/>
    <w:rsid w:val="000E422A"/>
    <w:rsid w:val="000E6148"/>
    <w:rsid w:val="000F17D4"/>
    <w:rsid w:val="000F1EB2"/>
    <w:rsid w:val="000F25FD"/>
    <w:rsid w:val="000F4E2C"/>
    <w:rsid w:val="000F4EF7"/>
    <w:rsid w:val="00101090"/>
    <w:rsid w:val="00101704"/>
    <w:rsid w:val="00101A68"/>
    <w:rsid w:val="00101F7B"/>
    <w:rsid w:val="00103CAF"/>
    <w:rsid w:val="001055EA"/>
    <w:rsid w:val="001060D6"/>
    <w:rsid w:val="00107410"/>
    <w:rsid w:val="001179E0"/>
    <w:rsid w:val="00122B29"/>
    <w:rsid w:val="001233CD"/>
    <w:rsid w:val="00127826"/>
    <w:rsid w:val="00130150"/>
    <w:rsid w:val="0013073A"/>
    <w:rsid w:val="00131BB0"/>
    <w:rsid w:val="0013325B"/>
    <w:rsid w:val="001376F4"/>
    <w:rsid w:val="0014041F"/>
    <w:rsid w:val="00140FA5"/>
    <w:rsid w:val="00142B41"/>
    <w:rsid w:val="001467D5"/>
    <w:rsid w:val="0014735B"/>
    <w:rsid w:val="001477BE"/>
    <w:rsid w:val="001533CF"/>
    <w:rsid w:val="0015455C"/>
    <w:rsid w:val="001558FB"/>
    <w:rsid w:val="0015702A"/>
    <w:rsid w:val="0015709B"/>
    <w:rsid w:val="00157203"/>
    <w:rsid w:val="00157484"/>
    <w:rsid w:val="00157C77"/>
    <w:rsid w:val="00161FCB"/>
    <w:rsid w:val="001649EB"/>
    <w:rsid w:val="00164BD9"/>
    <w:rsid w:val="0016688F"/>
    <w:rsid w:val="00166D6C"/>
    <w:rsid w:val="00167EAA"/>
    <w:rsid w:val="001735DB"/>
    <w:rsid w:val="001766FE"/>
    <w:rsid w:val="00177274"/>
    <w:rsid w:val="00180076"/>
    <w:rsid w:val="00181D29"/>
    <w:rsid w:val="00182DC9"/>
    <w:rsid w:val="00183191"/>
    <w:rsid w:val="00184D2B"/>
    <w:rsid w:val="00186D18"/>
    <w:rsid w:val="00187CB8"/>
    <w:rsid w:val="00192BF7"/>
    <w:rsid w:val="00193840"/>
    <w:rsid w:val="00195C13"/>
    <w:rsid w:val="00195C22"/>
    <w:rsid w:val="001A0353"/>
    <w:rsid w:val="001A0962"/>
    <w:rsid w:val="001A0C53"/>
    <w:rsid w:val="001A2C92"/>
    <w:rsid w:val="001A4D82"/>
    <w:rsid w:val="001A54AE"/>
    <w:rsid w:val="001A59B6"/>
    <w:rsid w:val="001A71EB"/>
    <w:rsid w:val="001B0402"/>
    <w:rsid w:val="001B1EA4"/>
    <w:rsid w:val="001B27CA"/>
    <w:rsid w:val="001B2E2E"/>
    <w:rsid w:val="001B3EEE"/>
    <w:rsid w:val="001B48C6"/>
    <w:rsid w:val="001B5119"/>
    <w:rsid w:val="001B6124"/>
    <w:rsid w:val="001C0468"/>
    <w:rsid w:val="001C0A96"/>
    <w:rsid w:val="001C20E1"/>
    <w:rsid w:val="001C40D7"/>
    <w:rsid w:val="001C570F"/>
    <w:rsid w:val="001C719E"/>
    <w:rsid w:val="001C77DD"/>
    <w:rsid w:val="001D1BC4"/>
    <w:rsid w:val="001D2AF4"/>
    <w:rsid w:val="001D48E4"/>
    <w:rsid w:val="001D6122"/>
    <w:rsid w:val="001D675E"/>
    <w:rsid w:val="001D7A15"/>
    <w:rsid w:val="001D7A62"/>
    <w:rsid w:val="001E076D"/>
    <w:rsid w:val="001E0C4A"/>
    <w:rsid w:val="001E1F79"/>
    <w:rsid w:val="001E2DCF"/>
    <w:rsid w:val="001E3339"/>
    <w:rsid w:val="001E364B"/>
    <w:rsid w:val="001E4E01"/>
    <w:rsid w:val="001E71A9"/>
    <w:rsid w:val="001F0056"/>
    <w:rsid w:val="001F0A3E"/>
    <w:rsid w:val="001F124F"/>
    <w:rsid w:val="001F14CF"/>
    <w:rsid w:val="001F1B8E"/>
    <w:rsid w:val="001F64DD"/>
    <w:rsid w:val="001F661E"/>
    <w:rsid w:val="001F67CA"/>
    <w:rsid w:val="001F6BAD"/>
    <w:rsid w:val="001F6F87"/>
    <w:rsid w:val="00202C66"/>
    <w:rsid w:val="00207B56"/>
    <w:rsid w:val="0021019B"/>
    <w:rsid w:val="00211C8D"/>
    <w:rsid w:val="002133F9"/>
    <w:rsid w:val="00213D8C"/>
    <w:rsid w:val="00214E03"/>
    <w:rsid w:val="002153B2"/>
    <w:rsid w:val="00215CE3"/>
    <w:rsid w:val="00220DC4"/>
    <w:rsid w:val="00222A68"/>
    <w:rsid w:val="00222F1E"/>
    <w:rsid w:val="00223546"/>
    <w:rsid w:val="00223738"/>
    <w:rsid w:val="00223D60"/>
    <w:rsid w:val="00224940"/>
    <w:rsid w:val="002253F1"/>
    <w:rsid w:val="002254C6"/>
    <w:rsid w:val="002261EF"/>
    <w:rsid w:val="00233935"/>
    <w:rsid w:val="002343D8"/>
    <w:rsid w:val="00235922"/>
    <w:rsid w:val="00235F96"/>
    <w:rsid w:val="0023683B"/>
    <w:rsid w:val="00237BC3"/>
    <w:rsid w:val="002414AF"/>
    <w:rsid w:val="00243085"/>
    <w:rsid w:val="002430B6"/>
    <w:rsid w:val="0024454D"/>
    <w:rsid w:val="00250F94"/>
    <w:rsid w:val="002516B4"/>
    <w:rsid w:val="002517DE"/>
    <w:rsid w:val="00251D10"/>
    <w:rsid w:val="00251ED5"/>
    <w:rsid w:val="00252166"/>
    <w:rsid w:val="00252A34"/>
    <w:rsid w:val="00254025"/>
    <w:rsid w:val="00255C55"/>
    <w:rsid w:val="002560AA"/>
    <w:rsid w:val="002606EC"/>
    <w:rsid w:val="00261CAE"/>
    <w:rsid w:val="002628D1"/>
    <w:rsid w:val="0026582E"/>
    <w:rsid w:val="00266E9B"/>
    <w:rsid w:val="00267CBA"/>
    <w:rsid w:val="00274B11"/>
    <w:rsid w:val="00275593"/>
    <w:rsid w:val="002808E1"/>
    <w:rsid w:val="002811CA"/>
    <w:rsid w:val="002814A6"/>
    <w:rsid w:val="00281F59"/>
    <w:rsid w:val="0028361F"/>
    <w:rsid w:val="0028476C"/>
    <w:rsid w:val="002854E8"/>
    <w:rsid w:val="002856EF"/>
    <w:rsid w:val="00285B0C"/>
    <w:rsid w:val="00285E3A"/>
    <w:rsid w:val="00285F63"/>
    <w:rsid w:val="00286AB2"/>
    <w:rsid w:val="00287CE8"/>
    <w:rsid w:val="00287D1B"/>
    <w:rsid w:val="0029177D"/>
    <w:rsid w:val="00292861"/>
    <w:rsid w:val="00293119"/>
    <w:rsid w:val="00293445"/>
    <w:rsid w:val="002964FF"/>
    <w:rsid w:val="00296694"/>
    <w:rsid w:val="00297799"/>
    <w:rsid w:val="002A1EA4"/>
    <w:rsid w:val="002A52C0"/>
    <w:rsid w:val="002A624E"/>
    <w:rsid w:val="002A64B8"/>
    <w:rsid w:val="002A7440"/>
    <w:rsid w:val="002B02E0"/>
    <w:rsid w:val="002B14B3"/>
    <w:rsid w:val="002B207B"/>
    <w:rsid w:val="002B26D5"/>
    <w:rsid w:val="002B37DA"/>
    <w:rsid w:val="002B3FDB"/>
    <w:rsid w:val="002B4126"/>
    <w:rsid w:val="002B4334"/>
    <w:rsid w:val="002B595C"/>
    <w:rsid w:val="002B5A4A"/>
    <w:rsid w:val="002B72F0"/>
    <w:rsid w:val="002C0684"/>
    <w:rsid w:val="002C2BBD"/>
    <w:rsid w:val="002C31C5"/>
    <w:rsid w:val="002C5484"/>
    <w:rsid w:val="002C6AF7"/>
    <w:rsid w:val="002D0328"/>
    <w:rsid w:val="002D05AC"/>
    <w:rsid w:val="002D0B43"/>
    <w:rsid w:val="002D0CAE"/>
    <w:rsid w:val="002D3D5E"/>
    <w:rsid w:val="002D4965"/>
    <w:rsid w:val="002D75E5"/>
    <w:rsid w:val="002E0DA9"/>
    <w:rsid w:val="002E3FD0"/>
    <w:rsid w:val="002E53B5"/>
    <w:rsid w:val="002F153D"/>
    <w:rsid w:val="002F198C"/>
    <w:rsid w:val="002F2A7F"/>
    <w:rsid w:val="002F55D2"/>
    <w:rsid w:val="00300562"/>
    <w:rsid w:val="00303EFA"/>
    <w:rsid w:val="00307688"/>
    <w:rsid w:val="00307F7C"/>
    <w:rsid w:val="0031000F"/>
    <w:rsid w:val="00313608"/>
    <w:rsid w:val="00314BFA"/>
    <w:rsid w:val="0031592C"/>
    <w:rsid w:val="00315CEB"/>
    <w:rsid w:val="00316E52"/>
    <w:rsid w:val="0032286B"/>
    <w:rsid w:val="00324D76"/>
    <w:rsid w:val="0032629F"/>
    <w:rsid w:val="0032695A"/>
    <w:rsid w:val="00327F3C"/>
    <w:rsid w:val="00330743"/>
    <w:rsid w:val="003318E0"/>
    <w:rsid w:val="00331B77"/>
    <w:rsid w:val="0033306C"/>
    <w:rsid w:val="00333ED3"/>
    <w:rsid w:val="00334352"/>
    <w:rsid w:val="00334495"/>
    <w:rsid w:val="0033509F"/>
    <w:rsid w:val="0033605C"/>
    <w:rsid w:val="0034071F"/>
    <w:rsid w:val="00340A10"/>
    <w:rsid w:val="0034192F"/>
    <w:rsid w:val="00342469"/>
    <w:rsid w:val="00342662"/>
    <w:rsid w:val="00343655"/>
    <w:rsid w:val="00343B4C"/>
    <w:rsid w:val="00345BBA"/>
    <w:rsid w:val="003467DE"/>
    <w:rsid w:val="00346CA6"/>
    <w:rsid w:val="00346F60"/>
    <w:rsid w:val="003475AD"/>
    <w:rsid w:val="00350B99"/>
    <w:rsid w:val="00352E77"/>
    <w:rsid w:val="00353B19"/>
    <w:rsid w:val="003555D8"/>
    <w:rsid w:val="00356377"/>
    <w:rsid w:val="003566B5"/>
    <w:rsid w:val="003601FB"/>
    <w:rsid w:val="00360770"/>
    <w:rsid w:val="003623FD"/>
    <w:rsid w:val="00363324"/>
    <w:rsid w:val="00363AA0"/>
    <w:rsid w:val="003647BF"/>
    <w:rsid w:val="00364DFE"/>
    <w:rsid w:val="00366902"/>
    <w:rsid w:val="00366C97"/>
    <w:rsid w:val="00367DA5"/>
    <w:rsid w:val="0037027D"/>
    <w:rsid w:val="0037033F"/>
    <w:rsid w:val="003704F0"/>
    <w:rsid w:val="003720CF"/>
    <w:rsid w:val="003723F5"/>
    <w:rsid w:val="003760B9"/>
    <w:rsid w:val="00380296"/>
    <w:rsid w:val="0038074E"/>
    <w:rsid w:val="00384012"/>
    <w:rsid w:val="003862A4"/>
    <w:rsid w:val="00387334"/>
    <w:rsid w:val="0039097D"/>
    <w:rsid w:val="00392216"/>
    <w:rsid w:val="00393E3D"/>
    <w:rsid w:val="00394398"/>
    <w:rsid w:val="00394519"/>
    <w:rsid w:val="00394BCB"/>
    <w:rsid w:val="00395ABF"/>
    <w:rsid w:val="003A12B3"/>
    <w:rsid w:val="003A174E"/>
    <w:rsid w:val="003A1BC2"/>
    <w:rsid w:val="003A2580"/>
    <w:rsid w:val="003A25D4"/>
    <w:rsid w:val="003A2F0D"/>
    <w:rsid w:val="003A3B56"/>
    <w:rsid w:val="003B0D71"/>
    <w:rsid w:val="003B0EFD"/>
    <w:rsid w:val="003B159D"/>
    <w:rsid w:val="003B38AE"/>
    <w:rsid w:val="003B39EF"/>
    <w:rsid w:val="003B4C6B"/>
    <w:rsid w:val="003B6B1B"/>
    <w:rsid w:val="003B6CB5"/>
    <w:rsid w:val="003B7FA1"/>
    <w:rsid w:val="003C1D33"/>
    <w:rsid w:val="003C1E72"/>
    <w:rsid w:val="003C28A6"/>
    <w:rsid w:val="003C2B5A"/>
    <w:rsid w:val="003C4793"/>
    <w:rsid w:val="003C4815"/>
    <w:rsid w:val="003C5046"/>
    <w:rsid w:val="003C76FD"/>
    <w:rsid w:val="003D355E"/>
    <w:rsid w:val="003D357B"/>
    <w:rsid w:val="003D35D9"/>
    <w:rsid w:val="003D44C1"/>
    <w:rsid w:val="003D508D"/>
    <w:rsid w:val="003D5738"/>
    <w:rsid w:val="003D778D"/>
    <w:rsid w:val="003E0449"/>
    <w:rsid w:val="003E11C2"/>
    <w:rsid w:val="003E1C23"/>
    <w:rsid w:val="003E1FB6"/>
    <w:rsid w:val="003E24BF"/>
    <w:rsid w:val="003E2544"/>
    <w:rsid w:val="003E4035"/>
    <w:rsid w:val="003E7765"/>
    <w:rsid w:val="003F2E33"/>
    <w:rsid w:val="003F3ACF"/>
    <w:rsid w:val="003F44B6"/>
    <w:rsid w:val="003F4A6C"/>
    <w:rsid w:val="003F55A0"/>
    <w:rsid w:val="003F5C2E"/>
    <w:rsid w:val="003F69E1"/>
    <w:rsid w:val="00401505"/>
    <w:rsid w:val="00405D8D"/>
    <w:rsid w:val="00414693"/>
    <w:rsid w:val="0041471B"/>
    <w:rsid w:val="00415EDA"/>
    <w:rsid w:val="00417628"/>
    <w:rsid w:val="00420C9E"/>
    <w:rsid w:val="00421177"/>
    <w:rsid w:val="0042136E"/>
    <w:rsid w:val="00421F67"/>
    <w:rsid w:val="0042406A"/>
    <w:rsid w:val="00427D4F"/>
    <w:rsid w:val="00427E41"/>
    <w:rsid w:val="004335E9"/>
    <w:rsid w:val="00433790"/>
    <w:rsid w:val="00441049"/>
    <w:rsid w:val="00442256"/>
    <w:rsid w:val="00442757"/>
    <w:rsid w:val="00444B6A"/>
    <w:rsid w:val="0044606E"/>
    <w:rsid w:val="00446BB5"/>
    <w:rsid w:val="00451B12"/>
    <w:rsid w:val="00452BCF"/>
    <w:rsid w:val="0045360C"/>
    <w:rsid w:val="004536B9"/>
    <w:rsid w:val="00453F0E"/>
    <w:rsid w:val="00454D1D"/>
    <w:rsid w:val="00455994"/>
    <w:rsid w:val="00455B83"/>
    <w:rsid w:val="00456D69"/>
    <w:rsid w:val="004578E0"/>
    <w:rsid w:val="00457B1E"/>
    <w:rsid w:val="00457C45"/>
    <w:rsid w:val="004607B3"/>
    <w:rsid w:val="00461B2F"/>
    <w:rsid w:val="00464401"/>
    <w:rsid w:val="004663DF"/>
    <w:rsid w:val="0046662B"/>
    <w:rsid w:val="00470ACC"/>
    <w:rsid w:val="0047655F"/>
    <w:rsid w:val="004768D2"/>
    <w:rsid w:val="00477220"/>
    <w:rsid w:val="00481169"/>
    <w:rsid w:val="004855D0"/>
    <w:rsid w:val="0048580A"/>
    <w:rsid w:val="00487D69"/>
    <w:rsid w:val="004901B6"/>
    <w:rsid w:val="00490BE1"/>
    <w:rsid w:val="004918AD"/>
    <w:rsid w:val="00492641"/>
    <w:rsid w:val="00492EC9"/>
    <w:rsid w:val="0049306B"/>
    <w:rsid w:val="004950CE"/>
    <w:rsid w:val="00496FB3"/>
    <w:rsid w:val="004A017A"/>
    <w:rsid w:val="004A054B"/>
    <w:rsid w:val="004A068C"/>
    <w:rsid w:val="004A318F"/>
    <w:rsid w:val="004A43EF"/>
    <w:rsid w:val="004A4E6B"/>
    <w:rsid w:val="004A6062"/>
    <w:rsid w:val="004A6117"/>
    <w:rsid w:val="004A6629"/>
    <w:rsid w:val="004A6A6A"/>
    <w:rsid w:val="004A735A"/>
    <w:rsid w:val="004B1558"/>
    <w:rsid w:val="004B1666"/>
    <w:rsid w:val="004B233A"/>
    <w:rsid w:val="004B6C55"/>
    <w:rsid w:val="004B758D"/>
    <w:rsid w:val="004C274D"/>
    <w:rsid w:val="004C2E7C"/>
    <w:rsid w:val="004C474F"/>
    <w:rsid w:val="004C4D77"/>
    <w:rsid w:val="004D00EF"/>
    <w:rsid w:val="004D3352"/>
    <w:rsid w:val="004D6607"/>
    <w:rsid w:val="004E0B7A"/>
    <w:rsid w:val="004E3629"/>
    <w:rsid w:val="004E3B22"/>
    <w:rsid w:val="004E3DBA"/>
    <w:rsid w:val="004E4162"/>
    <w:rsid w:val="004E43FA"/>
    <w:rsid w:val="004E4D86"/>
    <w:rsid w:val="004E50F1"/>
    <w:rsid w:val="004E76CC"/>
    <w:rsid w:val="004E7C56"/>
    <w:rsid w:val="004F2B24"/>
    <w:rsid w:val="004F5471"/>
    <w:rsid w:val="004F588C"/>
    <w:rsid w:val="004F5895"/>
    <w:rsid w:val="004F59C5"/>
    <w:rsid w:val="004F6BE8"/>
    <w:rsid w:val="004F7788"/>
    <w:rsid w:val="005004DE"/>
    <w:rsid w:val="00505FAA"/>
    <w:rsid w:val="00514195"/>
    <w:rsid w:val="005165CC"/>
    <w:rsid w:val="00516D35"/>
    <w:rsid w:val="00517B62"/>
    <w:rsid w:val="0052108C"/>
    <w:rsid w:val="005212B0"/>
    <w:rsid w:val="00521FFF"/>
    <w:rsid w:val="005221E1"/>
    <w:rsid w:val="00523C72"/>
    <w:rsid w:val="005275A0"/>
    <w:rsid w:val="00527707"/>
    <w:rsid w:val="00527A8C"/>
    <w:rsid w:val="00531324"/>
    <w:rsid w:val="00532916"/>
    <w:rsid w:val="005334AC"/>
    <w:rsid w:val="00533590"/>
    <w:rsid w:val="00534E88"/>
    <w:rsid w:val="00537050"/>
    <w:rsid w:val="00537103"/>
    <w:rsid w:val="005416C7"/>
    <w:rsid w:val="0054301C"/>
    <w:rsid w:val="0054614F"/>
    <w:rsid w:val="00546BE1"/>
    <w:rsid w:val="005478BB"/>
    <w:rsid w:val="005478D5"/>
    <w:rsid w:val="00551AD6"/>
    <w:rsid w:val="00554785"/>
    <w:rsid w:val="0055580B"/>
    <w:rsid w:val="00557AC6"/>
    <w:rsid w:val="0056248F"/>
    <w:rsid w:val="00562DA2"/>
    <w:rsid w:val="00562F09"/>
    <w:rsid w:val="00565D50"/>
    <w:rsid w:val="0056687B"/>
    <w:rsid w:val="005677FB"/>
    <w:rsid w:val="00572E49"/>
    <w:rsid w:val="0057331F"/>
    <w:rsid w:val="00576595"/>
    <w:rsid w:val="00576D4A"/>
    <w:rsid w:val="00577603"/>
    <w:rsid w:val="005814C7"/>
    <w:rsid w:val="0058282E"/>
    <w:rsid w:val="00584892"/>
    <w:rsid w:val="0058501D"/>
    <w:rsid w:val="00585535"/>
    <w:rsid w:val="00585AE2"/>
    <w:rsid w:val="0059117A"/>
    <w:rsid w:val="00591368"/>
    <w:rsid w:val="0059162E"/>
    <w:rsid w:val="00591EE6"/>
    <w:rsid w:val="00595950"/>
    <w:rsid w:val="005961FE"/>
    <w:rsid w:val="00596467"/>
    <w:rsid w:val="005964AA"/>
    <w:rsid w:val="0059659F"/>
    <w:rsid w:val="00597C9D"/>
    <w:rsid w:val="005A055B"/>
    <w:rsid w:val="005A28E0"/>
    <w:rsid w:val="005A4363"/>
    <w:rsid w:val="005A65DC"/>
    <w:rsid w:val="005A6EC3"/>
    <w:rsid w:val="005A7756"/>
    <w:rsid w:val="005B0053"/>
    <w:rsid w:val="005B0D0C"/>
    <w:rsid w:val="005B2A96"/>
    <w:rsid w:val="005B2BF3"/>
    <w:rsid w:val="005B3554"/>
    <w:rsid w:val="005B391B"/>
    <w:rsid w:val="005B3A77"/>
    <w:rsid w:val="005B528D"/>
    <w:rsid w:val="005C5D73"/>
    <w:rsid w:val="005C7448"/>
    <w:rsid w:val="005C7ACF"/>
    <w:rsid w:val="005C7EA7"/>
    <w:rsid w:val="005D25CD"/>
    <w:rsid w:val="005D29EB"/>
    <w:rsid w:val="005D2B42"/>
    <w:rsid w:val="005D3232"/>
    <w:rsid w:val="005D36FA"/>
    <w:rsid w:val="005D380C"/>
    <w:rsid w:val="005D3DBB"/>
    <w:rsid w:val="005D4844"/>
    <w:rsid w:val="005E2C65"/>
    <w:rsid w:val="005E32E4"/>
    <w:rsid w:val="005E3B5B"/>
    <w:rsid w:val="005E507E"/>
    <w:rsid w:val="005E5604"/>
    <w:rsid w:val="005E6226"/>
    <w:rsid w:val="005E6583"/>
    <w:rsid w:val="005F1840"/>
    <w:rsid w:val="005F3CB7"/>
    <w:rsid w:val="005F5A22"/>
    <w:rsid w:val="005F70C6"/>
    <w:rsid w:val="005F7C11"/>
    <w:rsid w:val="006001C7"/>
    <w:rsid w:val="00601C22"/>
    <w:rsid w:val="00601C87"/>
    <w:rsid w:val="0060241E"/>
    <w:rsid w:val="00606167"/>
    <w:rsid w:val="00606442"/>
    <w:rsid w:val="00610873"/>
    <w:rsid w:val="00610FEE"/>
    <w:rsid w:val="0061123F"/>
    <w:rsid w:val="00612F67"/>
    <w:rsid w:val="0061371C"/>
    <w:rsid w:val="006206C4"/>
    <w:rsid w:val="00622587"/>
    <w:rsid w:val="00622979"/>
    <w:rsid w:val="00624465"/>
    <w:rsid w:val="00624D26"/>
    <w:rsid w:val="00630042"/>
    <w:rsid w:val="00632BCE"/>
    <w:rsid w:val="00633FAB"/>
    <w:rsid w:val="0063433B"/>
    <w:rsid w:val="00634625"/>
    <w:rsid w:val="006348A9"/>
    <w:rsid w:val="00636162"/>
    <w:rsid w:val="0063693F"/>
    <w:rsid w:val="00637022"/>
    <w:rsid w:val="00640727"/>
    <w:rsid w:val="00642669"/>
    <w:rsid w:val="00642AF4"/>
    <w:rsid w:val="00650674"/>
    <w:rsid w:val="00652294"/>
    <w:rsid w:val="00653CC1"/>
    <w:rsid w:val="0065463E"/>
    <w:rsid w:val="006552B0"/>
    <w:rsid w:val="00661F5F"/>
    <w:rsid w:val="0066316F"/>
    <w:rsid w:val="006634AF"/>
    <w:rsid w:val="00664ED4"/>
    <w:rsid w:val="00665124"/>
    <w:rsid w:val="006657E9"/>
    <w:rsid w:val="006664E0"/>
    <w:rsid w:val="0066701D"/>
    <w:rsid w:val="00667062"/>
    <w:rsid w:val="00667700"/>
    <w:rsid w:val="00673B17"/>
    <w:rsid w:val="00675FC8"/>
    <w:rsid w:val="00676EF0"/>
    <w:rsid w:val="0068034E"/>
    <w:rsid w:val="00684E53"/>
    <w:rsid w:val="00685B62"/>
    <w:rsid w:val="00685FEC"/>
    <w:rsid w:val="006867D5"/>
    <w:rsid w:val="00692C9B"/>
    <w:rsid w:val="00693EE3"/>
    <w:rsid w:val="00694A8A"/>
    <w:rsid w:val="0069533D"/>
    <w:rsid w:val="00695389"/>
    <w:rsid w:val="006960ED"/>
    <w:rsid w:val="00697DF8"/>
    <w:rsid w:val="006A07DC"/>
    <w:rsid w:val="006A260B"/>
    <w:rsid w:val="006A2CA0"/>
    <w:rsid w:val="006A454E"/>
    <w:rsid w:val="006A55EF"/>
    <w:rsid w:val="006A5778"/>
    <w:rsid w:val="006A5922"/>
    <w:rsid w:val="006A6BD7"/>
    <w:rsid w:val="006A73C6"/>
    <w:rsid w:val="006B1B7E"/>
    <w:rsid w:val="006B2058"/>
    <w:rsid w:val="006B2701"/>
    <w:rsid w:val="006B341A"/>
    <w:rsid w:val="006B54D9"/>
    <w:rsid w:val="006B6213"/>
    <w:rsid w:val="006C0E63"/>
    <w:rsid w:val="006C174B"/>
    <w:rsid w:val="006C392B"/>
    <w:rsid w:val="006C5E52"/>
    <w:rsid w:val="006D0354"/>
    <w:rsid w:val="006D1A14"/>
    <w:rsid w:val="006D273D"/>
    <w:rsid w:val="006D2F94"/>
    <w:rsid w:val="006D4118"/>
    <w:rsid w:val="006D4A8C"/>
    <w:rsid w:val="006D4F25"/>
    <w:rsid w:val="006E0FC0"/>
    <w:rsid w:val="006E1154"/>
    <w:rsid w:val="006E1654"/>
    <w:rsid w:val="006E18AD"/>
    <w:rsid w:val="006E225E"/>
    <w:rsid w:val="006E366B"/>
    <w:rsid w:val="006E3F77"/>
    <w:rsid w:val="006E5A15"/>
    <w:rsid w:val="006F14C8"/>
    <w:rsid w:val="006F3F40"/>
    <w:rsid w:val="006F59FB"/>
    <w:rsid w:val="006F5F33"/>
    <w:rsid w:val="006F724B"/>
    <w:rsid w:val="006F770C"/>
    <w:rsid w:val="0070128F"/>
    <w:rsid w:val="00703035"/>
    <w:rsid w:val="007034BB"/>
    <w:rsid w:val="00703DB9"/>
    <w:rsid w:val="00704550"/>
    <w:rsid w:val="0070622D"/>
    <w:rsid w:val="0070653A"/>
    <w:rsid w:val="007071F4"/>
    <w:rsid w:val="00707C3F"/>
    <w:rsid w:val="00712BF6"/>
    <w:rsid w:val="007148EA"/>
    <w:rsid w:val="007166DD"/>
    <w:rsid w:val="00717446"/>
    <w:rsid w:val="00720868"/>
    <w:rsid w:val="007232ED"/>
    <w:rsid w:val="0073112B"/>
    <w:rsid w:val="0073204F"/>
    <w:rsid w:val="00732E80"/>
    <w:rsid w:val="007331F6"/>
    <w:rsid w:val="00733869"/>
    <w:rsid w:val="00733C7A"/>
    <w:rsid w:val="0073410C"/>
    <w:rsid w:val="00734B20"/>
    <w:rsid w:val="00734D16"/>
    <w:rsid w:val="0073542B"/>
    <w:rsid w:val="007354D5"/>
    <w:rsid w:val="007370ED"/>
    <w:rsid w:val="00737D60"/>
    <w:rsid w:val="00741797"/>
    <w:rsid w:val="007430A2"/>
    <w:rsid w:val="0074750C"/>
    <w:rsid w:val="007521C3"/>
    <w:rsid w:val="0075240E"/>
    <w:rsid w:val="007549A5"/>
    <w:rsid w:val="0075510F"/>
    <w:rsid w:val="00755599"/>
    <w:rsid w:val="00755665"/>
    <w:rsid w:val="00760A9D"/>
    <w:rsid w:val="00764262"/>
    <w:rsid w:val="00764523"/>
    <w:rsid w:val="007673BE"/>
    <w:rsid w:val="00767F4E"/>
    <w:rsid w:val="007713FC"/>
    <w:rsid w:val="007735F4"/>
    <w:rsid w:val="0077399E"/>
    <w:rsid w:val="00774176"/>
    <w:rsid w:val="00774A74"/>
    <w:rsid w:val="00776FB1"/>
    <w:rsid w:val="00777D3C"/>
    <w:rsid w:val="007804DD"/>
    <w:rsid w:val="0078386B"/>
    <w:rsid w:val="00784883"/>
    <w:rsid w:val="00784C59"/>
    <w:rsid w:val="00784E98"/>
    <w:rsid w:val="00785962"/>
    <w:rsid w:val="007864EE"/>
    <w:rsid w:val="00787DD0"/>
    <w:rsid w:val="00787FA4"/>
    <w:rsid w:val="00792A75"/>
    <w:rsid w:val="00795472"/>
    <w:rsid w:val="00796DE7"/>
    <w:rsid w:val="00796E88"/>
    <w:rsid w:val="007973E4"/>
    <w:rsid w:val="007A0C59"/>
    <w:rsid w:val="007A1306"/>
    <w:rsid w:val="007A1C0C"/>
    <w:rsid w:val="007A2A77"/>
    <w:rsid w:val="007A3E9A"/>
    <w:rsid w:val="007A4D36"/>
    <w:rsid w:val="007A57DF"/>
    <w:rsid w:val="007A5F65"/>
    <w:rsid w:val="007A64E1"/>
    <w:rsid w:val="007A6BF6"/>
    <w:rsid w:val="007A6EF7"/>
    <w:rsid w:val="007A73FD"/>
    <w:rsid w:val="007B05FB"/>
    <w:rsid w:val="007B0A1D"/>
    <w:rsid w:val="007B0BB5"/>
    <w:rsid w:val="007B12FB"/>
    <w:rsid w:val="007B1C31"/>
    <w:rsid w:val="007B3B74"/>
    <w:rsid w:val="007B4839"/>
    <w:rsid w:val="007B5107"/>
    <w:rsid w:val="007B59BC"/>
    <w:rsid w:val="007B6807"/>
    <w:rsid w:val="007B6AE4"/>
    <w:rsid w:val="007C0EF1"/>
    <w:rsid w:val="007C1BF2"/>
    <w:rsid w:val="007C610F"/>
    <w:rsid w:val="007C741B"/>
    <w:rsid w:val="007C754A"/>
    <w:rsid w:val="007C7AB6"/>
    <w:rsid w:val="007D0DF1"/>
    <w:rsid w:val="007D1187"/>
    <w:rsid w:val="007D236E"/>
    <w:rsid w:val="007D23D7"/>
    <w:rsid w:val="007D4A50"/>
    <w:rsid w:val="007D6B31"/>
    <w:rsid w:val="007D6D40"/>
    <w:rsid w:val="007D7E4B"/>
    <w:rsid w:val="007E331F"/>
    <w:rsid w:val="007E4D62"/>
    <w:rsid w:val="007E51FC"/>
    <w:rsid w:val="007E5D88"/>
    <w:rsid w:val="007E6B59"/>
    <w:rsid w:val="007E71FD"/>
    <w:rsid w:val="007E76BC"/>
    <w:rsid w:val="007F1F0E"/>
    <w:rsid w:val="007F3BA6"/>
    <w:rsid w:val="007F4231"/>
    <w:rsid w:val="007F4BF7"/>
    <w:rsid w:val="007F5803"/>
    <w:rsid w:val="007F659F"/>
    <w:rsid w:val="007F783D"/>
    <w:rsid w:val="00802371"/>
    <w:rsid w:val="008047B1"/>
    <w:rsid w:val="00804B7D"/>
    <w:rsid w:val="00805888"/>
    <w:rsid w:val="008062A3"/>
    <w:rsid w:val="00807030"/>
    <w:rsid w:val="008073E2"/>
    <w:rsid w:val="00807C17"/>
    <w:rsid w:val="0081665B"/>
    <w:rsid w:val="008175EC"/>
    <w:rsid w:val="00820341"/>
    <w:rsid w:val="008210BE"/>
    <w:rsid w:val="008223D7"/>
    <w:rsid w:val="008231EA"/>
    <w:rsid w:val="00823750"/>
    <w:rsid w:val="0082468D"/>
    <w:rsid w:val="0082493B"/>
    <w:rsid w:val="0083079C"/>
    <w:rsid w:val="00833157"/>
    <w:rsid w:val="00833B85"/>
    <w:rsid w:val="008344F1"/>
    <w:rsid w:val="0083496F"/>
    <w:rsid w:val="00835BA6"/>
    <w:rsid w:val="00836030"/>
    <w:rsid w:val="00837C34"/>
    <w:rsid w:val="00841231"/>
    <w:rsid w:val="0084237C"/>
    <w:rsid w:val="0084392B"/>
    <w:rsid w:val="00844028"/>
    <w:rsid w:val="0084525E"/>
    <w:rsid w:val="00845BF7"/>
    <w:rsid w:val="00850C74"/>
    <w:rsid w:val="00850F22"/>
    <w:rsid w:val="008540D8"/>
    <w:rsid w:val="0085481A"/>
    <w:rsid w:val="0085608B"/>
    <w:rsid w:val="0086010D"/>
    <w:rsid w:val="008602B5"/>
    <w:rsid w:val="00860892"/>
    <w:rsid w:val="00860D13"/>
    <w:rsid w:val="0086183D"/>
    <w:rsid w:val="00862F17"/>
    <w:rsid w:val="008636F3"/>
    <w:rsid w:val="008654CB"/>
    <w:rsid w:val="008655DB"/>
    <w:rsid w:val="00867702"/>
    <w:rsid w:val="00867B20"/>
    <w:rsid w:val="00870C8D"/>
    <w:rsid w:val="008714B2"/>
    <w:rsid w:val="00871CB7"/>
    <w:rsid w:val="00873665"/>
    <w:rsid w:val="00873750"/>
    <w:rsid w:val="008756BA"/>
    <w:rsid w:val="00875F41"/>
    <w:rsid w:val="00876317"/>
    <w:rsid w:val="00877564"/>
    <w:rsid w:val="00881EEB"/>
    <w:rsid w:val="008827EE"/>
    <w:rsid w:val="00882DED"/>
    <w:rsid w:val="00884AF9"/>
    <w:rsid w:val="00885B9E"/>
    <w:rsid w:val="00887B51"/>
    <w:rsid w:val="00887C30"/>
    <w:rsid w:val="00887E5E"/>
    <w:rsid w:val="00887F90"/>
    <w:rsid w:val="00890170"/>
    <w:rsid w:val="00890E5C"/>
    <w:rsid w:val="00892C67"/>
    <w:rsid w:val="00892F67"/>
    <w:rsid w:val="00892F68"/>
    <w:rsid w:val="00892FDF"/>
    <w:rsid w:val="00894F5D"/>
    <w:rsid w:val="0089649F"/>
    <w:rsid w:val="008A0BCE"/>
    <w:rsid w:val="008A2546"/>
    <w:rsid w:val="008A26BC"/>
    <w:rsid w:val="008A4B1C"/>
    <w:rsid w:val="008A5D99"/>
    <w:rsid w:val="008A68CC"/>
    <w:rsid w:val="008A699C"/>
    <w:rsid w:val="008A7972"/>
    <w:rsid w:val="008B2034"/>
    <w:rsid w:val="008B258F"/>
    <w:rsid w:val="008B3282"/>
    <w:rsid w:val="008B69CA"/>
    <w:rsid w:val="008C01F5"/>
    <w:rsid w:val="008C0924"/>
    <w:rsid w:val="008C2AB1"/>
    <w:rsid w:val="008C31FD"/>
    <w:rsid w:val="008C34B6"/>
    <w:rsid w:val="008C4234"/>
    <w:rsid w:val="008C4C70"/>
    <w:rsid w:val="008C5271"/>
    <w:rsid w:val="008C6C92"/>
    <w:rsid w:val="008C705C"/>
    <w:rsid w:val="008C7DD0"/>
    <w:rsid w:val="008D0824"/>
    <w:rsid w:val="008D1F45"/>
    <w:rsid w:val="008D3B69"/>
    <w:rsid w:val="008D5A87"/>
    <w:rsid w:val="008E001C"/>
    <w:rsid w:val="008E2C3A"/>
    <w:rsid w:val="008E420D"/>
    <w:rsid w:val="008E4C16"/>
    <w:rsid w:val="008E6C25"/>
    <w:rsid w:val="008E7A20"/>
    <w:rsid w:val="008F1787"/>
    <w:rsid w:val="008F2524"/>
    <w:rsid w:val="008F5B55"/>
    <w:rsid w:val="008F6083"/>
    <w:rsid w:val="008F614E"/>
    <w:rsid w:val="008F6A3A"/>
    <w:rsid w:val="009003C9"/>
    <w:rsid w:val="009021BF"/>
    <w:rsid w:val="00902515"/>
    <w:rsid w:val="00902A2D"/>
    <w:rsid w:val="0090365E"/>
    <w:rsid w:val="00903CE3"/>
    <w:rsid w:val="00903E45"/>
    <w:rsid w:val="0090409A"/>
    <w:rsid w:val="0090475F"/>
    <w:rsid w:val="009067E8"/>
    <w:rsid w:val="00907C8D"/>
    <w:rsid w:val="009112E9"/>
    <w:rsid w:val="00911BDA"/>
    <w:rsid w:val="009137BB"/>
    <w:rsid w:val="00913F70"/>
    <w:rsid w:val="0092168E"/>
    <w:rsid w:val="0092503D"/>
    <w:rsid w:val="00925F55"/>
    <w:rsid w:val="00930391"/>
    <w:rsid w:val="00931341"/>
    <w:rsid w:val="00932F13"/>
    <w:rsid w:val="0093349E"/>
    <w:rsid w:val="00933C8B"/>
    <w:rsid w:val="00933F39"/>
    <w:rsid w:val="0093495C"/>
    <w:rsid w:val="00937820"/>
    <w:rsid w:val="009422B4"/>
    <w:rsid w:val="00942FD2"/>
    <w:rsid w:val="009437CA"/>
    <w:rsid w:val="00945C5A"/>
    <w:rsid w:val="00946C74"/>
    <w:rsid w:val="00947990"/>
    <w:rsid w:val="00947D8F"/>
    <w:rsid w:val="00951D97"/>
    <w:rsid w:val="0095238E"/>
    <w:rsid w:val="00953D7C"/>
    <w:rsid w:val="00955AE6"/>
    <w:rsid w:val="00955CA6"/>
    <w:rsid w:val="00955D88"/>
    <w:rsid w:val="00961FD3"/>
    <w:rsid w:val="00965229"/>
    <w:rsid w:val="00966A71"/>
    <w:rsid w:val="00966DC3"/>
    <w:rsid w:val="009759A6"/>
    <w:rsid w:val="009779DD"/>
    <w:rsid w:val="00980748"/>
    <w:rsid w:val="0098116C"/>
    <w:rsid w:val="00981C58"/>
    <w:rsid w:val="00984BCC"/>
    <w:rsid w:val="009854CD"/>
    <w:rsid w:val="00990E38"/>
    <w:rsid w:val="009948EC"/>
    <w:rsid w:val="00996DF6"/>
    <w:rsid w:val="009A1900"/>
    <w:rsid w:val="009A1B23"/>
    <w:rsid w:val="009A4F20"/>
    <w:rsid w:val="009A633E"/>
    <w:rsid w:val="009A792D"/>
    <w:rsid w:val="009A7D9C"/>
    <w:rsid w:val="009B0866"/>
    <w:rsid w:val="009B0D32"/>
    <w:rsid w:val="009B1AF0"/>
    <w:rsid w:val="009B4524"/>
    <w:rsid w:val="009B464F"/>
    <w:rsid w:val="009B6206"/>
    <w:rsid w:val="009C2AB3"/>
    <w:rsid w:val="009C3F67"/>
    <w:rsid w:val="009C4A44"/>
    <w:rsid w:val="009D447A"/>
    <w:rsid w:val="009D4755"/>
    <w:rsid w:val="009D5C46"/>
    <w:rsid w:val="009D5CC8"/>
    <w:rsid w:val="009D7437"/>
    <w:rsid w:val="009E1464"/>
    <w:rsid w:val="009E2184"/>
    <w:rsid w:val="009E2416"/>
    <w:rsid w:val="009E32B3"/>
    <w:rsid w:val="009E4536"/>
    <w:rsid w:val="009F0142"/>
    <w:rsid w:val="009F0AB8"/>
    <w:rsid w:val="009F2F5C"/>
    <w:rsid w:val="009F3301"/>
    <w:rsid w:val="009F4B83"/>
    <w:rsid w:val="009F55AA"/>
    <w:rsid w:val="009F5DE7"/>
    <w:rsid w:val="009F6AEF"/>
    <w:rsid w:val="009F7C6D"/>
    <w:rsid w:val="00A00259"/>
    <w:rsid w:val="00A0053E"/>
    <w:rsid w:val="00A03104"/>
    <w:rsid w:val="00A03BCB"/>
    <w:rsid w:val="00A07601"/>
    <w:rsid w:val="00A10475"/>
    <w:rsid w:val="00A106D8"/>
    <w:rsid w:val="00A1362D"/>
    <w:rsid w:val="00A14D41"/>
    <w:rsid w:val="00A1514F"/>
    <w:rsid w:val="00A155D4"/>
    <w:rsid w:val="00A158A7"/>
    <w:rsid w:val="00A15D14"/>
    <w:rsid w:val="00A163A0"/>
    <w:rsid w:val="00A1668E"/>
    <w:rsid w:val="00A16EB4"/>
    <w:rsid w:val="00A176E0"/>
    <w:rsid w:val="00A206A2"/>
    <w:rsid w:val="00A231C9"/>
    <w:rsid w:val="00A242BF"/>
    <w:rsid w:val="00A2451E"/>
    <w:rsid w:val="00A24A55"/>
    <w:rsid w:val="00A24FC9"/>
    <w:rsid w:val="00A25760"/>
    <w:rsid w:val="00A26AC1"/>
    <w:rsid w:val="00A27C81"/>
    <w:rsid w:val="00A33086"/>
    <w:rsid w:val="00A37A15"/>
    <w:rsid w:val="00A37DAF"/>
    <w:rsid w:val="00A40508"/>
    <w:rsid w:val="00A4059B"/>
    <w:rsid w:val="00A4172F"/>
    <w:rsid w:val="00A435DB"/>
    <w:rsid w:val="00A45DC0"/>
    <w:rsid w:val="00A46E08"/>
    <w:rsid w:val="00A50E9C"/>
    <w:rsid w:val="00A51D30"/>
    <w:rsid w:val="00A53309"/>
    <w:rsid w:val="00A54340"/>
    <w:rsid w:val="00A552C5"/>
    <w:rsid w:val="00A57B9C"/>
    <w:rsid w:val="00A61281"/>
    <w:rsid w:val="00A61320"/>
    <w:rsid w:val="00A61DB0"/>
    <w:rsid w:val="00A61F97"/>
    <w:rsid w:val="00A62B7D"/>
    <w:rsid w:val="00A634D4"/>
    <w:rsid w:val="00A63EFF"/>
    <w:rsid w:val="00A6587B"/>
    <w:rsid w:val="00A660C5"/>
    <w:rsid w:val="00A6642E"/>
    <w:rsid w:val="00A66ED1"/>
    <w:rsid w:val="00A676C2"/>
    <w:rsid w:val="00A700D9"/>
    <w:rsid w:val="00A723CF"/>
    <w:rsid w:val="00A73122"/>
    <w:rsid w:val="00A736E3"/>
    <w:rsid w:val="00A74443"/>
    <w:rsid w:val="00A7668B"/>
    <w:rsid w:val="00A81444"/>
    <w:rsid w:val="00A81E3E"/>
    <w:rsid w:val="00A8231A"/>
    <w:rsid w:val="00A84B5A"/>
    <w:rsid w:val="00A84FCD"/>
    <w:rsid w:val="00A86135"/>
    <w:rsid w:val="00A90132"/>
    <w:rsid w:val="00A91685"/>
    <w:rsid w:val="00A917D4"/>
    <w:rsid w:val="00A92CE0"/>
    <w:rsid w:val="00A9302F"/>
    <w:rsid w:val="00A93D68"/>
    <w:rsid w:val="00A94C73"/>
    <w:rsid w:val="00A95103"/>
    <w:rsid w:val="00A954C3"/>
    <w:rsid w:val="00A96BA8"/>
    <w:rsid w:val="00A9761C"/>
    <w:rsid w:val="00A97FC1"/>
    <w:rsid w:val="00AA0D10"/>
    <w:rsid w:val="00AA2527"/>
    <w:rsid w:val="00AA34ED"/>
    <w:rsid w:val="00AA40B7"/>
    <w:rsid w:val="00AA5668"/>
    <w:rsid w:val="00AA5CDE"/>
    <w:rsid w:val="00AA6008"/>
    <w:rsid w:val="00AB176A"/>
    <w:rsid w:val="00AB1C9E"/>
    <w:rsid w:val="00AB2854"/>
    <w:rsid w:val="00AB35C9"/>
    <w:rsid w:val="00AB5A3C"/>
    <w:rsid w:val="00AB5B25"/>
    <w:rsid w:val="00AB72FA"/>
    <w:rsid w:val="00AB7DF7"/>
    <w:rsid w:val="00AC0E74"/>
    <w:rsid w:val="00AC2A75"/>
    <w:rsid w:val="00AC2AD4"/>
    <w:rsid w:val="00AC4360"/>
    <w:rsid w:val="00AC740B"/>
    <w:rsid w:val="00AD4999"/>
    <w:rsid w:val="00AD5B83"/>
    <w:rsid w:val="00AD5D98"/>
    <w:rsid w:val="00AD6537"/>
    <w:rsid w:val="00AD68D4"/>
    <w:rsid w:val="00AD762B"/>
    <w:rsid w:val="00AE032B"/>
    <w:rsid w:val="00AE1C63"/>
    <w:rsid w:val="00AE1CA4"/>
    <w:rsid w:val="00AE4348"/>
    <w:rsid w:val="00AE497E"/>
    <w:rsid w:val="00AE63E5"/>
    <w:rsid w:val="00AE70EC"/>
    <w:rsid w:val="00AE771F"/>
    <w:rsid w:val="00AE7A83"/>
    <w:rsid w:val="00AE7C58"/>
    <w:rsid w:val="00AE7E61"/>
    <w:rsid w:val="00AF4840"/>
    <w:rsid w:val="00AF5AAE"/>
    <w:rsid w:val="00AF6014"/>
    <w:rsid w:val="00AF7727"/>
    <w:rsid w:val="00AF7EAE"/>
    <w:rsid w:val="00B01396"/>
    <w:rsid w:val="00B0186C"/>
    <w:rsid w:val="00B02510"/>
    <w:rsid w:val="00B05FB2"/>
    <w:rsid w:val="00B07FBD"/>
    <w:rsid w:val="00B1017F"/>
    <w:rsid w:val="00B10A54"/>
    <w:rsid w:val="00B125BA"/>
    <w:rsid w:val="00B14769"/>
    <w:rsid w:val="00B147A3"/>
    <w:rsid w:val="00B147DD"/>
    <w:rsid w:val="00B14856"/>
    <w:rsid w:val="00B215BE"/>
    <w:rsid w:val="00B21D8C"/>
    <w:rsid w:val="00B23EF0"/>
    <w:rsid w:val="00B26604"/>
    <w:rsid w:val="00B27B0A"/>
    <w:rsid w:val="00B27B8C"/>
    <w:rsid w:val="00B31225"/>
    <w:rsid w:val="00B31FFE"/>
    <w:rsid w:val="00B33600"/>
    <w:rsid w:val="00B33C10"/>
    <w:rsid w:val="00B36BF1"/>
    <w:rsid w:val="00B40AB5"/>
    <w:rsid w:val="00B43151"/>
    <w:rsid w:val="00B44D49"/>
    <w:rsid w:val="00B45BA4"/>
    <w:rsid w:val="00B46156"/>
    <w:rsid w:val="00B46D35"/>
    <w:rsid w:val="00B47687"/>
    <w:rsid w:val="00B51218"/>
    <w:rsid w:val="00B51D73"/>
    <w:rsid w:val="00B52B05"/>
    <w:rsid w:val="00B53BF0"/>
    <w:rsid w:val="00B610E7"/>
    <w:rsid w:val="00B6158E"/>
    <w:rsid w:val="00B62D6E"/>
    <w:rsid w:val="00B64809"/>
    <w:rsid w:val="00B67501"/>
    <w:rsid w:val="00B709E2"/>
    <w:rsid w:val="00B70E3E"/>
    <w:rsid w:val="00B71553"/>
    <w:rsid w:val="00B73A1F"/>
    <w:rsid w:val="00B74BB8"/>
    <w:rsid w:val="00B75F03"/>
    <w:rsid w:val="00B77221"/>
    <w:rsid w:val="00B77859"/>
    <w:rsid w:val="00B808B7"/>
    <w:rsid w:val="00B81BDA"/>
    <w:rsid w:val="00B81FF0"/>
    <w:rsid w:val="00B82832"/>
    <w:rsid w:val="00B82866"/>
    <w:rsid w:val="00B84519"/>
    <w:rsid w:val="00B87475"/>
    <w:rsid w:val="00B90BB1"/>
    <w:rsid w:val="00B92145"/>
    <w:rsid w:val="00B935D5"/>
    <w:rsid w:val="00B939A8"/>
    <w:rsid w:val="00B95396"/>
    <w:rsid w:val="00B95B39"/>
    <w:rsid w:val="00BA054F"/>
    <w:rsid w:val="00BA08CA"/>
    <w:rsid w:val="00BA1C75"/>
    <w:rsid w:val="00BA3E1A"/>
    <w:rsid w:val="00BA6216"/>
    <w:rsid w:val="00BA660E"/>
    <w:rsid w:val="00BA75E6"/>
    <w:rsid w:val="00BB0786"/>
    <w:rsid w:val="00BB08AB"/>
    <w:rsid w:val="00BB22EE"/>
    <w:rsid w:val="00BB458C"/>
    <w:rsid w:val="00BB655B"/>
    <w:rsid w:val="00BB6EA7"/>
    <w:rsid w:val="00BB73FF"/>
    <w:rsid w:val="00BC00A0"/>
    <w:rsid w:val="00BC23E3"/>
    <w:rsid w:val="00BC2743"/>
    <w:rsid w:val="00BC41B6"/>
    <w:rsid w:val="00BC4515"/>
    <w:rsid w:val="00BC4B51"/>
    <w:rsid w:val="00BC5C6D"/>
    <w:rsid w:val="00BC6116"/>
    <w:rsid w:val="00BC764D"/>
    <w:rsid w:val="00BD0480"/>
    <w:rsid w:val="00BD2CE3"/>
    <w:rsid w:val="00BD76FE"/>
    <w:rsid w:val="00BD7DAA"/>
    <w:rsid w:val="00BE04BF"/>
    <w:rsid w:val="00BE055D"/>
    <w:rsid w:val="00BE2429"/>
    <w:rsid w:val="00BE543A"/>
    <w:rsid w:val="00BE6563"/>
    <w:rsid w:val="00BE69DC"/>
    <w:rsid w:val="00BE78BA"/>
    <w:rsid w:val="00BF1BDD"/>
    <w:rsid w:val="00BF36EB"/>
    <w:rsid w:val="00BF397A"/>
    <w:rsid w:val="00BF6938"/>
    <w:rsid w:val="00BF7ADE"/>
    <w:rsid w:val="00C0417C"/>
    <w:rsid w:val="00C043AD"/>
    <w:rsid w:val="00C04A8C"/>
    <w:rsid w:val="00C05288"/>
    <w:rsid w:val="00C05560"/>
    <w:rsid w:val="00C064CF"/>
    <w:rsid w:val="00C07386"/>
    <w:rsid w:val="00C10C59"/>
    <w:rsid w:val="00C116C7"/>
    <w:rsid w:val="00C116D6"/>
    <w:rsid w:val="00C12CBE"/>
    <w:rsid w:val="00C14718"/>
    <w:rsid w:val="00C21CDE"/>
    <w:rsid w:val="00C23065"/>
    <w:rsid w:val="00C2380C"/>
    <w:rsid w:val="00C26241"/>
    <w:rsid w:val="00C316CF"/>
    <w:rsid w:val="00C3305D"/>
    <w:rsid w:val="00C35DFF"/>
    <w:rsid w:val="00C4094D"/>
    <w:rsid w:val="00C42228"/>
    <w:rsid w:val="00C435B4"/>
    <w:rsid w:val="00C447E5"/>
    <w:rsid w:val="00C453B0"/>
    <w:rsid w:val="00C46FA1"/>
    <w:rsid w:val="00C47942"/>
    <w:rsid w:val="00C5136C"/>
    <w:rsid w:val="00C51A4B"/>
    <w:rsid w:val="00C52E64"/>
    <w:rsid w:val="00C63EC5"/>
    <w:rsid w:val="00C64E90"/>
    <w:rsid w:val="00C66124"/>
    <w:rsid w:val="00C7029A"/>
    <w:rsid w:val="00C718BA"/>
    <w:rsid w:val="00C72748"/>
    <w:rsid w:val="00C736DB"/>
    <w:rsid w:val="00C73BAE"/>
    <w:rsid w:val="00C759C3"/>
    <w:rsid w:val="00C76995"/>
    <w:rsid w:val="00C77E53"/>
    <w:rsid w:val="00C84873"/>
    <w:rsid w:val="00C849EB"/>
    <w:rsid w:val="00C91196"/>
    <w:rsid w:val="00C915F6"/>
    <w:rsid w:val="00C925D0"/>
    <w:rsid w:val="00C92F09"/>
    <w:rsid w:val="00C94903"/>
    <w:rsid w:val="00C94D0A"/>
    <w:rsid w:val="00C950E9"/>
    <w:rsid w:val="00C95CAE"/>
    <w:rsid w:val="00C967C8"/>
    <w:rsid w:val="00CA0060"/>
    <w:rsid w:val="00CA2244"/>
    <w:rsid w:val="00CA7FE5"/>
    <w:rsid w:val="00CB0299"/>
    <w:rsid w:val="00CB18E2"/>
    <w:rsid w:val="00CB1DF1"/>
    <w:rsid w:val="00CB5115"/>
    <w:rsid w:val="00CB59BD"/>
    <w:rsid w:val="00CB6306"/>
    <w:rsid w:val="00CB6B3E"/>
    <w:rsid w:val="00CB6C00"/>
    <w:rsid w:val="00CC44EF"/>
    <w:rsid w:val="00CC5FDB"/>
    <w:rsid w:val="00CC6B7E"/>
    <w:rsid w:val="00CC7EAE"/>
    <w:rsid w:val="00CD0B48"/>
    <w:rsid w:val="00CD10FA"/>
    <w:rsid w:val="00CD1143"/>
    <w:rsid w:val="00CD26A6"/>
    <w:rsid w:val="00CD52A1"/>
    <w:rsid w:val="00CD7CE6"/>
    <w:rsid w:val="00CE059D"/>
    <w:rsid w:val="00CE05AE"/>
    <w:rsid w:val="00CE0ABE"/>
    <w:rsid w:val="00CE214D"/>
    <w:rsid w:val="00CE2751"/>
    <w:rsid w:val="00CE34CA"/>
    <w:rsid w:val="00CE474D"/>
    <w:rsid w:val="00CE57F0"/>
    <w:rsid w:val="00CE6346"/>
    <w:rsid w:val="00CE67CE"/>
    <w:rsid w:val="00CE6AC6"/>
    <w:rsid w:val="00CF09CB"/>
    <w:rsid w:val="00CF0D9F"/>
    <w:rsid w:val="00CF2C5A"/>
    <w:rsid w:val="00CF46D6"/>
    <w:rsid w:val="00CF50BF"/>
    <w:rsid w:val="00D00533"/>
    <w:rsid w:val="00D023AA"/>
    <w:rsid w:val="00D027FA"/>
    <w:rsid w:val="00D02F5B"/>
    <w:rsid w:val="00D03F28"/>
    <w:rsid w:val="00D05B1D"/>
    <w:rsid w:val="00D07935"/>
    <w:rsid w:val="00D101B0"/>
    <w:rsid w:val="00D133AE"/>
    <w:rsid w:val="00D167C3"/>
    <w:rsid w:val="00D16C09"/>
    <w:rsid w:val="00D17439"/>
    <w:rsid w:val="00D2110E"/>
    <w:rsid w:val="00D21632"/>
    <w:rsid w:val="00D223C4"/>
    <w:rsid w:val="00D24A35"/>
    <w:rsid w:val="00D274B6"/>
    <w:rsid w:val="00D31448"/>
    <w:rsid w:val="00D329C5"/>
    <w:rsid w:val="00D32B39"/>
    <w:rsid w:val="00D34634"/>
    <w:rsid w:val="00D348EE"/>
    <w:rsid w:val="00D34F62"/>
    <w:rsid w:val="00D353CF"/>
    <w:rsid w:val="00D37709"/>
    <w:rsid w:val="00D41245"/>
    <w:rsid w:val="00D4137C"/>
    <w:rsid w:val="00D41700"/>
    <w:rsid w:val="00D42F4F"/>
    <w:rsid w:val="00D44124"/>
    <w:rsid w:val="00D4574B"/>
    <w:rsid w:val="00D46DAB"/>
    <w:rsid w:val="00D473B4"/>
    <w:rsid w:val="00D50485"/>
    <w:rsid w:val="00D510E7"/>
    <w:rsid w:val="00D51E13"/>
    <w:rsid w:val="00D53A31"/>
    <w:rsid w:val="00D5597B"/>
    <w:rsid w:val="00D56B06"/>
    <w:rsid w:val="00D5733D"/>
    <w:rsid w:val="00D638CA"/>
    <w:rsid w:val="00D66988"/>
    <w:rsid w:val="00D66E63"/>
    <w:rsid w:val="00D67F84"/>
    <w:rsid w:val="00D704C0"/>
    <w:rsid w:val="00D70784"/>
    <w:rsid w:val="00D714C7"/>
    <w:rsid w:val="00D7264F"/>
    <w:rsid w:val="00D731DD"/>
    <w:rsid w:val="00D743DA"/>
    <w:rsid w:val="00D74E48"/>
    <w:rsid w:val="00D77CC7"/>
    <w:rsid w:val="00D80A5D"/>
    <w:rsid w:val="00D81C1A"/>
    <w:rsid w:val="00D82592"/>
    <w:rsid w:val="00D83F50"/>
    <w:rsid w:val="00D860FF"/>
    <w:rsid w:val="00D877DB"/>
    <w:rsid w:val="00D90EAB"/>
    <w:rsid w:val="00D95647"/>
    <w:rsid w:val="00D963E4"/>
    <w:rsid w:val="00D96784"/>
    <w:rsid w:val="00D97280"/>
    <w:rsid w:val="00D97A18"/>
    <w:rsid w:val="00DA035C"/>
    <w:rsid w:val="00DA106D"/>
    <w:rsid w:val="00DA3DE2"/>
    <w:rsid w:val="00DA7130"/>
    <w:rsid w:val="00DB22E1"/>
    <w:rsid w:val="00DB2470"/>
    <w:rsid w:val="00DB2B34"/>
    <w:rsid w:val="00DB2B9D"/>
    <w:rsid w:val="00DB6923"/>
    <w:rsid w:val="00DB70F2"/>
    <w:rsid w:val="00DB7EEF"/>
    <w:rsid w:val="00DC0AC1"/>
    <w:rsid w:val="00DC0DF2"/>
    <w:rsid w:val="00DC1E24"/>
    <w:rsid w:val="00DC34AE"/>
    <w:rsid w:val="00DC4F37"/>
    <w:rsid w:val="00DC5DE7"/>
    <w:rsid w:val="00DC6CC8"/>
    <w:rsid w:val="00DC7A31"/>
    <w:rsid w:val="00DD3106"/>
    <w:rsid w:val="00DD3891"/>
    <w:rsid w:val="00DD3D8C"/>
    <w:rsid w:val="00DD4208"/>
    <w:rsid w:val="00DD482B"/>
    <w:rsid w:val="00DD6227"/>
    <w:rsid w:val="00DD7FBA"/>
    <w:rsid w:val="00DE1B0B"/>
    <w:rsid w:val="00DE331C"/>
    <w:rsid w:val="00DE35C6"/>
    <w:rsid w:val="00DE4025"/>
    <w:rsid w:val="00DF20B3"/>
    <w:rsid w:val="00DF2562"/>
    <w:rsid w:val="00DF26F9"/>
    <w:rsid w:val="00DF29F7"/>
    <w:rsid w:val="00DF3341"/>
    <w:rsid w:val="00DF478A"/>
    <w:rsid w:val="00DF6DF3"/>
    <w:rsid w:val="00E024D2"/>
    <w:rsid w:val="00E04423"/>
    <w:rsid w:val="00E04670"/>
    <w:rsid w:val="00E04C74"/>
    <w:rsid w:val="00E05035"/>
    <w:rsid w:val="00E06E07"/>
    <w:rsid w:val="00E0794E"/>
    <w:rsid w:val="00E07B9B"/>
    <w:rsid w:val="00E12710"/>
    <w:rsid w:val="00E127D4"/>
    <w:rsid w:val="00E134E1"/>
    <w:rsid w:val="00E143A1"/>
    <w:rsid w:val="00E145C5"/>
    <w:rsid w:val="00E15EBF"/>
    <w:rsid w:val="00E1660E"/>
    <w:rsid w:val="00E16A19"/>
    <w:rsid w:val="00E21644"/>
    <w:rsid w:val="00E22573"/>
    <w:rsid w:val="00E25B76"/>
    <w:rsid w:val="00E31C6D"/>
    <w:rsid w:val="00E3223B"/>
    <w:rsid w:val="00E365F9"/>
    <w:rsid w:val="00E37BDF"/>
    <w:rsid w:val="00E4084B"/>
    <w:rsid w:val="00E40AB6"/>
    <w:rsid w:val="00E411B7"/>
    <w:rsid w:val="00E41D6A"/>
    <w:rsid w:val="00E43A36"/>
    <w:rsid w:val="00E44816"/>
    <w:rsid w:val="00E46278"/>
    <w:rsid w:val="00E541EE"/>
    <w:rsid w:val="00E54919"/>
    <w:rsid w:val="00E553BD"/>
    <w:rsid w:val="00E563B4"/>
    <w:rsid w:val="00E5742F"/>
    <w:rsid w:val="00E57C7E"/>
    <w:rsid w:val="00E602FD"/>
    <w:rsid w:val="00E6040F"/>
    <w:rsid w:val="00E60F84"/>
    <w:rsid w:val="00E633E5"/>
    <w:rsid w:val="00E636F5"/>
    <w:rsid w:val="00E64213"/>
    <w:rsid w:val="00E704AB"/>
    <w:rsid w:val="00E727B7"/>
    <w:rsid w:val="00E750DE"/>
    <w:rsid w:val="00E801EF"/>
    <w:rsid w:val="00E80A70"/>
    <w:rsid w:val="00E822C7"/>
    <w:rsid w:val="00E823D4"/>
    <w:rsid w:val="00E850EA"/>
    <w:rsid w:val="00E86621"/>
    <w:rsid w:val="00E86E79"/>
    <w:rsid w:val="00E870F0"/>
    <w:rsid w:val="00E919BE"/>
    <w:rsid w:val="00E9424B"/>
    <w:rsid w:val="00E946C0"/>
    <w:rsid w:val="00E94E18"/>
    <w:rsid w:val="00E95E75"/>
    <w:rsid w:val="00E96301"/>
    <w:rsid w:val="00E97539"/>
    <w:rsid w:val="00EA2406"/>
    <w:rsid w:val="00EA4601"/>
    <w:rsid w:val="00EA4712"/>
    <w:rsid w:val="00EA4B3B"/>
    <w:rsid w:val="00EA626B"/>
    <w:rsid w:val="00EA777A"/>
    <w:rsid w:val="00EB0184"/>
    <w:rsid w:val="00EB01E5"/>
    <w:rsid w:val="00EB08DC"/>
    <w:rsid w:val="00EB2FBD"/>
    <w:rsid w:val="00EB3ACB"/>
    <w:rsid w:val="00EB4E1B"/>
    <w:rsid w:val="00EB580F"/>
    <w:rsid w:val="00EB6FDC"/>
    <w:rsid w:val="00EB726C"/>
    <w:rsid w:val="00EB74C9"/>
    <w:rsid w:val="00EB7F49"/>
    <w:rsid w:val="00EC13EA"/>
    <w:rsid w:val="00EC14E5"/>
    <w:rsid w:val="00EC1596"/>
    <w:rsid w:val="00EC27B6"/>
    <w:rsid w:val="00EC27C2"/>
    <w:rsid w:val="00EC2EDB"/>
    <w:rsid w:val="00EC3FBC"/>
    <w:rsid w:val="00EC4216"/>
    <w:rsid w:val="00EC5472"/>
    <w:rsid w:val="00EC7098"/>
    <w:rsid w:val="00ED0777"/>
    <w:rsid w:val="00ED0CD3"/>
    <w:rsid w:val="00ED11AC"/>
    <w:rsid w:val="00ED21F1"/>
    <w:rsid w:val="00ED7379"/>
    <w:rsid w:val="00EE5585"/>
    <w:rsid w:val="00EE7416"/>
    <w:rsid w:val="00EF034F"/>
    <w:rsid w:val="00EF0FA6"/>
    <w:rsid w:val="00EF338A"/>
    <w:rsid w:val="00EF3569"/>
    <w:rsid w:val="00EF4A28"/>
    <w:rsid w:val="00EF50A7"/>
    <w:rsid w:val="00EF5B8B"/>
    <w:rsid w:val="00EF5EF1"/>
    <w:rsid w:val="00EF6527"/>
    <w:rsid w:val="00EF7A84"/>
    <w:rsid w:val="00F047CE"/>
    <w:rsid w:val="00F04E8F"/>
    <w:rsid w:val="00F07ABB"/>
    <w:rsid w:val="00F109D2"/>
    <w:rsid w:val="00F11C0C"/>
    <w:rsid w:val="00F14C03"/>
    <w:rsid w:val="00F15741"/>
    <w:rsid w:val="00F16190"/>
    <w:rsid w:val="00F21532"/>
    <w:rsid w:val="00F24127"/>
    <w:rsid w:val="00F265B9"/>
    <w:rsid w:val="00F26622"/>
    <w:rsid w:val="00F26CCE"/>
    <w:rsid w:val="00F27827"/>
    <w:rsid w:val="00F306B6"/>
    <w:rsid w:val="00F30B3A"/>
    <w:rsid w:val="00F310DD"/>
    <w:rsid w:val="00F311D8"/>
    <w:rsid w:val="00F31998"/>
    <w:rsid w:val="00F350DE"/>
    <w:rsid w:val="00F36A5F"/>
    <w:rsid w:val="00F378BC"/>
    <w:rsid w:val="00F403B0"/>
    <w:rsid w:val="00F413CF"/>
    <w:rsid w:val="00F50865"/>
    <w:rsid w:val="00F51D8E"/>
    <w:rsid w:val="00F54764"/>
    <w:rsid w:val="00F55BCC"/>
    <w:rsid w:val="00F56813"/>
    <w:rsid w:val="00F662BB"/>
    <w:rsid w:val="00F711B2"/>
    <w:rsid w:val="00F7324B"/>
    <w:rsid w:val="00F74B2B"/>
    <w:rsid w:val="00F7645F"/>
    <w:rsid w:val="00F76DDB"/>
    <w:rsid w:val="00F77B89"/>
    <w:rsid w:val="00F80240"/>
    <w:rsid w:val="00F80E0B"/>
    <w:rsid w:val="00F81048"/>
    <w:rsid w:val="00F81D16"/>
    <w:rsid w:val="00F834C2"/>
    <w:rsid w:val="00F83B7E"/>
    <w:rsid w:val="00F86CCA"/>
    <w:rsid w:val="00F86D7D"/>
    <w:rsid w:val="00F8782E"/>
    <w:rsid w:val="00F87979"/>
    <w:rsid w:val="00F87A01"/>
    <w:rsid w:val="00F90AEE"/>
    <w:rsid w:val="00F90C8A"/>
    <w:rsid w:val="00F910B2"/>
    <w:rsid w:val="00F91C5E"/>
    <w:rsid w:val="00F93F0C"/>
    <w:rsid w:val="00F9400D"/>
    <w:rsid w:val="00F9405D"/>
    <w:rsid w:val="00F95370"/>
    <w:rsid w:val="00F962FC"/>
    <w:rsid w:val="00FA36E9"/>
    <w:rsid w:val="00FA4056"/>
    <w:rsid w:val="00FA5D75"/>
    <w:rsid w:val="00FB1D69"/>
    <w:rsid w:val="00FB379D"/>
    <w:rsid w:val="00FB6A76"/>
    <w:rsid w:val="00FB6EB5"/>
    <w:rsid w:val="00FC0AC9"/>
    <w:rsid w:val="00FC11CF"/>
    <w:rsid w:val="00FC2145"/>
    <w:rsid w:val="00FC25FD"/>
    <w:rsid w:val="00FC2615"/>
    <w:rsid w:val="00FC4BFB"/>
    <w:rsid w:val="00FC4E37"/>
    <w:rsid w:val="00FC7A26"/>
    <w:rsid w:val="00FC7A47"/>
    <w:rsid w:val="00FD0140"/>
    <w:rsid w:val="00FD02FB"/>
    <w:rsid w:val="00FD094C"/>
    <w:rsid w:val="00FD0C9C"/>
    <w:rsid w:val="00FD1627"/>
    <w:rsid w:val="00FD4555"/>
    <w:rsid w:val="00FD52B5"/>
    <w:rsid w:val="00FE0380"/>
    <w:rsid w:val="00FE0AF8"/>
    <w:rsid w:val="00FE45A7"/>
    <w:rsid w:val="00FE490D"/>
    <w:rsid w:val="00FE6396"/>
    <w:rsid w:val="00FE7CA4"/>
    <w:rsid w:val="00FF000E"/>
    <w:rsid w:val="00FF15EE"/>
    <w:rsid w:val="00FF2F56"/>
    <w:rsid w:val="00FF342F"/>
    <w:rsid w:val="00FF43FD"/>
    <w:rsid w:val="00FF4587"/>
    <w:rsid w:val="00FF48EC"/>
    <w:rsid w:val="00FF5ED6"/>
    <w:rsid w:val="00FF63C1"/>
    <w:rsid w:val="00FF76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74FE9EA-C56D-46A4-88E8-260161FE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F0D"/>
    <w:pPr>
      <w:widowControl w:val="0"/>
    </w:pPr>
    <w:rPr>
      <w:snapToGrid w:val="0"/>
      <w:kern w:val="28"/>
      <w:sz w:val="22"/>
    </w:rPr>
  </w:style>
  <w:style w:type="paragraph" w:styleId="Heading1">
    <w:name w:val="heading 1"/>
    <w:basedOn w:val="Normal"/>
    <w:next w:val="ParaNum"/>
    <w:qFormat/>
    <w:rsid w:val="003A2F0D"/>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2F0D"/>
    <w:pPr>
      <w:keepNext/>
      <w:numPr>
        <w:ilvl w:val="1"/>
        <w:numId w:val="1"/>
      </w:numPr>
      <w:spacing w:after="120"/>
      <w:outlineLvl w:val="1"/>
    </w:pPr>
    <w:rPr>
      <w:b/>
    </w:rPr>
  </w:style>
  <w:style w:type="paragraph" w:styleId="Heading3">
    <w:name w:val="heading 3"/>
    <w:aliases w:val="Heading 3 Char Char"/>
    <w:basedOn w:val="Normal"/>
    <w:next w:val="ParaNum"/>
    <w:link w:val="Heading3Char"/>
    <w:qFormat/>
    <w:rsid w:val="003A2F0D"/>
    <w:pPr>
      <w:keepNext/>
      <w:numPr>
        <w:ilvl w:val="2"/>
        <w:numId w:val="1"/>
      </w:numPr>
      <w:tabs>
        <w:tab w:val="left" w:pos="2160"/>
      </w:tabs>
      <w:spacing w:after="120"/>
      <w:outlineLvl w:val="2"/>
    </w:pPr>
    <w:rPr>
      <w:b/>
    </w:rPr>
  </w:style>
  <w:style w:type="paragraph" w:styleId="Heading4">
    <w:name w:val="heading 4"/>
    <w:basedOn w:val="Normal"/>
    <w:next w:val="ParaNum"/>
    <w:qFormat/>
    <w:rsid w:val="003A2F0D"/>
    <w:pPr>
      <w:keepNext/>
      <w:numPr>
        <w:ilvl w:val="3"/>
        <w:numId w:val="1"/>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3A2F0D"/>
    <w:pPr>
      <w:keepNext/>
      <w:numPr>
        <w:ilvl w:val="4"/>
        <w:numId w:val="1"/>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3A2F0D"/>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3A2F0D"/>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3A2F0D"/>
    <w:pPr>
      <w:numPr>
        <w:ilvl w:val="7"/>
        <w:numId w:val="1"/>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3A2F0D"/>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A2F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2F0D"/>
  </w:style>
  <w:style w:type="paragraph" w:styleId="Header">
    <w:name w:val="header"/>
    <w:basedOn w:val="Normal"/>
    <w:autoRedefine/>
    <w:rsid w:val="003A2F0D"/>
    <w:pPr>
      <w:tabs>
        <w:tab w:val="center" w:pos="4680"/>
        <w:tab w:val="right" w:pos="9360"/>
      </w:tabs>
    </w:pPr>
    <w:rPr>
      <w:b/>
    </w:rPr>
  </w:style>
  <w:style w:type="paragraph" w:styleId="Footer">
    <w:name w:val="footer"/>
    <w:basedOn w:val="Normal"/>
    <w:link w:val="FooterChar"/>
    <w:uiPriority w:val="99"/>
    <w:rsid w:val="003A2F0D"/>
    <w:pPr>
      <w:tabs>
        <w:tab w:val="center" w:pos="4320"/>
        <w:tab w:val="right" w:pos="8640"/>
      </w:tabs>
    </w:pPr>
  </w:style>
  <w:style w:type="character" w:styleId="Hyperlink">
    <w:name w:val="Hyperlink"/>
    <w:rsid w:val="003A2F0D"/>
    <w:rPr>
      <w:color w:val="0000FF"/>
      <w:u w:val="single"/>
    </w:rPr>
  </w:style>
  <w:style w:type="paragraph" w:styleId="TOC1">
    <w:name w:val="toc 1"/>
    <w:basedOn w:val="Normal"/>
    <w:next w:val="Normal"/>
    <w:rsid w:val="003A2F0D"/>
    <w:pPr>
      <w:tabs>
        <w:tab w:val="left" w:pos="360"/>
        <w:tab w:val="right" w:leader="dot" w:pos="9360"/>
      </w:tabs>
      <w:suppressAutoHyphens/>
      <w:ind w:left="360" w:right="720" w:hanging="360"/>
    </w:pPr>
    <w:rPr>
      <w:caps/>
      <w:noProof/>
    </w:rPr>
  </w:style>
  <w:style w:type="character" w:styleId="PageNumber">
    <w:name w:val="page number"/>
    <w:basedOn w:val="DefaultParagraphFont"/>
    <w:rsid w:val="003A2F0D"/>
  </w:style>
  <w:style w:type="paragraph" w:customStyle="1" w:styleId="ParaNum">
    <w:name w:val="ParaNum"/>
    <w:basedOn w:val="Normal"/>
    <w:link w:val="ParaNumChar"/>
    <w:rsid w:val="003A2F0D"/>
    <w:pPr>
      <w:numPr>
        <w:numId w:val="2"/>
      </w:numPr>
      <w:tabs>
        <w:tab w:val="clear" w:pos="1080"/>
        <w:tab w:val="num" w:pos="1440"/>
      </w:tabs>
      <w:spacing w:after="120"/>
    </w:p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3A2F0D"/>
    <w:pPr>
      <w:spacing w:after="120"/>
    </w:pPr>
  </w:style>
  <w:style w:type="paragraph" w:styleId="TOC2">
    <w:name w:val="toc 2"/>
    <w:basedOn w:val="Normal"/>
    <w:next w:val="Normal"/>
    <w:rsid w:val="003A2F0D"/>
    <w:pPr>
      <w:tabs>
        <w:tab w:val="left" w:pos="720"/>
        <w:tab w:val="right" w:leader="dot" w:pos="9360"/>
      </w:tabs>
      <w:suppressAutoHyphens/>
      <w:ind w:left="720" w:right="720" w:hanging="360"/>
    </w:pPr>
    <w:rPr>
      <w:noProof/>
    </w:rPr>
  </w:style>
  <w:style w:type="paragraph" w:styleId="TOC3">
    <w:name w:val="toc 3"/>
    <w:basedOn w:val="Normal"/>
    <w:next w:val="Normal"/>
    <w:rsid w:val="003A2F0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A2F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2F0D"/>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NECG) Footnote Reference,Appel note de bas de p,FR,Footnote Reference/,Footnote Reference1,Style 12,Style 124,Style 13,Style 17,Style 3,Style 4,Style 6,Style 7,fr,o"/>
    <w:rsid w:val="003A2F0D"/>
    <w:rPr>
      <w:rFonts w:ascii="Times New Roman" w:hAnsi="Times New Roman"/>
      <w:dstrike w:val="0"/>
      <w:color w:val="auto"/>
      <w:sz w:val="20"/>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3"/>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spacing w:after="220"/>
      <w:ind w:left="0" w:firstLine="0"/>
    </w:pPr>
    <w:rPr>
      <w:bCs/>
      <w:snapToGrid/>
      <w:kern w:val="0"/>
      <w:szCs w:val="24"/>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 Char"/>
    <w:link w:val="FootnoteText"/>
  </w:style>
  <w:style w:type="paragraph" w:styleId="EndnoteText">
    <w:name w:val="endnote text"/>
    <w:basedOn w:val="Normal"/>
    <w:semiHidden/>
    <w:rsid w:val="003A2F0D"/>
    <w:rPr>
      <w:sz w:val="20"/>
    </w:rPr>
  </w:style>
  <w:style w:type="character" w:styleId="EndnoteReference">
    <w:name w:val="endnote reference"/>
    <w:semiHidden/>
    <w:rsid w:val="003A2F0D"/>
    <w:rPr>
      <w:vertAlign w:val="superscript"/>
    </w:rPr>
  </w:style>
  <w:style w:type="paragraph" w:styleId="TOC6">
    <w:name w:val="toc 6"/>
    <w:basedOn w:val="Normal"/>
    <w:next w:val="Normal"/>
    <w:autoRedefine/>
    <w:semiHidden/>
    <w:rsid w:val="003A2F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2F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2F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2F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2F0D"/>
    <w:pPr>
      <w:tabs>
        <w:tab w:val="right" w:pos="9360"/>
      </w:tabs>
      <w:suppressAutoHyphens/>
    </w:pPr>
  </w:style>
  <w:style w:type="character" w:customStyle="1" w:styleId="EquationCaption">
    <w:name w:val="_Equation Caption"/>
    <w:rsid w:val="003A2F0D"/>
  </w:style>
  <w:style w:type="paragraph" w:styleId="BlockText">
    <w:name w:val="Block Text"/>
    <w:basedOn w:val="Normal"/>
    <w:rsid w:val="003A2F0D"/>
    <w:pPr>
      <w:spacing w:after="240"/>
      <w:ind w:left="1440" w:right="1440"/>
    </w:pPr>
  </w:style>
  <w:style w:type="paragraph" w:customStyle="1" w:styleId="Paratitle">
    <w:name w:val="Para title"/>
    <w:basedOn w:val="Normal"/>
    <w:rsid w:val="003A2F0D"/>
    <w:pPr>
      <w:tabs>
        <w:tab w:val="center" w:pos="9270"/>
      </w:tabs>
      <w:spacing w:after="240"/>
    </w:pPr>
    <w:rPr>
      <w:spacing w:val="-2"/>
    </w:rPr>
  </w:style>
  <w:style w:type="paragraph" w:customStyle="1" w:styleId="Bullet">
    <w:name w:val="Bullet"/>
    <w:basedOn w:val="Normal"/>
    <w:rsid w:val="003A2F0D"/>
    <w:pPr>
      <w:tabs>
        <w:tab w:val="left" w:pos="2160"/>
      </w:tabs>
      <w:spacing w:after="220"/>
      <w:ind w:left="2160" w:hanging="720"/>
    </w:pPr>
  </w:style>
  <w:style w:type="paragraph" w:customStyle="1" w:styleId="TableFormat">
    <w:name w:val="TableFormat"/>
    <w:basedOn w:val="Bullet"/>
    <w:rsid w:val="003A2F0D"/>
    <w:pPr>
      <w:tabs>
        <w:tab w:val="clear" w:pos="2160"/>
        <w:tab w:val="left" w:pos="5040"/>
      </w:tabs>
      <w:ind w:left="5040" w:hanging="3600"/>
    </w:pPr>
  </w:style>
  <w:style w:type="paragraph" w:customStyle="1" w:styleId="TOCTitle">
    <w:name w:val="TOC Title"/>
    <w:basedOn w:val="Normal"/>
    <w:rsid w:val="003A2F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2F0D"/>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link w:val="Heading2"/>
    <w:rsid w:val="007E6B59"/>
    <w:rPr>
      <w:b/>
      <w:snapToGrid w:val="0"/>
      <w:kern w:val="28"/>
      <w:sz w:val="22"/>
    </w:rPr>
  </w:style>
  <w:style w:type="character" w:customStyle="1" w:styleId="Heading3Char">
    <w:name w:val="Heading 3 Char"/>
    <w:aliases w:val="Heading 3 Char Char Char"/>
    <w:link w:val="Heading3"/>
    <w:rsid w:val="002A52C0"/>
    <w:rPr>
      <w:b/>
      <w:snapToGrid w:val="0"/>
      <w:kern w:val="28"/>
      <w:sz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table" w:customStyle="1" w:styleId="TableGrid2">
    <w:name w:val="Table Grid2"/>
    <w:basedOn w:val="TableNormal"/>
    <w:next w:val="TableGrid"/>
    <w:uiPriority w:val="59"/>
    <w:rsid w:val="008C6C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5DFF"/>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FooterChar">
    <w:name w:val="Footer Char"/>
    <w:link w:val="Footer"/>
    <w:uiPriority w:val="99"/>
    <w:rsid w:val="003A2F0D"/>
    <w:rPr>
      <w:snapToGrid w:val="0"/>
      <w:kern w:val="28"/>
      <w:sz w:val="22"/>
    </w:rPr>
  </w:style>
  <w:style w:type="character" w:customStyle="1" w:styleId="UnresolvedMention">
    <w:name w:val="Unresolved Mention"/>
    <w:basedOn w:val="DefaultParagraphFont"/>
    <w:uiPriority w:val="99"/>
    <w:semiHidden/>
    <w:unhideWhenUsed/>
    <w:rsid w:val="00ED11AC"/>
    <w:rPr>
      <w:color w:val="808080"/>
      <w:shd w:val="clear" w:color="auto" w:fill="E6E6E6"/>
    </w:rPr>
  </w:style>
  <w:style w:type="character" w:styleId="CommentReference">
    <w:name w:val="annotation reference"/>
    <w:basedOn w:val="DefaultParagraphFont"/>
    <w:semiHidden/>
    <w:unhideWhenUsed/>
    <w:rsid w:val="00387334"/>
    <w:rPr>
      <w:sz w:val="16"/>
      <w:szCs w:val="16"/>
    </w:rPr>
  </w:style>
  <w:style w:type="paragraph" w:styleId="CommentText">
    <w:name w:val="annotation text"/>
    <w:basedOn w:val="Normal"/>
    <w:link w:val="CommentTextChar"/>
    <w:semiHidden/>
    <w:unhideWhenUsed/>
    <w:rsid w:val="00387334"/>
    <w:rPr>
      <w:sz w:val="20"/>
    </w:rPr>
  </w:style>
  <w:style w:type="character" w:customStyle="1" w:styleId="CommentTextChar">
    <w:name w:val="Comment Text Char"/>
    <w:basedOn w:val="DefaultParagraphFont"/>
    <w:link w:val="CommentText"/>
    <w:semiHidden/>
    <w:rsid w:val="00387334"/>
    <w:rPr>
      <w:snapToGrid w:val="0"/>
      <w:kern w:val="28"/>
    </w:rPr>
  </w:style>
  <w:style w:type="paragraph" w:styleId="CommentSubject">
    <w:name w:val="annotation subject"/>
    <w:basedOn w:val="CommentText"/>
    <w:next w:val="CommentText"/>
    <w:link w:val="CommentSubjectChar"/>
    <w:semiHidden/>
    <w:unhideWhenUsed/>
    <w:rsid w:val="00387334"/>
    <w:rPr>
      <w:b/>
      <w:bCs/>
    </w:rPr>
  </w:style>
  <w:style w:type="character" w:customStyle="1" w:styleId="CommentSubjectChar">
    <w:name w:val="Comment Subject Char"/>
    <w:basedOn w:val="CommentTextChar"/>
    <w:link w:val="CommentSubject"/>
    <w:semiHidden/>
    <w:rsid w:val="00387334"/>
    <w:rPr>
      <w:b/>
      <w:bCs/>
      <w:snapToGrid w:val="0"/>
      <w:kern w:val="28"/>
    </w:rPr>
  </w:style>
  <w:style w:type="paragraph" w:styleId="Revision">
    <w:name w:val="Revision"/>
    <w:hidden/>
    <w:uiPriority w:val="99"/>
    <w:semiHidden/>
    <w:rsid w:val="0012782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cs.fcc.gov/public/attachments/FCC-18-143A1.pdf" TargetMode="External" /><Relationship Id="rId11" Type="http://schemas.openxmlformats.org/officeDocument/2006/relationships/hyperlink" Target="https://docs.fcc.gov/public/attachments/FCC-18-143A1.txt" TargetMode="External" /><Relationship Id="rId12" Type="http://schemas.openxmlformats.org/officeDocument/2006/relationships/hyperlink" Target="https://www.gpo.gov/fdsys/pkg/FR-2018-11-27/pdf/2018-24022.pdf"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hyperlink" Target="https://docs.fcc.gov/public/attachments/FCC-18-143A1.doc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