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67B2A4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E1181F8" w14:textId="77777777">
      <w:pPr>
        <w:pStyle w:val="StyleBoldCentered"/>
      </w:pPr>
      <w:r>
        <w:t>F</w:t>
      </w:r>
      <w:r>
        <w:rPr>
          <w:caps w:val="0"/>
        </w:rPr>
        <w:t>ederal Communications Commission</w:t>
      </w:r>
    </w:p>
    <w:p w:rsidR="004C2EE3" w:rsidP="00096D8C" w14:paraId="50B3C5F5" w14:textId="77777777">
      <w:pPr>
        <w:pStyle w:val="StyleBoldCentered"/>
      </w:pPr>
      <w:r>
        <w:rPr>
          <w:caps w:val="0"/>
        </w:rPr>
        <w:t>Washington, D.C. 20554</w:t>
      </w:r>
    </w:p>
    <w:p w:rsidR="004C2EE3" w:rsidP="0070224F" w14:paraId="1BBE310E" w14:textId="77777777"/>
    <w:p w:rsidR="004C2EE3" w:rsidP="0070224F" w14:paraId="6A6CB2E3" w14:textId="77777777"/>
    <w:tbl>
      <w:tblPr>
        <w:tblW w:w="0" w:type="auto"/>
        <w:tblLayout w:type="fixed"/>
        <w:tblLook w:val="0000"/>
      </w:tblPr>
      <w:tblGrid>
        <w:gridCol w:w="4698"/>
        <w:gridCol w:w="630"/>
        <w:gridCol w:w="4248"/>
      </w:tblGrid>
      <w:tr w14:paraId="0341AC0A" w14:textId="77777777">
        <w:tblPrEx>
          <w:tblW w:w="0" w:type="auto"/>
          <w:tblLayout w:type="fixed"/>
          <w:tblLook w:val="0000"/>
        </w:tblPrEx>
        <w:tc>
          <w:tcPr>
            <w:tcW w:w="4698" w:type="dxa"/>
          </w:tcPr>
          <w:p w:rsidR="004C2EE3" w14:paraId="67178F45" w14:textId="77777777">
            <w:pPr>
              <w:tabs>
                <w:tab w:val="center" w:pos="4680"/>
              </w:tabs>
              <w:suppressAutoHyphens/>
              <w:rPr>
                <w:spacing w:val="-2"/>
              </w:rPr>
            </w:pPr>
            <w:r>
              <w:rPr>
                <w:spacing w:val="-2"/>
              </w:rPr>
              <w:t>In the Matter of</w:t>
            </w:r>
          </w:p>
          <w:p w:rsidR="004C2EE3" w14:paraId="0DE03DFC" w14:textId="77777777">
            <w:pPr>
              <w:tabs>
                <w:tab w:val="center" w:pos="4680"/>
              </w:tabs>
              <w:suppressAutoHyphens/>
              <w:rPr>
                <w:spacing w:val="-2"/>
              </w:rPr>
            </w:pPr>
          </w:p>
          <w:p w:rsidR="004C2EE3" w:rsidP="007115F7" w14:paraId="6EB69FF2" w14:textId="77777777">
            <w:pPr>
              <w:tabs>
                <w:tab w:val="center" w:pos="4680"/>
              </w:tabs>
              <w:suppressAutoHyphens/>
              <w:rPr>
                <w:spacing w:val="-2"/>
              </w:rPr>
            </w:pPr>
            <w:r>
              <w:rPr>
                <w:spacing w:val="-2"/>
              </w:rPr>
              <w:t>Improving Wireless Emergency Alerts and Community-Initiated Alerting</w:t>
            </w:r>
          </w:p>
          <w:p w:rsidR="007857E9" w:rsidP="007115F7" w14:paraId="6F22F7FA" w14:textId="77777777">
            <w:pPr>
              <w:tabs>
                <w:tab w:val="center" w:pos="4680"/>
              </w:tabs>
              <w:suppressAutoHyphens/>
              <w:rPr>
                <w:spacing w:val="-2"/>
              </w:rPr>
            </w:pPr>
          </w:p>
          <w:p w:rsidR="007857E9" w:rsidRPr="007115F7" w:rsidP="007115F7" w14:paraId="2B9035C5"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566B9B76" w14:textId="77777777">
            <w:pPr>
              <w:tabs>
                <w:tab w:val="center" w:pos="4680"/>
              </w:tabs>
              <w:suppressAutoHyphens/>
              <w:rPr>
                <w:b/>
                <w:spacing w:val="-2"/>
              </w:rPr>
            </w:pPr>
            <w:r>
              <w:rPr>
                <w:b/>
                <w:spacing w:val="-2"/>
              </w:rPr>
              <w:t>)</w:t>
            </w:r>
          </w:p>
          <w:p w:rsidR="004C2EE3" w14:paraId="7937CFFC" w14:textId="77777777">
            <w:pPr>
              <w:tabs>
                <w:tab w:val="center" w:pos="4680"/>
              </w:tabs>
              <w:suppressAutoHyphens/>
              <w:rPr>
                <w:b/>
                <w:spacing w:val="-2"/>
              </w:rPr>
            </w:pPr>
            <w:r>
              <w:rPr>
                <w:b/>
                <w:spacing w:val="-2"/>
              </w:rPr>
              <w:t>)</w:t>
            </w:r>
          </w:p>
          <w:p w:rsidR="004C2EE3" w14:paraId="6D32F9BE" w14:textId="77777777">
            <w:pPr>
              <w:tabs>
                <w:tab w:val="center" w:pos="4680"/>
              </w:tabs>
              <w:suppressAutoHyphens/>
              <w:rPr>
                <w:b/>
                <w:spacing w:val="-2"/>
              </w:rPr>
            </w:pPr>
            <w:r>
              <w:rPr>
                <w:b/>
                <w:spacing w:val="-2"/>
              </w:rPr>
              <w:t>)</w:t>
            </w:r>
          </w:p>
          <w:p w:rsidR="004C2EE3" w14:paraId="57A3F053" w14:textId="77777777">
            <w:pPr>
              <w:tabs>
                <w:tab w:val="center" w:pos="4680"/>
              </w:tabs>
              <w:suppressAutoHyphens/>
              <w:rPr>
                <w:b/>
                <w:spacing w:val="-2"/>
              </w:rPr>
            </w:pPr>
            <w:r>
              <w:rPr>
                <w:b/>
                <w:spacing w:val="-2"/>
              </w:rPr>
              <w:t>)</w:t>
            </w:r>
          </w:p>
          <w:p w:rsidR="004C2EE3" w14:paraId="47477532" w14:textId="77777777">
            <w:pPr>
              <w:tabs>
                <w:tab w:val="center" w:pos="4680"/>
              </w:tabs>
              <w:suppressAutoHyphens/>
              <w:rPr>
                <w:b/>
                <w:spacing w:val="-2"/>
              </w:rPr>
            </w:pPr>
            <w:r>
              <w:rPr>
                <w:b/>
                <w:spacing w:val="-2"/>
              </w:rPr>
              <w:t>)</w:t>
            </w:r>
          </w:p>
          <w:p w:rsidR="004C2EE3" w14:paraId="1B67DF3A" w14:textId="77777777">
            <w:pPr>
              <w:tabs>
                <w:tab w:val="center" w:pos="4680"/>
              </w:tabs>
              <w:suppressAutoHyphens/>
              <w:rPr>
                <w:b/>
                <w:spacing w:val="-2"/>
              </w:rPr>
            </w:pPr>
            <w:r>
              <w:rPr>
                <w:b/>
                <w:spacing w:val="-2"/>
              </w:rPr>
              <w:t>)</w:t>
            </w:r>
          </w:p>
          <w:p w:rsidR="004C2EE3" w14:paraId="7AEB624C" w14:textId="77777777">
            <w:pPr>
              <w:tabs>
                <w:tab w:val="center" w:pos="4680"/>
              </w:tabs>
              <w:suppressAutoHyphens/>
              <w:rPr>
                <w:b/>
                <w:spacing w:val="-2"/>
              </w:rPr>
            </w:pPr>
            <w:r>
              <w:rPr>
                <w:b/>
                <w:spacing w:val="-2"/>
              </w:rPr>
              <w:t>)</w:t>
            </w:r>
          </w:p>
          <w:p w:rsidR="004C2EE3" w14:paraId="33270096" w14:textId="77777777">
            <w:pPr>
              <w:tabs>
                <w:tab w:val="center" w:pos="4680"/>
              </w:tabs>
              <w:suppressAutoHyphens/>
              <w:rPr>
                <w:b/>
                <w:spacing w:val="-2"/>
              </w:rPr>
            </w:pPr>
            <w:r>
              <w:rPr>
                <w:b/>
                <w:spacing w:val="-2"/>
              </w:rPr>
              <w:t>)</w:t>
            </w:r>
          </w:p>
          <w:p w:rsidR="004C2EE3" w14:paraId="7A4E4172" w14:textId="77777777">
            <w:pPr>
              <w:tabs>
                <w:tab w:val="center" w:pos="4680"/>
              </w:tabs>
              <w:suppressAutoHyphens/>
              <w:rPr>
                <w:spacing w:val="-2"/>
              </w:rPr>
            </w:pPr>
            <w:r>
              <w:rPr>
                <w:b/>
                <w:spacing w:val="-2"/>
              </w:rPr>
              <w:t>)</w:t>
            </w:r>
          </w:p>
        </w:tc>
        <w:tc>
          <w:tcPr>
            <w:tcW w:w="4248" w:type="dxa"/>
          </w:tcPr>
          <w:p w:rsidR="004C2EE3" w14:paraId="2731B325" w14:textId="77777777">
            <w:pPr>
              <w:tabs>
                <w:tab w:val="center" w:pos="4680"/>
              </w:tabs>
              <w:suppressAutoHyphens/>
              <w:rPr>
                <w:spacing w:val="-2"/>
              </w:rPr>
            </w:pPr>
          </w:p>
          <w:p w:rsidR="004C2EE3" w14:paraId="38B24851" w14:textId="77777777">
            <w:pPr>
              <w:pStyle w:val="TOAHeading"/>
              <w:tabs>
                <w:tab w:val="center" w:pos="4680"/>
                <w:tab w:val="clear" w:pos="9360"/>
              </w:tabs>
              <w:rPr>
                <w:spacing w:val="-2"/>
              </w:rPr>
            </w:pPr>
          </w:p>
          <w:p w:rsidR="004C2EE3" w14:paraId="2A8D15E8" w14:textId="77777777">
            <w:pPr>
              <w:tabs>
                <w:tab w:val="center" w:pos="4680"/>
              </w:tabs>
              <w:suppressAutoHyphens/>
              <w:rPr>
                <w:spacing w:val="-2"/>
              </w:rPr>
            </w:pPr>
            <w:r>
              <w:rPr>
                <w:spacing w:val="-2"/>
              </w:rPr>
              <w:t>PS Docket No. 15-91</w:t>
            </w:r>
          </w:p>
          <w:p w:rsidR="007857E9" w14:paraId="018E2DE4" w14:textId="77777777">
            <w:pPr>
              <w:tabs>
                <w:tab w:val="center" w:pos="4680"/>
              </w:tabs>
              <w:suppressAutoHyphens/>
              <w:rPr>
                <w:spacing w:val="-2"/>
              </w:rPr>
            </w:pPr>
          </w:p>
          <w:p w:rsidR="007857E9" w14:paraId="468337AE" w14:textId="77777777">
            <w:pPr>
              <w:tabs>
                <w:tab w:val="center" w:pos="4680"/>
              </w:tabs>
              <w:suppressAutoHyphens/>
              <w:rPr>
                <w:spacing w:val="-2"/>
              </w:rPr>
            </w:pPr>
          </w:p>
          <w:p w:rsidR="007857E9" w14:paraId="32FBDC5D" w14:textId="77777777">
            <w:pPr>
              <w:tabs>
                <w:tab w:val="center" w:pos="4680"/>
              </w:tabs>
              <w:suppressAutoHyphens/>
              <w:rPr>
                <w:spacing w:val="-2"/>
              </w:rPr>
            </w:pPr>
            <w:r>
              <w:rPr>
                <w:spacing w:val="-2"/>
              </w:rPr>
              <w:t>PS Docket No. 15-94</w:t>
            </w:r>
          </w:p>
        </w:tc>
      </w:tr>
    </w:tbl>
    <w:p w:rsidR="004C2EE3" w:rsidP="0070224F" w14:paraId="09719D5B" w14:textId="77777777"/>
    <w:p w:rsidR="00841AB1" w:rsidP="00F021FA" w14:paraId="66AE557F" w14:textId="77777777">
      <w:pPr>
        <w:pStyle w:val="StyleBoldCentered"/>
      </w:pPr>
      <w:r>
        <w:t>order</w:t>
      </w:r>
    </w:p>
    <w:p w:rsidR="004C2EE3" w14:paraId="4912C4C4" w14:textId="77777777">
      <w:pPr>
        <w:tabs>
          <w:tab w:val="left" w:pos="-720"/>
        </w:tabs>
        <w:suppressAutoHyphens/>
        <w:spacing w:line="227" w:lineRule="auto"/>
        <w:rPr>
          <w:spacing w:val="-2"/>
        </w:rPr>
      </w:pPr>
    </w:p>
    <w:p w:rsidR="004C2EE3" w:rsidP="00133F79" w14:paraId="70136360" w14:textId="44EBA670">
      <w:pPr>
        <w:tabs>
          <w:tab w:val="left" w:pos="720"/>
          <w:tab w:val="right" w:pos="9360"/>
        </w:tabs>
        <w:suppressAutoHyphens/>
        <w:spacing w:line="227" w:lineRule="auto"/>
        <w:rPr>
          <w:spacing w:val="-2"/>
        </w:rPr>
      </w:pPr>
      <w:r>
        <w:rPr>
          <w:b/>
          <w:spacing w:val="-2"/>
        </w:rPr>
        <w:t xml:space="preserve">Adopted:  </w:t>
      </w:r>
      <w:r w:rsidRPr="00531401" w:rsidR="00D83C8F">
        <w:rPr>
          <w:b/>
          <w:spacing w:val="-2"/>
        </w:rPr>
        <w:t xml:space="preserve">May </w:t>
      </w:r>
      <w:r w:rsidRPr="00531401" w:rsidR="00531401">
        <w:rPr>
          <w:b/>
          <w:spacing w:val="-2"/>
        </w:rPr>
        <w:t>20</w:t>
      </w:r>
      <w:r w:rsidRPr="00531401" w:rsidR="00B434A6">
        <w:rPr>
          <w:b/>
          <w:spacing w:val="-2"/>
        </w:rPr>
        <w:t>, 2019</w:t>
      </w:r>
      <w:r w:rsidRPr="00531401">
        <w:rPr>
          <w:b/>
          <w:spacing w:val="-2"/>
        </w:rPr>
        <w:tab/>
      </w:r>
      <w:r w:rsidRPr="00531401" w:rsidR="00822CE0">
        <w:rPr>
          <w:b/>
          <w:spacing w:val="-2"/>
        </w:rPr>
        <w:t>Released</w:t>
      </w:r>
      <w:r w:rsidRPr="00531401">
        <w:rPr>
          <w:b/>
          <w:spacing w:val="-2"/>
        </w:rPr>
        <w:t>:</w:t>
      </w:r>
      <w:r w:rsidRPr="00531401" w:rsidR="00822CE0">
        <w:rPr>
          <w:b/>
          <w:spacing w:val="-2"/>
        </w:rPr>
        <w:t xml:space="preserve"> </w:t>
      </w:r>
      <w:r w:rsidRPr="00531401">
        <w:rPr>
          <w:b/>
          <w:spacing w:val="-2"/>
        </w:rPr>
        <w:t xml:space="preserve"> </w:t>
      </w:r>
      <w:r w:rsidRPr="00531401" w:rsidR="00D83C8F">
        <w:rPr>
          <w:b/>
          <w:spacing w:val="-2"/>
        </w:rPr>
        <w:t xml:space="preserve">May </w:t>
      </w:r>
      <w:r w:rsidRPr="00531401" w:rsidR="00531401">
        <w:rPr>
          <w:b/>
          <w:spacing w:val="-2"/>
        </w:rPr>
        <w:t>20</w:t>
      </w:r>
      <w:r w:rsidRPr="00531401" w:rsidR="00B434A6">
        <w:rPr>
          <w:b/>
          <w:spacing w:val="-2"/>
        </w:rPr>
        <w:t>, 2019</w:t>
      </w:r>
    </w:p>
    <w:p w:rsidR="00822CE0" w14:paraId="32D8415A" w14:textId="77777777"/>
    <w:p w:rsidR="004C2EE3" w14:paraId="2D4FEDB1" w14:textId="2CE81BFD">
      <w:pPr>
        <w:rPr>
          <w:spacing w:val="-2"/>
        </w:rPr>
      </w:pPr>
      <w:r>
        <w:t xml:space="preserve">By </w:t>
      </w:r>
      <w:r w:rsidR="004E4A22">
        <w:t>the</w:t>
      </w:r>
      <w:r w:rsidR="002A2D2E">
        <w:t xml:space="preserve"> </w:t>
      </w:r>
      <w:r w:rsidR="00F016F3">
        <w:t xml:space="preserve">Deputy </w:t>
      </w:r>
      <w:r w:rsidRPr="00675326" w:rsidR="007857E9">
        <w:rPr>
          <w:spacing w:val="-2"/>
        </w:rPr>
        <w:t>Chief, Public Safety and Homeland Security Bureau</w:t>
      </w:r>
      <w:r w:rsidRPr="00F016F3">
        <w:rPr>
          <w:spacing w:val="-2"/>
        </w:rPr>
        <w:t>:</w:t>
      </w:r>
    </w:p>
    <w:p w:rsidR="00822CE0" w14:paraId="6E5E6A87" w14:textId="77777777">
      <w:pPr>
        <w:rPr>
          <w:spacing w:val="-2"/>
        </w:rPr>
      </w:pPr>
    </w:p>
    <w:p w:rsidR="00412FC5" w:rsidP="00C36B4C" w14:paraId="3729A4F8" w14:textId="77777777">
      <w:pPr>
        <w:pStyle w:val="Heading1"/>
      </w:pPr>
      <w:r>
        <w:t>introduction</w:t>
      </w:r>
    </w:p>
    <w:p w:rsidR="007857E9" w:rsidP="00055878" w14:paraId="53AA9589" w14:textId="1920F375">
      <w:pPr>
        <w:pStyle w:val="ParaNum"/>
      </w:pPr>
      <w:r>
        <w:t xml:space="preserve">In this </w:t>
      </w:r>
      <w:r>
        <w:rPr>
          <w:i/>
        </w:rPr>
        <w:t>Order</w:t>
      </w:r>
      <w:r>
        <w:t xml:space="preserve">, the Public Safety and Homeland Security Bureau (Bureau) of the Federal Communications Commission (Commission) grants a limited waiver of the Commission’s Wireless Emergency Alerts (WEA) rules to </w:t>
      </w:r>
      <w:r w:rsidRPr="0034448C">
        <w:t>permit Participating Commercial Mobile Service (CMS) Providers</w:t>
      </w:r>
      <w:r>
        <w:rPr>
          <w:rStyle w:val="FootnoteReference"/>
        </w:rPr>
        <w:footnoteReference w:id="3"/>
      </w:r>
      <w:r w:rsidRPr="0034448C">
        <w:t xml:space="preserve"> to participate in an end-to-end test of WEA to be conducted by the </w:t>
      </w:r>
      <w:r w:rsidRPr="0034448C" w:rsidR="00A105F1">
        <w:t>Alamosa Regional Communications Center</w:t>
      </w:r>
      <w:r w:rsidR="0034448C">
        <w:t xml:space="preserve"> (ARCC)</w:t>
      </w:r>
      <w:r w:rsidRPr="0034448C">
        <w:t>.</w:t>
      </w:r>
      <w:r>
        <w:rPr>
          <w:rStyle w:val="FootnoteReference"/>
        </w:rPr>
        <w:footnoteReference w:id="4"/>
      </w:r>
      <w:r w:rsidRPr="0034448C">
        <w:t xml:space="preserve">  This proposed test is scheduled for </w:t>
      </w:r>
      <w:r w:rsidRPr="0034448C" w:rsidR="00C85932">
        <w:t xml:space="preserve">Thursday, </w:t>
      </w:r>
      <w:r w:rsidRPr="0034448C" w:rsidR="00A105F1">
        <w:t>June 6</w:t>
      </w:r>
      <w:r w:rsidRPr="0034448C" w:rsidR="00055878">
        <w:t xml:space="preserve">, </w:t>
      </w:r>
      <w:r w:rsidRPr="0034448C">
        <w:t>2019</w:t>
      </w:r>
      <w:r w:rsidRPr="0034448C" w:rsidR="00BA336F">
        <w:t>,</w:t>
      </w:r>
      <w:r w:rsidRPr="0034448C">
        <w:t xml:space="preserve"> at </w:t>
      </w:r>
      <w:r w:rsidRPr="0034448C" w:rsidR="002318F8">
        <w:t>11:00 a.m.</w:t>
      </w:r>
      <w:r w:rsidRPr="0034448C">
        <w:t xml:space="preserve"> Mountain Daylight Time (MDT)</w:t>
      </w:r>
      <w:r w:rsidRPr="0034448C" w:rsidR="002318F8">
        <w:t xml:space="preserve">, with a backup date of Thursday, </w:t>
      </w:r>
      <w:r w:rsidRPr="0034448C" w:rsidR="0034448C">
        <w:t>June</w:t>
      </w:r>
      <w:r w:rsidRPr="0034448C" w:rsidR="002318F8">
        <w:t xml:space="preserve"> 1</w:t>
      </w:r>
      <w:r w:rsidRPr="0034448C" w:rsidR="0034448C">
        <w:t>3</w:t>
      </w:r>
      <w:r w:rsidRPr="0034448C" w:rsidR="002318F8">
        <w:t>, 2019, at 11:00 a.m. MDT,</w:t>
      </w:r>
      <w:r w:rsidRPr="0034448C">
        <w:t xml:space="preserve"> and would occur </w:t>
      </w:r>
      <w:r w:rsidR="00615B43">
        <w:t>with</w:t>
      </w:r>
      <w:r w:rsidRPr="0034448C" w:rsidR="00A105F1">
        <w:t xml:space="preserve">in </w:t>
      </w:r>
      <w:r w:rsidR="0034448C">
        <w:t xml:space="preserve">six counties in </w:t>
      </w:r>
      <w:r w:rsidR="00D35082">
        <w:t>Colorado’s</w:t>
      </w:r>
      <w:r w:rsidR="0034448C">
        <w:t xml:space="preserve"> San Luis Valley region</w:t>
      </w:r>
      <w:r>
        <w:t>.</w:t>
      </w:r>
      <w:r>
        <w:rPr>
          <w:rStyle w:val="FootnoteReference"/>
        </w:rPr>
        <w:footnoteReference w:id="5"/>
      </w:r>
      <w:r>
        <w:t xml:space="preserve">  For the reasons discussed below, we grant the </w:t>
      </w:r>
      <w:r w:rsidR="0034448C">
        <w:t>ARCC</w:t>
      </w:r>
      <w:r>
        <w:t xml:space="preserve"> request, subject to certain conditions.</w:t>
      </w:r>
    </w:p>
    <w:p w:rsidR="007857E9" w:rsidP="007857E9" w14:paraId="523781A2" w14:textId="77777777">
      <w:pPr>
        <w:pStyle w:val="Heading1"/>
      </w:pPr>
      <w:r>
        <w:t>background</w:t>
      </w:r>
    </w:p>
    <w:p w:rsidR="007857E9" w:rsidP="007857E9" w14:paraId="36750E07" w14:textId="77777777">
      <w:pPr>
        <w:pStyle w:val="ParaNum"/>
      </w:pPr>
      <w:r>
        <w:t xml:space="preserve">The </w:t>
      </w:r>
      <w:r w:rsidRPr="00436ED9">
        <w:t>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6"/>
      </w:r>
      <w:r w:rsidRPr="00436ED9">
        <w:t xml:space="preserve">  The Commission’s rules prohibit the use of the WEA Attention Signal except during actual emergencies, authorized tests, and </w:t>
      </w:r>
      <w:r w:rsidRPr="00436ED9">
        <w:t>certain public service announcements.</w:t>
      </w:r>
      <w:r>
        <w:rPr>
          <w:vertAlign w:val="superscript"/>
        </w:rPr>
        <w:footnoteReference w:id="7"/>
      </w:r>
      <w:r w:rsidRPr="00436ED9">
        <w:t xml:space="preserve">  Additionally, the Commission’s rules allow testing of WEA functionality only in limited circumstances that currently do not include end-to-end WEA tests to the public.</w:t>
      </w:r>
      <w:r>
        <w:rPr>
          <w:vertAlign w:val="superscript"/>
        </w:rPr>
        <w:footnoteReference w:id="8"/>
      </w:r>
      <w:r w:rsidRPr="00436ED9">
        <w:t xml:space="preserve">  On November 1, 2016, the Commission adopted a </w:t>
      </w:r>
      <w:r w:rsidRPr="00436ED9">
        <w:rPr>
          <w:i/>
        </w:rPr>
        <w:t>Report and Order</w:t>
      </w:r>
      <w:r w:rsidRPr="00436ED9">
        <w:t xml:space="preserve"> that amends the WEA testing rules to permit emergency managers to conduct end-to-end WEA tests to the public, to assess how WEA is working within their jurisdictions.</w:t>
      </w:r>
      <w:r>
        <w:rPr>
          <w:vertAlign w:val="superscript"/>
        </w:rPr>
        <w:footnoteReference w:id="9"/>
      </w:r>
      <w:r w:rsidRPr="00436ED9">
        <w:t xml:space="preserve">  The rules allowing such tests will not be effective until May 1, 2019.</w:t>
      </w:r>
      <w:r>
        <w:rPr>
          <w:vertAlign w:val="superscript"/>
        </w:rPr>
        <w:footnoteReference w:id="10"/>
      </w:r>
      <w:r w:rsidR="000E0805">
        <w:t xml:space="preserve">  The Department of Homeland Security’s Federal Emergency Management Agency (FEMA</w:t>
      </w:r>
      <w:r w:rsidRPr="000E0805" w:rsidR="000E0805">
        <w:t>), which administers the Integrated Public Alert and Warning System (IPAWS) infrastructure through which all alerts are authenticated, validated, and delivered to Participating CMS Providers, has recently informed the Bureau that IPAWS will not be ready to support additional features</w:t>
      </w:r>
      <w:r w:rsidR="0063768D">
        <w:t>, including State/Local WEA Tests,</w:t>
      </w:r>
      <w:r w:rsidRPr="000E0805" w:rsidR="000E0805">
        <w:t xml:space="preserve"> until June 10, 2019.</w:t>
      </w:r>
      <w:r>
        <w:rPr>
          <w:rStyle w:val="FootnoteReference"/>
        </w:rPr>
        <w:footnoteReference w:id="11"/>
      </w:r>
      <w:r w:rsidRPr="000E0805" w:rsidR="000E0805">
        <w:t xml:space="preserve">  </w:t>
      </w:r>
      <w:r w:rsidR="000E0805">
        <w:t xml:space="preserve">Accordingly, alert originators wishing to conduct end-to-end WEA tests prior to IPAWS’ readiness to support State/Local WEA Tests must continue to request a waiver </w:t>
      </w:r>
      <w:r w:rsidR="00BA336F">
        <w:t xml:space="preserve">to </w:t>
      </w:r>
      <w:r w:rsidR="000E0805">
        <w:t>use existing WEA message classifications to permit the alerts to be transmitted to the public.</w:t>
      </w:r>
    </w:p>
    <w:p w:rsidR="007A5319" w:rsidP="00C07975" w14:paraId="43A7E4C8" w14:textId="02159390">
      <w:pPr>
        <w:pStyle w:val="ParaNum"/>
      </w:pPr>
      <w:r>
        <w:t>In its letter,</w:t>
      </w:r>
      <w:r w:rsidRPr="0022215E" w:rsidR="00AD38E1">
        <w:t xml:space="preserve"> </w:t>
      </w:r>
      <w:r w:rsidRPr="0022215E" w:rsidR="006A6BD7">
        <w:t>ARCC</w:t>
      </w:r>
      <w:r w:rsidRPr="0022215E" w:rsidR="00AD38E1">
        <w:t xml:space="preserve"> requests a waiver of the Commission’s rules to allow Participating CMS Providers to participate in a</w:t>
      </w:r>
      <w:r>
        <w:t>n end-to-end</w:t>
      </w:r>
      <w:r w:rsidRPr="0022215E" w:rsidR="00AD38E1">
        <w:t xml:space="preserve"> WEA test on </w:t>
      </w:r>
      <w:r w:rsidRPr="0022215E" w:rsidR="006A6BD7">
        <w:t>Thursday</w:t>
      </w:r>
      <w:r w:rsidRPr="0022215E" w:rsidR="00AD38E1">
        <w:t xml:space="preserve">, </w:t>
      </w:r>
      <w:r w:rsidRPr="0022215E" w:rsidR="006A6BD7">
        <w:t>June 6</w:t>
      </w:r>
      <w:r w:rsidRPr="0022215E" w:rsidR="00AD38E1">
        <w:t>, 2019</w:t>
      </w:r>
      <w:r w:rsidRPr="0022215E" w:rsidR="00167D6A">
        <w:t>, at</w:t>
      </w:r>
      <w:r w:rsidRPr="0022215E" w:rsidR="001366E8">
        <w:t xml:space="preserve"> 11:00 a.m.</w:t>
      </w:r>
      <w:r w:rsidRPr="0022215E" w:rsidR="00330A7F">
        <w:t xml:space="preserve"> MDT</w:t>
      </w:r>
      <w:r w:rsidRPr="0022215E" w:rsidR="001366E8">
        <w:t xml:space="preserve">, with a backup date of </w:t>
      </w:r>
      <w:r w:rsidRPr="0022215E" w:rsidR="006A6BD7">
        <w:t>Thursday, June 13</w:t>
      </w:r>
      <w:r w:rsidRPr="0022215E" w:rsidR="001366E8">
        <w:t>, 2019, also at 11:00 a.m. MDT</w:t>
      </w:r>
      <w:r w:rsidRPr="0022215E" w:rsidR="00167D6A">
        <w:t>.</w:t>
      </w:r>
      <w:r>
        <w:rPr>
          <w:rStyle w:val="FootnoteReference"/>
        </w:rPr>
        <w:footnoteReference w:id="12"/>
      </w:r>
      <w:r w:rsidRPr="0022215E" w:rsidR="00167D6A">
        <w:t xml:space="preserve">  </w:t>
      </w:r>
      <w:r w:rsidRPr="0022215E" w:rsidR="006A6BD7">
        <w:t xml:space="preserve">ARCC states in its letter that </w:t>
      </w:r>
      <w:r w:rsidRPr="0022215E" w:rsidR="00C7392E">
        <w:t xml:space="preserve">the San Luis Valley </w:t>
      </w:r>
      <w:r w:rsidRPr="0022215E" w:rsidR="00F2688C">
        <w:t xml:space="preserve">is susceptible to </w:t>
      </w:r>
      <w:r w:rsidRPr="0022215E" w:rsidR="00C7392E">
        <w:t>wildfires</w:t>
      </w:r>
      <w:r>
        <w:t xml:space="preserve"> and spring flooding</w:t>
      </w:r>
      <w:r w:rsidR="001F11D2">
        <w:t xml:space="preserve"> and </w:t>
      </w:r>
      <w:r w:rsidR="005A54F1">
        <w:t xml:space="preserve">suffered the third largest </w:t>
      </w:r>
      <w:r w:rsidR="001F11D2">
        <w:t>wi</w:t>
      </w:r>
      <w:r w:rsidR="005A54F1">
        <w:t>ldfire in Colorado’s history last year</w:t>
      </w:r>
      <w:r w:rsidR="0022215E">
        <w:t xml:space="preserve">.  </w:t>
      </w:r>
      <w:r w:rsidRPr="0022215E" w:rsidR="0022215E">
        <w:t>ARCC believes there is a severe risk of flooding to the area, especially in the areas hit by last year’s wildfires</w:t>
      </w:r>
      <w:r>
        <w:t>,</w:t>
      </w:r>
      <w:r w:rsidR="0022215E">
        <w:t xml:space="preserve"> because it</w:t>
      </w:r>
      <w:r w:rsidRPr="0022215E" w:rsidR="00F2688C">
        <w:t xml:space="preserve"> </w:t>
      </w:r>
      <w:r w:rsidRPr="0022215E" w:rsidR="00421F27">
        <w:t>received higher than average snowfall through the winter</w:t>
      </w:r>
      <w:r>
        <w:t>,</w:t>
      </w:r>
      <w:r w:rsidR="0022215E">
        <w:t xml:space="preserve"> and forecasts show</w:t>
      </w:r>
      <w:r w:rsidRPr="0022215E" w:rsidR="00421F27">
        <w:t xml:space="preserve"> above average moistu</w:t>
      </w:r>
      <w:r w:rsidR="0022215E">
        <w:t>re during the spring and summer</w:t>
      </w:r>
      <w:r w:rsidRPr="0022215E" w:rsidR="00421F27">
        <w:t>.</w:t>
      </w:r>
      <w:r>
        <w:rPr>
          <w:rStyle w:val="FootnoteReference"/>
        </w:rPr>
        <w:footnoteReference w:id="13"/>
      </w:r>
      <w:r w:rsidRPr="0022215E" w:rsidR="00F2688C">
        <w:t xml:space="preserve">  </w:t>
      </w:r>
      <w:r w:rsidRPr="0022215E" w:rsidR="00C650C6">
        <w:t xml:space="preserve">ARCC </w:t>
      </w:r>
      <w:r>
        <w:t>wishes to</w:t>
      </w:r>
      <w:r w:rsidRPr="0022215E" w:rsidR="00F2688C">
        <w:t xml:space="preserve"> </w:t>
      </w:r>
      <w:r w:rsidRPr="0022215E" w:rsidR="00C650C6">
        <w:t>“test the readiness, capability and procedures of our emergency alert systems” and “allow our agency, our partners and the public to better recognize and understand how emergency alerting will look in our unique area.”</w:t>
      </w:r>
      <w:r>
        <w:rPr>
          <w:rStyle w:val="FootnoteReference"/>
        </w:rPr>
        <w:footnoteReference w:id="14"/>
      </w:r>
      <w:r w:rsidRPr="0022215E" w:rsidR="004C16DF">
        <w:t xml:space="preserve">  </w:t>
      </w:r>
      <w:r>
        <w:t>ARCC also notes</w:t>
      </w:r>
      <w:r w:rsidR="0025296F">
        <w:t xml:space="preserve"> that </w:t>
      </w:r>
      <w:r>
        <w:t xml:space="preserve">the test’s objective </w:t>
      </w:r>
      <w:r w:rsidR="0025296F">
        <w:t>is to ensure</w:t>
      </w:r>
      <w:r>
        <w:t xml:space="preserve"> that, as the sole originating </w:t>
      </w:r>
      <w:r w:rsidR="00635A3D">
        <w:t>authority for IPAWS in the</w:t>
      </w:r>
      <w:r>
        <w:t xml:space="preserve"> San Luis Valley</w:t>
      </w:r>
      <w:r w:rsidR="00635A3D">
        <w:t>, the agency is able to notify</w:t>
      </w:r>
      <w:r>
        <w:t xml:space="preserve"> residents and visitors alike </w:t>
      </w:r>
      <w:r w:rsidR="00635A3D">
        <w:t>through WEA</w:t>
      </w:r>
      <w:r w:rsidR="00530C5A">
        <w:t xml:space="preserve"> in the event of an emergency</w:t>
      </w:r>
      <w:r w:rsidR="00635A3D">
        <w:t>.</w:t>
      </w:r>
      <w:r>
        <w:rPr>
          <w:rStyle w:val="FootnoteReference"/>
        </w:rPr>
        <w:footnoteReference w:id="15"/>
      </w:r>
      <w:r>
        <w:t xml:space="preserve"> </w:t>
      </w:r>
    </w:p>
    <w:p w:rsidR="00167D6A" w:rsidRPr="001768F4" w:rsidP="00BA336F" w14:paraId="1B009603" w14:textId="3E7B2B8C">
      <w:pPr>
        <w:pStyle w:val="ParaNum"/>
        <w:keepNext/>
        <w:widowControl/>
      </w:pPr>
      <w:r w:rsidRPr="001768F4">
        <w:t xml:space="preserve">The </w:t>
      </w:r>
      <w:r w:rsidRPr="001768F4" w:rsidR="00BE5659">
        <w:t>ARCC</w:t>
      </w:r>
      <w:r w:rsidRPr="001768F4">
        <w:t xml:space="preserve"> proposed WEA test </w:t>
      </w:r>
      <w:r w:rsidRPr="001768F4" w:rsidR="001B6A64">
        <w:t xml:space="preserve">will be conducted within the </w:t>
      </w:r>
      <w:r w:rsidRPr="001768F4" w:rsidR="00BE5659">
        <w:t>six counties that constitute the San Luis Valley</w:t>
      </w:r>
      <w:r w:rsidRPr="001768F4">
        <w:t>.</w:t>
      </w:r>
      <w:r>
        <w:rPr>
          <w:rStyle w:val="FootnoteReference"/>
        </w:rPr>
        <w:footnoteReference w:id="16"/>
      </w:r>
      <w:r w:rsidRPr="001768F4">
        <w:t xml:space="preserve">  The proposed WEA test message to be delivered to mobile devices would be</w:t>
      </w:r>
      <w:r w:rsidRPr="001768F4">
        <w:t xml:space="preserve">:  </w:t>
      </w:r>
      <w:r w:rsidRPr="001768F4" w:rsidR="004C16DF">
        <w:t>“</w:t>
      </w:r>
      <w:r w:rsidRPr="001768F4" w:rsidR="004C16DF">
        <w:t xml:space="preserve">This is a test of the </w:t>
      </w:r>
      <w:r w:rsidRPr="001768F4" w:rsidR="00C04B3C">
        <w:t>SLV Wireless Emergency Alert System</w:t>
      </w:r>
      <w:r w:rsidRPr="001768F4" w:rsidR="004C16DF">
        <w:t xml:space="preserve">. </w:t>
      </w:r>
      <w:r w:rsidRPr="001768F4" w:rsidR="00C04B3C">
        <w:t>No action required</w:t>
      </w:r>
      <w:r w:rsidRPr="001768F4">
        <w:t>.</w:t>
      </w:r>
      <w:r w:rsidRPr="001768F4" w:rsidR="004C16DF">
        <w:t>”</w:t>
      </w:r>
      <w:r>
        <w:rPr>
          <w:rStyle w:val="FootnoteReference"/>
        </w:rPr>
        <w:footnoteReference w:id="17"/>
      </w:r>
      <w:r w:rsidRPr="001768F4" w:rsidR="004C16DF">
        <w:t xml:space="preserve">  </w:t>
      </w:r>
      <w:r w:rsidR="00635A3D">
        <w:t xml:space="preserve">ARCC staff have </w:t>
      </w:r>
      <w:r w:rsidR="00530C5A">
        <w:t xml:space="preserve">previously </w:t>
      </w:r>
      <w:r w:rsidR="00635A3D">
        <w:t>conducted two successful WEA tests within the IPAWS lab.</w:t>
      </w:r>
      <w:r>
        <w:rPr>
          <w:rStyle w:val="FootnoteReference"/>
        </w:rPr>
        <w:footnoteReference w:id="18"/>
      </w:r>
    </w:p>
    <w:p w:rsidR="00167D6A" w:rsidRPr="00355AB9" w:rsidP="00675326" w14:paraId="0087C444" w14:textId="400019A3">
      <w:pPr>
        <w:pStyle w:val="ParaNum"/>
        <w:widowControl/>
      </w:pPr>
      <w:r>
        <w:t>As the sole Public Safety Answering Point (PSAP) in the San Luis Valley, ARCC staff and partners have been made aware of the proposed test in order to make necessary preparations.</w:t>
      </w:r>
      <w:r>
        <w:rPr>
          <w:rStyle w:val="FootnoteReference"/>
        </w:rPr>
        <w:footnoteReference w:id="19"/>
      </w:r>
      <w:r>
        <w:t xml:space="preserve">  </w:t>
      </w:r>
      <w:r w:rsidRPr="00355AB9" w:rsidR="00AD38E1">
        <w:t xml:space="preserve">The </w:t>
      </w:r>
      <w:r w:rsidR="00615B43">
        <w:t xml:space="preserve">Amended </w:t>
      </w:r>
      <w:r w:rsidRPr="00355AB9" w:rsidR="009441B3">
        <w:t xml:space="preserve">ARCC </w:t>
      </w:r>
      <w:r w:rsidRPr="00355AB9" w:rsidR="00AD38E1">
        <w:t xml:space="preserve">Letter indicates that </w:t>
      </w:r>
      <w:r w:rsidRPr="00355AB9" w:rsidR="009441B3">
        <w:t>ARCC</w:t>
      </w:r>
      <w:r w:rsidRPr="00355AB9" w:rsidR="00AD38E1">
        <w:t xml:space="preserve"> </w:t>
      </w:r>
      <w:r w:rsidRPr="00355AB9" w:rsidR="00B62CCD">
        <w:t>intends to conduct</w:t>
      </w:r>
      <w:r w:rsidR="00445ED2">
        <w:t xml:space="preserve"> an extensive public outreach </w:t>
      </w:r>
      <w:r w:rsidRPr="00355AB9" w:rsidR="00AD38E1">
        <w:t>campaign to inform the public about the test</w:t>
      </w:r>
      <w:r>
        <w:t>, including when it will happen and what to expect</w:t>
      </w:r>
      <w:r w:rsidRPr="00355AB9" w:rsidR="00AD38E1">
        <w:t>.</w:t>
      </w:r>
      <w:r>
        <w:rPr>
          <w:rStyle w:val="FootnoteReference"/>
        </w:rPr>
        <w:footnoteReference w:id="20"/>
      </w:r>
      <w:r w:rsidRPr="00355AB9" w:rsidR="00AD38E1">
        <w:t xml:space="preserve"> </w:t>
      </w:r>
      <w:r w:rsidRPr="00355AB9" w:rsidR="001468BD">
        <w:t xml:space="preserve"> </w:t>
      </w:r>
      <w:r w:rsidRPr="00355AB9" w:rsidR="009441B3">
        <w:t>ARCC states that it will use media outlets such as radio, newspaper, and social media</w:t>
      </w:r>
      <w:r>
        <w:t>, including the accounts of its emergency preparedness partners, to increase public awareness</w:t>
      </w:r>
      <w:r w:rsidRPr="00355AB9" w:rsidR="009441B3">
        <w:t>.</w:t>
      </w:r>
      <w:r>
        <w:rPr>
          <w:rStyle w:val="FootnoteReference"/>
        </w:rPr>
        <w:footnoteReference w:id="21"/>
      </w:r>
      <w:r w:rsidRPr="00355AB9" w:rsidR="009441B3">
        <w:t xml:space="preserve">  They will also ensure that area hospitals, nursing centers, and schools within the test area are aware of the test</w:t>
      </w:r>
      <w:r w:rsidRPr="00355AB9" w:rsidR="00AB47AA">
        <w:t>.</w:t>
      </w:r>
      <w:r>
        <w:rPr>
          <w:rStyle w:val="FootnoteReference"/>
        </w:rPr>
        <w:footnoteReference w:id="22"/>
      </w:r>
      <w:r w:rsidRPr="00355AB9" w:rsidR="00AB47AA">
        <w:t xml:space="preserve">  </w:t>
      </w:r>
      <w:r w:rsidRPr="00355AB9" w:rsidR="009441B3">
        <w:t xml:space="preserve">ARCC </w:t>
      </w:r>
      <w:r w:rsidRPr="00355AB9" w:rsidR="00957256">
        <w:t xml:space="preserve">has </w:t>
      </w:r>
      <w:r w:rsidRPr="00355AB9" w:rsidR="003A6D90">
        <w:t xml:space="preserve">also </w:t>
      </w:r>
      <w:r w:rsidRPr="00355AB9" w:rsidR="009441B3">
        <w:t xml:space="preserve">pledged to notify </w:t>
      </w:r>
      <w:r w:rsidR="00445ED2">
        <w:t xml:space="preserve">FEMA </w:t>
      </w:r>
      <w:r w:rsidR="00830298">
        <w:t>and</w:t>
      </w:r>
      <w:r w:rsidR="00E545CC">
        <w:t xml:space="preserve"> the Colorado Department of Homeland Se</w:t>
      </w:r>
      <w:r w:rsidR="00830298">
        <w:t>curity and Emergency Management.  It also plans to contact</w:t>
      </w:r>
      <w:r w:rsidR="00E545CC">
        <w:t xml:space="preserve"> </w:t>
      </w:r>
      <w:r w:rsidRPr="00355AB9" w:rsidR="009441B3">
        <w:t>other PSAPs, law enforcement, fire departments, and EMS services outside the test area of its plans to conduct a WEA test</w:t>
      </w:r>
      <w:r w:rsidRPr="00355AB9" w:rsidR="003A6D90">
        <w:t>.</w:t>
      </w:r>
      <w:r>
        <w:rPr>
          <w:rStyle w:val="FootnoteReference"/>
        </w:rPr>
        <w:footnoteReference w:id="23"/>
      </w:r>
      <w:r w:rsidRPr="00355AB9" w:rsidR="003A6D90">
        <w:t xml:space="preserve">  </w:t>
      </w:r>
      <w:r w:rsidR="00840178">
        <w:t>ARCC has also begun contacting the Participating CMS Providers in the area to ensure there are no conflicts with the proposed WEA test.</w:t>
      </w:r>
      <w:r>
        <w:rPr>
          <w:rStyle w:val="FootnoteReference"/>
        </w:rPr>
        <w:footnoteReference w:id="24"/>
      </w:r>
      <w:r w:rsidR="00840178">
        <w:t xml:space="preserve">  Lastly, </w:t>
      </w:r>
      <w:r w:rsidRPr="00355AB9" w:rsidR="009441B3">
        <w:t>ARCC will ask the public for feedback on the test</w:t>
      </w:r>
      <w:r w:rsidRPr="00355AB9" w:rsidR="0003681A">
        <w:t>.</w:t>
      </w:r>
      <w:r>
        <w:rPr>
          <w:rStyle w:val="FootnoteReference"/>
        </w:rPr>
        <w:footnoteReference w:id="25"/>
      </w:r>
    </w:p>
    <w:p w:rsidR="00167D6A" w:rsidP="00167D6A" w14:paraId="738109A4" w14:textId="77777777">
      <w:pPr>
        <w:pStyle w:val="Heading1"/>
      </w:pPr>
      <w:r>
        <w:t>discussion</w:t>
      </w:r>
    </w:p>
    <w:p w:rsidR="00167D6A" w:rsidRPr="00167D6A" w:rsidP="00167D6A" w14:paraId="385BC779" w14:textId="77777777">
      <w:pPr>
        <w:pStyle w:val="ParaNum"/>
      </w:pPr>
      <w:r w:rsidRPr="00436ED9">
        <w:rPr>
          <w:szCs w:val="22"/>
        </w:rPr>
        <w:t>A</w:t>
      </w:r>
      <w:r w:rsidRPr="00436ED9">
        <w:rPr>
          <w:spacing w:val="-5"/>
          <w:szCs w:val="22"/>
        </w:rPr>
        <w:t xml:space="preserve"> </w:t>
      </w:r>
      <w:r w:rsidRPr="00436ED9">
        <w:rPr>
          <w:szCs w:val="22"/>
        </w:rPr>
        <w:t>provision</w:t>
      </w:r>
      <w:r w:rsidRPr="00436ED9">
        <w:rPr>
          <w:spacing w:val="-4"/>
          <w:szCs w:val="22"/>
        </w:rPr>
        <w:t xml:space="preserve"> </w:t>
      </w:r>
      <w:r w:rsidRPr="00436ED9">
        <w:rPr>
          <w:szCs w:val="22"/>
        </w:rPr>
        <w:t>of</w:t>
      </w:r>
      <w:r w:rsidRPr="00436ED9">
        <w:rPr>
          <w:spacing w:val="-3"/>
          <w:szCs w:val="22"/>
        </w:rPr>
        <w:t xml:space="preserve"> </w:t>
      </w:r>
      <w:r w:rsidRPr="00436ED9">
        <w:rPr>
          <w:szCs w:val="22"/>
        </w:rPr>
        <w:t>the</w:t>
      </w:r>
      <w:r w:rsidRPr="00436ED9">
        <w:rPr>
          <w:spacing w:val="-5"/>
          <w:szCs w:val="22"/>
        </w:rPr>
        <w:t xml:space="preserve"> </w:t>
      </w:r>
      <w:r w:rsidRPr="00436ED9">
        <w:rPr>
          <w:szCs w:val="22"/>
        </w:rPr>
        <w:t>Commission’s</w:t>
      </w:r>
      <w:r w:rsidRPr="00436ED9">
        <w:rPr>
          <w:spacing w:val="-4"/>
          <w:szCs w:val="22"/>
        </w:rPr>
        <w:t xml:space="preserve"> </w:t>
      </w:r>
      <w:r w:rsidRPr="00436ED9">
        <w:rPr>
          <w:szCs w:val="22"/>
        </w:rPr>
        <w:t>rules</w:t>
      </w:r>
      <w:r w:rsidRPr="00436ED9">
        <w:rPr>
          <w:spacing w:val="-3"/>
          <w:szCs w:val="22"/>
        </w:rPr>
        <w:t xml:space="preserve"> </w:t>
      </w:r>
      <w:r w:rsidRPr="00436ED9">
        <w:rPr>
          <w:szCs w:val="22"/>
        </w:rPr>
        <w:t>“may</w:t>
      </w:r>
      <w:r w:rsidRPr="00436ED9">
        <w:rPr>
          <w:spacing w:val="-5"/>
          <w:szCs w:val="22"/>
        </w:rPr>
        <w:t xml:space="preserve"> </w:t>
      </w:r>
      <w:r w:rsidRPr="00436ED9">
        <w:rPr>
          <w:szCs w:val="22"/>
        </w:rPr>
        <w:t>be</w:t>
      </w:r>
      <w:r w:rsidRPr="00436ED9">
        <w:rPr>
          <w:spacing w:val="-5"/>
          <w:szCs w:val="22"/>
        </w:rPr>
        <w:t xml:space="preserve"> </w:t>
      </w:r>
      <w:r w:rsidRPr="00436ED9">
        <w:rPr>
          <w:spacing w:val="-1"/>
          <w:szCs w:val="22"/>
        </w:rPr>
        <w:t>waived</w:t>
      </w:r>
      <w:r w:rsidRPr="00436ED9">
        <w:rPr>
          <w:spacing w:val="-4"/>
          <w:szCs w:val="22"/>
        </w:rPr>
        <w:t xml:space="preserve"> </w:t>
      </w:r>
      <w:r w:rsidRPr="00436ED9">
        <w:rPr>
          <w:szCs w:val="22"/>
        </w:rPr>
        <w:t>by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Commission</w:t>
      </w:r>
      <w:r w:rsidRPr="00436ED9">
        <w:rPr>
          <w:spacing w:val="-4"/>
          <w:szCs w:val="22"/>
        </w:rPr>
        <w:t xml:space="preserve"> </w:t>
      </w:r>
      <w:r w:rsidRPr="00436ED9">
        <w:rPr>
          <w:szCs w:val="22"/>
        </w:rPr>
        <w:t>on</w:t>
      </w:r>
      <w:r w:rsidRPr="00436ED9">
        <w:rPr>
          <w:spacing w:val="-4"/>
          <w:szCs w:val="22"/>
        </w:rPr>
        <w:t xml:space="preserve"> </w:t>
      </w:r>
      <w:r w:rsidRPr="00436ED9">
        <w:rPr>
          <w:szCs w:val="22"/>
        </w:rPr>
        <w:t>its</w:t>
      </w:r>
      <w:r w:rsidRPr="00436ED9">
        <w:rPr>
          <w:spacing w:val="-4"/>
          <w:szCs w:val="22"/>
        </w:rPr>
        <w:t xml:space="preserve"> </w:t>
      </w:r>
      <w:r w:rsidRPr="00436ED9">
        <w:rPr>
          <w:szCs w:val="22"/>
        </w:rPr>
        <w:t>own</w:t>
      </w:r>
      <w:r w:rsidRPr="00436ED9">
        <w:rPr>
          <w:spacing w:val="27"/>
          <w:szCs w:val="22"/>
        </w:rPr>
        <w:t xml:space="preserve"> </w:t>
      </w:r>
      <w:r w:rsidRPr="00436ED9">
        <w:rPr>
          <w:spacing w:val="-1"/>
          <w:szCs w:val="22"/>
        </w:rPr>
        <w:t>motion</w:t>
      </w:r>
      <w:r w:rsidRPr="00436ED9">
        <w:rPr>
          <w:spacing w:val="-3"/>
          <w:szCs w:val="22"/>
        </w:rPr>
        <w:t xml:space="preserve"> </w:t>
      </w:r>
      <w:r w:rsidRPr="00436ED9">
        <w:rPr>
          <w:szCs w:val="22"/>
        </w:rPr>
        <w:t>or</w:t>
      </w:r>
      <w:r w:rsidRPr="00436ED9">
        <w:rPr>
          <w:spacing w:val="-3"/>
          <w:szCs w:val="22"/>
        </w:rPr>
        <w:t xml:space="preserve"> </w:t>
      </w:r>
      <w:r w:rsidRPr="00436ED9">
        <w:rPr>
          <w:szCs w:val="22"/>
        </w:rPr>
        <w:t>on</w:t>
      </w:r>
      <w:r w:rsidRPr="00436ED9">
        <w:rPr>
          <w:spacing w:val="-3"/>
          <w:szCs w:val="22"/>
        </w:rPr>
        <w:t xml:space="preserve"> </w:t>
      </w:r>
      <w:r w:rsidRPr="00436ED9">
        <w:rPr>
          <w:szCs w:val="22"/>
        </w:rPr>
        <w:t>petition</w:t>
      </w:r>
      <w:r w:rsidRPr="00436ED9">
        <w:rPr>
          <w:spacing w:val="-3"/>
          <w:szCs w:val="22"/>
        </w:rPr>
        <w:t xml:space="preserve"> </w:t>
      </w:r>
      <w:r w:rsidRPr="00436ED9">
        <w:rPr>
          <w:spacing w:val="-1"/>
          <w:szCs w:val="22"/>
        </w:rPr>
        <w:t>if</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Pr="00436ED9">
        <w:rPr>
          <w:szCs w:val="22"/>
        </w:rPr>
        <w:t>therefor</w:t>
      </w:r>
      <w:r w:rsidRPr="00436ED9">
        <w:rPr>
          <w:spacing w:val="-4"/>
          <w:szCs w:val="22"/>
        </w:rPr>
        <w:t xml:space="preserve"> </w:t>
      </w:r>
      <w:r w:rsidRPr="00436ED9">
        <w:rPr>
          <w:spacing w:val="-1"/>
          <w:szCs w:val="22"/>
        </w:rPr>
        <w:t>is</w:t>
      </w:r>
      <w:r w:rsidRPr="00436ED9">
        <w:rPr>
          <w:spacing w:val="-3"/>
          <w:szCs w:val="22"/>
        </w:rPr>
        <w:t xml:space="preserve"> </w:t>
      </w:r>
      <w:r w:rsidRPr="00436ED9">
        <w:rPr>
          <w:spacing w:val="-1"/>
          <w:szCs w:val="22"/>
        </w:rPr>
        <w:t>shown.”</w:t>
      </w:r>
      <w:r>
        <w:rPr>
          <w:rStyle w:val="FootnoteReference"/>
          <w:spacing w:val="-1"/>
          <w:sz w:val="22"/>
          <w:szCs w:val="22"/>
        </w:rPr>
        <w:footnoteReference w:id="26"/>
      </w:r>
      <w:r w:rsidRPr="00436ED9">
        <w:rPr>
          <w:szCs w:val="22"/>
        </w:rPr>
        <w:t xml:space="preserve">  The</w:t>
      </w:r>
      <w:r w:rsidRPr="00436ED9">
        <w:rPr>
          <w:spacing w:val="-4"/>
          <w:szCs w:val="22"/>
        </w:rPr>
        <w:t xml:space="preserve"> </w:t>
      </w:r>
      <w:r w:rsidRPr="00436ED9">
        <w:rPr>
          <w:szCs w:val="22"/>
        </w:rPr>
        <w:t>Commission</w:t>
      </w:r>
      <w:r w:rsidRPr="00436ED9">
        <w:rPr>
          <w:spacing w:val="-3"/>
          <w:szCs w:val="22"/>
        </w:rPr>
        <w:t xml:space="preserve"> </w:t>
      </w:r>
      <w:r w:rsidRPr="00436ED9">
        <w:rPr>
          <w:szCs w:val="22"/>
        </w:rPr>
        <w:t>may</w:t>
      </w:r>
      <w:r w:rsidRPr="00436ED9">
        <w:rPr>
          <w:spacing w:val="-4"/>
          <w:szCs w:val="22"/>
        </w:rPr>
        <w:t xml:space="preserve"> </w:t>
      </w:r>
      <w:r w:rsidRPr="00436ED9">
        <w:rPr>
          <w:szCs w:val="22"/>
        </w:rPr>
        <w:t>find</w:t>
      </w:r>
      <w:r w:rsidRPr="00436ED9">
        <w:rPr>
          <w:spacing w:val="-3"/>
          <w:szCs w:val="22"/>
        </w:rPr>
        <w:t xml:space="preserve"> </w:t>
      </w:r>
      <w:r w:rsidRPr="00436ED9">
        <w:rPr>
          <w:szCs w:val="22"/>
        </w:rPr>
        <w:t>good</w:t>
      </w:r>
      <w:r w:rsidRPr="00436ED9">
        <w:rPr>
          <w:spacing w:val="-2"/>
          <w:szCs w:val="22"/>
        </w:rPr>
        <w:t xml:space="preserve"> </w:t>
      </w:r>
      <w:r>
        <w:rPr>
          <w:szCs w:val="22"/>
        </w:rPr>
        <w:t>cause to extend</w:t>
      </w:r>
      <w:r w:rsidRPr="00436ED9">
        <w:rPr>
          <w:spacing w:val="-6"/>
          <w:szCs w:val="22"/>
        </w:rPr>
        <w:t xml:space="preserve"> </w:t>
      </w:r>
      <w:r w:rsidRPr="00436ED9">
        <w:rPr>
          <w:szCs w:val="22"/>
        </w:rPr>
        <w:t>a</w:t>
      </w:r>
      <w:r w:rsidRPr="00436ED9">
        <w:rPr>
          <w:spacing w:val="-7"/>
          <w:szCs w:val="22"/>
        </w:rPr>
        <w:t xml:space="preserve"> </w:t>
      </w:r>
      <w:r w:rsidRPr="00436ED9">
        <w:rPr>
          <w:spacing w:val="-1"/>
          <w:szCs w:val="22"/>
        </w:rPr>
        <w:t>waiver</w:t>
      </w:r>
      <w:r w:rsidRPr="00436ED9">
        <w:rPr>
          <w:spacing w:val="-6"/>
          <w:szCs w:val="22"/>
        </w:rPr>
        <w:t xml:space="preserve">, </w:t>
      </w:r>
      <w:r w:rsidRPr="00436ED9">
        <w:rPr>
          <w:szCs w:val="22"/>
        </w:rPr>
        <w:t>“if</w:t>
      </w:r>
      <w:r w:rsidRPr="00436ED9">
        <w:rPr>
          <w:spacing w:val="-6"/>
          <w:szCs w:val="22"/>
        </w:rPr>
        <w:t xml:space="preserve"> </w:t>
      </w:r>
      <w:r w:rsidRPr="00436ED9">
        <w:rPr>
          <w:spacing w:val="-1"/>
          <w:szCs w:val="22"/>
        </w:rPr>
        <w:t>special</w:t>
      </w:r>
      <w:r w:rsidRPr="00436ED9">
        <w:rPr>
          <w:spacing w:val="-5"/>
          <w:szCs w:val="22"/>
        </w:rPr>
        <w:t xml:space="preserve"> </w:t>
      </w:r>
      <w:r w:rsidRPr="00436ED9">
        <w:rPr>
          <w:szCs w:val="22"/>
        </w:rPr>
        <w:t>circumstances</w:t>
      </w:r>
      <w:r w:rsidRPr="00436ED9">
        <w:rPr>
          <w:spacing w:val="-5"/>
          <w:szCs w:val="22"/>
        </w:rPr>
        <w:t xml:space="preserve"> </w:t>
      </w:r>
      <w:r w:rsidRPr="00436ED9">
        <w:rPr>
          <w:spacing w:val="-1"/>
          <w:szCs w:val="22"/>
        </w:rPr>
        <w:t>warrant</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deviation</w:t>
      </w:r>
      <w:r w:rsidRPr="00436ED9">
        <w:rPr>
          <w:spacing w:val="-6"/>
          <w:szCs w:val="22"/>
        </w:rPr>
        <w:t xml:space="preserve"> </w:t>
      </w:r>
      <w:r w:rsidRPr="00436ED9">
        <w:rPr>
          <w:szCs w:val="22"/>
        </w:rPr>
        <w:t>from</w:t>
      </w:r>
      <w:r w:rsidRPr="00436ED9">
        <w:rPr>
          <w:spacing w:val="-5"/>
          <w:szCs w:val="22"/>
        </w:rPr>
        <w:t xml:space="preserve"> </w:t>
      </w:r>
      <w:r w:rsidRPr="00436ED9">
        <w:rPr>
          <w:szCs w:val="22"/>
        </w:rPr>
        <w:t>the</w:t>
      </w:r>
      <w:r w:rsidRPr="00436ED9">
        <w:rPr>
          <w:spacing w:val="-6"/>
          <w:szCs w:val="22"/>
        </w:rPr>
        <w:t xml:space="preserve"> </w:t>
      </w:r>
      <w:r w:rsidRPr="00436ED9">
        <w:rPr>
          <w:szCs w:val="22"/>
        </w:rPr>
        <w:t>general</w:t>
      </w:r>
      <w:r w:rsidRPr="00436ED9">
        <w:rPr>
          <w:spacing w:val="-5"/>
          <w:szCs w:val="22"/>
        </w:rPr>
        <w:t xml:space="preserve"> </w:t>
      </w:r>
      <w:r w:rsidRPr="00436ED9">
        <w:rPr>
          <w:szCs w:val="22"/>
        </w:rPr>
        <w:t>rule</w:t>
      </w:r>
      <w:r w:rsidRPr="00436ED9">
        <w:rPr>
          <w:spacing w:val="-5"/>
          <w:szCs w:val="22"/>
        </w:rPr>
        <w:t xml:space="preserve"> </w:t>
      </w:r>
      <w:r w:rsidRPr="00436ED9">
        <w:rPr>
          <w:spacing w:val="-1"/>
          <w:szCs w:val="22"/>
        </w:rPr>
        <w:t>and</w:t>
      </w:r>
      <w:r w:rsidRPr="00436ED9">
        <w:rPr>
          <w:spacing w:val="-5"/>
          <w:szCs w:val="22"/>
        </w:rPr>
        <w:t xml:space="preserve"> </w:t>
      </w:r>
      <w:r w:rsidRPr="00436ED9">
        <w:rPr>
          <w:spacing w:val="-1"/>
          <w:szCs w:val="22"/>
        </w:rPr>
        <w:t>such</w:t>
      </w:r>
      <w:r w:rsidRPr="00436ED9">
        <w:rPr>
          <w:spacing w:val="-6"/>
          <w:szCs w:val="22"/>
        </w:rPr>
        <w:t xml:space="preserve"> </w:t>
      </w:r>
      <w:r w:rsidRPr="00436ED9">
        <w:rPr>
          <w:szCs w:val="22"/>
        </w:rPr>
        <w:t xml:space="preserve">deviation </w:t>
      </w:r>
      <w:r w:rsidRPr="00436ED9">
        <w:rPr>
          <w:spacing w:val="-1"/>
          <w:szCs w:val="22"/>
        </w:rPr>
        <w:t>will</w:t>
      </w:r>
      <w:r w:rsidRPr="00436ED9">
        <w:rPr>
          <w:spacing w:val="-4"/>
          <w:szCs w:val="22"/>
        </w:rPr>
        <w:t xml:space="preserve"> </w:t>
      </w:r>
      <w:r w:rsidRPr="00436ED9">
        <w:rPr>
          <w:spacing w:val="-1"/>
          <w:szCs w:val="22"/>
        </w:rPr>
        <w:t>serve</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3"/>
          <w:szCs w:val="22"/>
        </w:rPr>
        <w:t xml:space="preserve"> </w:t>
      </w:r>
      <w:r w:rsidRPr="00436ED9">
        <w:rPr>
          <w:spacing w:val="-1"/>
          <w:szCs w:val="22"/>
        </w:rPr>
        <w:t>interest.”</w:t>
      </w:r>
      <w:r>
        <w:rPr>
          <w:rStyle w:val="FootnoteReference"/>
          <w:spacing w:val="-1"/>
          <w:sz w:val="22"/>
          <w:szCs w:val="22"/>
        </w:rPr>
        <w:footnoteReference w:id="27"/>
      </w:r>
      <w:r w:rsidRPr="00436ED9">
        <w:rPr>
          <w:spacing w:val="-1"/>
          <w:szCs w:val="22"/>
        </w:rPr>
        <w:t xml:space="preserve">  We</w:t>
      </w:r>
      <w:r w:rsidRPr="00436ED9">
        <w:rPr>
          <w:szCs w:val="22"/>
        </w:rPr>
        <w:t xml:space="preserve"> conclude that there is good cause to </w:t>
      </w:r>
      <w:r w:rsidRPr="00695CC7" w:rsidR="00695CC7">
        <w:rPr>
          <w:szCs w:val="22"/>
        </w:rPr>
        <w:t>grant the ARCC</w:t>
      </w:r>
      <w:r w:rsidRPr="00695CC7">
        <w:rPr>
          <w:szCs w:val="22"/>
        </w:rPr>
        <w:t xml:space="preserve"> waiver</w:t>
      </w:r>
      <w:r w:rsidRPr="00436ED9">
        <w:rPr>
          <w:szCs w:val="22"/>
        </w:rPr>
        <w:t xml:space="preserve"> request for the WEA end-to-end test.</w:t>
      </w:r>
    </w:p>
    <w:p w:rsidR="00167D6A" w:rsidP="00675326" w14:paraId="34004BBE" w14:textId="4594F548">
      <w:pPr>
        <w:pStyle w:val="ParaNum"/>
        <w:widowControl/>
      </w:pPr>
      <w:r>
        <w:t xml:space="preserve">In light of the </w:t>
      </w:r>
      <w:r w:rsidR="00840178">
        <w:t>severe risk</w:t>
      </w:r>
      <w:r>
        <w:t xml:space="preserve"> of </w:t>
      </w:r>
      <w:r w:rsidR="00695CC7">
        <w:t>flood</w:t>
      </w:r>
      <w:r w:rsidR="00840178">
        <w:t>ing</w:t>
      </w:r>
      <w:r>
        <w:t xml:space="preserve"> and the </w:t>
      </w:r>
      <w:r w:rsidR="00695CC7">
        <w:t>history of wildfires</w:t>
      </w:r>
      <w:r>
        <w:t xml:space="preserve">, we are persuaded by </w:t>
      </w:r>
      <w:r w:rsidRPr="00695CC7">
        <w:t xml:space="preserve">the </w:t>
      </w:r>
      <w:r w:rsidR="00840178">
        <w:t xml:space="preserve">Amended </w:t>
      </w:r>
      <w:r w:rsidRPr="00695CC7" w:rsidR="00695CC7">
        <w:t>ARCC</w:t>
      </w:r>
      <w:r w:rsidRPr="00695CC7">
        <w:t xml:space="preserve"> Letter </w:t>
      </w:r>
      <w:r w:rsidRPr="00695CC7" w:rsidR="00573815">
        <w:t>that</w:t>
      </w:r>
      <w:r w:rsidR="00573815">
        <w:t xml:space="preserve"> the proposed test will help educate the public about WEA and improve the proficiency of </w:t>
      </w:r>
      <w:r w:rsidR="00695CC7">
        <w:t>ARCC</w:t>
      </w:r>
      <w:r w:rsidR="00573815">
        <w:t xml:space="preserve"> in sending a WEA message</w:t>
      </w:r>
      <w:r>
        <w:t xml:space="preserve"> </w:t>
      </w:r>
      <w:r w:rsidR="004911DF">
        <w:t>to both residents and visitors in the San Luis Valley before an emergency necessitates its use</w:t>
      </w:r>
      <w:r w:rsidR="004C1339">
        <w:t>.</w:t>
      </w:r>
      <w:r>
        <w:rPr>
          <w:rStyle w:val="FootnoteReference"/>
        </w:rPr>
        <w:footnoteReference w:id="28"/>
      </w:r>
      <w:r w:rsidR="004C1339">
        <w:t xml:space="preserve">  </w:t>
      </w:r>
      <w:r>
        <w:t>We are also persuaded that the proposed end-to-end test of WEA has value no</w:t>
      </w:r>
      <w:bookmarkStart w:id="0" w:name="_GoBack"/>
      <w:bookmarkEnd w:id="0"/>
      <w:r>
        <w:t xml:space="preserve">w, as opposed to after the State/Local WEA Test functionality is supported in </w:t>
      </w:r>
      <w:r>
        <w:t>IPAWS,</w:t>
      </w:r>
      <w:r>
        <w:rPr>
          <w:rStyle w:val="FootnoteReference"/>
        </w:rPr>
        <w:footnoteReference w:id="29"/>
      </w:r>
      <w:r>
        <w:t xml:space="preserve"> because </w:t>
      </w:r>
      <w:r w:rsidR="000E0805">
        <w:t xml:space="preserve">of the importance </w:t>
      </w:r>
      <w:r w:rsidR="005979F7">
        <w:t>to test</w:t>
      </w:r>
      <w:r w:rsidR="000E0805">
        <w:t xml:space="preserve"> WEA </w:t>
      </w:r>
      <w:r w:rsidR="00695CC7">
        <w:t>before a weather or natural emergency arises</w:t>
      </w:r>
      <w:r w:rsidR="004C1339">
        <w:t>.</w:t>
      </w:r>
      <w:r>
        <w:t xml:space="preserve">  Accordingly, we conclude that limited waiver of the Commission’s WEA rules is warranted</w:t>
      </w:r>
      <w:r w:rsidR="00C513B8">
        <w:t>,</w:t>
      </w:r>
      <w:r>
        <w:t xml:space="preserve"> and </w:t>
      </w:r>
      <w:r w:rsidR="00C513B8">
        <w:t xml:space="preserve">it is </w:t>
      </w:r>
      <w:r>
        <w:t xml:space="preserve">in the public interest to test in </w:t>
      </w:r>
      <w:r w:rsidR="001A3569">
        <w:t>Colorado’s San Luis Valley</w:t>
      </w:r>
      <w:r w:rsidR="00615B43">
        <w:t>.</w:t>
      </w:r>
      <w:r>
        <w:rPr>
          <w:rStyle w:val="FootnoteReference"/>
        </w:rPr>
        <w:footnoteReference w:id="30"/>
      </w:r>
    </w:p>
    <w:p w:rsidR="00167D6A" w:rsidRPr="00167D6A" w:rsidP="00167D6A" w14:paraId="0A668940" w14:textId="77777777">
      <w:pPr>
        <w:pStyle w:val="ParaNum"/>
      </w:pPr>
      <w:r w:rsidRPr="00942C51">
        <w:t>We observe, however, that the</w:t>
      </w:r>
      <w:r w:rsidRPr="00942C51">
        <w:rPr>
          <w:spacing w:val="-4"/>
        </w:rPr>
        <w:t xml:space="preserve"> proposed </w:t>
      </w:r>
      <w:r w:rsidRPr="0064222E" w:rsidR="0064222E">
        <w:rPr>
          <w:spacing w:val="-4"/>
        </w:rPr>
        <w:t>ARCC</w:t>
      </w:r>
      <w:r w:rsidRPr="0064222E">
        <w:rPr>
          <w:spacing w:val="-4"/>
        </w:rPr>
        <w:t xml:space="preserve"> </w:t>
      </w:r>
      <w:r w:rsidRPr="0064222E">
        <w:t>WEA</w:t>
      </w:r>
      <w:r w:rsidRPr="0064222E">
        <w:rPr>
          <w:spacing w:val="-5"/>
        </w:rPr>
        <w:t xml:space="preserve"> </w:t>
      </w:r>
      <w:r w:rsidRPr="0064222E">
        <w:t>test</w:t>
      </w:r>
      <w:r w:rsidRPr="00942C51">
        <w:rPr>
          <w:spacing w:val="-4"/>
        </w:rPr>
        <w:t xml:space="preserve"> </w:t>
      </w:r>
      <w:r w:rsidRPr="00942C51">
        <w:rPr>
          <w:spacing w:val="-1"/>
        </w:rPr>
        <w:t>would</w:t>
      </w:r>
      <w:r w:rsidRPr="00942C51">
        <w:rPr>
          <w:spacing w:val="-3"/>
        </w:rPr>
        <w:t xml:space="preserve"> </w:t>
      </w:r>
      <w:r w:rsidRPr="00942C51">
        <w:t>not</w:t>
      </w:r>
      <w:r w:rsidRPr="00942C51">
        <w:rPr>
          <w:spacing w:val="-4"/>
        </w:rPr>
        <w:t xml:space="preserve"> </w:t>
      </w:r>
      <w:r w:rsidRPr="00942C51">
        <w:t>be</w:t>
      </w:r>
      <w:r w:rsidRPr="00942C51">
        <w:rPr>
          <w:spacing w:val="-4"/>
        </w:rPr>
        <w:t xml:space="preserve"> </w:t>
      </w:r>
      <w:r w:rsidRPr="00942C51">
        <w:t>in</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t>interest</w:t>
      </w:r>
      <w:r w:rsidRPr="00942C51">
        <w:rPr>
          <w:spacing w:val="-4"/>
        </w:rPr>
        <w:t xml:space="preserve"> </w:t>
      </w:r>
      <w:r w:rsidRPr="00942C51">
        <w:t>if</w:t>
      </w:r>
      <w:r w:rsidRPr="00942C51">
        <w:rPr>
          <w:spacing w:val="-5"/>
        </w:rPr>
        <w:t xml:space="preserve"> </w:t>
      </w:r>
      <w:r w:rsidRPr="00942C51">
        <w:rPr>
          <w:spacing w:val="-1"/>
        </w:rPr>
        <w:t>it</w:t>
      </w:r>
      <w:r w:rsidRPr="00942C51">
        <w:rPr>
          <w:spacing w:val="-3"/>
        </w:rPr>
        <w:t xml:space="preserve"> </w:t>
      </w:r>
      <w:r w:rsidRPr="00942C51">
        <w:rPr>
          <w:spacing w:val="-1"/>
        </w:rPr>
        <w:t>were</w:t>
      </w:r>
      <w:r w:rsidRPr="00942C51">
        <w:rPr>
          <w:spacing w:val="29"/>
        </w:rPr>
        <w:t xml:space="preserve"> </w:t>
      </w:r>
      <w:r w:rsidRPr="00942C51">
        <w:t>presented</w:t>
      </w:r>
      <w:r w:rsidRPr="00942C51">
        <w:rPr>
          <w:spacing w:val="-4"/>
        </w:rPr>
        <w:t xml:space="preserve"> </w:t>
      </w:r>
      <w:r w:rsidRPr="00942C51">
        <w:rPr>
          <w:spacing w:val="-1"/>
        </w:rPr>
        <w:t>in</w:t>
      </w:r>
      <w:r w:rsidRPr="00942C51">
        <w:rPr>
          <w:spacing w:val="-5"/>
        </w:rPr>
        <w:t xml:space="preserve"> </w:t>
      </w:r>
      <w:r w:rsidRPr="00942C51">
        <w:t>a</w:t>
      </w:r>
      <w:r w:rsidRPr="00942C51">
        <w:rPr>
          <w:spacing w:val="-4"/>
        </w:rPr>
        <w:t xml:space="preserve"> </w:t>
      </w:r>
      <w:r w:rsidRPr="00942C51">
        <w:t>manner</w:t>
      </w:r>
      <w:r w:rsidRPr="00942C51">
        <w:rPr>
          <w:spacing w:val="-4"/>
        </w:rPr>
        <w:t xml:space="preserve"> </w:t>
      </w:r>
      <w:r w:rsidRPr="00942C51">
        <w:rPr>
          <w:spacing w:val="-1"/>
        </w:rPr>
        <w:t>that</w:t>
      </w:r>
      <w:r w:rsidRPr="00942C51">
        <w:rPr>
          <w:spacing w:val="-4"/>
        </w:rPr>
        <w:t xml:space="preserve"> </w:t>
      </w:r>
      <w:r w:rsidRPr="00942C51">
        <w:t>could</w:t>
      </w:r>
      <w:r w:rsidRPr="00942C51">
        <w:rPr>
          <w:spacing w:val="-5"/>
        </w:rPr>
        <w:t xml:space="preserve"> </w:t>
      </w:r>
      <w:r w:rsidRPr="00942C51">
        <w:rPr>
          <w:spacing w:val="-1"/>
        </w:rPr>
        <w:t>lead</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rPr>
          <w:spacing w:val="-1"/>
        </w:rPr>
        <w:t>to</w:t>
      </w:r>
      <w:r w:rsidRPr="00942C51">
        <w:rPr>
          <w:spacing w:val="-4"/>
        </w:rPr>
        <w:t xml:space="preserve"> </w:t>
      </w:r>
      <w:r w:rsidRPr="00942C51">
        <w:t>conclude</w:t>
      </w:r>
      <w:r w:rsidRPr="00942C51">
        <w:rPr>
          <w:spacing w:val="-5"/>
        </w:rPr>
        <w:t xml:space="preserve"> </w:t>
      </w:r>
      <w:r w:rsidRPr="00942C51">
        <w:rPr>
          <w:spacing w:val="-1"/>
        </w:rPr>
        <w:t>that</w:t>
      </w:r>
      <w:r w:rsidRPr="00942C51">
        <w:rPr>
          <w:spacing w:val="-4"/>
        </w:rPr>
        <w:t xml:space="preserve"> </w:t>
      </w:r>
      <w:r w:rsidRPr="00942C51">
        <w:t>an</w:t>
      </w:r>
      <w:r w:rsidRPr="00942C51">
        <w:rPr>
          <w:spacing w:val="-5"/>
        </w:rPr>
        <w:t xml:space="preserve"> </w:t>
      </w:r>
      <w:r w:rsidRPr="00942C51">
        <w:t>actual</w:t>
      </w:r>
      <w:r w:rsidRPr="00942C51">
        <w:rPr>
          <w:spacing w:val="-5"/>
        </w:rPr>
        <w:t xml:space="preserve"> </w:t>
      </w:r>
      <w:r w:rsidRPr="00942C51">
        <w:t>alert</w:t>
      </w:r>
      <w:r w:rsidRPr="00942C51">
        <w:rPr>
          <w:spacing w:val="-5"/>
        </w:rPr>
        <w:t xml:space="preserve"> </w:t>
      </w:r>
      <w:r w:rsidRPr="00942C51">
        <w:t>is</w:t>
      </w:r>
      <w:r w:rsidRPr="00942C51">
        <w:rPr>
          <w:spacing w:val="-5"/>
        </w:rPr>
        <w:t xml:space="preserve"> </w:t>
      </w:r>
      <w:r w:rsidRPr="00942C51">
        <w:rPr>
          <w:spacing w:val="-1"/>
        </w:rPr>
        <w:t>being</w:t>
      </w:r>
      <w:r w:rsidRPr="00942C51">
        <w:rPr>
          <w:spacing w:val="-4"/>
        </w:rPr>
        <w:t xml:space="preserve"> </w:t>
      </w:r>
      <w:r w:rsidRPr="00942C51">
        <w:rPr>
          <w:spacing w:val="-1"/>
        </w:rPr>
        <w:t>transmitted,</w:t>
      </w:r>
      <w:r w:rsidRPr="00942C51">
        <w:rPr>
          <w:spacing w:val="-4"/>
        </w:rPr>
        <w:t xml:space="preserve"> </w:t>
      </w:r>
      <w:r w:rsidRPr="00942C51">
        <w:t>or would otherwise</w:t>
      </w:r>
      <w:r w:rsidRPr="00942C51">
        <w:rPr>
          <w:spacing w:val="-6"/>
        </w:rPr>
        <w:t xml:space="preserve"> </w:t>
      </w:r>
      <w:r w:rsidRPr="00942C51">
        <w:t>confuse</w:t>
      </w:r>
      <w:r w:rsidRPr="00942C51">
        <w:rPr>
          <w:spacing w:val="-6"/>
        </w:rPr>
        <w:t xml:space="preserve"> </w:t>
      </w:r>
      <w:r w:rsidRPr="00942C51">
        <w:rPr>
          <w:spacing w:val="-1"/>
        </w:rPr>
        <w:t>the</w:t>
      </w:r>
      <w:r w:rsidRPr="00942C51">
        <w:rPr>
          <w:spacing w:val="-5"/>
        </w:rPr>
        <w:t xml:space="preserve"> </w:t>
      </w:r>
      <w:r w:rsidRPr="00942C51">
        <w:t>public.</w:t>
      </w:r>
      <w:r>
        <w:rPr>
          <w:rStyle w:val="FootnoteReference"/>
          <w:sz w:val="22"/>
          <w:szCs w:val="22"/>
        </w:rPr>
        <w:footnoteReference w:id="31"/>
      </w:r>
      <w:r w:rsidRPr="00942C51">
        <w:rPr>
          <w:position w:val="7"/>
        </w:rPr>
        <w:t xml:space="preserve">  </w:t>
      </w:r>
      <w:r w:rsidRPr="00942C51">
        <w:t>We</w:t>
      </w:r>
      <w:r w:rsidRPr="00942C51">
        <w:rPr>
          <w:spacing w:val="-6"/>
        </w:rPr>
        <w:t xml:space="preserve"> </w:t>
      </w:r>
      <w:r w:rsidRPr="00942C51">
        <w:t>therefore</w:t>
      </w:r>
      <w:r w:rsidRPr="00942C51">
        <w:rPr>
          <w:spacing w:val="-5"/>
        </w:rPr>
        <w:t xml:space="preserve"> </w:t>
      </w:r>
      <w:r w:rsidRPr="00942C51">
        <w:rPr>
          <w:spacing w:val="-1"/>
        </w:rPr>
        <w:t>condition</w:t>
      </w:r>
      <w:r w:rsidRPr="00942C51">
        <w:rPr>
          <w:spacing w:val="-6"/>
        </w:rPr>
        <w:t xml:space="preserve"> </w:t>
      </w:r>
      <w:r w:rsidRPr="00942C51">
        <w:t>this</w:t>
      </w:r>
      <w:r w:rsidRPr="00942C51">
        <w:rPr>
          <w:spacing w:val="-6"/>
        </w:rPr>
        <w:t xml:space="preserve"> </w:t>
      </w:r>
      <w:r w:rsidRPr="00942C51">
        <w:rPr>
          <w:spacing w:val="-1"/>
        </w:rPr>
        <w:t>waiver</w:t>
      </w:r>
      <w:r w:rsidRPr="00942C51">
        <w:rPr>
          <w:spacing w:val="-5"/>
        </w:rPr>
        <w:t xml:space="preserve"> </w:t>
      </w:r>
      <w:r w:rsidRPr="00942C51">
        <w:t>upon</w:t>
      </w:r>
      <w:r w:rsidRPr="00942C51">
        <w:rPr>
          <w:spacing w:val="-6"/>
        </w:rPr>
        <w:t xml:space="preserve"> </w:t>
      </w:r>
      <w:r w:rsidRPr="00942C51">
        <w:t>the full</w:t>
      </w:r>
      <w:r w:rsidRPr="00942C51">
        <w:rPr>
          <w:spacing w:val="-5"/>
        </w:rPr>
        <w:t xml:space="preserve"> </w:t>
      </w:r>
      <w:r w:rsidRPr="00942C51">
        <w:rPr>
          <w:spacing w:val="-1"/>
        </w:rPr>
        <w:t>implementation</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Pr>
          <w:spacing w:val="-5"/>
        </w:rPr>
        <w:t xml:space="preserve">multimedia campaign and </w:t>
      </w:r>
      <w:r w:rsidRPr="00942C51">
        <w:t>outreach</w:t>
      </w:r>
      <w:r w:rsidRPr="00942C51">
        <w:rPr>
          <w:spacing w:val="-4"/>
        </w:rPr>
        <w:t xml:space="preserve"> </w:t>
      </w:r>
      <w:r w:rsidRPr="00942C51">
        <w:rPr>
          <w:spacing w:val="-1"/>
        </w:rPr>
        <w:t>plan</w:t>
      </w:r>
      <w:r w:rsidRPr="00942C51">
        <w:rPr>
          <w:spacing w:val="-6"/>
        </w:rPr>
        <w:t xml:space="preserve"> </w:t>
      </w:r>
      <w:r w:rsidRPr="00942C51">
        <w:t>described</w:t>
      </w:r>
      <w:r w:rsidRPr="00942C51">
        <w:rPr>
          <w:spacing w:val="-4"/>
        </w:rPr>
        <w:t xml:space="preserve"> </w:t>
      </w:r>
      <w:r w:rsidRPr="00942C51">
        <w:t>in</w:t>
      </w:r>
      <w:r w:rsidRPr="00942C51">
        <w:rPr>
          <w:spacing w:val="-6"/>
        </w:rPr>
        <w:t xml:space="preserve"> </w:t>
      </w:r>
      <w:r w:rsidRPr="0064222E">
        <w:rPr>
          <w:spacing w:val="-1"/>
        </w:rPr>
        <w:t xml:space="preserve">the </w:t>
      </w:r>
      <w:r w:rsidR="00615B43">
        <w:rPr>
          <w:spacing w:val="-1"/>
        </w:rPr>
        <w:t xml:space="preserve">Amended </w:t>
      </w:r>
      <w:r w:rsidRPr="0064222E" w:rsidR="0064222E">
        <w:rPr>
          <w:spacing w:val="-1"/>
        </w:rPr>
        <w:t>ARCC</w:t>
      </w:r>
      <w:r w:rsidRPr="0064222E">
        <w:rPr>
          <w:spacing w:val="-4"/>
        </w:rPr>
        <w:t xml:space="preserve"> Letter</w:t>
      </w:r>
      <w:r w:rsidRPr="00942C51">
        <w:t>,</w:t>
      </w:r>
      <w:r w:rsidRPr="00942C51">
        <w:rPr>
          <w:spacing w:val="-5"/>
        </w:rPr>
        <w:t xml:space="preserve"> </w:t>
      </w:r>
      <w:r w:rsidRPr="00942C51">
        <w:rPr>
          <w:spacing w:val="-1"/>
        </w:rPr>
        <w:t>including outreach</w:t>
      </w:r>
      <w:r w:rsidRPr="00942C51">
        <w:rPr>
          <w:spacing w:val="-5"/>
        </w:rPr>
        <w:t xml:space="preserve"> </w:t>
      </w:r>
      <w:r w:rsidRPr="00942C51">
        <w:t>to</w:t>
      </w:r>
      <w:r w:rsidRPr="00942C51">
        <w:rPr>
          <w:spacing w:val="-6"/>
        </w:rPr>
        <w:t xml:space="preserve"> </w:t>
      </w:r>
      <w:r w:rsidRPr="00942C51">
        <w:t>the</w:t>
      </w:r>
      <w:r w:rsidRPr="00942C51">
        <w:rPr>
          <w:spacing w:val="-5"/>
        </w:rPr>
        <w:t xml:space="preserve"> </w:t>
      </w:r>
      <w:r w:rsidRPr="00942C51">
        <w:rPr>
          <w:spacing w:val="-1"/>
        </w:rPr>
        <w:t>public,</w:t>
      </w:r>
      <w:r w:rsidRPr="00942C51">
        <w:rPr>
          <w:spacing w:val="-6"/>
        </w:rPr>
        <w:t xml:space="preserve"> </w:t>
      </w:r>
      <w:r w:rsidRPr="00942C51">
        <w:t>press,</w:t>
      </w:r>
      <w:r w:rsidRPr="00942C51">
        <w:rPr>
          <w:spacing w:val="-5"/>
        </w:rPr>
        <w:t xml:space="preserve"> </w:t>
      </w:r>
      <w:r w:rsidRPr="00942C51">
        <w:rPr>
          <w:spacing w:val="-1"/>
        </w:rPr>
        <w:t>and</w:t>
      </w:r>
      <w:r w:rsidRPr="00942C51">
        <w:rPr>
          <w:spacing w:val="-4"/>
        </w:rPr>
        <w:t xml:space="preserve"> </w:t>
      </w:r>
      <w:r w:rsidRPr="00942C51">
        <w:t>relevant</w:t>
      </w:r>
      <w:r w:rsidRPr="00942C51">
        <w:rPr>
          <w:spacing w:val="-5"/>
        </w:rPr>
        <w:t xml:space="preserve"> </w:t>
      </w:r>
      <w:r w:rsidRPr="00942C51">
        <w:rPr>
          <w:spacing w:val="-1"/>
        </w:rPr>
        <w:t>government</w:t>
      </w:r>
      <w:r w:rsidRPr="00942C51">
        <w:rPr>
          <w:spacing w:val="-4"/>
        </w:rPr>
        <w:t xml:space="preserve"> </w:t>
      </w:r>
      <w:r w:rsidRPr="00942C51">
        <w:rPr>
          <w:spacing w:val="-1"/>
        </w:rPr>
        <w:t>agencies, and making clear</w:t>
      </w:r>
      <w:r w:rsidRPr="00942C51">
        <w:rPr>
          <w:spacing w:val="-6"/>
        </w:rPr>
        <w:t xml:space="preserve"> </w:t>
      </w:r>
      <w:r w:rsidRPr="00942C51">
        <w:t>that</w:t>
      </w:r>
      <w:r w:rsidRPr="00942C51">
        <w:rPr>
          <w:spacing w:val="-6"/>
        </w:rPr>
        <w:t xml:space="preserve"> </w:t>
      </w:r>
      <w:r w:rsidRPr="00942C51">
        <w:rPr>
          <w:spacing w:val="-1"/>
        </w:rPr>
        <w:t>members</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public</w:t>
      </w:r>
      <w:r w:rsidRPr="00942C51">
        <w:rPr>
          <w:spacing w:val="-5"/>
        </w:rPr>
        <w:t xml:space="preserve"> </w:t>
      </w:r>
      <w:r w:rsidRPr="00942C51">
        <w:rPr>
          <w:spacing w:val="-1"/>
        </w:rPr>
        <w:t>may</w:t>
      </w:r>
      <w:r w:rsidRPr="00942C51">
        <w:rPr>
          <w:spacing w:val="-6"/>
        </w:rPr>
        <w:t xml:space="preserve"> </w:t>
      </w:r>
      <w:r w:rsidRPr="00942C51">
        <w:t>receive</w:t>
      </w:r>
      <w:r w:rsidRPr="00942C51">
        <w:rPr>
          <w:spacing w:val="-5"/>
        </w:rPr>
        <w:t xml:space="preserve"> multiple</w:t>
      </w:r>
      <w:r w:rsidRPr="00942C51">
        <w:rPr>
          <w:spacing w:val="-6"/>
        </w:rPr>
        <w:t xml:space="preserve"> </w:t>
      </w:r>
      <w:r w:rsidRPr="00942C51">
        <w:rPr>
          <w:spacing w:val="-1"/>
        </w:rPr>
        <w:t>test</w:t>
      </w:r>
      <w:r w:rsidRPr="00942C51">
        <w:rPr>
          <w:spacing w:val="-5"/>
        </w:rPr>
        <w:t xml:space="preserve"> </w:t>
      </w:r>
      <w:r w:rsidRPr="00942C51">
        <w:t>messages</w:t>
      </w:r>
      <w:r w:rsidRPr="00942C51">
        <w:rPr>
          <w:spacing w:val="-1"/>
        </w:rPr>
        <w:t>.</w:t>
      </w:r>
    </w:p>
    <w:p w:rsidR="00167D6A" w:rsidRPr="00942C51" w:rsidP="00167D6A" w14:paraId="1AAC0BD5" w14:textId="2666823D">
      <w:pPr>
        <w:pStyle w:val="ParaNum"/>
        <w:keepNext/>
        <w:widowControl/>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Pr>
          <w:spacing w:val="-4"/>
          <w:szCs w:val="22"/>
        </w:rPr>
        <w:t xml:space="preserve"> be </w:t>
      </w:r>
      <w:r w:rsidRPr="00942C51">
        <w:rPr>
          <w:spacing w:val="-1"/>
          <w:szCs w:val="22"/>
        </w:rPr>
        <w:t>conducted</w:t>
      </w:r>
      <w:r w:rsidRPr="00942C51">
        <w:rPr>
          <w:spacing w:val="-4"/>
          <w:szCs w:val="22"/>
        </w:rPr>
        <w:t xml:space="preserve"> </w:t>
      </w:r>
      <w:r w:rsidRPr="00942C51">
        <w:rPr>
          <w:szCs w:val="22"/>
        </w:rPr>
        <w:t xml:space="preserve">on </w:t>
      </w:r>
      <w:r w:rsidR="0064222E">
        <w:rPr>
          <w:szCs w:val="22"/>
        </w:rPr>
        <w:t xml:space="preserve">June 6, </w:t>
      </w:r>
      <w:r w:rsidRPr="0064222E" w:rsidR="0064222E">
        <w:rPr>
          <w:szCs w:val="22"/>
        </w:rPr>
        <w:t xml:space="preserve">2019, </w:t>
      </w:r>
      <w:r w:rsidRPr="0064222E">
        <w:rPr>
          <w:szCs w:val="22"/>
        </w:rPr>
        <w:t xml:space="preserve">at </w:t>
      </w:r>
      <w:r w:rsidRPr="0064222E" w:rsidR="00352B2E">
        <w:rPr>
          <w:szCs w:val="22"/>
        </w:rPr>
        <w:t>11:00 a.m.</w:t>
      </w:r>
      <w:r w:rsidRPr="0064222E">
        <w:rPr>
          <w:szCs w:val="22"/>
        </w:rPr>
        <w:t xml:space="preserve"> MDT,</w:t>
      </w:r>
      <w:r w:rsidRPr="0064222E">
        <w:rPr>
          <w:spacing w:val="-3"/>
          <w:szCs w:val="22"/>
        </w:rPr>
        <w:t xml:space="preserve"> </w:t>
      </w:r>
      <w:r w:rsidRPr="0064222E" w:rsidR="00352B2E">
        <w:rPr>
          <w:spacing w:val="-1"/>
          <w:szCs w:val="22"/>
        </w:rPr>
        <w:t xml:space="preserve">or on the backup date of </w:t>
      </w:r>
      <w:r w:rsidRPr="0064222E" w:rsidR="0064222E">
        <w:rPr>
          <w:spacing w:val="-1"/>
          <w:szCs w:val="22"/>
        </w:rPr>
        <w:t>June 13</w:t>
      </w:r>
      <w:r w:rsidRPr="0064222E" w:rsidR="00352B2E">
        <w:rPr>
          <w:spacing w:val="-1"/>
          <w:szCs w:val="22"/>
        </w:rPr>
        <w:t xml:space="preserve">, 2019, also at 11:00 a.m. MDT, </w:t>
      </w:r>
      <w:r w:rsidRPr="0064222E" w:rsidR="00B83B32">
        <w:rPr>
          <w:szCs w:val="22"/>
        </w:rPr>
        <w:t>as</w:t>
      </w:r>
      <w:r w:rsidRPr="0064222E" w:rsidR="00B83B32">
        <w:rPr>
          <w:spacing w:val="-4"/>
          <w:szCs w:val="22"/>
        </w:rPr>
        <w:t xml:space="preserve"> </w:t>
      </w:r>
      <w:r w:rsidRPr="0064222E" w:rsidR="00B83B32">
        <w:rPr>
          <w:spacing w:val="-1"/>
          <w:szCs w:val="22"/>
        </w:rPr>
        <w:t>referenced</w:t>
      </w:r>
      <w:r w:rsidRPr="0064222E" w:rsidR="00B83B32">
        <w:rPr>
          <w:spacing w:val="-3"/>
          <w:szCs w:val="22"/>
        </w:rPr>
        <w:t xml:space="preserve"> </w:t>
      </w:r>
      <w:r w:rsidRPr="0064222E" w:rsidR="00B83B32">
        <w:rPr>
          <w:szCs w:val="22"/>
        </w:rPr>
        <w:t>in</w:t>
      </w:r>
      <w:r w:rsidRPr="0064222E" w:rsidR="00B83B32">
        <w:rPr>
          <w:spacing w:val="-4"/>
          <w:szCs w:val="22"/>
        </w:rPr>
        <w:t xml:space="preserve"> </w:t>
      </w:r>
      <w:r w:rsidRPr="0064222E" w:rsidR="00B83B32">
        <w:rPr>
          <w:szCs w:val="22"/>
        </w:rPr>
        <w:t>the</w:t>
      </w:r>
      <w:r w:rsidRPr="0064222E" w:rsidR="00B83B32">
        <w:rPr>
          <w:spacing w:val="-4"/>
          <w:szCs w:val="22"/>
        </w:rPr>
        <w:t xml:space="preserve"> </w:t>
      </w:r>
      <w:r w:rsidR="00C73B8A">
        <w:rPr>
          <w:spacing w:val="-4"/>
          <w:szCs w:val="22"/>
        </w:rPr>
        <w:t xml:space="preserve">Amended </w:t>
      </w:r>
      <w:r w:rsidRPr="0064222E" w:rsidR="0064222E">
        <w:rPr>
          <w:spacing w:val="-4"/>
          <w:szCs w:val="22"/>
        </w:rPr>
        <w:t>ARCC</w:t>
      </w:r>
      <w:r w:rsidRPr="0064222E" w:rsidR="00B83B32">
        <w:rPr>
          <w:spacing w:val="-4"/>
          <w:szCs w:val="22"/>
        </w:rPr>
        <w:t xml:space="preserve"> </w:t>
      </w:r>
      <w:r w:rsidRPr="0064222E" w:rsidR="00B83B32">
        <w:rPr>
          <w:spacing w:val="-1"/>
          <w:szCs w:val="22"/>
        </w:rPr>
        <w:t xml:space="preserve">Letter, </w:t>
      </w:r>
      <w:r w:rsidRPr="0064222E">
        <w:rPr>
          <w:spacing w:val="-1"/>
          <w:szCs w:val="22"/>
        </w:rPr>
        <w:t>and</w:t>
      </w:r>
      <w:r>
        <w:rPr>
          <w:spacing w:val="-1"/>
          <w:szCs w:val="22"/>
        </w:rPr>
        <w:t xml:space="preserve"> may only be conducted for the purposes described therein.  Specifically, the waiver is based upon representations </w:t>
      </w:r>
      <w:r w:rsidRPr="00942C51">
        <w:rPr>
          <w:szCs w:val="22"/>
        </w:rPr>
        <w:t>that:</w:t>
      </w:r>
    </w:p>
    <w:p w:rsidR="00167D6A" w:rsidRPr="00942C51" w:rsidP="00167D6A" w14:paraId="554EAAF7" w14:textId="77777777">
      <w:pPr>
        <w:pStyle w:val="BodyText"/>
        <w:keepNext/>
        <w:widowControl/>
        <w:numPr>
          <w:ilvl w:val="1"/>
          <w:numId w:val="7"/>
        </w:numPr>
        <w:tabs>
          <w:tab w:val="left" w:pos="1800"/>
        </w:tabs>
        <w:ind w:left="1195" w:right="619"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167D6A" w:rsidRPr="00942C51" w:rsidP="00167D6A" w14:paraId="4601B599" w14:textId="77777777">
      <w:pPr>
        <w:spacing w:before="2"/>
        <w:rPr>
          <w:szCs w:val="22"/>
        </w:rPr>
      </w:pPr>
    </w:p>
    <w:p w:rsidR="00167D6A" w:rsidRPr="00942C51" w:rsidP="00167D6A" w14:paraId="4AA08FB0" w14:textId="27D977CB">
      <w:pPr>
        <w:pStyle w:val="BodyText"/>
        <w:widowControl/>
        <w:numPr>
          <w:ilvl w:val="1"/>
          <w:numId w:val="7"/>
        </w:numPr>
        <w:tabs>
          <w:tab w:val="left" w:pos="1800"/>
        </w:tabs>
        <w:ind w:left="1195" w:right="619" w:firstLine="0"/>
      </w:pPr>
      <w:r w:rsidRPr="0064222E">
        <w:t>ARCC</w:t>
      </w:r>
      <w:r w:rsidRPr="0064222E" w:rsidR="00AD38E1">
        <w:t xml:space="preserve"> has notified</w:t>
      </w:r>
      <w:r w:rsidRPr="00942C51" w:rsidR="00AD38E1">
        <w:t>, and will coordinate with, the relevant Participating CMS Providers and</w:t>
      </w:r>
      <w:r w:rsidRPr="00942C51" w:rsidR="00AD38E1">
        <w:rPr>
          <w:spacing w:val="-7"/>
        </w:rPr>
        <w:t xml:space="preserve"> </w:t>
      </w:r>
      <w:r w:rsidRPr="00942C51" w:rsidR="00AD38E1">
        <w:t>first</w:t>
      </w:r>
      <w:r w:rsidRPr="00942C51" w:rsidR="00AD38E1">
        <w:rPr>
          <w:spacing w:val="-5"/>
        </w:rPr>
        <w:t xml:space="preserve"> </w:t>
      </w:r>
      <w:r w:rsidRPr="00942C51" w:rsidR="00AD38E1">
        <w:rPr>
          <w:spacing w:val="-1"/>
        </w:rPr>
        <w:t>responder</w:t>
      </w:r>
      <w:r w:rsidRPr="00942C51" w:rsidR="00AD38E1">
        <w:rPr>
          <w:spacing w:val="-6"/>
        </w:rPr>
        <w:t xml:space="preserve"> </w:t>
      </w:r>
      <w:r w:rsidRPr="00942C51" w:rsidR="00AD38E1">
        <w:t>organizations</w:t>
      </w:r>
      <w:r w:rsidRPr="00942C51" w:rsidR="00AD38E1">
        <w:rPr>
          <w:spacing w:val="-5"/>
        </w:rPr>
        <w:t xml:space="preserve"> </w:t>
      </w:r>
      <w:r w:rsidRPr="00942C51" w:rsidR="00AD38E1">
        <w:rPr>
          <w:spacing w:val="-1"/>
        </w:rPr>
        <w:t>such</w:t>
      </w:r>
      <w:r w:rsidRPr="00942C51" w:rsidR="00AD38E1">
        <w:rPr>
          <w:spacing w:val="-6"/>
        </w:rPr>
        <w:t xml:space="preserve"> </w:t>
      </w:r>
      <w:r w:rsidRPr="00942C51" w:rsidR="00AD38E1">
        <w:rPr>
          <w:spacing w:val="-1"/>
        </w:rPr>
        <w:t>as police</w:t>
      </w:r>
      <w:r w:rsidRPr="00942C51" w:rsidR="00AD38E1">
        <w:rPr>
          <w:spacing w:val="-6"/>
        </w:rPr>
        <w:t xml:space="preserve"> </w:t>
      </w:r>
      <w:r w:rsidRPr="00942C51" w:rsidR="00AD38E1">
        <w:t>and</w:t>
      </w:r>
      <w:r w:rsidRPr="00942C51" w:rsidR="00AD38E1">
        <w:rPr>
          <w:spacing w:val="-5"/>
        </w:rPr>
        <w:t xml:space="preserve"> </w:t>
      </w:r>
      <w:r w:rsidRPr="00942C51" w:rsidR="00AD38E1">
        <w:t>fire</w:t>
      </w:r>
      <w:r w:rsidRPr="00942C51" w:rsidR="00AD38E1">
        <w:rPr>
          <w:spacing w:val="-4"/>
        </w:rPr>
        <w:t xml:space="preserve"> </w:t>
      </w:r>
      <w:r w:rsidRPr="00942C51" w:rsidR="00AD38E1">
        <w:rPr>
          <w:spacing w:val="-1"/>
        </w:rPr>
        <w:t>agencies</w:t>
      </w:r>
      <w:r w:rsidRPr="00942C51" w:rsidR="00AD38E1">
        <w:rPr>
          <w:spacing w:val="-6"/>
        </w:rPr>
        <w:t xml:space="preserve"> </w:t>
      </w:r>
      <w:r w:rsidRPr="00942C51" w:rsidR="00AD38E1">
        <w:t xml:space="preserve">and </w:t>
      </w:r>
      <w:r w:rsidR="00C73B8A">
        <w:t xml:space="preserve">surrounding area </w:t>
      </w:r>
      <w:r w:rsidRPr="00942C51" w:rsidR="00AD38E1">
        <w:t xml:space="preserve">911 </w:t>
      </w:r>
      <w:r w:rsidR="00C73B8A">
        <w:t>PSAPs</w:t>
      </w:r>
      <w:r w:rsidRPr="00942C51" w:rsidR="00AD38E1">
        <w:rPr>
          <w:spacing w:val="-5"/>
        </w:rPr>
        <w:t xml:space="preserve"> </w:t>
      </w:r>
      <w:r>
        <w:rPr>
          <w:spacing w:val="-5"/>
        </w:rPr>
        <w:t xml:space="preserve">within Colorado’s </w:t>
      </w:r>
      <w:r w:rsidRPr="0034448C">
        <w:t>Alamosa, Conejos, Costilla, Mineral, Rio Grande, and Saguache</w:t>
      </w:r>
      <w:r>
        <w:rPr>
          <w:spacing w:val="-5"/>
        </w:rPr>
        <w:t xml:space="preserve"> counties </w:t>
      </w:r>
      <w:r w:rsidR="00AD38E1">
        <w:rPr>
          <w:spacing w:val="-5"/>
        </w:rPr>
        <w:t xml:space="preserve">and surrounding counties </w:t>
      </w:r>
      <w:r w:rsidRPr="00942C51" w:rsidR="00AD38E1">
        <w:t>to</w:t>
      </w:r>
      <w:r w:rsidRPr="00942C51" w:rsidR="00AD38E1">
        <w:rPr>
          <w:spacing w:val="-5"/>
        </w:rPr>
        <w:t xml:space="preserve"> </w:t>
      </w:r>
      <w:r w:rsidRPr="00942C51" w:rsidR="00AD38E1">
        <w:t>ensure</w:t>
      </w:r>
      <w:r w:rsidRPr="00942C51" w:rsidR="00AD38E1">
        <w:rPr>
          <w:spacing w:val="-5"/>
        </w:rPr>
        <w:t xml:space="preserve"> </w:t>
      </w:r>
      <w:r w:rsidRPr="00942C51" w:rsidR="00AD38E1">
        <w:rPr>
          <w:spacing w:val="-1"/>
        </w:rPr>
        <w:t>that</w:t>
      </w:r>
      <w:r w:rsidRPr="00942C51" w:rsidR="00AD38E1">
        <w:rPr>
          <w:spacing w:val="-4"/>
        </w:rPr>
        <w:t xml:space="preserve"> </w:t>
      </w:r>
      <w:r w:rsidRPr="00942C51" w:rsidR="00AD38E1">
        <w:t>they</w:t>
      </w:r>
      <w:r w:rsidRPr="00942C51" w:rsidR="00AD38E1">
        <w:rPr>
          <w:spacing w:val="-6"/>
        </w:rPr>
        <w:t xml:space="preserve"> </w:t>
      </w:r>
      <w:r w:rsidRPr="00942C51" w:rsidR="00AD38E1">
        <w:t>are</w:t>
      </w:r>
      <w:r w:rsidRPr="00942C51" w:rsidR="00AD38E1">
        <w:rPr>
          <w:spacing w:val="-5"/>
        </w:rPr>
        <w:t xml:space="preserve"> </w:t>
      </w:r>
      <w:r w:rsidRPr="00942C51" w:rsidR="00AD38E1">
        <w:rPr>
          <w:spacing w:val="-1"/>
        </w:rPr>
        <w:t>aware of th</w:t>
      </w:r>
      <w:r w:rsidRPr="00942C51" w:rsidR="00AD38E1">
        <w:t>e</w:t>
      </w:r>
      <w:r w:rsidRPr="00942C51" w:rsidR="00AD38E1">
        <w:rPr>
          <w:spacing w:val="-4"/>
        </w:rPr>
        <w:t xml:space="preserve"> </w:t>
      </w:r>
      <w:r w:rsidRPr="00942C51" w:rsidR="00AD38E1">
        <w:rPr>
          <w:spacing w:val="-1"/>
        </w:rPr>
        <w:t>test</w:t>
      </w:r>
      <w:r w:rsidRPr="00942C51" w:rsidR="00AD38E1">
        <w:rPr>
          <w:spacing w:val="-4"/>
        </w:rPr>
        <w:t xml:space="preserve"> </w:t>
      </w:r>
      <w:r w:rsidRPr="00942C51" w:rsidR="00AD38E1">
        <w:t>and</w:t>
      </w:r>
      <w:r w:rsidRPr="00942C51" w:rsidR="00AD38E1">
        <w:rPr>
          <w:spacing w:val="-4"/>
        </w:rPr>
        <w:t xml:space="preserve"> </w:t>
      </w:r>
      <w:r w:rsidRPr="00942C51" w:rsidR="00AD38E1">
        <w:t>can</w:t>
      </w:r>
      <w:r w:rsidRPr="00942C51" w:rsidR="00AD38E1">
        <w:rPr>
          <w:spacing w:val="-4"/>
        </w:rPr>
        <w:t xml:space="preserve"> </w:t>
      </w:r>
      <w:r w:rsidRPr="00942C51" w:rsidR="00AD38E1">
        <w:t>confirm</w:t>
      </w:r>
      <w:r w:rsidRPr="00942C51" w:rsidR="00AD38E1">
        <w:rPr>
          <w:spacing w:val="-4"/>
        </w:rPr>
        <w:t xml:space="preserve"> </w:t>
      </w:r>
      <w:r w:rsidRPr="00942C51" w:rsidR="00AD38E1">
        <w:t>to</w:t>
      </w:r>
      <w:r w:rsidRPr="00942C51" w:rsidR="00AD38E1">
        <w:rPr>
          <w:spacing w:val="-4"/>
        </w:rPr>
        <w:t xml:space="preserve"> </w:t>
      </w:r>
      <w:r w:rsidRPr="00942C51" w:rsidR="00AD38E1">
        <w:t>the</w:t>
      </w:r>
      <w:r w:rsidRPr="00942C51" w:rsidR="00AD38E1">
        <w:rPr>
          <w:spacing w:val="-4"/>
        </w:rPr>
        <w:t xml:space="preserve"> </w:t>
      </w:r>
      <w:r w:rsidRPr="00942C51" w:rsidR="00AD38E1">
        <w:rPr>
          <w:spacing w:val="-1"/>
        </w:rPr>
        <w:t>public</w:t>
      </w:r>
      <w:r w:rsidRPr="00942C51" w:rsidR="00AD38E1">
        <w:rPr>
          <w:spacing w:val="-3"/>
        </w:rPr>
        <w:t xml:space="preserve"> </w:t>
      </w:r>
      <w:r w:rsidRPr="00942C51" w:rsidR="00AD38E1">
        <w:t>that</w:t>
      </w:r>
      <w:r w:rsidRPr="00942C51" w:rsidR="00AD38E1">
        <w:rPr>
          <w:spacing w:val="-4"/>
        </w:rPr>
        <w:t xml:space="preserve"> </w:t>
      </w:r>
      <w:r w:rsidRPr="00942C51" w:rsidR="00AD38E1">
        <w:t>the</w:t>
      </w:r>
      <w:r w:rsidRPr="00942C51" w:rsidR="00AD38E1">
        <w:rPr>
          <w:spacing w:val="-4"/>
        </w:rPr>
        <w:t xml:space="preserve"> </w:t>
      </w:r>
      <w:r w:rsidRPr="00942C51" w:rsidR="00AD38E1">
        <w:rPr>
          <w:spacing w:val="-1"/>
        </w:rPr>
        <w:t>WEA</w:t>
      </w:r>
      <w:r w:rsidRPr="00942C51" w:rsidR="00AD38E1">
        <w:rPr>
          <w:spacing w:val="-4"/>
        </w:rPr>
        <w:t xml:space="preserve"> </w:t>
      </w:r>
      <w:r w:rsidRPr="00942C51" w:rsidR="00AD38E1">
        <w:t>message is</w:t>
      </w:r>
      <w:r w:rsidRPr="00942C51" w:rsidR="00AD38E1">
        <w:rPr>
          <w:spacing w:val="-4"/>
        </w:rPr>
        <w:t xml:space="preserve"> </w:t>
      </w:r>
      <w:r w:rsidRPr="00942C51" w:rsidR="00AD38E1">
        <w:t>a</w:t>
      </w:r>
      <w:r w:rsidRPr="00942C51" w:rsidR="00AD38E1">
        <w:rPr>
          <w:spacing w:val="-3"/>
        </w:rPr>
        <w:t xml:space="preserve"> </w:t>
      </w:r>
      <w:r w:rsidRPr="00942C51" w:rsidR="00AD38E1">
        <w:rPr>
          <w:spacing w:val="-1"/>
        </w:rPr>
        <w:t>test</w:t>
      </w:r>
      <w:r w:rsidR="00AD38E1">
        <w:rPr>
          <w:spacing w:val="-1"/>
        </w:rPr>
        <w:t xml:space="preserve">; and will </w:t>
      </w:r>
      <w:r w:rsidRPr="0064222E" w:rsidR="00AD38E1">
        <w:rPr>
          <w:spacing w:val="-1"/>
        </w:rPr>
        <w:t>also notify</w:t>
      </w:r>
      <w:r w:rsidRPr="0064222E" w:rsidR="00352B2E">
        <w:t xml:space="preserve"> </w:t>
      </w:r>
      <w:r w:rsidR="00352B2E">
        <w:t>major local media outlets, neighboring jurisdictions, and Public Information Officers</w:t>
      </w:r>
      <w:r w:rsidRPr="00942C51" w:rsidR="00AD38E1">
        <w:rPr>
          <w:spacing w:val="-1"/>
        </w:rPr>
        <w:t>;</w:t>
      </w:r>
    </w:p>
    <w:p w:rsidR="00167D6A" w:rsidRPr="00942C51" w:rsidP="00167D6A" w14:paraId="0CB53C5D" w14:textId="77777777">
      <w:pPr>
        <w:spacing w:before="2"/>
        <w:rPr>
          <w:szCs w:val="22"/>
        </w:rPr>
      </w:pPr>
    </w:p>
    <w:p w:rsidR="00167D6A" w:rsidP="00167D6A" w14:paraId="1FD98511" w14:textId="77777777">
      <w:pPr>
        <w:pStyle w:val="BodyText"/>
        <w:numPr>
          <w:ilvl w:val="1"/>
          <w:numId w:val="7"/>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t xml:space="preserve"> a comprehensive </w:t>
      </w:r>
      <w:r w:rsidR="00352B2E">
        <w:t>multi</w:t>
      </w:r>
      <w:r>
        <w:t xml:space="preserve">media campaign to ensure </w:t>
      </w:r>
      <w:r w:rsidR="00352B2E">
        <w:t>public understanding of the function and utility of WEA</w:t>
      </w:r>
      <w:r>
        <w:t xml:space="preserve">, the date and time of the test and the backup test, and an awareness that the WEA alert is just a test; </w:t>
      </w:r>
    </w:p>
    <w:p w:rsidR="00167D6A" w:rsidP="00167D6A" w14:paraId="76D2A960" w14:textId="77777777">
      <w:pPr>
        <w:pStyle w:val="ListParagraph"/>
      </w:pPr>
    </w:p>
    <w:p w:rsidR="00167D6A" w:rsidRPr="00675326" w:rsidP="00587833" w14:paraId="0AB8BDAA" w14:textId="5CD56B74">
      <w:pPr>
        <w:pStyle w:val="BodyText"/>
        <w:keepNext/>
        <w:widowControl/>
        <w:numPr>
          <w:ilvl w:val="1"/>
          <w:numId w:val="7"/>
        </w:numPr>
        <w:tabs>
          <w:tab w:val="left" w:pos="1800"/>
        </w:tabs>
        <w:ind w:left="1170" w:right="693" w:firstLine="30"/>
      </w:pPr>
      <w:r w:rsidRPr="00675326">
        <w:t xml:space="preserve">use of “test” wording as described by the </w:t>
      </w:r>
      <w:r w:rsidRPr="00675326" w:rsidR="00C73B8A">
        <w:t>Amended ARCC</w:t>
      </w:r>
      <w:r w:rsidRPr="00675326">
        <w:t xml:space="preserve"> Letter will be used in the test message</w:t>
      </w:r>
      <w:r w:rsidRPr="00675326" w:rsidR="002318F8">
        <w:t>; and</w:t>
      </w:r>
    </w:p>
    <w:p w:rsidR="002318F8" w:rsidP="00587833" w14:paraId="6C50EAE9" w14:textId="77777777">
      <w:pPr>
        <w:pStyle w:val="ListParagraph"/>
        <w:keepNext/>
        <w:widowControl/>
      </w:pPr>
    </w:p>
    <w:p w:rsidR="002318F8" w:rsidP="00587833" w14:paraId="7750E9C6" w14:textId="77777777">
      <w:pPr>
        <w:pStyle w:val="BodyText"/>
        <w:keepNext/>
        <w:widowControl/>
        <w:numPr>
          <w:ilvl w:val="1"/>
          <w:numId w:val="7"/>
        </w:numPr>
        <w:tabs>
          <w:tab w:val="left" w:pos="1800"/>
        </w:tabs>
        <w:ind w:left="1170" w:right="693" w:firstLine="30"/>
      </w:pPr>
      <w:r>
        <w:t>the WEA test is not intended as a substitute for other scheduled WEA tests.</w:t>
      </w:r>
    </w:p>
    <w:p w:rsidR="00167D6A" w:rsidRPr="00942C51" w:rsidP="00167D6A" w14:paraId="762537F4" w14:textId="77777777">
      <w:pPr>
        <w:pStyle w:val="BodyText"/>
        <w:tabs>
          <w:tab w:val="left" w:pos="1800"/>
        </w:tabs>
        <w:ind w:left="0" w:right="693"/>
      </w:pPr>
    </w:p>
    <w:p w:rsidR="00167D6A" w:rsidRPr="00942C51" w:rsidP="00167D6A" w14:paraId="0CE0828E" w14:textId="77777777">
      <w:pPr>
        <w:pStyle w:val="ParaNum"/>
      </w:pPr>
      <w:r w:rsidRPr="00942C51">
        <w:t>We</w:t>
      </w:r>
      <w:r w:rsidRPr="00942C51">
        <w:rPr>
          <w:spacing w:val="-5"/>
        </w:rPr>
        <w:t xml:space="preserve"> </w:t>
      </w:r>
      <w:r w:rsidRPr="00942C51">
        <w:t>also</w:t>
      </w:r>
      <w:r w:rsidRPr="00942C51">
        <w:rPr>
          <w:spacing w:val="-5"/>
        </w:rPr>
        <w:t xml:space="preserve"> </w:t>
      </w:r>
      <w:r w:rsidRPr="00942C51">
        <w:t>require</w:t>
      </w:r>
      <w:r w:rsidRPr="00942C51">
        <w:rPr>
          <w:spacing w:val="-4"/>
        </w:rPr>
        <w:t xml:space="preserve"> </w:t>
      </w:r>
      <w:r w:rsidRPr="00942C51">
        <w:rPr>
          <w:spacing w:val="-1"/>
        </w:rPr>
        <w:t>that</w:t>
      </w:r>
      <w:r w:rsidRPr="00942C51">
        <w:rPr>
          <w:spacing w:val="-3"/>
        </w:rPr>
        <w:t xml:space="preserve"> </w:t>
      </w:r>
      <w:bookmarkStart w:id="1" w:name="_Hlk523327683"/>
      <w:r w:rsidRPr="00942C51">
        <w:t>the</w:t>
      </w:r>
      <w:r w:rsidRPr="00942C51">
        <w:rPr>
          <w:spacing w:val="-5"/>
        </w:rPr>
        <w:t xml:space="preserve"> </w:t>
      </w:r>
      <w:r w:rsidRPr="00942C51">
        <w:t>test</w:t>
      </w:r>
      <w:r w:rsidRPr="00942C51">
        <w:rPr>
          <w:spacing w:val="-5"/>
        </w:rPr>
        <w:t xml:space="preserve"> </w:t>
      </w:r>
      <w:r w:rsidRPr="00942C51">
        <w:rPr>
          <w:spacing w:val="-1"/>
        </w:rPr>
        <w:t>and</w:t>
      </w:r>
      <w:r w:rsidRPr="00942C51">
        <w:rPr>
          <w:spacing w:val="-3"/>
        </w:rPr>
        <w:t xml:space="preserve"> </w:t>
      </w:r>
      <w:r w:rsidRPr="00942C51">
        <w:t>any</w:t>
      </w:r>
      <w:r w:rsidRPr="00942C51">
        <w:rPr>
          <w:spacing w:val="-5"/>
        </w:rPr>
        <w:t xml:space="preserve"> </w:t>
      </w:r>
      <w:r w:rsidRPr="00942C51">
        <w:t>post-test</w:t>
      </w:r>
      <w:r w:rsidRPr="00942C51">
        <w:rPr>
          <w:spacing w:val="-4"/>
        </w:rPr>
        <w:t xml:space="preserve"> </w:t>
      </w:r>
      <w:r w:rsidRPr="00942C51">
        <w:rPr>
          <w:spacing w:val="-1"/>
        </w:rPr>
        <w:t>analysis</w:t>
      </w:r>
      <w:r w:rsidRPr="00942C51">
        <w:rPr>
          <w:spacing w:val="-4"/>
        </w:rPr>
        <w:t xml:space="preserve"> </w:t>
      </w:r>
      <w:r w:rsidRPr="00942C51">
        <w:rPr>
          <w:spacing w:val="-1"/>
        </w:rPr>
        <w:t>and</w:t>
      </w:r>
      <w:r w:rsidRPr="00942C51">
        <w:rPr>
          <w:spacing w:val="-3"/>
        </w:rPr>
        <w:t xml:space="preserve"> </w:t>
      </w:r>
      <w:r w:rsidRPr="00942C51">
        <w:t>reports</w:t>
      </w:r>
      <w:r w:rsidRPr="00942C51">
        <w:rPr>
          <w:spacing w:val="-4"/>
        </w:rPr>
        <w:t xml:space="preserve"> </w:t>
      </w:r>
      <w:bookmarkEnd w:id="1"/>
      <w:r w:rsidRPr="00942C51">
        <w:t>that</w:t>
      </w:r>
      <w:r>
        <w:rPr>
          <w:spacing w:val="-5"/>
        </w:rPr>
        <w:t xml:space="preserve"> </w:t>
      </w:r>
      <w:r w:rsidR="0064222E">
        <w:rPr>
          <w:spacing w:val="-5"/>
        </w:rPr>
        <w:t xml:space="preserve">ARCC </w:t>
      </w:r>
      <w:r>
        <w:t>may conduct or</w:t>
      </w:r>
      <w:r w:rsidRPr="00942C51">
        <w:rPr>
          <w:spacing w:val="-5"/>
        </w:rPr>
        <w:t xml:space="preserve"> </w:t>
      </w:r>
      <w:r w:rsidRPr="00942C51">
        <w:t>cause</w:t>
      </w:r>
      <w:r w:rsidRPr="00942C51">
        <w:rPr>
          <w:spacing w:val="-6"/>
        </w:rPr>
        <w:t xml:space="preserve"> </w:t>
      </w:r>
      <w:r w:rsidRPr="00942C51">
        <w:t>to</w:t>
      </w:r>
      <w:r w:rsidRPr="00942C51">
        <w:rPr>
          <w:spacing w:val="-5"/>
        </w:rPr>
        <w:t xml:space="preserve"> </w:t>
      </w:r>
      <w:r w:rsidRPr="00942C51">
        <w:t>be</w:t>
      </w:r>
      <w:r w:rsidRPr="00942C51">
        <w:rPr>
          <w:spacing w:val="-5"/>
        </w:rPr>
        <w:t xml:space="preserve"> </w:t>
      </w:r>
      <w:r w:rsidRPr="00942C51">
        <w:t>produced,</w:t>
      </w:r>
      <w:r w:rsidRPr="00942C51">
        <w:rPr>
          <w:spacing w:val="-5"/>
        </w:rPr>
        <w:t xml:space="preserve"> </w:t>
      </w:r>
      <w:r w:rsidRPr="00942C51">
        <w:rPr>
          <w:spacing w:val="-1"/>
        </w:rPr>
        <w:t>are</w:t>
      </w:r>
      <w:r w:rsidRPr="00942C51">
        <w:rPr>
          <w:spacing w:val="-5"/>
        </w:rPr>
        <w:t xml:space="preserve"> </w:t>
      </w:r>
      <w:r w:rsidRPr="00942C51">
        <w:t>done</w:t>
      </w:r>
      <w:r w:rsidRPr="00942C51">
        <w:rPr>
          <w:spacing w:val="-5"/>
        </w:rPr>
        <w:t xml:space="preserve"> </w:t>
      </w:r>
      <w:r w:rsidRPr="00942C51">
        <w:t>in</w:t>
      </w:r>
      <w:r w:rsidRPr="00942C51">
        <w:rPr>
          <w:spacing w:val="-5"/>
        </w:rPr>
        <w:t xml:space="preserve"> </w:t>
      </w:r>
      <w:r w:rsidRPr="00942C51">
        <w:t>a</w:t>
      </w:r>
      <w:r w:rsidRPr="00942C51">
        <w:rPr>
          <w:spacing w:val="-5"/>
        </w:rPr>
        <w:t xml:space="preserve"> </w:t>
      </w:r>
      <w:r w:rsidRPr="00942C51">
        <w:rPr>
          <w:spacing w:val="-1"/>
        </w:rPr>
        <w:t>manner</w:t>
      </w:r>
      <w:r w:rsidRPr="00942C51">
        <w:rPr>
          <w:spacing w:val="-5"/>
        </w:rPr>
        <w:t xml:space="preserve"> </w:t>
      </w:r>
      <w:r w:rsidRPr="00942C51">
        <w:t>consistent</w:t>
      </w:r>
      <w:r w:rsidRPr="00942C51">
        <w:rPr>
          <w:spacing w:val="-6"/>
        </w:rPr>
        <w:t xml:space="preserve"> </w:t>
      </w:r>
      <w:r w:rsidRPr="00942C51">
        <w:rPr>
          <w:spacing w:val="-1"/>
        </w:rPr>
        <w:t>with</w:t>
      </w:r>
      <w:r w:rsidRPr="00942C51">
        <w:rPr>
          <w:spacing w:val="-5"/>
        </w:rPr>
        <w:t xml:space="preserve"> </w:t>
      </w:r>
      <w:r w:rsidRPr="00942C51">
        <w:rPr>
          <w:spacing w:val="-1"/>
        </w:rPr>
        <w:t>customers’</w:t>
      </w:r>
      <w:r w:rsidRPr="00942C51">
        <w:rPr>
          <w:spacing w:val="-5"/>
        </w:rPr>
        <w:t xml:space="preserve"> </w:t>
      </w:r>
      <w:r w:rsidRPr="00942C51">
        <w:rPr>
          <w:spacing w:val="-1"/>
        </w:rPr>
        <w:t>expectations</w:t>
      </w:r>
      <w:r w:rsidRPr="00942C51">
        <w:rPr>
          <w:spacing w:val="-6"/>
        </w:rPr>
        <w:t xml:space="preserve"> </w:t>
      </w:r>
      <w:r w:rsidRPr="00942C51">
        <w:t>of</w:t>
      </w:r>
      <w:r w:rsidRPr="00942C51">
        <w:rPr>
          <w:spacing w:val="-5"/>
        </w:rPr>
        <w:t xml:space="preserve"> </w:t>
      </w:r>
      <w:r w:rsidRPr="00942C51">
        <w:t xml:space="preserve">privacy, </w:t>
      </w:r>
      <w:r w:rsidRPr="00942C51">
        <w:rPr>
          <w:spacing w:val="-1"/>
        </w:rPr>
        <w:t>confidentiality</w:t>
      </w:r>
      <w:r w:rsidRPr="00942C51">
        <w:rPr>
          <w:spacing w:val="-6"/>
        </w:rPr>
        <w:t xml:space="preserve"> </w:t>
      </w:r>
      <w:r w:rsidRPr="00942C51">
        <w:t>of</w:t>
      </w:r>
      <w:r w:rsidRPr="00942C51">
        <w:rPr>
          <w:spacing w:val="-5"/>
        </w:rPr>
        <w:t xml:space="preserve"> </w:t>
      </w:r>
      <w:r w:rsidRPr="00942C51">
        <w:rPr>
          <w:spacing w:val="-1"/>
        </w:rPr>
        <w:t>Participating</w:t>
      </w:r>
      <w:r w:rsidRPr="00942C51">
        <w:rPr>
          <w:spacing w:val="-5"/>
        </w:rPr>
        <w:t xml:space="preserve"> </w:t>
      </w:r>
      <w:r w:rsidRPr="00942C51">
        <w:t>CMS</w:t>
      </w:r>
      <w:r w:rsidRPr="00942C51">
        <w:rPr>
          <w:spacing w:val="-6"/>
        </w:rPr>
        <w:t xml:space="preserve"> </w:t>
      </w:r>
      <w:r w:rsidRPr="00942C51">
        <w:rPr>
          <w:spacing w:val="-1"/>
        </w:rPr>
        <w:t>Providers’</w:t>
      </w:r>
      <w:r w:rsidRPr="00942C51">
        <w:rPr>
          <w:spacing w:val="-5"/>
        </w:rPr>
        <w:t xml:space="preserve"> </w:t>
      </w:r>
      <w:r w:rsidRPr="00942C51">
        <w:rPr>
          <w:spacing w:val="-1"/>
        </w:rPr>
        <w:t>network</w:t>
      </w:r>
      <w:r w:rsidRPr="00942C51">
        <w:rPr>
          <w:spacing w:val="-5"/>
        </w:rPr>
        <w:t xml:space="preserve"> </w:t>
      </w:r>
      <w:r w:rsidRPr="00942C51">
        <w:t>information,</w:t>
      </w:r>
      <w:r w:rsidRPr="00942C51">
        <w:rPr>
          <w:spacing w:val="-6"/>
        </w:rPr>
        <w:t xml:space="preserve"> </w:t>
      </w:r>
      <w:r w:rsidRPr="00942C51">
        <w:rPr>
          <w:spacing w:val="-1"/>
        </w:rPr>
        <w:t>and</w:t>
      </w:r>
      <w:r w:rsidRPr="00942C51">
        <w:rPr>
          <w:spacing w:val="-5"/>
        </w:rPr>
        <w:t xml:space="preserve"> </w:t>
      </w:r>
      <w:r w:rsidRPr="00942C51">
        <w:t>the</w:t>
      </w:r>
      <w:r w:rsidRPr="00942C51">
        <w:rPr>
          <w:spacing w:val="-6"/>
        </w:rPr>
        <w:t xml:space="preserve"> </w:t>
      </w:r>
      <w:r w:rsidRPr="00942C51">
        <w:t>overall</w:t>
      </w:r>
      <w:r w:rsidRPr="00942C51">
        <w:rPr>
          <w:spacing w:val="-5"/>
        </w:rPr>
        <w:t xml:space="preserve"> </w:t>
      </w:r>
      <w:r w:rsidRPr="00942C51">
        <w:rPr>
          <w:spacing w:val="-1"/>
        </w:rPr>
        <w:t>security</w:t>
      </w:r>
      <w:r w:rsidRPr="00942C51">
        <w:rPr>
          <w:spacing w:val="-6"/>
        </w:rPr>
        <w:t xml:space="preserve"> </w:t>
      </w:r>
      <w:r w:rsidRPr="00942C51">
        <w:t>of</w:t>
      </w:r>
      <w:r w:rsidRPr="00942C51">
        <w:rPr>
          <w:spacing w:val="-5"/>
        </w:rPr>
        <w:t xml:space="preserve"> </w:t>
      </w:r>
      <w:r w:rsidRPr="00942C51">
        <w:t>the</w:t>
      </w:r>
      <w:r w:rsidRPr="00942C51">
        <w:rPr>
          <w:spacing w:val="-6"/>
        </w:rPr>
        <w:t xml:space="preserve"> </w:t>
      </w:r>
      <w:r w:rsidRPr="00942C51">
        <w:rPr>
          <w:spacing w:val="-1"/>
        </w:rPr>
        <w:t>WEA systems</w:t>
      </w:r>
      <w:r w:rsidRPr="00942C51">
        <w:rPr>
          <w:spacing w:val="-5"/>
        </w:rPr>
        <w:t xml:space="preserve"> </w:t>
      </w:r>
      <w:r w:rsidRPr="00942C51">
        <w:t>and</w:t>
      </w:r>
      <w:r w:rsidRPr="00942C51">
        <w:rPr>
          <w:spacing w:val="-6"/>
        </w:rPr>
        <w:t xml:space="preserve"> </w:t>
      </w:r>
      <w:r w:rsidRPr="00942C51">
        <w:rPr>
          <w:spacing w:val="-1"/>
        </w:rPr>
        <w:t>infrastructure.</w:t>
      </w:r>
      <w:r>
        <w:rPr>
          <w:rStyle w:val="FootnoteReference"/>
          <w:spacing w:val="-1"/>
          <w:sz w:val="22"/>
          <w:szCs w:val="22"/>
        </w:rPr>
        <w:footnoteReference w:id="32"/>
      </w:r>
      <w:r>
        <w:rPr>
          <w:spacing w:val="-1"/>
          <w:position w:val="7"/>
        </w:rPr>
        <w:t xml:space="preserve">  </w:t>
      </w:r>
      <w:r w:rsidRPr="00942C51">
        <w:t>We</w:t>
      </w:r>
      <w:r w:rsidRPr="00942C51">
        <w:rPr>
          <w:spacing w:val="-5"/>
        </w:rPr>
        <w:t xml:space="preserve"> </w:t>
      </w:r>
      <w:r w:rsidRPr="00942C51">
        <w:rPr>
          <w:spacing w:val="-1"/>
        </w:rPr>
        <w:t>encourage</w:t>
      </w:r>
      <w:r w:rsidRPr="00942C51">
        <w:rPr>
          <w:spacing w:val="-4"/>
        </w:rPr>
        <w:t xml:space="preserve"> </w:t>
      </w:r>
      <w:r w:rsidR="0064222E">
        <w:rPr>
          <w:spacing w:val="-4"/>
        </w:rPr>
        <w:t>ARCC</w:t>
      </w:r>
      <w:r>
        <w:rPr>
          <w:spacing w:val="-4"/>
        </w:rPr>
        <w:t xml:space="preserve"> </w:t>
      </w:r>
      <w:r w:rsidRPr="00942C51">
        <w:t>to</w:t>
      </w:r>
      <w:r w:rsidRPr="00942C51">
        <w:rPr>
          <w:spacing w:val="-6"/>
        </w:rPr>
        <w:t xml:space="preserve"> </w:t>
      </w:r>
      <w:r w:rsidRPr="00942C51">
        <w:t>report</w:t>
      </w:r>
      <w:r w:rsidRPr="00942C51">
        <w:rPr>
          <w:spacing w:val="-4"/>
        </w:rPr>
        <w:t xml:space="preserve"> its </w:t>
      </w:r>
      <w:r w:rsidRPr="00942C51">
        <w:t>test</w:t>
      </w:r>
      <w:r w:rsidRPr="00942C51">
        <w:rPr>
          <w:spacing w:val="-6"/>
        </w:rPr>
        <w:t xml:space="preserve"> </w:t>
      </w:r>
      <w:r w:rsidRPr="00942C51">
        <w:rPr>
          <w:spacing w:val="-1"/>
        </w:rPr>
        <w:t>results</w:t>
      </w:r>
      <w:r w:rsidRPr="00942C51">
        <w:rPr>
          <w:spacing w:val="-5"/>
        </w:rPr>
        <w:t xml:space="preserve"> </w:t>
      </w:r>
      <w:r w:rsidRPr="00942C51">
        <w:t>in</w:t>
      </w:r>
      <w:r w:rsidRPr="00942C51">
        <w:rPr>
          <w:spacing w:val="-6"/>
        </w:rPr>
        <w:t xml:space="preserve"> </w:t>
      </w:r>
      <w:r w:rsidRPr="00942C51">
        <w:rPr>
          <w:spacing w:val="-1"/>
        </w:rPr>
        <w:t>electronic</w:t>
      </w:r>
      <w:r w:rsidRPr="00942C51">
        <w:rPr>
          <w:spacing w:val="-5"/>
        </w:rPr>
        <w:t xml:space="preserve"> </w:t>
      </w:r>
      <w:r w:rsidRPr="00942C51">
        <w:t>format</w:t>
      </w:r>
      <w:r w:rsidRPr="00942C51">
        <w:rPr>
          <w:spacing w:val="-4"/>
        </w:rPr>
        <w:t xml:space="preserve"> </w:t>
      </w:r>
      <w:r w:rsidRPr="00942C51">
        <w:t>to</w:t>
      </w:r>
      <w:r w:rsidRPr="00942C51">
        <w:rPr>
          <w:spacing w:val="-6"/>
        </w:rPr>
        <w:t xml:space="preserve"> </w:t>
      </w:r>
      <w:r w:rsidRPr="00942C51">
        <w:rPr>
          <w:spacing w:val="-1"/>
        </w:rPr>
        <w:t xml:space="preserve">the </w:t>
      </w:r>
      <w:r>
        <w:t>Bureau.  F</w:t>
      </w:r>
      <w:r w:rsidRPr="00942C51">
        <w:rPr>
          <w:spacing w:val="-1"/>
        </w:rPr>
        <w:t>inally,</w:t>
      </w:r>
      <w:r w:rsidRPr="00942C51">
        <w:rPr>
          <w:spacing w:val="-4"/>
        </w:rPr>
        <w:t xml:space="preserve"> </w:t>
      </w:r>
      <w:r w:rsidRPr="00942C51">
        <w:rPr>
          <w:spacing w:val="-1"/>
        </w:rPr>
        <w:t>we</w:t>
      </w:r>
      <w:r w:rsidRPr="00942C51">
        <w:rPr>
          <w:spacing w:val="-4"/>
        </w:rPr>
        <w:t xml:space="preserve"> </w:t>
      </w:r>
      <w:r w:rsidRPr="00942C51">
        <w:t>encourage</w:t>
      </w:r>
      <w:r w:rsidRPr="00942C51">
        <w:rPr>
          <w:spacing w:val="-4"/>
        </w:rPr>
        <w:t xml:space="preserve"> </w:t>
      </w:r>
      <w:r w:rsidRPr="00942C51">
        <w:rPr>
          <w:spacing w:val="-1"/>
        </w:rPr>
        <w:t>members</w:t>
      </w:r>
      <w:r w:rsidRPr="00942C51">
        <w:rPr>
          <w:spacing w:val="-4"/>
        </w:rPr>
        <w:t xml:space="preserve"> </w:t>
      </w:r>
      <w:r w:rsidRPr="00942C51">
        <w:t>of</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who</w:t>
      </w:r>
      <w:r w:rsidRPr="00942C51">
        <w:rPr>
          <w:spacing w:val="-5"/>
        </w:rPr>
        <w:t xml:space="preserve"> </w:t>
      </w:r>
      <w:r w:rsidRPr="00942C51">
        <w:rPr>
          <w:spacing w:val="-1"/>
        </w:rPr>
        <w:t>wish</w:t>
      </w:r>
      <w:r w:rsidRPr="00942C51">
        <w:rPr>
          <w:spacing w:val="-3"/>
        </w:rPr>
        <w:t xml:space="preserve"> </w:t>
      </w:r>
      <w:r w:rsidRPr="00942C51">
        <w:t>to</w:t>
      </w:r>
      <w:r w:rsidRPr="00942C51">
        <w:rPr>
          <w:spacing w:val="-4"/>
        </w:rPr>
        <w:t xml:space="preserve"> share feedback on </w:t>
      </w:r>
      <w:r w:rsidRPr="00942C51">
        <w:rPr>
          <w:spacing w:val="-1"/>
        </w:rPr>
        <w:t>their experience with the</w:t>
      </w:r>
      <w:r w:rsidRPr="00942C51">
        <w:rPr>
          <w:spacing w:val="-3"/>
        </w:rPr>
        <w:t xml:space="preserve"> test </w:t>
      </w:r>
      <w:r w:rsidRPr="00942C51">
        <w:t>to</w:t>
      </w:r>
      <w:r w:rsidRPr="00942C51">
        <w:rPr>
          <w:spacing w:val="-5"/>
        </w:rPr>
        <w:t xml:space="preserve"> </w:t>
      </w:r>
      <w:r w:rsidRPr="00942C51">
        <w:t>do</w:t>
      </w:r>
      <w:r w:rsidRPr="00942C51">
        <w:rPr>
          <w:spacing w:val="-3"/>
        </w:rPr>
        <w:t xml:space="preserve"> </w:t>
      </w:r>
      <w:r w:rsidRPr="00942C51">
        <w:rPr>
          <w:spacing w:val="-1"/>
        </w:rPr>
        <w:t>so</w:t>
      </w:r>
      <w:r w:rsidRPr="00942C51">
        <w:rPr>
          <w:spacing w:val="-3"/>
        </w:rPr>
        <w:t xml:space="preserve"> </w:t>
      </w:r>
      <w:r w:rsidRPr="00942C51">
        <w:t>by</w:t>
      </w:r>
      <w:r>
        <w:rPr>
          <w:spacing w:val="-4"/>
        </w:rPr>
        <w:t xml:space="preserve"> filing them</w:t>
      </w:r>
      <w:r w:rsidRPr="00942C51">
        <w:rPr>
          <w:spacing w:val="-8"/>
        </w:rPr>
        <w:t xml:space="preserve"> </w:t>
      </w:r>
      <w:r w:rsidRPr="00942C51">
        <w:rPr>
          <w:spacing w:val="-1"/>
        </w:rPr>
        <w:t>with</w:t>
      </w:r>
      <w:r w:rsidRPr="00942C51">
        <w:rPr>
          <w:spacing w:val="-7"/>
        </w:rPr>
        <w:t xml:space="preserve"> </w:t>
      </w:r>
      <w:r w:rsidRPr="00942C51">
        <w:t>the</w:t>
      </w:r>
      <w:r w:rsidRPr="00942C51">
        <w:rPr>
          <w:spacing w:val="-8"/>
        </w:rPr>
        <w:t xml:space="preserve"> </w:t>
      </w:r>
      <w:r w:rsidRPr="00942C51">
        <w:rPr>
          <w:spacing w:val="-1"/>
        </w:rPr>
        <w:t>FCC’s</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rPr>
          <w:spacing w:val="-1"/>
        </w:rPr>
        <w:t>Support</w:t>
      </w:r>
      <w:r w:rsidRPr="00942C51">
        <w:rPr>
          <w:spacing w:val="-7"/>
        </w:rPr>
        <w:t xml:space="preserve"> </w:t>
      </w:r>
      <w:r w:rsidRPr="00942C51">
        <w:rPr>
          <w:spacing w:val="-1"/>
        </w:rPr>
        <w:t>Center</w:t>
      </w:r>
      <w:r w:rsidRPr="00942C51">
        <w:rPr>
          <w:spacing w:val="-7"/>
        </w:rPr>
        <w:t xml:space="preserve"> </w:t>
      </w:r>
      <w:r w:rsidRPr="00942C51">
        <w:rPr>
          <w:spacing w:val="-1"/>
        </w:rPr>
        <w:t>at</w:t>
      </w:r>
      <w:r w:rsidRPr="00942C51">
        <w:rPr>
          <w:spacing w:val="-7"/>
        </w:rPr>
        <w:t xml:space="preserve"> </w:t>
      </w:r>
      <w:hyperlink r:id="rId5" w:history="1">
        <w:r w:rsidRPr="00942C51">
          <w:rPr>
            <w:color w:val="0000FF"/>
            <w:spacing w:val="-1"/>
            <w:u w:val="single" w:color="0000FF"/>
          </w:rPr>
          <w:t>https://www.fcc.gov/general/public-safety-</w:t>
        </w:r>
      </w:hyperlink>
      <w:hyperlink r:id="rId5" w:history="1">
        <w:r w:rsidRPr="00942C51">
          <w:rPr>
            <w:color w:val="0000FF"/>
            <w:spacing w:val="-1"/>
            <w:u w:val="single" w:color="0000FF"/>
          </w:rPr>
          <w:t>support-center</w:t>
        </w:r>
      </w:hyperlink>
      <w:r w:rsidRPr="00942C51">
        <w:rPr>
          <w:color w:val="0000FF"/>
          <w:spacing w:val="-1"/>
          <w:u w:val="single" w:color="0000FF"/>
        </w:rPr>
        <w:t>.</w:t>
      </w:r>
    </w:p>
    <w:p w:rsidR="00167D6A" w:rsidP="00167D6A" w14:paraId="1BFD3F41" w14:textId="77777777">
      <w:pPr>
        <w:pStyle w:val="Heading1"/>
      </w:pPr>
      <w:r>
        <w:t>ordering clause</w:t>
      </w:r>
    </w:p>
    <w:p w:rsidR="00167D6A" w:rsidRPr="00942C51" w:rsidP="00167D6A" w14:paraId="5D7066E5" w14:textId="77777777">
      <w:pPr>
        <w:pStyle w:val="ParaNum"/>
        <w:keepNext/>
        <w:widowControl/>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w:t>
      </w:r>
      <w:r w:rsidRPr="00942C51">
        <w:rPr>
          <w:szCs w:val="22"/>
        </w:rPr>
        <w:t>i</w:t>
      </w:r>
      <w:r w:rsidRPr="00942C51">
        <w:rPr>
          <w:szCs w:val="22"/>
        </w:rPr>
        <w:t>)</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w:t>
      </w:r>
      <w:r w:rsidRPr="00942C51">
        <w:rPr>
          <w:spacing w:val="-1"/>
          <w:szCs w:val="22"/>
        </w:rPr>
        <w:t>i</w:t>
      </w:r>
      <w:r w:rsidRPr="00942C51">
        <w:rPr>
          <w:spacing w:val="-1"/>
          <w:szCs w:val="22"/>
        </w:rPr>
        <w:t>),</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Pr>
          <w:spacing w:val="-1"/>
          <w:szCs w:val="22"/>
        </w:rPr>
        <w:t xml:space="preserve">allow a one-time test of the WEA in </w:t>
      </w:r>
      <w:r w:rsidR="00A92AAF">
        <w:rPr>
          <w:spacing w:val="-1"/>
          <w:szCs w:val="22"/>
        </w:rPr>
        <w:t>Colorado’s</w:t>
      </w:r>
      <w:r>
        <w:rPr>
          <w:spacing w:val="-1"/>
          <w:szCs w:val="22"/>
        </w:rPr>
        <w:t xml:space="preserve"> </w:t>
      </w:r>
      <w:r w:rsidRPr="0034448C" w:rsidR="00A92AAF">
        <w:t>Alamosa, Conejos, Costilla, Mineral, Rio Grande, and Saguache</w:t>
      </w:r>
      <w:r w:rsidR="00A92AAF">
        <w:rPr>
          <w:spacing w:val="-1"/>
          <w:szCs w:val="22"/>
        </w:rPr>
        <w:t xml:space="preserve"> counties </w:t>
      </w:r>
      <w:r>
        <w:rPr>
          <w:spacing w:val="-1"/>
          <w:szCs w:val="22"/>
        </w:rPr>
        <w:t xml:space="preserve">on </w:t>
      </w:r>
      <w:r w:rsidR="00A92AAF">
        <w:rPr>
          <w:spacing w:val="-1"/>
          <w:szCs w:val="22"/>
        </w:rPr>
        <w:t>June 6</w:t>
      </w:r>
      <w:r>
        <w:rPr>
          <w:spacing w:val="-1"/>
          <w:szCs w:val="22"/>
        </w:rPr>
        <w:t xml:space="preserve">, 2019, at </w:t>
      </w:r>
      <w:r w:rsidR="001468BD">
        <w:rPr>
          <w:spacing w:val="-1"/>
          <w:szCs w:val="22"/>
        </w:rPr>
        <w:t>11:00 a.m.</w:t>
      </w:r>
      <w:r>
        <w:rPr>
          <w:spacing w:val="-1"/>
          <w:szCs w:val="22"/>
        </w:rPr>
        <w:t xml:space="preserve"> MDT, </w:t>
      </w:r>
      <w:r w:rsidR="001468BD">
        <w:rPr>
          <w:spacing w:val="-1"/>
          <w:szCs w:val="22"/>
        </w:rPr>
        <w:t xml:space="preserve">with a backup date of </w:t>
      </w:r>
      <w:r w:rsidR="00A92AAF">
        <w:rPr>
          <w:spacing w:val="-1"/>
          <w:szCs w:val="22"/>
        </w:rPr>
        <w:t>June 13</w:t>
      </w:r>
      <w:r w:rsidR="001468BD">
        <w:rPr>
          <w:spacing w:val="-1"/>
          <w:szCs w:val="22"/>
        </w:rPr>
        <w:t xml:space="preserve">, 2019, at 11:00 a.m. MDT, </w:t>
      </w:r>
      <w:r w:rsidRPr="00942C51">
        <w:rPr>
          <w:szCs w:val="22"/>
        </w:rPr>
        <w:t>which test must be conducted subject to the conditions described herein.  This action is taken under delegated authority pursuant to Sections 0.191 and 0.392 of the Commission’s rules, 47 CFR §§ 0.191 and 0.392.</w:t>
      </w:r>
    </w:p>
    <w:p w:rsidR="00167D6A" w:rsidP="00167D6A" w14:paraId="3C284791" w14:textId="77777777">
      <w:pPr>
        <w:pStyle w:val="BodyText"/>
        <w:keepNext/>
        <w:widowControl/>
        <w:spacing w:before="154"/>
        <w:ind w:left="0"/>
        <w:rPr>
          <w:snapToGrid w:val="0"/>
          <w:kern w:val="28"/>
        </w:rPr>
      </w:pPr>
    </w:p>
    <w:p w:rsidR="00167D6A" w:rsidRPr="00436ED9" w:rsidP="00167D6A" w14:paraId="704E607C"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167D6A" w:rsidRPr="00436ED9" w:rsidP="00167D6A" w14:paraId="09D87AF3" w14:textId="77777777">
      <w:pPr>
        <w:keepNext/>
        <w:widowControl/>
        <w:rPr>
          <w:szCs w:val="22"/>
        </w:rPr>
      </w:pPr>
    </w:p>
    <w:p w:rsidR="00167D6A" w:rsidRPr="00436ED9" w:rsidP="00167D6A" w14:paraId="50F1602B" w14:textId="77777777">
      <w:pPr>
        <w:keepNext/>
        <w:widowControl/>
        <w:rPr>
          <w:szCs w:val="22"/>
        </w:rPr>
      </w:pPr>
    </w:p>
    <w:p w:rsidR="00167D6A" w:rsidRPr="00436ED9" w:rsidP="00167D6A" w14:paraId="57032BAF" w14:textId="77777777">
      <w:pPr>
        <w:rPr>
          <w:szCs w:val="22"/>
        </w:rPr>
      </w:pPr>
    </w:p>
    <w:p w:rsidR="00167D6A" w:rsidRPr="00436ED9" w:rsidP="00167D6A" w14:paraId="2FAFBF27" w14:textId="77777777">
      <w:pPr>
        <w:spacing w:before="2"/>
        <w:rPr>
          <w:szCs w:val="22"/>
        </w:rPr>
      </w:pPr>
    </w:p>
    <w:p w:rsidR="00F016F3" w:rsidRPr="00436ED9" w:rsidP="00F016F3" w14:paraId="78CD53A9" w14:textId="77777777">
      <w:pPr>
        <w:pStyle w:val="BodyText"/>
        <w:ind w:left="4297" w:right="3533"/>
        <w:jc w:val="center"/>
      </w:pPr>
      <w:bookmarkStart w:id="2" w:name="sp_999_4"/>
      <w:bookmarkStart w:id="3" w:name="SDU_4"/>
      <w:bookmarkEnd w:id="2"/>
      <w:bookmarkEnd w:id="3"/>
      <w:r>
        <w:t>Nicole McGinnis</w:t>
      </w:r>
    </w:p>
    <w:p w:rsidR="00F06177" w:rsidP="00F016F3" w14:paraId="08AACAE9" w14:textId="77777777">
      <w:pPr>
        <w:pStyle w:val="BodyText"/>
        <w:ind w:left="4680" w:right="271" w:hanging="360"/>
      </w:pPr>
      <w:r>
        <w:t xml:space="preserve">Deputy </w:t>
      </w:r>
      <w:r w:rsidRPr="00436ED9">
        <w:t>Chief</w:t>
      </w:r>
    </w:p>
    <w:p w:rsidR="00F016F3" w:rsidRPr="00436ED9" w:rsidP="00DC6942" w14:paraId="780F622B" w14:textId="28CA2E66">
      <w:pPr>
        <w:pStyle w:val="BodyText"/>
        <w:ind w:left="3600" w:right="271" w:firstLine="72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00F06177">
        <w:rPr>
          <w:spacing w:val="-1"/>
        </w:rPr>
        <w:t xml:space="preserve"> </w:t>
      </w:r>
      <w:r w:rsidRPr="00436ED9">
        <w:t>Bureau</w:t>
      </w:r>
    </w:p>
    <w:p w:rsidR="00F016F3" w:rsidRPr="005A36E9" w:rsidP="00F016F3" w14:paraId="0135FB7E" w14:textId="77777777">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p w:rsidR="00167D6A" w:rsidRPr="005A36E9" w:rsidP="00675326" w14:paraId="3E09CA24" w14:textId="47F8D15B">
      <w:pPr>
        <w:rPr>
          <w:spacing w:val="-1"/>
          <w:szCs w:val="22"/>
        </w:rPr>
      </w:pPr>
    </w:p>
    <w:p w:rsidR="00167D6A" w:rsidRPr="00167D6A" w:rsidP="000016DF" w14:paraId="189CA1F8" w14:textId="77777777">
      <w:pPr>
        <w:pStyle w:val="ParaNum"/>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B612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F2FA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34A6" w14:paraId="3F5AE657" w14:textId="43CFA5FB">
    <w:pPr>
      <w:pStyle w:val="Footer"/>
      <w:jc w:val="center"/>
      <w:rPr>
        <w:noProof/>
      </w:rPr>
    </w:pPr>
    <w:r>
      <w:fldChar w:fldCharType="begin"/>
    </w:r>
    <w:r>
      <w:instrText xml:space="preserve"> PAGE   \* MERGEFORMAT </w:instrText>
    </w:r>
    <w:r>
      <w:fldChar w:fldCharType="separate"/>
    </w:r>
    <w:r w:rsidR="00445ED2">
      <w:rPr>
        <w:noProof/>
      </w:rPr>
      <w:t>4</w:t>
    </w:r>
    <w:r>
      <w:rPr>
        <w:noProof/>
      </w:rPr>
      <w:fldChar w:fldCharType="end"/>
    </w:r>
  </w:p>
  <w:p w:rsidR="000D1400" w:rsidP="00675326" w14:paraId="101F78F6" w14:textId="12A995E1">
    <w:pPr>
      <w:suppressAutoHyphens/>
      <w:spacing w:line="227"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75326" w14:paraId="658479EC" w14:textId="1A92F40F">
    <w:pPr>
      <w:suppressAutoHyphens/>
      <w:spacing w:line="227"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66B" w14:paraId="4B9FD261" w14:textId="77777777">
      <w:r>
        <w:separator/>
      </w:r>
    </w:p>
  </w:footnote>
  <w:footnote w:type="continuationSeparator" w:id="1">
    <w:p w:rsidR="00EF666B" w:rsidP="00C721AC" w14:paraId="0F12C2C5" w14:textId="77777777">
      <w:pPr>
        <w:spacing w:before="120"/>
        <w:rPr>
          <w:sz w:val="20"/>
        </w:rPr>
      </w:pPr>
      <w:r>
        <w:rPr>
          <w:sz w:val="20"/>
        </w:rPr>
        <w:t xml:space="preserve">(Continued from previous page)  </w:t>
      </w:r>
      <w:r>
        <w:rPr>
          <w:sz w:val="20"/>
        </w:rPr>
        <w:separator/>
      </w:r>
    </w:p>
  </w:footnote>
  <w:footnote w:type="continuationNotice" w:id="2">
    <w:p w:rsidR="00EF666B" w:rsidP="00C721AC" w14:paraId="2E561610" w14:textId="77777777">
      <w:pPr>
        <w:jc w:val="right"/>
        <w:rPr>
          <w:sz w:val="20"/>
        </w:rPr>
      </w:pPr>
      <w:r>
        <w:rPr>
          <w:sz w:val="20"/>
        </w:rPr>
        <w:t>(continued….)</w:t>
      </w:r>
    </w:p>
  </w:footnote>
  <w:footnote w:id="3">
    <w:p w:rsidR="007857E9" w:rsidP="007857E9" w14:paraId="05F79DB4"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7857E9" w:rsidRPr="006A6C5E" w:rsidP="007857E9" w14:paraId="0769BD23" w14:textId="77777777">
      <w:pPr>
        <w:pStyle w:val="FootnoteText"/>
      </w:pPr>
      <w:r w:rsidRPr="0034448C">
        <w:rPr>
          <w:rStyle w:val="FootnoteReference"/>
        </w:rPr>
        <w:footnoteRef/>
      </w:r>
      <w:r w:rsidRPr="0034448C">
        <w:t xml:space="preserve"> </w:t>
      </w:r>
      <w:r w:rsidRPr="0034448C">
        <w:rPr>
          <w:i/>
        </w:rPr>
        <w:t xml:space="preserve">See </w:t>
      </w:r>
      <w:r w:rsidR="000D28AD">
        <w:t xml:space="preserve">Letter from Ashley Frost, MSAG Coordinator, </w:t>
      </w:r>
      <w:r w:rsidR="00140C0D">
        <w:t xml:space="preserve">San Luis Valley E911 (filed Apr. 25, 2019) (on file in PS Docket No. 15-91), </w:t>
      </w:r>
      <w:r w:rsidRPr="00140C0D" w:rsidR="00140C0D">
        <w:rPr>
          <w:i/>
        </w:rPr>
        <w:t>as amended by</w:t>
      </w:r>
      <w:r w:rsidR="00140C0D">
        <w:t xml:space="preserve"> </w:t>
      </w:r>
      <w:r w:rsidRPr="0034448C">
        <w:t>Letter from</w:t>
      </w:r>
      <w:r w:rsidRPr="0034448C" w:rsidR="001366E8">
        <w:t xml:space="preserve"> </w:t>
      </w:r>
      <w:r w:rsidRPr="0034448C" w:rsidR="0034448C">
        <w:t>Ashley Frost, MSAG Coordinator, San Luis Valley E911</w:t>
      </w:r>
      <w:r w:rsidRPr="0034448C">
        <w:t xml:space="preserve">, to Michael J. Wilhelm, Chief, Policy and Licensing Division, Public Safety and Homeland Security Bureau, Federal Communications Commission (filed </w:t>
      </w:r>
      <w:r w:rsidRPr="0034448C" w:rsidR="0034448C">
        <w:t>May</w:t>
      </w:r>
      <w:r w:rsidRPr="0034448C" w:rsidR="001366E8">
        <w:t xml:space="preserve"> </w:t>
      </w:r>
      <w:r w:rsidRPr="0034448C" w:rsidR="0034448C">
        <w:t>15</w:t>
      </w:r>
      <w:r w:rsidRPr="0034448C">
        <w:t xml:space="preserve">, 2019) (on file in PS Docket No. 15-91) </w:t>
      </w:r>
      <w:r w:rsidR="00140C0D">
        <w:t xml:space="preserve">(revising the date and adding a backup date for the proposed test) </w:t>
      </w:r>
      <w:r w:rsidRPr="0034448C">
        <w:t>(</w:t>
      </w:r>
      <w:r w:rsidR="00615B43">
        <w:t xml:space="preserve">Amended </w:t>
      </w:r>
      <w:r w:rsidRPr="0034448C" w:rsidR="0034448C">
        <w:t>ARCC Letter</w:t>
      </w:r>
      <w:r w:rsidRPr="0034448C">
        <w:t>)</w:t>
      </w:r>
      <w:r>
        <w:t>.</w:t>
      </w:r>
    </w:p>
  </w:footnote>
  <w:footnote w:id="5">
    <w:p w:rsidR="0036075B" w:rsidRPr="00615B43" w14:paraId="7E89AAC6" w14:textId="77777777">
      <w:pPr>
        <w:pStyle w:val="FootnoteText"/>
      </w:pPr>
      <w:r>
        <w:rPr>
          <w:rStyle w:val="FootnoteReference"/>
        </w:rPr>
        <w:footnoteRef/>
      </w:r>
      <w:r>
        <w:t xml:space="preserve"> </w:t>
      </w:r>
      <w:r w:rsidR="003C14DA">
        <w:rPr>
          <w:i/>
        </w:rPr>
        <w:t>Id</w:t>
      </w:r>
      <w:r w:rsidR="003C14DA">
        <w:t>. at 1.</w:t>
      </w:r>
      <w:r w:rsidR="00615B43">
        <w:t xml:space="preserve">  The proposed test would occur within the counties of Alamosa, Conejos, Costilla, Mineral, Rio Grande, and Saguache.  </w:t>
      </w:r>
      <w:r w:rsidR="00615B43">
        <w:rPr>
          <w:i/>
        </w:rPr>
        <w:t>Id</w:t>
      </w:r>
      <w:r w:rsidR="00615B43">
        <w:t xml:space="preserve">. </w:t>
      </w:r>
    </w:p>
  </w:footnote>
  <w:footnote w:id="6">
    <w:p w:rsidR="007857E9" w:rsidRPr="00B0643B" w:rsidP="007857E9" w14:paraId="02695D94" w14:textId="77777777">
      <w:pPr>
        <w:pStyle w:val="FootnoteText"/>
      </w:pPr>
      <w:r w:rsidRPr="000734E5">
        <w:rPr>
          <w:vertAlign w:val="superscript"/>
        </w:rPr>
        <w:footnoteRef/>
      </w:r>
      <w:r w:rsidRPr="000734E5">
        <w:rPr>
          <w:vertAlign w:val="superscript"/>
        </w:rPr>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7">
    <w:p w:rsidR="007857E9" w:rsidRPr="00B0643B" w:rsidP="007857E9" w14:paraId="1F379CC2"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8">
    <w:p w:rsidR="007857E9" w:rsidRPr="00B0643B" w:rsidP="007857E9" w14:paraId="3385757A"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9">
    <w:p w:rsidR="007857E9" w:rsidRPr="00B0643B" w:rsidP="007857E9" w14:paraId="21F8A03D"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 (</w:t>
      </w:r>
      <w:r w:rsidRPr="00B0643B">
        <w:rPr>
          <w:i/>
        </w:rPr>
        <w:t>WEA R&amp;O</w:t>
      </w:r>
      <w:r w:rsidRPr="00B0643B">
        <w:t>).</w:t>
      </w:r>
    </w:p>
  </w:footnote>
  <w:footnote w:id="10">
    <w:p w:rsidR="007857E9" w:rsidRPr="00B0643B" w:rsidP="007857E9" w14:paraId="5A28129C"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0734E5">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r>
        <w:t xml:space="preserve">  </w:t>
      </w:r>
    </w:p>
  </w:footnote>
  <w:footnote w:id="11">
    <w:p w:rsidR="000E0805" w14:paraId="4E5ECB54" w14:textId="77777777">
      <w:pPr>
        <w:pStyle w:val="FootnoteText"/>
      </w:pPr>
      <w:r>
        <w:rPr>
          <w:rStyle w:val="FootnoteReference"/>
        </w:rPr>
        <w:footnoteRef/>
      </w:r>
      <w:r>
        <w:t xml:space="preserve"> </w:t>
      </w:r>
      <w:r>
        <w:rPr>
          <w:i/>
        </w:rPr>
        <w:t>See Advisory Regarding May 1 Deadline for Improvements to Wireless Emergency Alerts and Guidance for State/Local Alert Originators</w:t>
      </w:r>
      <w:r>
        <w:t>,</w:t>
      </w:r>
      <w:r>
        <w:rPr>
          <w:i/>
        </w:rPr>
        <w:t xml:space="preserve"> </w:t>
      </w:r>
      <w:r>
        <w:t>Public Notice, DA 19</w:t>
      </w:r>
      <w:r w:rsidRPr="00EF145B">
        <w:t>-358</w:t>
      </w:r>
      <w:r w:rsidR="00BA336F">
        <w:t>,</w:t>
      </w:r>
      <w:r>
        <w:t xml:space="preserve"> at 2</w:t>
      </w:r>
      <w:r w:rsidRPr="00EF145B">
        <w:t xml:space="preserve"> </w:t>
      </w:r>
      <w:r>
        <w:t>(PSHSB Apr. 30, 2019) (</w:t>
      </w:r>
      <w:r>
        <w:rPr>
          <w:i/>
        </w:rPr>
        <w:t>May 1 WEA Deadline PN</w:t>
      </w:r>
      <w:r>
        <w:t>).</w:t>
      </w:r>
    </w:p>
  </w:footnote>
  <w:footnote w:id="12">
    <w:p w:rsidR="00167D6A" w14:paraId="25AB3B7F" w14:textId="77777777">
      <w:pPr>
        <w:pStyle w:val="FootnoteText"/>
      </w:pPr>
      <w:r>
        <w:rPr>
          <w:rStyle w:val="FootnoteReference"/>
        </w:rPr>
        <w:footnoteRef/>
      </w:r>
      <w:r>
        <w:t xml:space="preserve"> </w:t>
      </w:r>
      <w:r w:rsidR="00615B43">
        <w:t xml:space="preserve">Amended </w:t>
      </w:r>
      <w:r w:rsidR="006A6BD7">
        <w:t>ARCC</w:t>
      </w:r>
      <w:r>
        <w:t xml:space="preserve"> Letter at</w:t>
      </w:r>
      <w:r w:rsidR="001B6A64">
        <w:t xml:space="preserve"> 1</w:t>
      </w:r>
      <w:r>
        <w:t>.</w:t>
      </w:r>
    </w:p>
  </w:footnote>
  <w:footnote w:id="13">
    <w:p w:rsidR="00F2688C" w14:paraId="351632C8" w14:textId="2F84651B">
      <w:pPr>
        <w:pStyle w:val="FootnoteText"/>
      </w:pPr>
      <w:r>
        <w:rPr>
          <w:rStyle w:val="FootnoteReference"/>
        </w:rPr>
        <w:footnoteRef/>
      </w:r>
      <w:r>
        <w:t xml:space="preserve"> </w:t>
      </w:r>
      <w:r w:rsidRPr="00530C5A" w:rsidR="00530C5A">
        <w:rPr>
          <w:i/>
        </w:rPr>
        <w:t>Id</w:t>
      </w:r>
      <w:r w:rsidR="00530C5A">
        <w:t>.</w:t>
      </w:r>
      <w:r w:rsidR="00421F27">
        <w:t xml:space="preserve"> at 1-2.</w:t>
      </w:r>
    </w:p>
  </w:footnote>
  <w:footnote w:id="14">
    <w:p w:rsidR="00F2688C" w14:paraId="2FA6EC9D" w14:textId="05277682">
      <w:pPr>
        <w:pStyle w:val="FootnoteText"/>
      </w:pPr>
      <w:r>
        <w:rPr>
          <w:rStyle w:val="FootnoteReference"/>
        </w:rPr>
        <w:footnoteRef/>
      </w:r>
      <w:r>
        <w:t xml:space="preserve"> </w:t>
      </w:r>
      <w:r w:rsidRPr="00530C5A" w:rsidR="00530C5A">
        <w:rPr>
          <w:i/>
        </w:rPr>
        <w:t>Id</w:t>
      </w:r>
      <w:r w:rsidR="00530C5A">
        <w:t>.</w:t>
      </w:r>
      <w:r w:rsidR="00C650C6">
        <w:t xml:space="preserve"> at 1.</w:t>
      </w:r>
    </w:p>
  </w:footnote>
  <w:footnote w:id="15">
    <w:p w:rsidR="00635A3D" w:rsidRPr="00635A3D" w14:paraId="31D0013A" w14:textId="77777777">
      <w:pPr>
        <w:pStyle w:val="FootnoteText"/>
      </w:pPr>
      <w:r>
        <w:rPr>
          <w:rStyle w:val="FootnoteReference"/>
        </w:rPr>
        <w:footnoteRef/>
      </w:r>
      <w:r>
        <w:t xml:space="preserve"> </w:t>
      </w:r>
      <w:r>
        <w:rPr>
          <w:i/>
        </w:rPr>
        <w:t>Id</w:t>
      </w:r>
      <w:r>
        <w:t xml:space="preserve">. </w:t>
      </w:r>
    </w:p>
  </w:footnote>
  <w:footnote w:id="16">
    <w:p w:rsidR="00167D6A" w:rsidRPr="00167D6A" w14:paraId="13CBDEC5" w14:textId="77777777">
      <w:pPr>
        <w:pStyle w:val="FootnoteText"/>
      </w:pPr>
      <w:r>
        <w:rPr>
          <w:rStyle w:val="FootnoteReference"/>
        </w:rPr>
        <w:footnoteRef/>
      </w:r>
      <w:r>
        <w:t xml:space="preserve"> </w:t>
      </w:r>
      <w:r>
        <w:rPr>
          <w:i/>
        </w:rPr>
        <w:t>Id</w:t>
      </w:r>
      <w:r>
        <w:t>.</w:t>
      </w:r>
      <w:r w:rsidR="007A5319">
        <w:t xml:space="preserve"> (the San Luis Valley consists of the counties of Alamosa, Conejos, Costilla, Mineral, Rio Grande, and Saguache).</w:t>
      </w:r>
    </w:p>
  </w:footnote>
  <w:footnote w:id="17">
    <w:p w:rsidR="00167D6A" w:rsidRPr="008B6008" w14:paraId="0F2DF719" w14:textId="55FA0775">
      <w:pPr>
        <w:pStyle w:val="FootnoteText"/>
        <w:rPr>
          <w:highlight w:val="yellow"/>
        </w:rPr>
      </w:pPr>
      <w:r w:rsidRPr="001768F4">
        <w:rPr>
          <w:rStyle w:val="FootnoteReference"/>
        </w:rPr>
        <w:footnoteRef/>
      </w:r>
      <w:r w:rsidRPr="001768F4">
        <w:t xml:space="preserve"> </w:t>
      </w:r>
      <w:r w:rsidRPr="001768F4">
        <w:rPr>
          <w:i/>
        </w:rPr>
        <w:t>Id</w:t>
      </w:r>
      <w:r w:rsidRPr="001768F4">
        <w:t>.</w:t>
      </w:r>
      <w:r w:rsidRPr="001768F4" w:rsidR="001768F4">
        <w:t xml:space="preserve">  The proposed message is 7</w:t>
      </w:r>
      <w:r w:rsidR="007A5319">
        <w:t>8</w:t>
      </w:r>
      <w:r w:rsidRPr="001768F4" w:rsidR="00352B2E">
        <w:t xml:space="preserve"> characters.</w:t>
      </w:r>
    </w:p>
  </w:footnote>
  <w:footnote w:id="18">
    <w:p w:rsidR="00635A3D" w:rsidRPr="00635A3D" w14:paraId="716D3127" w14:textId="77777777">
      <w:pPr>
        <w:pStyle w:val="FootnoteText"/>
      </w:pPr>
      <w:r>
        <w:rPr>
          <w:rStyle w:val="FootnoteReference"/>
        </w:rPr>
        <w:footnoteRef/>
      </w:r>
      <w:r>
        <w:t xml:space="preserve"> </w:t>
      </w:r>
      <w:r>
        <w:rPr>
          <w:i/>
        </w:rPr>
        <w:t>Id</w:t>
      </w:r>
      <w:r>
        <w:t>.</w:t>
      </w:r>
    </w:p>
  </w:footnote>
  <w:footnote w:id="19">
    <w:p w:rsidR="00635A3D" w:rsidRPr="00635A3D" w14:paraId="0503926B" w14:textId="77777777">
      <w:pPr>
        <w:pStyle w:val="FootnoteText"/>
      </w:pPr>
      <w:r>
        <w:rPr>
          <w:rStyle w:val="FootnoteReference"/>
        </w:rPr>
        <w:footnoteRef/>
      </w:r>
      <w:r>
        <w:t xml:space="preserve"> </w:t>
      </w:r>
      <w:r>
        <w:rPr>
          <w:i/>
        </w:rPr>
        <w:t>Id</w:t>
      </w:r>
      <w:r>
        <w:t xml:space="preserve">. </w:t>
      </w:r>
    </w:p>
  </w:footnote>
  <w:footnote w:id="20">
    <w:p w:rsidR="00167D6A" w:rsidRPr="00675326" w14:paraId="7514C00D" w14:textId="77777777">
      <w:pPr>
        <w:pStyle w:val="FootnoteText"/>
      </w:pPr>
      <w:r w:rsidRPr="00675326">
        <w:rPr>
          <w:rStyle w:val="FootnoteReference"/>
        </w:rPr>
        <w:footnoteRef/>
      </w:r>
      <w:r w:rsidRPr="00675326">
        <w:t xml:space="preserve"> </w:t>
      </w:r>
      <w:r w:rsidRPr="00675326">
        <w:rPr>
          <w:i/>
        </w:rPr>
        <w:t>Id</w:t>
      </w:r>
      <w:r w:rsidRPr="00675326">
        <w:t>.</w:t>
      </w:r>
      <w:r w:rsidRPr="00675326" w:rsidR="00B62CCD">
        <w:t xml:space="preserve"> </w:t>
      </w:r>
      <w:r w:rsidRPr="00675326" w:rsidR="009441B3">
        <w:t>at 2.</w:t>
      </w:r>
      <w:r w:rsidRPr="00675326" w:rsidR="00B62CCD">
        <w:t xml:space="preserve"> </w:t>
      </w:r>
    </w:p>
  </w:footnote>
  <w:footnote w:id="21">
    <w:p w:rsidR="00635A3D" w:rsidRPr="00675326" w14:paraId="3818A0DE" w14:textId="77777777">
      <w:pPr>
        <w:pStyle w:val="FootnoteText"/>
      </w:pPr>
      <w:r w:rsidRPr="00675326">
        <w:rPr>
          <w:rStyle w:val="FootnoteReference"/>
        </w:rPr>
        <w:footnoteRef/>
      </w:r>
      <w:r w:rsidRPr="00675326">
        <w:t xml:space="preserve"> </w:t>
      </w:r>
      <w:r w:rsidRPr="00675326">
        <w:rPr>
          <w:i/>
        </w:rPr>
        <w:t>Id</w:t>
      </w:r>
      <w:r w:rsidRPr="00675326">
        <w:t>.</w:t>
      </w:r>
    </w:p>
  </w:footnote>
  <w:footnote w:id="22">
    <w:p w:rsidR="00AB47AA" w:rsidRPr="00675326" w14:paraId="23E03F17" w14:textId="77777777">
      <w:pPr>
        <w:pStyle w:val="FootnoteText"/>
      </w:pPr>
      <w:r w:rsidRPr="00675326">
        <w:rPr>
          <w:rStyle w:val="FootnoteReference"/>
        </w:rPr>
        <w:footnoteRef/>
      </w:r>
      <w:r w:rsidRPr="00675326" w:rsidR="009441B3">
        <w:rPr>
          <w:i/>
        </w:rPr>
        <w:t xml:space="preserve"> Id</w:t>
      </w:r>
      <w:r w:rsidRPr="00675326" w:rsidR="00957256">
        <w:t>.</w:t>
      </w:r>
    </w:p>
  </w:footnote>
  <w:footnote w:id="23">
    <w:p w:rsidR="003A6D90" w:rsidRPr="00675326" w14:paraId="6CE1120C" w14:textId="77777777">
      <w:pPr>
        <w:pStyle w:val="FootnoteText"/>
      </w:pPr>
      <w:r w:rsidRPr="00675326">
        <w:rPr>
          <w:rStyle w:val="FootnoteReference"/>
        </w:rPr>
        <w:footnoteRef/>
      </w:r>
      <w:r w:rsidRPr="00675326">
        <w:t xml:space="preserve"> </w:t>
      </w:r>
      <w:r w:rsidRPr="00675326" w:rsidR="00957256">
        <w:rPr>
          <w:i/>
        </w:rPr>
        <w:t>Id</w:t>
      </w:r>
      <w:r w:rsidRPr="00675326" w:rsidR="00957256">
        <w:t>.</w:t>
      </w:r>
      <w:r w:rsidRPr="00675326" w:rsidR="009441B3">
        <w:t xml:space="preserve"> </w:t>
      </w:r>
    </w:p>
  </w:footnote>
  <w:footnote w:id="24">
    <w:p w:rsidR="00840178" w:rsidRPr="00675326" w14:paraId="7348D100" w14:textId="2BAAD2C9">
      <w:pPr>
        <w:pStyle w:val="FootnoteText"/>
      </w:pPr>
      <w:r w:rsidRPr="00675326">
        <w:rPr>
          <w:rStyle w:val="FootnoteReference"/>
        </w:rPr>
        <w:footnoteRef/>
      </w:r>
      <w:r w:rsidRPr="00675326">
        <w:t xml:space="preserve"> </w:t>
      </w:r>
      <w:r w:rsidRPr="00675326">
        <w:rPr>
          <w:i/>
        </w:rPr>
        <w:t>Id</w:t>
      </w:r>
      <w:r w:rsidRPr="00675326">
        <w:t xml:space="preserve">. </w:t>
      </w:r>
    </w:p>
  </w:footnote>
  <w:footnote w:id="25">
    <w:p w:rsidR="0003681A" w:rsidRPr="00675326" w14:paraId="117E3526" w14:textId="77777777">
      <w:pPr>
        <w:pStyle w:val="FootnoteText"/>
      </w:pPr>
      <w:r w:rsidRPr="00675326">
        <w:rPr>
          <w:rStyle w:val="FootnoteReference"/>
        </w:rPr>
        <w:footnoteRef/>
      </w:r>
      <w:r w:rsidRPr="00675326">
        <w:t xml:space="preserve"> </w:t>
      </w:r>
      <w:r w:rsidRPr="00675326" w:rsidR="009441B3">
        <w:rPr>
          <w:i/>
        </w:rPr>
        <w:t>Id.</w:t>
      </w:r>
    </w:p>
  </w:footnote>
  <w:footnote w:id="26">
    <w:p w:rsidR="00167D6A" w:rsidRPr="00675326" w:rsidP="00167D6A" w14:paraId="31C99DBD"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7">
    <w:p w:rsidR="00167D6A" w:rsidRPr="00B0643B" w:rsidP="00167D6A" w14:paraId="1EB53893"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8">
    <w:p w:rsidR="004C1339" w:rsidRPr="004C1339" w14:paraId="29481BDF" w14:textId="0FD60617">
      <w:pPr>
        <w:pStyle w:val="FootnoteText"/>
      </w:pPr>
      <w:r>
        <w:rPr>
          <w:rStyle w:val="FootnoteReference"/>
        </w:rPr>
        <w:footnoteRef/>
      </w:r>
      <w:r>
        <w:t xml:space="preserve"> </w:t>
      </w:r>
      <w:r>
        <w:rPr>
          <w:i/>
        </w:rPr>
        <w:t>See</w:t>
      </w:r>
      <w:r w:rsidR="00615B43">
        <w:rPr>
          <w:i/>
        </w:rPr>
        <w:t xml:space="preserve"> </w:t>
      </w:r>
      <w:r w:rsidR="00615B43">
        <w:t>Amended ARCC Letter at 1</w:t>
      </w:r>
      <w:r>
        <w:t>.</w:t>
      </w:r>
    </w:p>
  </w:footnote>
  <w:footnote w:id="29">
    <w:p w:rsidR="00463DD4" w:rsidRPr="000E0805" w14:paraId="4E6203E4" w14:textId="77777777">
      <w:pPr>
        <w:pStyle w:val="FootnoteText"/>
      </w:pPr>
      <w:r>
        <w:rPr>
          <w:rStyle w:val="FootnoteReference"/>
        </w:rPr>
        <w:footnoteRef/>
      </w:r>
      <w:r>
        <w:t xml:space="preserve"> </w:t>
      </w:r>
      <w:r w:rsidR="000E0805">
        <w:rPr>
          <w:i/>
        </w:rPr>
        <w:t>May 1 WEA Deadline PN</w:t>
      </w:r>
      <w:r w:rsidR="000E0805">
        <w:t>.</w:t>
      </w:r>
    </w:p>
  </w:footnote>
  <w:footnote w:id="30">
    <w:p w:rsidR="00167D6A" w:rsidP="00167D6A" w14:paraId="213C1F6A"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31">
    <w:p w:rsidR="00167D6A" w:rsidRPr="00B0643B" w:rsidP="00167D6A" w14:paraId="1A8DFA54"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2">
    <w:p w:rsidR="00167D6A" w:rsidRPr="00B0643B" w:rsidP="00167D6A" w14:paraId="53C933AB"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375C2A" w14:textId="502F0F0D">
    <w:pPr>
      <w:pStyle w:val="Header"/>
      <w:rPr>
        <w:b w:val="0"/>
      </w:rPr>
    </w:pPr>
    <w:r>
      <w:tab/>
      <w:t>Federal Communications Commission</w:t>
    </w:r>
    <w:r>
      <w:tab/>
    </w:r>
    <w:r w:rsidR="001938C5">
      <w:t>DA 19-</w:t>
    </w:r>
    <w:r w:rsidRPr="000F666A" w:rsidR="000F666A">
      <w:t>444</w:t>
    </w:r>
  </w:p>
  <w:p w:rsidR="00D25FB5" w14:paraId="04D782D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AC416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C88F8F" w14:textId="2FCF885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938C5">
      <w:rPr>
        <w:spacing w:val="-2"/>
      </w:rPr>
      <w:t>DA 19</w:t>
    </w:r>
    <w:r w:rsidR="00B434A6">
      <w:rPr>
        <w:spacing w:val="-2"/>
      </w:rPr>
      <w:t>-</w:t>
    </w:r>
    <w:r w:rsidRPr="000F666A" w:rsidR="000F666A">
      <w:rPr>
        <w:spacing w:val="-2"/>
      </w:rPr>
      <w:t>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7">
    <w:nsid w:val="7E5016A0"/>
    <w:multiLevelType w:val="hybridMultilevel"/>
    <w:tmpl w:val="AD9EF7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E9"/>
    <w:rsid w:val="000016DF"/>
    <w:rsid w:val="0001042A"/>
    <w:rsid w:val="00036039"/>
    <w:rsid w:val="0003681A"/>
    <w:rsid w:val="00037F90"/>
    <w:rsid w:val="00046FA8"/>
    <w:rsid w:val="00055878"/>
    <w:rsid w:val="000734E5"/>
    <w:rsid w:val="000875BF"/>
    <w:rsid w:val="00096D8C"/>
    <w:rsid w:val="000A7214"/>
    <w:rsid w:val="000C0B65"/>
    <w:rsid w:val="000D1400"/>
    <w:rsid w:val="000D28AD"/>
    <w:rsid w:val="000E05FE"/>
    <w:rsid w:val="000E0805"/>
    <w:rsid w:val="000E3D42"/>
    <w:rsid w:val="000E4037"/>
    <w:rsid w:val="000F2FAA"/>
    <w:rsid w:val="000F666A"/>
    <w:rsid w:val="00101A26"/>
    <w:rsid w:val="00122BD5"/>
    <w:rsid w:val="00133F79"/>
    <w:rsid w:val="001366E8"/>
    <w:rsid w:val="00140C0D"/>
    <w:rsid w:val="001468BD"/>
    <w:rsid w:val="00167D6A"/>
    <w:rsid w:val="001768F4"/>
    <w:rsid w:val="001938C5"/>
    <w:rsid w:val="00194A66"/>
    <w:rsid w:val="001A3569"/>
    <w:rsid w:val="001B6A64"/>
    <w:rsid w:val="001D6BCF"/>
    <w:rsid w:val="001E01CA"/>
    <w:rsid w:val="001F11D2"/>
    <w:rsid w:val="0020674B"/>
    <w:rsid w:val="0022215E"/>
    <w:rsid w:val="002318F8"/>
    <w:rsid w:val="0025296F"/>
    <w:rsid w:val="00275CF5"/>
    <w:rsid w:val="0028301F"/>
    <w:rsid w:val="00285017"/>
    <w:rsid w:val="002A2D2E"/>
    <w:rsid w:val="002C00E8"/>
    <w:rsid w:val="00301FB2"/>
    <w:rsid w:val="00330A7F"/>
    <w:rsid w:val="00343749"/>
    <w:rsid w:val="0034448C"/>
    <w:rsid w:val="0034497D"/>
    <w:rsid w:val="00352B2E"/>
    <w:rsid w:val="00355AB9"/>
    <w:rsid w:val="0036075B"/>
    <w:rsid w:val="003660ED"/>
    <w:rsid w:val="003A25C5"/>
    <w:rsid w:val="003A6D90"/>
    <w:rsid w:val="003B0550"/>
    <w:rsid w:val="003B694F"/>
    <w:rsid w:val="003C14DA"/>
    <w:rsid w:val="003F171C"/>
    <w:rsid w:val="003F266E"/>
    <w:rsid w:val="00412FC5"/>
    <w:rsid w:val="00421F27"/>
    <w:rsid w:val="00422276"/>
    <w:rsid w:val="004242F1"/>
    <w:rsid w:val="00436ED9"/>
    <w:rsid w:val="00445A00"/>
    <w:rsid w:val="00445ED2"/>
    <w:rsid w:val="00451B0F"/>
    <w:rsid w:val="00463DD4"/>
    <w:rsid w:val="00485C7C"/>
    <w:rsid w:val="004911DF"/>
    <w:rsid w:val="00494C59"/>
    <w:rsid w:val="004C1339"/>
    <w:rsid w:val="004C16DF"/>
    <w:rsid w:val="004C2EE3"/>
    <w:rsid w:val="004D3724"/>
    <w:rsid w:val="004E4A22"/>
    <w:rsid w:val="00511968"/>
    <w:rsid w:val="00525DEC"/>
    <w:rsid w:val="00530C5A"/>
    <w:rsid w:val="00531401"/>
    <w:rsid w:val="0055614C"/>
    <w:rsid w:val="00566D06"/>
    <w:rsid w:val="00573815"/>
    <w:rsid w:val="00586876"/>
    <w:rsid w:val="00587833"/>
    <w:rsid w:val="005979F7"/>
    <w:rsid w:val="005A36E9"/>
    <w:rsid w:val="005A54F1"/>
    <w:rsid w:val="005E14C2"/>
    <w:rsid w:val="005E15BB"/>
    <w:rsid w:val="00607BA5"/>
    <w:rsid w:val="0061180A"/>
    <w:rsid w:val="00615B43"/>
    <w:rsid w:val="00626EB6"/>
    <w:rsid w:val="00635A3D"/>
    <w:rsid w:val="0063768D"/>
    <w:rsid w:val="0064222E"/>
    <w:rsid w:val="00655D03"/>
    <w:rsid w:val="00675326"/>
    <w:rsid w:val="00677C3E"/>
    <w:rsid w:val="00681200"/>
    <w:rsid w:val="00683388"/>
    <w:rsid w:val="00683F84"/>
    <w:rsid w:val="00690587"/>
    <w:rsid w:val="00695CC7"/>
    <w:rsid w:val="006A6A81"/>
    <w:rsid w:val="006A6BD7"/>
    <w:rsid w:val="006A6C5E"/>
    <w:rsid w:val="006B1B42"/>
    <w:rsid w:val="006F3B62"/>
    <w:rsid w:val="006F7393"/>
    <w:rsid w:val="0070224F"/>
    <w:rsid w:val="00703662"/>
    <w:rsid w:val="007039A3"/>
    <w:rsid w:val="007115F7"/>
    <w:rsid w:val="00785689"/>
    <w:rsid w:val="007857E9"/>
    <w:rsid w:val="0079754B"/>
    <w:rsid w:val="007A1E6D"/>
    <w:rsid w:val="007A5319"/>
    <w:rsid w:val="007B0EB2"/>
    <w:rsid w:val="00810B6F"/>
    <w:rsid w:val="00822CE0"/>
    <w:rsid w:val="00830298"/>
    <w:rsid w:val="00840178"/>
    <w:rsid w:val="00841AB1"/>
    <w:rsid w:val="00863C92"/>
    <w:rsid w:val="0088519C"/>
    <w:rsid w:val="008B6008"/>
    <w:rsid w:val="008C68F1"/>
    <w:rsid w:val="008D582A"/>
    <w:rsid w:val="00921803"/>
    <w:rsid w:val="00926503"/>
    <w:rsid w:val="0094174B"/>
    <w:rsid w:val="00942C51"/>
    <w:rsid w:val="009441B3"/>
    <w:rsid w:val="00957256"/>
    <w:rsid w:val="009726D8"/>
    <w:rsid w:val="0097301E"/>
    <w:rsid w:val="009D7308"/>
    <w:rsid w:val="009E0282"/>
    <w:rsid w:val="009E206F"/>
    <w:rsid w:val="009E279C"/>
    <w:rsid w:val="009F4180"/>
    <w:rsid w:val="009F76DB"/>
    <w:rsid w:val="00A105F1"/>
    <w:rsid w:val="00A2134A"/>
    <w:rsid w:val="00A32C3B"/>
    <w:rsid w:val="00A45F4F"/>
    <w:rsid w:val="00A600A9"/>
    <w:rsid w:val="00A922A6"/>
    <w:rsid w:val="00A92AAF"/>
    <w:rsid w:val="00AA55B7"/>
    <w:rsid w:val="00AA5B9E"/>
    <w:rsid w:val="00AB2407"/>
    <w:rsid w:val="00AB47AA"/>
    <w:rsid w:val="00AB53DF"/>
    <w:rsid w:val="00AD38E1"/>
    <w:rsid w:val="00B0643B"/>
    <w:rsid w:val="00B07E5C"/>
    <w:rsid w:val="00B434A6"/>
    <w:rsid w:val="00B62CCD"/>
    <w:rsid w:val="00B811F7"/>
    <w:rsid w:val="00B83B32"/>
    <w:rsid w:val="00BA185B"/>
    <w:rsid w:val="00BA336F"/>
    <w:rsid w:val="00BA5DC6"/>
    <w:rsid w:val="00BA6196"/>
    <w:rsid w:val="00BB138A"/>
    <w:rsid w:val="00BC6D8C"/>
    <w:rsid w:val="00BE5659"/>
    <w:rsid w:val="00C04B3C"/>
    <w:rsid w:val="00C07975"/>
    <w:rsid w:val="00C34006"/>
    <w:rsid w:val="00C36B4C"/>
    <w:rsid w:val="00C426B1"/>
    <w:rsid w:val="00C513B8"/>
    <w:rsid w:val="00C650C6"/>
    <w:rsid w:val="00C66160"/>
    <w:rsid w:val="00C721AC"/>
    <w:rsid w:val="00C72B60"/>
    <w:rsid w:val="00C7392E"/>
    <w:rsid w:val="00C73B8A"/>
    <w:rsid w:val="00C85932"/>
    <w:rsid w:val="00C90D6A"/>
    <w:rsid w:val="00CA247E"/>
    <w:rsid w:val="00CA6D21"/>
    <w:rsid w:val="00CB51E4"/>
    <w:rsid w:val="00CC0549"/>
    <w:rsid w:val="00CC72B6"/>
    <w:rsid w:val="00D0218D"/>
    <w:rsid w:val="00D06B22"/>
    <w:rsid w:val="00D22ACF"/>
    <w:rsid w:val="00D25FB5"/>
    <w:rsid w:val="00D35082"/>
    <w:rsid w:val="00D44223"/>
    <w:rsid w:val="00D5013E"/>
    <w:rsid w:val="00D83C8F"/>
    <w:rsid w:val="00DA2529"/>
    <w:rsid w:val="00DB130A"/>
    <w:rsid w:val="00DB2EBB"/>
    <w:rsid w:val="00DC10A1"/>
    <w:rsid w:val="00DC494D"/>
    <w:rsid w:val="00DC655F"/>
    <w:rsid w:val="00DC6942"/>
    <w:rsid w:val="00DD0B59"/>
    <w:rsid w:val="00DD7EBD"/>
    <w:rsid w:val="00DF62B6"/>
    <w:rsid w:val="00E0612E"/>
    <w:rsid w:val="00E07225"/>
    <w:rsid w:val="00E265BE"/>
    <w:rsid w:val="00E5409F"/>
    <w:rsid w:val="00E545CC"/>
    <w:rsid w:val="00E9333C"/>
    <w:rsid w:val="00EE6488"/>
    <w:rsid w:val="00EF145B"/>
    <w:rsid w:val="00EF666B"/>
    <w:rsid w:val="00F016F3"/>
    <w:rsid w:val="00F021FA"/>
    <w:rsid w:val="00F06177"/>
    <w:rsid w:val="00F13287"/>
    <w:rsid w:val="00F2688C"/>
    <w:rsid w:val="00F37D05"/>
    <w:rsid w:val="00F62E97"/>
    <w:rsid w:val="00F64209"/>
    <w:rsid w:val="00F82B6F"/>
    <w:rsid w:val="00F8760B"/>
    <w:rsid w:val="00F93BF5"/>
    <w:rsid w:val="00FC03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7DBDAB-EB75-4BF9-8E6F-5675B1B3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7857E9"/>
  </w:style>
  <w:style w:type="character" w:customStyle="1" w:styleId="ParaNumChar">
    <w:name w:val="ParaNum Char"/>
    <w:link w:val="ParaNum"/>
    <w:locked/>
    <w:rsid w:val="00167D6A"/>
    <w:rPr>
      <w:snapToGrid w:val="0"/>
      <w:kern w:val="28"/>
      <w:sz w:val="22"/>
    </w:rPr>
  </w:style>
  <w:style w:type="paragraph" w:styleId="BodyText">
    <w:name w:val="Body Text"/>
    <w:basedOn w:val="Normal"/>
    <w:link w:val="BodyTextChar"/>
    <w:uiPriority w:val="1"/>
    <w:qFormat/>
    <w:rsid w:val="00167D6A"/>
    <w:pPr>
      <w:ind w:left="120"/>
    </w:pPr>
    <w:rPr>
      <w:snapToGrid/>
      <w:kern w:val="0"/>
      <w:szCs w:val="22"/>
    </w:rPr>
  </w:style>
  <w:style w:type="character" w:customStyle="1" w:styleId="BodyTextChar">
    <w:name w:val="Body Text Char"/>
    <w:basedOn w:val="DefaultParagraphFont"/>
    <w:link w:val="BodyText"/>
    <w:uiPriority w:val="1"/>
    <w:rsid w:val="00167D6A"/>
    <w:rPr>
      <w:sz w:val="22"/>
      <w:szCs w:val="22"/>
    </w:rPr>
  </w:style>
  <w:style w:type="paragraph" w:styleId="ListParagraph">
    <w:name w:val="List Paragraph"/>
    <w:basedOn w:val="Normal"/>
    <w:uiPriority w:val="34"/>
    <w:qFormat/>
    <w:rsid w:val="00167D6A"/>
    <w:pPr>
      <w:ind w:left="720"/>
      <w:contextualSpacing/>
    </w:pPr>
  </w:style>
  <w:style w:type="character" w:styleId="CommentReference">
    <w:name w:val="annotation reference"/>
    <w:basedOn w:val="DefaultParagraphFont"/>
    <w:rsid w:val="00101A26"/>
    <w:rPr>
      <w:sz w:val="16"/>
      <w:szCs w:val="16"/>
    </w:rPr>
  </w:style>
  <w:style w:type="paragraph" w:styleId="CommentText">
    <w:name w:val="annotation text"/>
    <w:basedOn w:val="Normal"/>
    <w:link w:val="CommentTextChar"/>
    <w:rsid w:val="00101A26"/>
    <w:rPr>
      <w:sz w:val="20"/>
    </w:rPr>
  </w:style>
  <w:style w:type="character" w:customStyle="1" w:styleId="CommentTextChar">
    <w:name w:val="Comment Text Char"/>
    <w:basedOn w:val="DefaultParagraphFont"/>
    <w:link w:val="CommentText"/>
    <w:rsid w:val="00101A26"/>
    <w:rPr>
      <w:snapToGrid w:val="0"/>
      <w:kern w:val="28"/>
    </w:rPr>
  </w:style>
  <w:style w:type="paragraph" w:styleId="CommentSubject">
    <w:name w:val="annotation subject"/>
    <w:basedOn w:val="CommentText"/>
    <w:next w:val="CommentText"/>
    <w:link w:val="CommentSubjectChar"/>
    <w:rsid w:val="00101A26"/>
    <w:rPr>
      <w:b/>
      <w:bCs/>
    </w:rPr>
  </w:style>
  <w:style w:type="character" w:customStyle="1" w:styleId="CommentSubjectChar">
    <w:name w:val="Comment Subject Char"/>
    <w:basedOn w:val="CommentTextChar"/>
    <w:link w:val="CommentSubject"/>
    <w:rsid w:val="00101A26"/>
    <w:rPr>
      <w:b/>
      <w:bCs/>
      <w:snapToGrid w:val="0"/>
      <w:kern w:val="28"/>
    </w:rPr>
  </w:style>
  <w:style w:type="paragraph" w:styleId="BalloonText">
    <w:name w:val="Balloon Text"/>
    <w:basedOn w:val="Normal"/>
    <w:link w:val="BalloonTextChar"/>
    <w:rsid w:val="00101A26"/>
    <w:rPr>
      <w:rFonts w:ascii="Segoe UI" w:hAnsi="Segoe UI" w:cs="Segoe UI"/>
      <w:sz w:val="18"/>
      <w:szCs w:val="18"/>
    </w:rPr>
  </w:style>
  <w:style w:type="character" w:customStyle="1" w:styleId="BalloonTextChar">
    <w:name w:val="Balloon Text Char"/>
    <w:basedOn w:val="DefaultParagraphFont"/>
    <w:link w:val="BalloonText"/>
    <w:rsid w:val="00101A2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