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80943" w:rsidRPr="0018615A" w:rsidP="00280943">
      <w:pPr>
        <w:tabs>
          <w:tab w:val="center" w:pos="4680"/>
          <w:tab w:val="right" w:pos="9360"/>
        </w:tabs>
        <w:jc w:val="right"/>
        <w:rPr>
          <w:b/>
          <w:szCs w:val="22"/>
        </w:rPr>
      </w:pPr>
      <w:r w:rsidRPr="0018615A">
        <w:rPr>
          <w:b/>
          <w:szCs w:val="22"/>
        </w:rPr>
        <w:t>DA 1</w:t>
      </w:r>
      <w:r w:rsidRPr="0018615A" w:rsidR="00863457">
        <w:rPr>
          <w:b/>
          <w:szCs w:val="22"/>
        </w:rPr>
        <w:t>9</w:t>
      </w:r>
      <w:r w:rsidRPr="0018615A">
        <w:rPr>
          <w:b/>
          <w:szCs w:val="22"/>
        </w:rPr>
        <w:t>-</w:t>
      </w:r>
      <w:r w:rsidRPr="0018615A" w:rsidR="0018615A">
        <w:rPr>
          <w:b/>
          <w:szCs w:val="22"/>
        </w:rPr>
        <w:t>446</w:t>
      </w:r>
    </w:p>
    <w:p w:rsidR="00280943" w:rsidRPr="00CB3DFA" w:rsidP="00280943">
      <w:pPr>
        <w:spacing w:before="60"/>
        <w:jc w:val="right"/>
        <w:rPr>
          <w:b/>
          <w:szCs w:val="22"/>
        </w:rPr>
      </w:pPr>
      <w:r>
        <w:rPr>
          <w:b/>
          <w:szCs w:val="22"/>
        </w:rPr>
        <w:t>May 21</w:t>
      </w:r>
      <w:r w:rsidR="00BC02F5">
        <w:rPr>
          <w:b/>
          <w:szCs w:val="22"/>
        </w:rPr>
        <w:t>,</w:t>
      </w:r>
      <w:r w:rsidRPr="00100B30">
        <w:rPr>
          <w:b/>
          <w:szCs w:val="22"/>
        </w:rPr>
        <w:t xml:space="preserve"> 201</w:t>
      </w:r>
      <w:r w:rsidR="00863457">
        <w:rPr>
          <w:b/>
          <w:szCs w:val="22"/>
        </w:rPr>
        <w:t>9</w:t>
      </w:r>
    </w:p>
    <w:p w:rsidR="00280943" w:rsidRPr="00644B15" w:rsidP="00280943">
      <w:pPr>
        <w:jc w:val="right"/>
        <w:rPr>
          <w:szCs w:val="22"/>
        </w:rPr>
      </w:pPr>
    </w:p>
    <w:p w:rsidR="00280943" w:rsidRPr="00644B15" w:rsidP="00280943">
      <w:pPr>
        <w:spacing w:after="240"/>
        <w:jc w:val="center"/>
        <w:rPr>
          <w:b/>
          <w:szCs w:val="22"/>
        </w:rPr>
      </w:pPr>
      <w:r w:rsidRPr="00644B15">
        <w:rPr>
          <w:b/>
          <w:szCs w:val="22"/>
        </w:rPr>
        <w:t xml:space="preserve"> </w:t>
      </w:r>
      <w:bookmarkStart w:id="0" w:name="_Hlk508021056"/>
      <w:r w:rsidR="004B5FC2">
        <w:rPr>
          <w:b/>
          <w:szCs w:val="22"/>
        </w:rPr>
        <w:t>CUMULUS</w:t>
      </w:r>
      <w:r w:rsidR="00C82D5B">
        <w:rPr>
          <w:b/>
          <w:szCs w:val="22"/>
        </w:rPr>
        <w:t xml:space="preserve"> MEDIA </w:t>
      </w:r>
      <w:r w:rsidR="004B5FC2">
        <w:rPr>
          <w:b/>
          <w:szCs w:val="22"/>
        </w:rPr>
        <w:t>INC.</w:t>
      </w:r>
      <w:r w:rsidR="00662966">
        <w:rPr>
          <w:b/>
          <w:szCs w:val="22"/>
        </w:rPr>
        <w:t xml:space="preserve"> SEEK</w:t>
      </w:r>
      <w:r w:rsidR="00C82D5B">
        <w:rPr>
          <w:b/>
          <w:szCs w:val="22"/>
        </w:rPr>
        <w:t>S</w:t>
      </w:r>
      <w:r w:rsidR="00662966">
        <w:rPr>
          <w:b/>
          <w:szCs w:val="22"/>
        </w:rPr>
        <w:t xml:space="preserve"> </w:t>
      </w:r>
      <w:r w:rsidRPr="00644B15">
        <w:rPr>
          <w:b/>
          <w:szCs w:val="22"/>
        </w:rPr>
        <w:t xml:space="preserve">FOREIGN OWNERSHIP </w:t>
      </w:r>
      <w:r>
        <w:rPr>
          <w:b/>
          <w:szCs w:val="22"/>
        </w:rPr>
        <w:t>RULING PURSUANT TO SECTION 310(b</w:t>
      </w:r>
      <w:r w:rsidRPr="00644B15">
        <w:rPr>
          <w:b/>
          <w:szCs w:val="22"/>
        </w:rPr>
        <w:t xml:space="preserve">)(4) OF THE COMMUNICATIONS ACT OF 1934, AS AMENDED </w:t>
      </w:r>
    </w:p>
    <w:bookmarkEnd w:id="0"/>
    <w:p w:rsidR="00280943" w:rsidRPr="00644B15" w:rsidP="00280943">
      <w:pPr>
        <w:spacing w:line="480" w:lineRule="auto"/>
        <w:jc w:val="center"/>
        <w:rPr>
          <w:b/>
          <w:szCs w:val="22"/>
        </w:rPr>
      </w:pPr>
      <w:r w:rsidRPr="00644B15">
        <w:rPr>
          <w:b/>
          <w:szCs w:val="22"/>
        </w:rPr>
        <w:t xml:space="preserve">PLEADING CYCLE ESTABLISHED </w:t>
      </w:r>
    </w:p>
    <w:p w:rsidR="00280943" w:rsidRPr="00644B15" w:rsidP="00280943">
      <w:pPr>
        <w:spacing w:line="480" w:lineRule="auto"/>
        <w:jc w:val="center"/>
        <w:rPr>
          <w:b/>
          <w:szCs w:val="22"/>
        </w:rPr>
      </w:pPr>
      <w:r>
        <w:rPr>
          <w:b/>
          <w:szCs w:val="22"/>
        </w:rPr>
        <w:t>MB</w:t>
      </w:r>
      <w:r w:rsidRPr="00644B15">
        <w:rPr>
          <w:b/>
          <w:szCs w:val="22"/>
        </w:rPr>
        <w:t xml:space="preserve"> Docket No. </w:t>
      </w:r>
      <w:r w:rsidRPr="0018615A" w:rsidR="0018615A">
        <w:rPr>
          <w:b/>
          <w:szCs w:val="22"/>
        </w:rPr>
        <w:t>19-143</w:t>
      </w:r>
    </w:p>
    <w:p w:rsidR="00280943" w:rsidRPr="00644B15" w:rsidP="00280943">
      <w:pPr>
        <w:jc w:val="center"/>
        <w:rPr>
          <w:b/>
          <w:szCs w:val="22"/>
        </w:rPr>
      </w:pPr>
    </w:p>
    <w:p w:rsidR="00280943" w:rsidRPr="00644B15" w:rsidP="00280943">
      <w:pPr>
        <w:rPr>
          <w:szCs w:val="22"/>
        </w:rPr>
      </w:pPr>
      <w:r w:rsidRPr="00644B15">
        <w:rPr>
          <w:b/>
          <w:szCs w:val="22"/>
        </w:rPr>
        <w:t>Comments Due:</w:t>
      </w:r>
      <w:r w:rsidR="007A2266">
        <w:rPr>
          <w:b/>
          <w:szCs w:val="22"/>
        </w:rPr>
        <w:t xml:space="preserve"> June 20</w:t>
      </w:r>
      <w:r w:rsidR="00C82166">
        <w:rPr>
          <w:b/>
          <w:szCs w:val="22"/>
        </w:rPr>
        <w:t xml:space="preserve">, </w:t>
      </w:r>
      <w:r w:rsidR="00C332D2">
        <w:rPr>
          <w:b/>
          <w:szCs w:val="22"/>
        </w:rPr>
        <w:t>201</w:t>
      </w:r>
      <w:r w:rsidR="00863457">
        <w:rPr>
          <w:b/>
          <w:szCs w:val="22"/>
        </w:rPr>
        <w:t>9</w:t>
      </w:r>
    </w:p>
    <w:p w:rsidR="00280943" w:rsidRPr="00644B15" w:rsidP="00280943">
      <w:pPr>
        <w:rPr>
          <w:b/>
          <w:szCs w:val="22"/>
        </w:rPr>
      </w:pPr>
      <w:r w:rsidRPr="00644B15">
        <w:rPr>
          <w:b/>
          <w:szCs w:val="22"/>
        </w:rPr>
        <w:t>Replies Due</w:t>
      </w:r>
      <w:r w:rsidRPr="007A2266">
        <w:rPr>
          <w:b/>
          <w:szCs w:val="22"/>
        </w:rPr>
        <w:t>:</w:t>
      </w:r>
      <w:r w:rsidRPr="007A2266">
        <w:rPr>
          <w:szCs w:val="22"/>
        </w:rPr>
        <w:t xml:space="preserve"> </w:t>
      </w:r>
      <w:r w:rsidRPr="007A2266" w:rsidR="007A2266">
        <w:rPr>
          <w:b/>
          <w:szCs w:val="22"/>
        </w:rPr>
        <w:t>July 8</w:t>
      </w:r>
      <w:r w:rsidRPr="007A2266" w:rsidR="00C82166">
        <w:rPr>
          <w:b/>
          <w:szCs w:val="22"/>
        </w:rPr>
        <w:t>,</w:t>
      </w:r>
      <w:r w:rsidRPr="007A2266" w:rsidR="00C332D2">
        <w:rPr>
          <w:b/>
          <w:szCs w:val="22"/>
        </w:rPr>
        <w:t xml:space="preserve"> 201</w:t>
      </w:r>
      <w:r w:rsidRPr="007A2266" w:rsidR="00863457">
        <w:rPr>
          <w:b/>
          <w:szCs w:val="22"/>
        </w:rPr>
        <w:t>9</w:t>
      </w:r>
    </w:p>
    <w:p w:rsidR="00280943" w:rsidRPr="00644B15" w:rsidP="00280943">
      <w:pPr>
        <w:rPr>
          <w:b/>
          <w:szCs w:val="22"/>
        </w:rPr>
      </w:pPr>
    </w:p>
    <w:p w:rsidR="00280943" w:rsidRPr="00644B15" w:rsidP="00280943">
      <w:pPr>
        <w:rPr>
          <w:szCs w:val="22"/>
        </w:rPr>
      </w:pPr>
      <w:r w:rsidRPr="00644B15">
        <w:rPr>
          <w:szCs w:val="22"/>
        </w:rPr>
        <w:tab/>
      </w:r>
    </w:p>
    <w:p w:rsidR="00280943" w:rsidRPr="00644B15" w:rsidP="00280943">
      <w:pPr>
        <w:rPr>
          <w:szCs w:val="22"/>
          <w:lang w:val="fr-FR"/>
        </w:rPr>
      </w:pPr>
      <w:r w:rsidRPr="00644B15">
        <w:rPr>
          <w:b/>
          <w:szCs w:val="22"/>
          <w:lang w:val="fr-FR"/>
        </w:rPr>
        <w:t>I.</w:t>
      </w:r>
      <w:r w:rsidRPr="00644B15">
        <w:rPr>
          <w:b/>
          <w:szCs w:val="22"/>
          <w:lang w:val="fr-FR"/>
        </w:rPr>
        <w:tab/>
        <w:t>INTRODUCTION</w:t>
      </w:r>
      <w:r w:rsidRPr="00644B15">
        <w:rPr>
          <w:szCs w:val="22"/>
          <w:lang w:val="fr-FR"/>
        </w:rPr>
        <w:tab/>
      </w:r>
    </w:p>
    <w:p w:rsidR="00280943" w:rsidRPr="00644B15" w:rsidP="00280943">
      <w:pPr>
        <w:rPr>
          <w:szCs w:val="22"/>
          <w:lang w:val="fr-FR"/>
        </w:rPr>
      </w:pPr>
    </w:p>
    <w:p w:rsidR="00AA7238" w:rsidP="00AA7238">
      <w:pPr>
        <w:ind w:firstLine="720"/>
        <w:rPr>
          <w:szCs w:val="22"/>
        </w:rPr>
      </w:pPr>
      <w:r>
        <w:rPr>
          <w:szCs w:val="22"/>
        </w:rPr>
        <w:t>Cumulus Media Inc. (</w:t>
      </w:r>
      <w:r w:rsidR="0065773F">
        <w:rPr>
          <w:szCs w:val="22"/>
        </w:rPr>
        <w:t xml:space="preserve">Cumulus or </w:t>
      </w:r>
      <w:r w:rsidR="001E1CAA">
        <w:rPr>
          <w:szCs w:val="22"/>
        </w:rPr>
        <w:t xml:space="preserve">Petitioner) </w:t>
      </w:r>
      <w:r w:rsidRPr="00B039CF" w:rsidR="00280943">
        <w:rPr>
          <w:szCs w:val="22"/>
        </w:rPr>
        <w:t>ha</w:t>
      </w:r>
      <w:r w:rsidR="00C82D5B">
        <w:rPr>
          <w:szCs w:val="22"/>
        </w:rPr>
        <w:t>s</w:t>
      </w:r>
      <w:r w:rsidRPr="00B039CF" w:rsidR="00280943">
        <w:rPr>
          <w:szCs w:val="22"/>
        </w:rPr>
        <w:t xml:space="preserve"> filed a petition for declaratory ruling (Petition) with the Commission requesting that the Commission find, pursuant to Section 310(b)(4) of the Communications Act of 1934, as amended</w:t>
      </w:r>
      <w:r w:rsidR="00F118C6">
        <w:rPr>
          <w:szCs w:val="22"/>
        </w:rPr>
        <w:t>,</w:t>
      </w:r>
      <w:r>
        <w:rPr>
          <w:rStyle w:val="FootnoteReference"/>
          <w:szCs w:val="22"/>
        </w:rPr>
        <w:footnoteReference w:id="3"/>
      </w:r>
      <w:r w:rsidR="00E75BAA">
        <w:rPr>
          <w:szCs w:val="22"/>
        </w:rPr>
        <w:t xml:space="preserve"> and Section 1.5000(a)(1) of the </w:t>
      </w:r>
      <w:r w:rsidR="00F118C6">
        <w:rPr>
          <w:szCs w:val="22"/>
        </w:rPr>
        <w:t>Commission</w:t>
      </w:r>
      <w:r w:rsidR="004C51A3">
        <w:rPr>
          <w:szCs w:val="22"/>
        </w:rPr>
        <w:t>’s</w:t>
      </w:r>
      <w:r w:rsidR="00E75BAA">
        <w:rPr>
          <w:szCs w:val="22"/>
        </w:rPr>
        <w:t xml:space="preserve"> </w:t>
      </w:r>
      <w:r w:rsidR="00046544">
        <w:rPr>
          <w:szCs w:val="22"/>
        </w:rPr>
        <w:t>r</w:t>
      </w:r>
      <w:r w:rsidR="00E75BAA">
        <w:rPr>
          <w:szCs w:val="22"/>
        </w:rPr>
        <w:t>ules,</w:t>
      </w:r>
      <w:r>
        <w:rPr>
          <w:rStyle w:val="FootnoteReference"/>
          <w:szCs w:val="22"/>
        </w:rPr>
        <w:footnoteReference w:id="4"/>
      </w:r>
      <w:r w:rsidR="00E75BAA">
        <w:rPr>
          <w:szCs w:val="22"/>
        </w:rPr>
        <w:t xml:space="preserve"> </w:t>
      </w:r>
      <w:r w:rsidRPr="00E75BAA" w:rsidR="00280943">
        <w:rPr>
          <w:szCs w:val="22"/>
        </w:rPr>
        <w:t>that</w:t>
      </w:r>
      <w:r w:rsidRPr="00B039CF" w:rsidR="00280943">
        <w:rPr>
          <w:szCs w:val="22"/>
        </w:rPr>
        <w:t xml:space="preserve"> it would serve the public interest to permit </w:t>
      </w:r>
      <w:r w:rsidR="00330A28">
        <w:rPr>
          <w:szCs w:val="22"/>
        </w:rPr>
        <w:t xml:space="preserve">up to a 100 percent </w:t>
      </w:r>
      <w:r w:rsidR="009D3528">
        <w:rPr>
          <w:szCs w:val="22"/>
        </w:rPr>
        <w:t xml:space="preserve">aggregate foreign investment (voting and equity) in </w:t>
      </w:r>
      <w:r w:rsidR="0048152D">
        <w:rPr>
          <w:szCs w:val="22"/>
        </w:rPr>
        <w:t>Cumulus Media Inc.</w:t>
      </w:r>
      <w:r w:rsidR="00F773C3">
        <w:rPr>
          <w:szCs w:val="22"/>
        </w:rPr>
        <w:t xml:space="preserve">, a </w:t>
      </w:r>
      <w:r w:rsidR="00AB4FEF">
        <w:rPr>
          <w:szCs w:val="22"/>
        </w:rPr>
        <w:t>Delaware</w:t>
      </w:r>
      <w:r w:rsidR="00F773C3">
        <w:rPr>
          <w:szCs w:val="22"/>
        </w:rPr>
        <w:t xml:space="preserve"> corporation</w:t>
      </w:r>
      <w:r w:rsidR="00AB4FEF">
        <w:rPr>
          <w:szCs w:val="22"/>
        </w:rPr>
        <w:t>.</w:t>
      </w:r>
      <w:r w:rsidR="00F30658">
        <w:rPr>
          <w:szCs w:val="22"/>
        </w:rPr>
        <w:t xml:space="preserve"> </w:t>
      </w:r>
      <w:r>
        <w:rPr>
          <w:szCs w:val="22"/>
        </w:rPr>
        <w:t xml:space="preserve"> Cumulus filed t</w:t>
      </w:r>
      <w:r w:rsidRPr="00B039CF" w:rsidR="00280943">
        <w:rPr>
          <w:szCs w:val="22"/>
        </w:rPr>
        <w:t xml:space="preserve">he Petition </w:t>
      </w:r>
      <w:r>
        <w:rPr>
          <w:szCs w:val="22"/>
        </w:rPr>
        <w:t xml:space="preserve">on </w:t>
      </w:r>
      <w:r w:rsidR="0048152D">
        <w:rPr>
          <w:szCs w:val="22"/>
        </w:rPr>
        <w:t xml:space="preserve">behalf of itself </w:t>
      </w:r>
      <w:r w:rsidR="00E22A5B">
        <w:rPr>
          <w:szCs w:val="22"/>
        </w:rPr>
        <w:t xml:space="preserve">and each of its </w:t>
      </w:r>
      <w:r>
        <w:rPr>
          <w:szCs w:val="22"/>
        </w:rPr>
        <w:t xml:space="preserve">direct and indirect </w:t>
      </w:r>
      <w:r w:rsidR="00E22A5B">
        <w:rPr>
          <w:szCs w:val="22"/>
        </w:rPr>
        <w:t>subsidi</w:t>
      </w:r>
      <w:r w:rsidR="002D32E3">
        <w:rPr>
          <w:szCs w:val="22"/>
        </w:rPr>
        <w:t>aries which hold Commission broadcast licenses.</w:t>
      </w:r>
      <w:r>
        <w:rPr>
          <w:rStyle w:val="FootnoteReference"/>
          <w:szCs w:val="22"/>
        </w:rPr>
        <w:footnoteReference w:id="5"/>
      </w:r>
      <w:r w:rsidR="00C82D5B">
        <w:rPr>
          <w:szCs w:val="22"/>
        </w:rPr>
        <w:t xml:space="preserve">  </w:t>
      </w:r>
    </w:p>
    <w:p w:rsidR="00AB3BB8" w:rsidP="00AA7238">
      <w:pPr>
        <w:ind w:firstLine="720"/>
        <w:rPr>
          <w:szCs w:val="22"/>
        </w:rPr>
      </w:pPr>
    </w:p>
    <w:p w:rsidR="00015A16" w:rsidP="00AA7238">
      <w:pPr>
        <w:ind w:firstLine="720"/>
        <w:rPr>
          <w:szCs w:val="22"/>
        </w:rPr>
      </w:pPr>
      <w:r>
        <w:rPr>
          <w:szCs w:val="22"/>
        </w:rPr>
        <w:t xml:space="preserve">The Petition was filed in connection with the </w:t>
      </w:r>
      <w:r w:rsidR="0077039E">
        <w:rPr>
          <w:szCs w:val="22"/>
        </w:rPr>
        <w:t xml:space="preserve">recent </w:t>
      </w:r>
      <w:r w:rsidR="0061331D">
        <w:rPr>
          <w:szCs w:val="22"/>
        </w:rPr>
        <w:t>join</w:t>
      </w:r>
      <w:r w:rsidR="00375C96">
        <w:rPr>
          <w:szCs w:val="22"/>
        </w:rPr>
        <w:t>t</w:t>
      </w:r>
      <w:r w:rsidR="0061331D">
        <w:rPr>
          <w:szCs w:val="22"/>
        </w:rPr>
        <w:t xml:space="preserve"> </w:t>
      </w:r>
      <w:r w:rsidR="0077039E">
        <w:rPr>
          <w:szCs w:val="22"/>
        </w:rPr>
        <w:t>reorganization of Cumulus</w:t>
      </w:r>
      <w:r w:rsidR="004F5EC3">
        <w:rPr>
          <w:szCs w:val="22"/>
        </w:rPr>
        <w:t>, a publicly traded company,</w:t>
      </w:r>
      <w:r w:rsidR="0077039E">
        <w:rPr>
          <w:szCs w:val="22"/>
        </w:rPr>
        <w:t xml:space="preserve"> and its debtor affiliates pursuant to Chapter 11 of the Bankruptcy Code.</w:t>
      </w:r>
      <w:r>
        <w:rPr>
          <w:rStyle w:val="FootnoteReference"/>
          <w:szCs w:val="22"/>
        </w:rPr>
        <w:footnoteReference w:id="6"/>
      </w:r>
      <w:r w:rsidR="00AE0CF8">
        <w:rPr>
          <w:szCs w:val="22"/>
        </w:rPr>
        <w:t xml:space="preserve">  Pursuant to the reorganization plan, holders of secured and unsecured debt of Cumulus would receive equity and other </w:t>
      </w:r>
      <w:r w:rsidR="00AE0CF8">
        <w:rPr>
          <w:szCs w:val="22"/>
        </w:rPr>
        <w:t>securities of Cumulus</w:t>
      </w:r>
      <w:r w:rsidR="00CA564D">
        <w:rPr>
          <w:szCs w:val="22"/>
        </w:rPr>
        <w:t xml:space="preserve"> (Units)</w:t>
      </w:r>
      <w:r w:rsidR="00AE0CF8">
        <w:rPr>
          <w:szCs w:val="22"/>
        </w:rPr>
        <w:t>, as reorganized, in exchange for certain of their claims.</w:t>
      </w:r>
      <w:r>
        <w:rPr>
          <w:rStyle w:val="FootnoteReference"/>
          <w:szCs w:val="22"/>
        </w:rPr>
        <w:footnoteReference w:id="7"/>
      </w:r>
      <w:r w:rsidR="00AE0CF8">
        <w:rPr>
          <w:szCs w:val="22"/>
        </w:rPr>
        <w:t xml:space="preserve">  The Bankruptcy Court </w:t>
      </w:r>
      <w:r w:rsidR="00F6602F">
        <w:rPr>
          <w:szCs w:val="22"/>
        </w:rPr>
        <w:t xml:space="preserve">entered an order </w:t>
      </w:r>
      <w:r w:rsidR="00AE0CF8">
        <w:rPr>
          <w:szCs w:val="22"/>
        </w:rPr>
        <w:t>confirm</w:t>
      </w:r>
      <w:r w:rsidR="00F6602F">
        <w:rPr>
          <w:szCs w:val="22"/>
        </w:rPr>
        <w:t>ing</w:t>
      </w:r>
      <w:r w:rsidR="00AE0CF8">
        <w:rPr>
          <w:szCs w:val="22"/>
        </w:rPr>
        <w:t xml:space="preserve"> the reorganization plan on May 10, 2018, and the Commission subsequently granted the </w:t>
      </w:r>
      <w:r w:rsidR="0065773F">
        <w:rPr>
          <w:szCs w:val="22"/>
        </w:rPr>
        <w:t>P</w:t>
      </w:r>
      <w:r w:rsidR="00AE0CF8">
        <w:rPr>
          <w:szCs w:val="22"/>
        </w:rPr>
        <w:t xml:space="preserve">etitioner’s applications </w:t>
      </w:r>
      <w:r w:rsidR="00104305">
        <w:rPr>
          <w:szCs w:val="22"/>
        </w:rPr>
        <w:t>for the transfer of control of Cumulus as a result of the reorganization.</w:t>
      </w:r>
      <w:r>
        <w:rPr>
          <w:rStyle w:val="FootnoteReference"/>
          <w:szCs w:val="22"/>
        </w:rPr>
        <w:footnoteReference w:id="8"/>
      </w:r>
      <w:r w:rsidR="00272C3C">
        <w:rPr>
          <w:szCs w:val="22"/>
        </w:rPr>
        <w:t xml:space="preserve">  In order to emerge from Chapter 11 bankruptcy at the earliest </w:t>
      </w:r>
      <w:r w:rsidR="00F6602F">
        <w:rPr>
          <w:szCs w:val="22"/>
        </w:rPr>
        <w:t xml:space="preserve">practicable </w:t>
      </w:r>
      <w:r w:rsidR="00272C3C">
        <w:rPr>
          <w:szCs w:val="22"/>
        </w:rPr>
        <w:t xml:space="preserve">time, </w:t>
      </w:r>
      <w:r w:rsidR="008A24E3">
        <w:rPr>
          <w:szCs w:val="22"/>
        </w:rPr>
        <w:t xml:space="preserve">the reorganization plan provided for a mechanism under which </w:t>
      </w:r>
      <w:r w:rsidR="00272C3C">
        <w:rPr>
          <w:szCs w:val="22"/>
        </w:rPr>
        <w:t xml:space="preserve"> special warrants </w:t>
      </w:r>
      <w:r w:rsidR="008A24E3">
        <w:rPr>
          <w:szCs w:val="22"/>
        </w:rPr>
        <w:t>were issued</w:t>
      </w:r>
      <w:r w:rsidR="00501762">
        <w:rPr>
          <w:szCs w:val="22"/>
        </w:rPr>
        <w:t xml:space="preserve"> </w:t>
      </w:r>
      <w:r w:rsidR="00272C3C">
        <w:rPr>
          <w:szCs w:val="22"/>
        </w:rPr>
        <w:t>to holders of claims which did not certify that they were 100 percent U.S. owned and controlled entities.</w:t>
      </w:r>
      <w:r>
        <w:rPr>
          <w:rStyle w:val="FootnoteReference"/>
          <w:szCs w:val="22"/>
        </w:rPr>
        <w:footnoteReference w:id="9"/>
      </w:r>
      <w:r>
        <w:rPr>
          <w:szCs w:val="22"/>
        </w:rPr>
        <w:t xml:space="preserve">  </w:t>
      </w:r>
    </w:p>
    <w:p w:rsidR="00015A16" w:rsidP="00AA7238">
      <w:pPr>
        <w:ind w:firstLine="720"/>
        <w:rPr>
          <w:szCs w:val="22"/>
        </w:rPr>
      </w:pPr>
    </w:p>
    <w:p w:rsidR="00E20147" w:rsidRPr="0035769F" w:rsidP="001572E9">
      <w:pPr>
        <w:pStyle w:val="FootnoteText"/>
        <w:jc w:val="left"/>
        <w:rPr>
          <w:sz w:val="22"/>
          <w:szCs w:val="22"/>
        </w:rPr>
      </w:pPr>
      <w:r>
        <w:rPr>
          <w:szCs w:val="22"/>
        </w:rPr>
        <w:tab/>
      </w:r>
      <w:r w:rsidR="00D846A7">
        <w:rPr>
          <w:sz w:val="22"/>
          <w:szCs w:val="22"/>
        </w:rPr>
        <w:t>Cumulus</w:t>
      </w:r>
      <w:r w:rsidRPr="0035769F" w:rsidR="00F741C5">
        <w:rPr>
          <w:sz w:val="22"/>
          <w:szCs w:val="22"/>
        </w:rPr>
        <w:t xml:space="preserve"> now</w:t>
      </w:r>
      <w:r w:rsidRPr="0035769F" w:rsidR="00501762">
        <w:rPr>
          <w:sz w:val="22"/>
          <w:szCs w:val="22"/>
        </w:rPr>
        <w:t xml:space="preserve"> requests </w:t>
      </w:r>
      <w:r w:rsidRPr="0035769F" w:rsidR="00F741C5">
        <w:rPr>
          <w:sz w:val="22"/>
          <w:szCs w:val="22"/>
        </w:rPr>
        <w:t>approval</w:t>
      </w:r>
      <w:r w:rsidRPr="0035769F" w:rsidR="00501762">
        <w:rPr>
          <w:sz w:val="22"/>
          <w:szCs w:val="22"/>
        </w:rPr>
        <w:t xml:space="preserve"> to permit up to a 100 percent aggregate foreign investment to enable holders of </w:t>
      </w:r>
      <w:r w:rsidRPr="0035769F" w:rsidR="009568B3">
        <w:rPr>
          <w:sz w:val="22"/>
          <w:szCs w:val="22"/>
        </w:rPr>
        <w:t xml:space="preserve">warrants and </w:t>
      </w:r>
      <w:r w:rsidRPr="0035769F" w:rsidR="00501762">
        <w:rPr>
          <w:sz w:val="22"/>
          <w:szCs w:val="22"/>
        </w:rPr>
        <w:t>non-voting stock to convert or exercise these instruments in exchange for voting stock</w:t>
      </w:r>
      <w:r w:rsidRPr="0035769F" w:rsidR="00C04AB2">
        <w:rPr>
          <w:i/>
          <w:sz w:val="22"/>
          <w:szCs w:val="22"/>
        </w:rPr>
        <w:t xml:space="preserve"> and</w:t>
      </w:r>
      <w:r w:rsidRPr="0035769F" w:rsidR="00C04AB2">
        <w:rPr>
          <w:sz w:val="22"/>
          <w:szCs w:val="22"/>
        </w:rPr>
        <w:t xml:space="preserve"> </w:t>
      </w:r>
      <w:r w:rsidRPr="0035769F" w:rsidR="007423C0">
        <w:rPr>
          <w:sz w:val="22"/>
          <w:szCs w:val="22"/>
        </w:rPr>
        <w:t xml:space="preserve">allow </w:t>
      </w:r>
      <w:r w:rsidRPr="0035769F" w:rsidR="00C04AB2">
        <w:rPr>
          <w:sz w:val="22"/>
          <w:szCs w:val="22"/>
        </w:rPr>
        <w:t xml:space="preserve">non-U.S. persons or entities to hold up to 100 percent of its voting stock </w:t>
      </w:r>
      <w:r w:rsidRPr="0035769F" w:rsidR="003F4A75">
        <w:rPr>
          <w:sz w:val="22"/>
          <w:szCs w:val="22"/>
        </w:rPr>
        <w:t>and</w:t>
      </w:r>
      <w:r w:rsidRPr="0035769F" w:rsidR="00C04AB2">
        <w:rPr>
          <w:sz w:val="22"/>
          <w:szCs w:val="22"/>
        </w:rPr>
        <w:t xml:space="preserve"> capital stock generally</w:t>
      </w:r>
      <w:r w:rsidRPr="0035769F" w:rsidR="007423C0">
        <w:rPr>
          <w:sz w:val="22"/>
          <w:szCs w:val="22"/>
        </w:rPr>
        <w:t xml:space="preserve"> in the future</w:t>
      </w:r>
      <w:r w:rsidRPr="0035769F" w:rsidR="00501762">
        <w:rPr>
          <w:sz w:val="22"/>
          <w:szCs w:val="22"/>
        </w:rPr>
        <w:t>.</w:t>
      </w:r>
      <w:r>
        <w:rPr>
          <w:rStyle w:val="FootnoteReference"/>
          <w:sz w:val="22"/>
          <w:szCs w:val="22"/>
        </w:rPr>
        <w:footnoteReference w:id="10"/>
      </w:r>
      <w:r w:rsidRPr="0035769F" w:rsidR="00272C3C">
        <w:rPr>
          <w:sz w:val="22"/>
          <w:szCs w:val="22"/>
        </w:rPr>
        <w:t xml:space="preserve"> </w:t>
      </w:r>
      <w:r w:rsidRPr="0035769F" w:rsidR="00973CBD">
        <w:rPr>
          <w:sz w:val="22"/>
          <w:szCs w:val="22"/>
        </w:rPr>
        <w:t xml:space="preserve"> </w:t>
      </w:r>
      <w:r>
        <w:rPr>
          <w:sz w:val="22"/>
          <w:szCs w:val="22"/>
        </w:rPr>
        <w:t xml:space="preserve">Specifically, </w:t>
      </w:r>
      <w:r w:rsidR="004A3EA3">
        <w:rPr>
          <w:sz w:val="22"/>
          <w:szCs w:val="22"/>
        </w:rPr>
        <w:t>Cumulus</w:t>
      </w:r>
      <w:r w:rsidRPr="0035769F" w:rsidR="00B46667">
        <w:rPr>
          <w:sz w:val="22"/>
          <w:szCs w:val="22"/>
        </w:rPr>
        <w:t xml:space="preserve"> explains that upon grant of the Petition, the special warrants would be automatically exchanged, and foreign ownership of Cumulus immediately following such exchanges would then be approximately 34 percent on a voting basis and 31 percent on an equity basis.</w:t>
      </w:r>
      <w:r>
        <w:rPr>
          <w:rStyle w:val="FootnoteReference"/>
          <w:sz w:val="22"/>
          <w:szCs w:val="22"/>
        </w:rPr>
        <w:footnoteReference w:id="11"/>
      </w:r>
      <w:r w:rsidRPr="0035769F" w:rsidR="00B46667">
        <w:rPr>
          <w:sz w:val="22"/>
          <w:szCs w:val="22"/>
        </w:rPr>
        <w:t xml:space="preserve">  </w:t>
      </w:r>
      <w:r w:rsidRPr="0035769F">
        <w:rPr>
          <w:sz w:val="22"/>
          <w:szCs w:val="22"/>
        </w:rPr>
        <w:t xml:space="preserve">Notwithstanding that the foreign ownership which would result from exercise of the special warrants is expected to be </w:t>
      </w:r>
      <w:r w:rsidR="00915AD5">
        <w:rPr>
          <w:sz w:val="22"/>
          <w:szCs w:val="22"/>
        </w:rPr>
        <w:t xml:space="preserve">much </w:t>
      </w:r>
      <w:r w:rsidRPr="0035769F">
        <w:rPr>
          <w:sz w:val="22"/>
          <w:szCs w:val="22"/>
        </w:rPr>
        <w:t xml:space="preserve">less than 100 percent, Cumulus states that it is requesting a ruling that would permit non-U.S. persons or entities to hold up to and including 100 percent of its voting stock and 100 percent of its capital stock generally.  Cumulus believes that elimination of the overall limitation on foreign ownership of its shares will, </w:t>
      </w:r>
      <w:r w:rsidRPr="0035769F">
        <w:rPr>
          <w:i/>
          <w:sz w:val="22"/>
          <w:szCs w:val="22"/>
        </w:rPr>
        <w:t>inter alia</w:t>
      </w:r>
      <w:r w:rsidRPr="0035769F">
        <w:rPr>
          <w:sz w:val="22"/>
          <w:szCs w:val="22"/>
        </w:rPr>
        <w:t xml:space="preserve">, enhance the market liquidity of its stock and </w:t>
      </w:r>
      <w:r w:rsidR="008D2B70">
        <w:rPr>
          <w:sz w:val="22"/>
          <w:szCs w:val="22"/>
        </w:rPr>
        <w:t>“</w:t>
      </w:r>
      <w:r w:rsidRPr="0035769F">
        <w:rPr>
          <w:sz w:val="22"/>
          <w:szCs w:val="22"/>
        </w:rPr>
        <w:t xml:space="preserve">provide the </w:t>
      </w:r>
      <w:r w:rsidR="008D2B70">
        <w:rPr>
          <w:sz w:val="22"/>
          <w:szCs w:val="22"/>
        </w:rPr>
        <w:t>C</w:t>
      </w:r>
      <w:r w:rsidRPr="0035769F">
        <w:rPr>
          <w:sz w:val="22"/>
          <w:szCs w:val="22"/>
        </w:rPr>
        <w:t>ompany with the greatest degree of flexibility in accessing foreign investment capital.</w:t>
      </w:r>
      <w:r w:rsidR="008D2B70">
        <w:rPr>
          <w:sz w:val="22"/>
          <w:szCs w:val="22"/>
        </w:rPr>
        <w:t>”</w:t>
      </w:r>
      <w:r>
        <w:rPr>
          <w:rStyle w:val="FootnoteReference"/>
          <w:sz w:val="22"/>
          <w:szCs w:val="22"/>
        </w:rPr>
        <w:footnoteReference w:id="12"/>
      </w:r>
      <w:r w:rsidRPr="0035769F">
        <w:rPr>
          <w:sz w:val="22"/>
          <w:szCs w:val="22"/>
        </w:rPr>
        <w:t xml:space="preserve">  </w:t>
      </w:r>
      <w:r w:rsidR="00EF6CAD">
        <w:rPr>
          <w:sz w:val="22"/>
          <w:szCs w:val="22"/>
        </w:rPr>
        <w:t>Cumulus</w:t>
      </w:r>
      <w:r w:rsidRPr="0035769F" w:rsidR="00280943">
        <w:rPr>
          <w:sz w:val="22"/>
          <w:szCs w:val="22"/>
        </w:rPr>
        <w:t xml:space="preserve"> </w:t>
      </w:r>
      <w:r w:rsidRPr="0035769F" w:rsidR="00EE4D4A">
        <w:rPr>
          <w:sz w:val="22"/>
          <w:szCs w:val="22"/>
        </w:rPr>
        <w:t>assert</w:t>
      </w:r>
      <w:r w:rsidRPr="0035769F" w:rsidR="001E7870">
        <w:rPr>
          <w:sz w:val="22"/>
          <w:szCs w:val="22"/>
        </w:rPr>
        <w:t>s</w:t>
      </w:r>
      <w:r w:rsidRPr="0035769F" w:rsidR="00280943">
        <w:rPr>
          <w:sz w:val="22"/>
          <w:szCs w:val="22"/>
        </w:rPr>
        <w:t xml:space="preserve"> that grant of the Petition </w:t>
      </w:r>
      <w:r w:rsidRPr="0035769F" w:rsidR="00072542">
        <w:rPr>
          <w:sz w:val="22"/>
          <w:szCs w:val="22"/>
        </w:rPr>
        <w:t xml:space="preserve">is </w:t>
      </w:r>
      <w:r w:rsidRPr="0035769F" w:rsidR="00104305">
        <w:rPr>
          <w:sz w:val="22"/>
          <w:szCs w:val="22"/>
        </w:rPr>
        <w:t>entirely consistent with the</w:t>
      </w:r>
      <w:r w:rsidRPr="0035769F" w:rsidR="00280943">
        <w:rPr>
          <w:sz w:val="22"/>
          <w:szCs w:val="22"/>
        </w:rPr>
        <w:t xml:space="preserve"> public interest</w:t>
      </w:r>
      <w:r w:rsidRPr="0035769F" w:rsidR="00072542">
        <w:rPr>
          <w:sz w:val="22"/>
          <w:szCs w:val="22"/>
        </w:rPr>
        <w:t>.</w:t>
      </w:r>
      <w:r w:rsidRPr="0035769F" w:rsidR="00280943">
        <w:rPr>
          <w:sz w:val="22"/>
          <w:szCs w:val="22"/>
        </w:rPr>
        <w:t xml:space="preserve"> </w:t>
      </w:r>
    </w:p>
    <w:p w:rsidR="00E20147" w:rsidRPr="0035769F" w:rsidP="00280943">
      <w:pPr>
        <w:pStyle w:val="FootnoteText"/>
        <w:spacing w:after="0"/>
        <w:rPr>
          <w:sz w:val="22"/>
          <w:szCs w:val="22"/>
        </w:rPr>
      </w:pPr>
    </w:p>
    <w:p w:rsidR="00280943" w:rsidP="00A70D8C">
      <w:pPr>
        <w:pStyle w:val="FootnoteText"/>
        <w:spacing w:after="0"/>
        <w:jc w:val="left"/>
        <w:rPr>
          <w:sz w:val="22"/>
          <w:szCs w:val="22"/>
        </w:rPr>
      </w:pPr>
      <w:r w:rsidRPr="0035769F">
        <w:rPr>
          <w:sz w:val="22"/>
          <w:szCs w:val="22"/>
        </w:rPr>
        <w:tab/>
        <w:t xml:space="preserve">In support of the Petition, </w:t>
      </w:r>
      <w:r w:rsidR="00EF6CAD">
        <w:rPr>
          <w:sz w:val="22"/>
          <w:szCs w:val="22"/>
        </w:rPr>
        <w:t>Cumulus</w:t>
      </w:r>
      <w:r w:rsidRPr="0035769F" w:rsidR="00631602">
        <w:rPr>
          <w:sz w:val="22"/>
          <w:szCs w:val="22"/>
        </w:rPr>
        <w:t xml:space="preserve"> </w:t>
      </w:r>
      <w:r w:rsidRPr="0035769F" w:rsidR="00973CBD">
        <w:rPr>
          <w:sz w:val="22"/>
          <w:szCs w:val="22"/>
        </w:rPr>
        <w:t>asserts that grant of the Petition is consistent with the reorganization plan</w:t>
      </w:r>
      <w:r w:rsidR="00420437">
        <w:rPr>
          <w:sz w:val="22"/>
          <w:szCs w:val="22"/>
        </w:rPr>
        <w:t>,</w:t>
      </w:r>
      <w:r w:rsidRPr="0035769F" w:rsidR="00973CBD">
        <w:rPr>
          <w:sz w:val="22"/>
          <w:szCs w:val="22"/>
        </w:rPr>
        <w:t xml:space="preserve"> </w:t>
      </w:r>
      <w:r w:rsidR="00420437">
        <w:rPr>
          <w:sz w:val="22"/>
          <w:szCs w:val="22"/>
        </w:rPr>
        <w:t>which</w:t>
      </w:r>
      <w:r w:rsidRPr="0035769F" w:rsidR="00973CBD">
        <w:rPr>
          <w:sz w:val="22"/>
          <w:szCs w:val="22"/>
        </w:rPr>
        <w:t xml:space="preserve"> </w:t>
      </w:r>
      <w:r w:rsidR="00413248">
        <w:rPr>
          <w:sz w:val="22"/>
          <w:szCs w:val="22"/>
        </w:rPr>
        <w:t xml:space="preserve">has </w:t>
      </w:r>
      <w:r w:rsidRPr="0035769F" w:rsidR="00973CBD">
        <w:rPr>
          <w:sz w:val="22"/>
          <w:szCs w:val="22"/>
        </w:rPr>
        <w:t>enable</w:t>
      </w:r>
      <w:r w:rsidR="00420437">
        <w:rPr>
          <w:sz w:val="22"/>
          <w:szCs w:val="22"/>
        </w:rPr>
        <w:t>d</w:t>
      </w:r>
      <w:r w:rsidRPr="0035769F" w:rsidR="00973CBD">
        <w:rPr>
          <w:sz w:val="22"/>
          <w:szCs w:val="22"/>
        </w:rPr>
        <w:t xml:space="preserve"> Cumulus to emerge from bankruptcy in a stronger</w:t>
      </w:r>
      <w:r w:rsidR="00973CBD">
        <w:rPr>
          <w:sz w:val="22"/>
          <w:szCs w:val="22"/>
        </w:rPr>
        <w:t xml:space="preserve"> financial condition, </w:t>
      </w:r>
      <w:r w:rsidR="00413248">
        <w:rPr>
          <w:sz w:val="22"/>
          <w:szCs w:val="22"/>
        </w:rPr>
        <w:t>and which, in turn</w:t>
      </w:r>
      <w:r w:rsidR="00224275">
        <w:rPr>
          <w:sz w:val="22"/>
          <w:szCs w:val="22"/>
        </w:rPr>
        <w:t>,</w:t>
      </w:r>
      <w:r w:rsidR="00413248">
        <w:rPr>
          <w:sz w:val="22"/>
          <w:szCs w:val="22"/>
        </w:rPr>
        <w:t xml:space="preserve"> </w:t>
      </w:r>
      <w:r w:rsidR="008A2F8B">
        <w:rPr>
          <w:sz w:val="22"/>
          <w:szCs w:val="22"/>
        </w:rPr>
        <w:t xml:space="preserve">will </w:t>
      </w:r>
      <w:r w:rsidR="00413248">
        <w:rPr>
          <w:sz w:val="22"/>
          <w:szCs w:val="22"/>
        </w:rPr>
        <w:t xml:space="preserve">enable Cumulus </w:t>
      </w:r>
      <w:r w:rsidR="00A85DF6">
        <w:rPr>
          <w:sz w:val="22"/>
          <w:szCs w:val="22"/>
        </w:rPr>
        <w:t>to raise capital</w:t>
      </w:r>
      <w:r w:rsidR="00973CBD">
        <w:rPr>
          <w:sz w:val="22"/>
          <w:szCs w:val="22"/>
        </w:rPr>
        <w:t>, enhance its programming,</w:t>
      </w:r>
      <w:r w:rsidR="00A85DF6">
        <w:rPr>
          <w:sz w:val="22"/>
          <w:szCs w:val="22"/>
        </w:rPr>
        <w:t xml:space="preserve"> </w:t>
      </w:r>
      <w:r w:rsidR="00973CBD">
        <w:rPr>
          <w:sz w:val="22"/>
          <w:szCs w:val="22"/>
        </w:rPr>
        <w:t xml:space="preserve">better serve the public, </w:t>
      </w:r>
      <w:r w:rsidR="00A85DF6">
        <w:rPr>
          <w:sz w:val="22"/>
          <w:szCs w:val="22"/>
        </w:rPr>
        <w:t>and compete with non-FCC regulated entities on a more level playing field.</w:t>
      </w:r>
      <w:r>
        <w:rPr>
          <w:rStyle w:val="FootnoteReference"/>
          <w:sz w:val="22"/>
          <w:szCs w:val="22"/>
        </w:rPr>
        <w:footnoteReference w:id="13"/>
      </w:r>
      <w:r w:rsidR="00A85DF6">
        <w:rPr>
          <w:sz w:val="22"/>
          <w:szCs w:val="22"/>
        </w:rPr>
        <w:t xml:space="preserve">  </w:t>
      </w:r>
      <w:r w:rsidR="00EF6CAD">
        <w:rPr>
          <w:sz w:val="22"/>
          <w:szCs w:val="22"/>
        </w:rPr>
        <w:t>Cumulus</w:t>
      </w:r>
      <w:r w:rsidR="00177719">
        <w:rPr>
          <w:sz w:val="22"/>
          <w:szCs w:val="22"/>
        </w:rPr>
        <w:t xml:space="preserve"> </w:t>
      </w:r>
      <w:r w:rsidR="00104305">
        <w:rPr>
          <w:sz w:val="22"/>
          <w:szCs w:val="22"/>
        </w:rPr>
        <w:t xml:space="preserve">also </w:t>
      </w:r>
      <w:r w:rsidRPr="00B039CF">
        <w:rPr>
          <w:sz w:val="22"/>
          <w:szCs w:val="22"/>
        </w:rPr>
        <w:t>maintain</w:t>
      </w:r>
      <w:r w:rsidR="00E46DCA">
        <w:rPr>
          <w:sz w:val="22"/>
          <w:szCs w:val="22"/>
        </w:rPr>
        <w:t>s</w:t>
      </w:r>
      <w:r w:rsidRPr="00B039CF">
        <w:rPr>
          <w:sz w:val="22"/>
          <w:szCs w:val="22"/>
        </w:rPr>
        <w:t xml:space="preserve"> that </w:t>
      </w:r>
      <w:r w:rsidR="00104305">
        <w:rPr>
          <w:sz w:val="22"/>
          <w:szCs w:val="22"/>
        </w:rPr>
        <w:t>grant of the Petition aligns with U.S. foreign trade policy</w:t>
      </w:r>
      <w:r w:rsidR="00504A90">
        <w:rPr>
          <w:sz w:val="22"/>
          <w:szCs w:val="22"/>
        </w:rPr>
        <w:t xml:space="preserve"> and the U.S. government’s desire to “promote inbound foreign investment” and </w:t>
      </w:r>
      <w:r w:rsidR="00104305">
        <w:rPr>
          <w:sz w:val="22"/>
          <w:szCs w:val="22"/>
        </w:rPr>
        <w:t>encourage reciprocity with U.S. trading partners</w:t>
      </w:r>
      <w:r w:rsidR="00504A90">
        <w:rPr>
          <w:sz w:val="22"/>
          <w:szCs w:val="22"/>
        </w:rPr>
        <w:t>.</w:t>
      </w:r>
      <w:r>
        <w:rPr>
          <w:rStyle w:val="FootnoteReference"/>
          <w:sz w:val="22"/>
          <w:szCs w:val="22"/>
        </w:rPr>
        <w:footnoteReference w:id="14"/>
      </w:r>
      <w:r w:rsidR="001F471F">
        <w:rPr>
          <w:sz w:val="22"/>
          <w:szCs w:val="22"/>
        </w:rPr>
        <w:t xml:space="preserve"> </w:t>
      </w:r>
      <w:r w:rsidR="00915AD5">
        <w:rPr>
          <w:sz w:val="22"/>
          <w:szCs w:val="22"/>
        </w:rPr>
        <w:t xml:space="preserve"> </w:t>
      </w:r>
      <w:r w:rsidR="00EF6CAD">
        <w:rPr>
          <w:sz w:val="22"/>
          <w:szCs w:val="22"/>
        </w:rPr>
        <w:t>Cumulus</w:t>
      </w:r>
      <w:r w:rsidR="00504A90">
        <w:rPr>
          <w:sz w:val="22"/>
          <w:szCs w:val="22"/>
        </w:rPr>
        <w:t xml:space="preserve"> further emphasizes that grant of the Petition </w:t>
      </w:r>
      <w:r w:rsidR="00104305">
        <w:rPr>
          <w:sz w:val="22"/>
          <w:szCs w:val="22"/>
        </w:rPr>
        <w:t>foster</w:t>
      </w:r>
      <w:r w:rsidR="008A2F8B">
        <w:rPr>
          <w:sz w:val="22"/>
          <w:szCs w:val="22"/>
        </w:rPr>
        <w:t>s</w:t>
      </w:r>
      <w:r w:rsidR="00104305">
        <w:rPr>
          <w:sz w:val="22"/>
          <w:szCs w:val="22"/>
        </w:rPr>
        <w:t xml:space="preserve"> the purposes of the U.S. bankruptcy laws.</w:t>
      </w:r>
      <w:r>
        <w:rPr>
          <w:rStyle w:val="FootnoteReference"/>
          <w:sz w:val="22"/>
          <w:szCs w:val="22"/>
        </w:rPr>
        <w:footnoteReference w:id="15"/>
      </w:r>
      <w:r w:rsidR="00504A90">
        <w:rPr>
          <w:sz w:val="22"/>
          <w:szCs w:val="22"/>
        </w:rPr>
        <w:t xml:space="preserve">  Specifically, Cumulus explains that because its Petition is the first petition for declaratory ruling under Section 310(b)(4) filed by a broadcaster </w:t>
      </w:r>
      <w:r w:rsidR="00640A42">
        <w:rPr>
          <w:sz w:val="22"/>
          <w:szCs w:val="22"/>
        </w:rPr>
        <w:t>after</w:t>
      </w:r>
      <w:r w:rsidR="00504A90">
        <w:rPr>
          <w:sz w:val="22"/>
          <w:szCs w:val="22"/>
        </w:rPr>
        <w:t xml:space="preserve"> a bankruptcy proceeding, </w:t>
      </w:r>
      <w:r w:rsidR="00D6441F">
        <w:rPr>
          <w:sz w:val="22"/>
          <w:szCs w:val="22"/>
        </w:rPr>
        <w:t xml:space="preserve">a grant would </w:t>
      </w:r>
      <w:r w:rsidR="009D72B1">
        <w:rPr>
          <w:sz w:val="22"/>
          <w:szCs w:val="22"/>
        </w:rPr>
        <w:t xml:space="preserve">potentially permit other foreign claim </w:t>
      </w:r>
      <w:bookmarkStart w:id="1" w:name="_GoBack"/>
      <w:bookmarkEnd w:id="1"/>
      <w:r w:rsidR="009D72B1">
        <w:rPr>
          <w:sz w:val="22"/>
          <w:szCs w:val="22"/>
        </w:rPr>
        <w:t>holders to obtain stock</w:t>
      </w:r>
      <w:r w:rsidR="00D34B3A">
        <w:rPr>
          <w:sz w:val="22"/>
          <w:szCs w:val="22"/>
        </w:rPr>
        <w:t xml:space="preserve"> in companies </w:t>
      </w:r>
      <w:r w:rsidR="00ED1F57">
        <w:rPr>
          <w:sz w:val="22"/>
          <w:szCs w:val="22"/>
        </w:rPr>
        <w:t>post-</w:t>
      </w:r>
      <w:r w:rsidR="00D34B3A">
        <w:rPr>
          <w:sz w:val="22"/>
          <w:szCs w:val="22"/>
        </w:rPr>
        <w:t>emergence from bankruptcy,</w:t>
      </w:r>
      <w:r w:rsidR="009D72B1">
        <w:rPr>
          <w:sz w:val="22"/>
          <w:szCs w:val="22"/>
        </w:rPr>
        <w:t xml:space="preserve"> and therefore </w:t>
      </w:r>
      <w:r w:rsidR="006C3141">
        <w:rPr>
          <w:sz w:val="22"/>
          <w:szCs w:val="22"/>
        </w:rPr>
        <w:t>e</w:t>
      </w:r>
      <w:r w:rsidR="00D6441F">
        <w:rPr>
          <w:sz w:val="22"/>
          <w:szCs w:val="22"/>
        </w:rPr>
        <w:t xml:space="preserve">nable financially troubled broadcasters to exit bankruptcy earlier and </w:t>
      </w:r>
      <w:r w:rsidR="006C3141">
        <w:rPr>
          <w:sz w:val="22"/>
          <w:szCs w:val="22"/>
        </w:rPr>
        <w:t>“</w:t>
      </w:r>
      <w:r w:rsidR="00D6441F">
        <w:rPr>
          <w:sz w:val="22"/>
          <w:szCs w:val="22"/>
        </w:rPr>
        <w:t>emerge as stronger and more viable entities.”</w:t>
      </w:r>
      <w:r>
        <w:rPr>
          <w:rStyle w:val="FootnoteReference"/>
          <w:sz w:val="22"/>
          <w:szCs w:val="22"/>
        </w:rPr>
        <w:footnoteReference w:id="16"/>
      </w:r>
      <w:r w:rsidR="00504A90">
        <w:rPr>
          <w:sz w:val="22"/>
          <w:szCs w:val="22"/>
        </w:rPr>
        <w:t xml:space="preserve">  </w:t>
      </w:r>
      <w:r w:rsidR="00104305">
        <w:rPr>
          <w:sz w:val="22"/>
          <w:szCs w:val="22"/>
        </w:rPr>
        <w:t xml:space="preserve">Finally, Cumulus </w:t>
      </w:r>
      <w:r w:rsidR="00973CBD">
        <w:rPr>
          <w:sz w:val="22"/>
          <w:szCs w:val="22"/>
        </w:rPr>
        <w:t>states</w:t>
      </w:r>
      <w:r w:rsidR="00104305">
        <w:rPr>
          <w:sz w:val="22"/>
          <w:szCs w:val="22"/>
        </w:rPr>
        <w:t xml:space="preserve"> that wide-ranging benefits would accrue </w:t>
      </w:r>
      <w:r w:rsidR="00BC253D">
        <w:rPr>
          <w:sz w:val="22"/>
          <w:szCs w:val="22"/>
        </w:rPr>
        <w:t xml:space="preserve">from grant of the Petition </w:t>
      </w:r>
      <w:r w:rsidR="00104305">
        <w:rPr>
          <w:sz w:val="22"/>
          <w:szCs w:val="22"/>
        </w:rPr>
        <w:t xml:space="preserve">without any countervailing </w:t>
      </w:r>
      <w:r w:rsidR="00072542">
        <w:rPr>
          <w:sz w:val="22"/>
          <w:szCs w:val="22"/>
        </w:rPr>
        <w:t xml:space="preserve">harm because </w:t>
      </w:r>
      <w:r w:rsidR="00BC253D">
        <w:rPr>
          <w:sz w:val="22"/>
          <w:szCs w:val="22"/>
        </w:rPr>
        <w:t>the Petition</w:t>
      </w:r>
      <w:r w:rsidR="00072542">
        <w:rPr>
          <w:sz w:val="22"/>
          <w:szCs w:val="22"/>
        </w:rPr>
        <w:t xml:space="preserve"> presents no national security, law enforcement, foreign policy, or trade policy concerns.</w:t>
      </w:r>
      <w:r>
        <w:rPr>
          <w:rStyle w:val="FootnoteReference"/>
          <w:sz w:val="22"/>
          <w:szCs w:val="22"/>
        </w:rPr>
        <w:footnoteReference w:id="17"/>
      </w:r>
      <w:r w:rsidRPr="00B039CF">
        <w:rPr>
          <w:sz w:val="22"/>
          <w:szCs w:val="22"/>
        </w:rPr>
        <w:t xml:space="preserve">  </w:t>
      </w:r>
    </w:p>
    <w:p w:rsidR="007C7B55" w:rsidP="00C11DB1">
      <w:pPr>
        <w:pStyle w:val="FootnoteText"/>
        <w:spacing w:after="0"/>
        <w:jc w:val="left"/>
        <w:rPr>
          <w:sz w:val="22"/>
          <w:szCs w:val="22"/>
        </w:rPr>
      </w:pPr>
    </w:p>
    <w:p w:rsidR="00280943" w:rsidRPr="00B039CF" w:rsidP="00280943">
      <w:pPr>
        <w:rPr>
          <w:rStyle w:val="Normal1"/>
          <w:b/>
          <w:sz w:val="22"/>
          <w:szCs w:val="22"/>
        </w:rPr>
      </w:pPr>
      <w:r w:rsidRPr="00B039CF">
        <w:rPr>
          <w:b/>
          <w:szCs w:val="22"/>
        </w:rPr>
        <w:t>II</w:t>
      </w:r>
      <w:r w:rsidRPr="00B039CF">
        <w:rPr>
          <w:szCs w:val="22"/>
        </w:rPr>
        <w:t>.</w:t>
      </w:r>
      <w:r w:rsidRPr="00B039CF">
        <w:rPr>
          <w:szCs w:val="22"/>
        </w:rPr>
        <w:tab/>
      </w:r>
      <w:r w:rsidRPr="00B039CF">
        <w:rPr>
          <w:rStyle w:val="Normal1"/>
          <w:b/>
          <w:i/>
          <w:sz w:val="22"/>
          <w:szCs w:val="22"/>
        </w:rPr>
        <w:t>EX PARTE</w:t>
      </w:r>
      <w:r w:rsidRPr="00B039CF">
        <w:rPr>
          <w:rStyle w:val="Normal1"/>
          <w:b/>
          <w:sz w:val="22"/>
          <w:szCs w:val="22"/>
        </w:rPr>
        <w:t xml:space="preserve"> STATUS OF THIS PROCEEDING</w:t>
      </w:r>
    </w:p>
    <w:p w:rsidR="00280943" w:rsidRPr="00B039CF" w:rsidP="00280943">
      <w:pPr>
        <w:rPr>
          <w:rStyle w:val="Normal1"/>
          <w:sz w:val="22"/>
          <w:szCs w:val="22"/>
        </w:rPr>
      </w:pPr>
    </w:p>
    <w:p w:rsidR="00280943" w:rsidRPr="00B039CF" w:rsidP="00280943">
      <w:pPr>
        <w:rPr>
          <w:rStyle w:val="Normal1"/>
          <w:b/>
          <w:sz w:val="22"/>
          <w:szCs w:val="22"/>
        </w:rPr>
      </w:pPr>
      <w:r w:rsidRPr="00B039CF">
        <w:rPr>
          <w:rStyle w:val="Normal1"/>
          <w:b/>
          <w:sz w:val="22"/>
          <w:szCs w:val="22"/>
        </w:rPr>
        <w:tab/>
      </w:r>
      <w:r w:rsidRPr="00B039CF">
        <w:rPr>
          <w:rStyle w:val="Normal1"/>
          <w:sz w:val="22"/>
          <w:szCs w:val="22"/>
        </w:rPr>
        <w:t>Pursuant to Section 1.1200(a) of the Commission’s rules,</w:t>
      </w:r>
      <w:r>
        <w:rPr>
          <w:rStyle w:val="FootnoteReference"/>
          <w:szCs w:val="22"/>
        </w:rPr>
        <w:footnoteReference w:id="18"/>
      </w:r>
      <w:r w:rsidRPr="00B039CF">
        <w:rPr>
          <w:rStyle w:val="Normal1"/>
          <w:sz w:val="22"/>
          <w:szCs w:val="22"/>
        </w:rPr>
        <w:t xml:space="preserve"> the Commission may adopt modified or more stringent </w:t>
      </w:r>
      <w:r w:rsidRPr="00B039CF">
        <w:rPr>
          <w:rStyle w:val="Normal1"/>
          <w:i/>
          <w:sz w:val="22"/>
          <w:szCs w:val="22"/>
        </w:rPr>
        <w:t>ex parte</w:t>
      </w:r>
      <w:r w:rsidRPr="00B039CF">
        <w:rPr>
          <w:rStyle w:val="Normal1"/>
          <w:sz w:val="22"/>
          <w:szCs w:val="22"/>
        </w:rPr>
        <w:t xml:space="preserve"> procedures in particular proceedings if the public interest so requires.  We announce that this proceeding will be governed by permit-but-disclose </w:t>
      </w:r>
      <w:r w:rsidRPr="00B039CF">
        <w:rPr>
          <w:rStyle w:val="Normal1"/>
          <w:i/>
          <w:sz w:val="22"/>
          <w:szCs w:val="22"/>
        </w:rPr>
        <w:t>ex parte</w:t>
      </w:r>
      <w:r w:rsidRPr="00B039CF">
        <w:rPr>
          <w:rStyle w:val="Normal1"/>
          <w:sz w:val="22"/>
          <w:szCs w:val="22"/>
        </w:rPr>
        <w:t xml:space="preserve"> procedures that are applicable to non-restricted proceedings under Section 1.1206 of the Commission’s rules.</w:t>
      </w:r>
      <w:r>
        <w:rPr>
          <w:rStyle w:val="FootnoteReference"/>
          <w:szCs w:val="22"/>
        </w:rPr>
        <w:footnoteReference w:id="19"/>
      </w:r>
    </w:p>
    <w:p w:rsidR="00280943" w:rsidRPr="00B039CF" w:rsidP="00280943">
      <w:pPr>
        <w:rPr>
          <w:rStyle w:val="Normal1"/>
          <w:b/>
          <w:sz w:val="22"/>
          <w:szCs w:val="22"/>
        </w:rPr>
      </w:pPr>
    </w:p>
    <w:p w:rsidR="00280943" w:rsidRPr="00B039CF" w:rsidP="00280943">
      <w:pPr>
        <w:rPr>
          <w:b/>
          <w:szCs w:val="22"/>
        </w:rPr>
      </w:pPr>
      <w:r w:rsidRPr="00B039CF">
        <w:rPr>
          <w:rStyle w:val="Normal1"/>
          <w:sz w:val="22"/>
          <w:szCs w:val="22"/>
        </w:rPr>
        <w:tab/>
        <w:t xml:space="preserve">Parties making oral </w:t>
      </w:r>
      <w:r w:rsidRPr="00B039CF">
        <w:rPr>
          <w:rStyle w:val="Normal1"/>
          <w:i/>
          <w:sz w:val="22"/>
          <w:szCs w:val="22"/>
        </w:rPr>
        <w:t>ex parte</w:t>
      </w:r>
      <w:r w:rsidRPr="00B039CF">
        <w:rPr>
          <w:rStyle w:val="Normal1"/>
          <w:sz w:val="22"/>
          <w:szCs w:val="22"/>
        </w:rPr>
        <w:t xml:space="preserve"> presentations are directed to the Commission’s </w:t>
      </w:r>
      <w:r w:rsidRPr="00B039CF">
        <w:rPr>
          <w:rStyle w:val="Normal1"/>
          <w:i/>
          <w:sz w:val="22"/>
          <w:szCs w:val="22"/>
        </w:rPr>
        <w:t>ex parte</w:t>
      </w:r>
      <w:r w:rsidRPr="00B039CF">
        <w:rPr>
          <w:rStyle w:val="Normal1"/>
          <w:sz w:val="22"/>
          <w:szCs w:val="22"/>
        </w:rPr>
        <w:t xml:space="preserve"> rules.  Parties are reminded that memoranda summarizing the presentation must contain the presentation’s substance and not merely list the subjects discussed.</w:t>
      </w:r>
      <w:r>
        <w:rPr>
          <w:rStyle w:val="FootnoteReference"/>
          <w:szCs w:val="22"/>
        </w:rPr>
        <w:footnoteReference w:id="20"/>
      </w:r>
      <w:r w:rsidRPr="00B039CF">
        <w:rPr>
          <w:rStyle w:val="Normal1"/>
          <w:sz w:val="22"/>
          <w:szCs w:val="22"/>
        </w:rPr>
        <w:t xml:space="preserve">  More than a one- or two-sentence description of the views and arguments presented is generally required.</w:t>
      </w:r>
      <w:r>
        <w:rPr>
          <w:rStyle w:val="FootnoteReference"/>
          <w:szCs w:val="22"/>
        </w:rPr>
        <w:footnoteReference w:id="21"/>
      </w:r>
      <w:r w:rsidRPr="00B039CF">
        <w:rPr>
          <w:rStyle w:val="Normal1"/>
          <w:sz w:val="22"/>
          <w:szCs w:val="22"/>
        </w:rPr>
        <w:t xml:space="preserve">  Other rules pertaining to oral and written presentations are set forth in Section 1.1206(b) as well.</w:t>
      </w:r>
      <w:r>
        <w:rPr>
          <w:rStyle w:val="FootnoteReference"/>
          <w:szCs w:val="22"/>
        </w:rPr>
        <w:footnoteReference w:id="22"/>
      </w:r>
    </w:p>
    <w:p w:rsidR="00280943" w:rsidRPr="00B039CF" w:rsidP="00280943">
      <w:pPr>
        <w:tabs>
          <w:tab w:val="left" w:pos="2970"/>
        </w:tabs>
        <w:rPr>
          <w:szCs w:val="22"/>
        </w:rPr>
      </w:pPr>
      <w:r w:rsidRPr="00B039CF">
        <w:rPr>
          <w:szCs w:val="22"/>
        </w:rPr>
        <w:tab/>
      </w:r>
    </w:p>
    <w:p w:rsidR="00280943" w:rsidRPr="00B039CF" w:rsidP="00280943">
      <w:pPr>
        <w:keepNext/>
        <w:spacing w:after="220"/>
        <w:outlineLvl w:val="0"/>
        <w:rPr>
          <w:b/>
          <w:szCs w:val="22"/>
        </w:rPr>
      </w:pPr>
      <w:r w:rsidRPr="00B039CF">
        <w:rPr>
          <w:b/>
          <w:szCs w:val="22"/>
        </w:rPr>
        <w:t>III.</w:t>
      </w:r>
      <w:r w:rsidRPr="00B039CF">
        <w:rPr>
          <w:b/>
          <w:szCs w:val="22"/>
        </w:rPr>
        <w:tab/>
        <w:t>GENERAL INFORMATION</w:t>
      </w:r>
    </w:p>
    <w:p w:rsidR="00280943" w:rsidRPr="00B039CF" w:rsidP="00280943">
      <w:pPr>
        <w:ind w:firstLine="720"/>
        <w:rPr>
          <w:szCs w:val="22"/>
        </w:rPr>
      </w:pPr>
      <w:r w:rsidRPr="00B039CF">
        <w:rPr>
          <w:szCs w:val="22"/>
        </w:rPr>
        <w:t xml:space="preserve">The Petition has been found, upon initial review, to be acceptable for filing.  The Commission may require </w:t>
      </w:r>
      <w:r w:rsidR="002944FE">
        <w:rPr>
          <w:szCs w:val="22"/>
        </w:rPr>
        <w:t xml:space="preserve">Cumulus </w:t>
      </w:r>
      <w:r w:rsidRPr="00B039CF">
        <w:rPr>
          <w:szCs w:val="22"/>
        </w:rPr>
        <w:t>to submit additional documents or statements of fact that in its judgment may be necessary so as to make it “more definite and certain.”</w:t>
      </w:r>
      <w:r>
        <w:rPr>
          <w:rStyle w:val="FootnoteReference"/>
          <w:szCs w:val="22"/>
        </w:rPr>
        <w:footnoteReference w:id="23"/>
      </w:r>
      <w:r w:rsidRPr="00B039CF">
        <w:rPr>
          <w:szCs w:val="22"/>
        </w:rPr>
        <w:t xml:space="preserve">  The Commission also reserves the right to return the Petition if, upon further examination, it is determined to be defective and not in conformance with the Commission’s rules or policies. </w:t>
      </w:r>
    </w:p>
    <w:p w:rsidR="00280943" w:rsidRPr="00B039CF" w:rsidP="00280943">
      <w:pPr>
        <w:rPr>
          <w:szCs w:val="22"/>
        </w:rPr>
      </w:pPr>
    </w:p>
    <w:p w:rsidR="00280943" w:rsidRPr="00B039CF" w:rsidP="00280943">
      <w:pPr>
        <w:rPr>
          <w:szCs w:val="22"/>
        </w:rPr>
      </w:pPr>
      <w:r w:rsidRPr="00B039CF">
        <w:rPr>
          <w:szCs w:val="22"/>
        </w:rPr>
        <w:tab/>
        <w:t>Interested parties must</w:t>
      </w:r>
      <w:r w:rsidR="00C332D2">
        <w:rPr>
          <w:szCs w:val="22"/>
        </w:rPr>
        <w:t xml:space="preserve"> file c</w:t>
      </w:r>
      <w:r w:rsidR="00100B30">
        <w:rPr>
          <w:szCs w:val="22"/>
        </w:rPr>
        <w:t xml:space="preserve">omments no later than </w:t>
      </w:r>
      <w:r w:rsidRPr="0018615A" w:rsidR="0018615A">
        <w:rPr>
          <w:szCs w:val="22"/>
        </w:rPr>
        <w:t>June 20</w:t>
      </w:r>
      <w:r w:rsidRPr="0018615A" w:rsidR="00C82166">
        <w:rPr>
          <w:szCs w:val="22"/>
        </w:rPr>
        <w:t>, 201</w:t>
      </w:r>
      <w:r w:rsidRPr="0018615A" w:rsidR="0005797F">
        <w:rPr>
          <w:szCs w:val="22"/>
        </w:rPr>
        <w:t>9</w:t>
      </w:r>
      <w:r w:rsidRPr="0018615A">
        <w:rPr>
          <w:szCs w:val="22"/>
        </w:rPr>
        <w:t>.  Persons and entities that file comments become parties to the proceeding.  They may participate fully</w:t>
      </w:r>
      <w:r w:rsidRPr="00B039CF">
        <w:rPr>
          <w:szCs w:val="22"/>
        </w:rPr>
        <w:t xml:space="preserve"> in the proceeding, including seeking access to any confidential information that may be filed under a protective order, seeking reconsideration of decisions, and filing appeals of a final decision to the courts.  Replies to such pleadings</w:t>
      </w:r>
      <w:r w:rsidR="00C82166">
        <w:rPr>
          <w:szCs w:val="22"/>
        </w:rPr>
        <w:t xml:space="preserve"> must</w:t>
      </w:r>
      <w:r w:rsidR="00100B30">
        <w:rPr>
          <w:szCs w:val="22"/>
        </w:rPr>
        <w:t xml:space="preserve"> be filed no later than</w:t>
      </w:r>
      <w:r w:rsidR="0018615A">
        <w:rPr>
          <w:szCs w:val="22"/>
        </w:rPr>
        <w:t xml:space="preserve"> July 8,</w:t>
      </w:r>
      <w:r w:rsidR="00C82166">
        <w:rPr>
          <w:szCs w:val="22"/>
        </w:rPr>
        <w:t xml:space="preserve"> 201</w:t>
      </w:r>
      <w:r w:rsidR="0005797F">
        <w:rPr>
          <w:szCs w:val="22"/>
        </w:rPr>
        <w:t>9</w:t>
      </w:r>
      <w:r w:rsidR="00C82166">
        <w:rPr>
          <w:szCs w:val="22"/>
        </w:rPr>
        <w:t>.</w:t>
      </w:r>
      <w:r w:rsidRPr="00B039CF">
        <w:rPr>
          <w:szCs w:val="22"/>
        </w:rPr>
        <w:t xml:space="preserve">  All filings concerning matters referenced in this Public Notice shou</w:t>
      </w:r>
      <w:r w:rsidR="00EA5B13">
        <w:rPr>
          <w:szCs w:val="22"/>
        </w:rPr>
        <w:t>ld refer to MB Docke</w:t>
      </w:r>
      <w:r w:rsidR="00C82166">
        <w:rPr>
          <w:szCs w:val="22"/>
        </w:rPr>
        <w:t xml:space="preserve">t No. </w:t>
      </w:r>
      <w:r w:rsidRPr="0018615A" w:rsidR="0018615A">
        <w:rPr>
          <w:szCs w:val="22"/>
        </w:rPr>
        <w:t>19-143</w:t>
      </w:r>
      <w:r w:rsidR="0018615A">
        <w:rPr>
          <w:szCs w:val="22"/>
        </w:rPr>
        <w:t>.</w:t>
      </w:r>
    </w:p>
    <w:p w:rsidR="00280943" w:rsidRPr="00B039CF" w:rsidP="00280943">
      <w:pPr>
        <w:rPr>
          <w:szCs w:val="22"/>
        </w:rPr>
      </w:pPr>
    </w:p>
    <w:p w:rsidR="00280943" w:rsidRPr="00B039CF" w:rsidP="00280943">
      <w:pPr>
        <w:ind w:firstLine="720"/>
        <w:rPr>
          <w:szCs w:val="22"/>
        </w:rPr>
      </w:pPr>
      <w:r w:rsidRPr="00B039CF">
        <w:rPr>
          <w:spacing w:val="-2"/>
          <w:szCs w:val="22"/>
        </w:rPr>
        <w:t xml:space="preserve">To allow the Commission to consider fully all substantive issues regarding the </w:t>
      </w:r>
      <w:r w:rsidR="004C006E">
        <w:rPr>
          <w:spacing w:val="-2"/>
          <w:szCs w:val="22"/>
        </w:rPr>
        <w:t>Petition</w:t>
      </w:r>
      <w:r w:rsidRPr="00B039CF">
        <w:rPr>
          <w:spacing w:val="-2"/>
          <w:szCs w:val="22"/>
        </w:rPr>
        <w:t xml:space="preserve"> in as timely and efficient a manner as possible, </w:t>
      </w:r>
      <w:r w:rsidRPr="00B039CF">
        <w:rPr>
          <w:szCs w:val="22"/>
        </w:rPr>
        <w:t>commenters should raise all issues in their initial filings.  New issues may not be raised in responses or replies.</w:t>
      </w:r>
      <w:r>
        <w:rPr>
          <w:rStyle w:val="FootnoteReference"/>
          <w:szCs w:val="22"/>
        </w:rPr>
        <w:footnoteReference w:id="24"/>
      </w:r>
      <w:r w:rsidRPr="00B039CF">
        <w:rPr>
          <w:szCs w:val="22"/>
        </w:rPr>
        <w:t xml:space="preserve">  A party or interested person seeking to raise a new issue after the pleading cycle has closed must show good cause why it was not possible for it to have raised the issue </w:t>
      </w:r>
      <w:r w:rsidRPr="00B039CF">
        <w:rPr>
          <w:szCs w:val="22"/>
        </w:rPr>
        <w:t>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80943" w:rsidRPr="00B039CF" w:rsidP="00280943">
      <w:pPr>
        <w:rPr>
          <w:szCs w:val="22"/>
        </w:rPr>
      </w:pPr>
    </w:p>
    <w:p w:rsidR="00280943" w:rsidRPr="00B039CF" w:rsidP="00280943">
      <w:pPr>
        <w:spacing w:after="220"/>
        <w:ind w:firstLine="720"/>
        <w:rPr>
          <w:szCs w:val="22"/>
        </w:rPr>
      </w:pPr>
      <w:r w:rsidRPr="00B039CF">
        <w:rPr>
          <w:szCs w:val="22"/>
        </w:rPr>
        <w:t>Under the Commission’s current procedures for the submission of filings and other documents,</w:t>
      </w:r>
      <w:r>
        <w:rPr>
          <w:rStyle w:val="FootnoteReference"/>
          <w:szCs w:val="22"/>
        </w:rPr>
        <w:footnoteReference w:id="25"/>
      </w:r>
      <w:r w:rsidRPr="00B039CF">
        <w:rPr>
          <w:szCs w:val="22"/>
        </w:rPr>
        <w:t xml:space="preserve"> submissions in this matter may be filed electronically though the Commission’s Electronic Comment Filing System (ECFS) or by </w:t>
      </w:r>
      <w:r w:rsidR="00203869">
        <w:rPr>
          <w:szCs w:val="22"/>
        </w:rPr>
        <w:t>filing paper copies</w:t>
      </w:r>
      <w:r w:rsidRPr="00B039CF">
        <w:rPr>
          <w:szCs w:val="22"/>
        </w:rPr>
        <w:t xml:space="preserve">.  </w:t>
      </w:r>
    </w:p>
    <w:p w:rsidR="00280943" w:rsidRPr="00B039CF" w:rsidP="00280943">
      <w:pPr>
        <w:numPr>
          <w:ilvl w:val="0"/>
          <w:numId w:val="13"/>
        </w:numPr>
        <w:rPr>
          <w:szCs w:val="22"/>
        </w:rPr>
      </w:pPr>
      <w:r w:rsidRPr="00B039CF">
        <w:rPr>
          <w:b/>
          <w:szCs w:val="22"/>
        </w:rPr>
        <w:t>If filed by ECFS</w:t>
      </w:r>
      <w:r w:rsidRPr="00B039CF">
        <w:rPr>
          <w:szCs w:val="22"/>
        </w:rPr>
        <w:t>,</w:t>
      </w:r>
      <w:r>
        <w:rPr>
          <w:szCs w:val="22"/>
          <w:vertAlign w:val="superscript"/>
        </w:rPr>
        <w:footnoteReference w:id="26"/>
      </w:r>
      <w:r w:rsidRPr="00B039CF">
        <w:rPr>
          <w:szCs w:val="22"/>
        </w:rPr>
        <w:t xml:space="preserve"> comments shall be sent as an electronic file via the Internet to</w:t>
      </w:r>
      <w:r w:rsidR="00AB5707">
        <w:rPr>
          <w:szCs w:val="22"/>
        </w:rPr>
        <w:t xml:space="preserve"> http://apps.fcc.gov/ecfs</w:t>
      </w:r>
      <w:r w:rsidRPr="00B039CF">
        <w:rPr>
          <w:szCs w:val="22"/>
        </w:rPr>
        <w:t xml:space="preserve">.  In completing the transmittal screen, commenters should include their full name, U.S. Postal Service mailing address, and the applicable docket number.  </w:t>
      </w:r>
    </w:p>
    <w:p w:rsidR="00280943" w:rsidRPr="00B039CF" w:rsidP="00280943">
      <w:pPr>
        <w:autoSpaceDE w:val="0"/>
        <w:autoSpaceDN w:val="0"/>
        <w:adjustRightInd w:val="0"/>
        <w:rPr>
          <w:szCs w:val="22"/>
        </w:rPr>
      </w:pPr>
    </w:p>
    <w:p w:rsidR="00280943" w:rsidRPr="00B039CF" w:rsidP="00280943">
      <w:pPr>
        <w:numPr>
          <w:ilvl w:val="0"/>
          <w:numId w:val="13"/>
        </w:numPr>
        <w:autoSpaceDE w:val="0"/>
        <w:autoSpaceDN w:val="0"/>
        <w:adjustRightInd w:val="0"/>
        <w:rPr>
          <w:szCs w:val="22"/>
        </w:rPr>
      </w:pPr>
      <w:r w:rsidRPr="00B039CF">
        <w:rPr>
          <w:rFonts w:cs="TmsRmn"/>
          <w:b/>
          <w:bCs/>
          <w:color w:val="000000"/>
          <w:szCs w:val="22"/>
        </w:rPr>
        <w:t>If filed by paper</w:t>
      </w:r>
      <w:r w:rsidRPr="00B039CF">
        <w:rPr>
          <w:rFonts w:cs="TmsRmn"/>
          <w:color w:val="000000"/>
          <w:szCs w:val="22"/>
        </w:rPr>
        <w:t xml:space="preserve">, the original and </w:t>
      </w:r>
      <w:r w:rsidR="008F59C9">
        <w:rPr>
          <w:rFonts w:cs="TmsRmn"/>
          <w:color w:val="000000"/>
          <w:szCs w:val="22"/>
        </w:rPr>
        <w:t>one copy</w:t>
      </w:r>
      <w:r w:rsidRPr="00B039CF">
        <w:rPr>
          <w:rFonts w:cs="TmsRmn"/>
          <w:color w:val="000000"/>
          <w:szCs w:val="22"/>
        </w:rPr>
        <w:t xml:space="preserve"> of each filing must be filed by hand or messenger delivery, by commercial overnight courier, or by first-class or overnight U.S. Postal Service mail.  </w:t>
      </w:r>
      <w:r w:rsidRPr="00B039CF" w:rsidR="005A00D0">
        <w:rPr>
          <w:rFonts w:cs="TmsRmn"/>
          <w:color w:val="000000"/>
          <w:szCs w:val="22"/>
        </w:rPr>
        <w:t>All filings must be addressed to the Commission’s Secretary, Office of the Secretary, Federal Communications Commission</w:t>
      </w:r>
      <w:r w:rsidR="005A00D0">
        <w:rPr>
          <w:rFonts w:cs="TmsRmn"/>
          <w:color w:val="000000"/>
          <w:szCs w:val="22"/>
        </w:rPr>
        <w:t xml:space="preserve">. </w:t>
      </w:r>
      <w:r w:rsidRPr="00B039CF" w:rsidR="005A00D0">
        <w:rPr>
          <w:szCs w:val="22"/>
        </w:rPr>
        <w:t xml:space="preserve"> </w:t>
      </w:r>
      <w:r w:rsidRPr="00B039CF">
        <w:rPr>
          <w:szCs w:val="22"/>
        </w:rPr>
        <w:t>All hand-delivered or messenger-delivered paper filings for the Commission’s Secretary must be delivered to FCC Headquarters at 445 12th St., SW, Room TW-A325, Washington, DC 20554.  The filing hours at this location are 8:00 a.m. to 7:00 p.m.</w:t>
      </w:r>
      <w:r w:rsidR="005A00D0">
        <w:rPr>
          <w:szCs w:val="22"/>
        </w:rPr>
        <w:t xml:space="preserve"> Eastern Time (ET).</w:t>
      </w:r>
      <w:r w:rsidRPr="00B039CF">
        <w:rPr>
          <w:szCs w:val="22"/>
        </w:rPr>
        <w:t xml:space="preserve">  All hand deliveries must be held together with rubber bands or fasteners.  Any envelopes must be disposed of before entering the building.  </w:t>
      </w:r>
      <w:r w:rsidRPr="00B039CF">
        <w:rPr>
          <w:rFonts w:cs="TmsRmn"/>
          <w:color w:val="000000"/>
          <w:szCs w:val="22"/>
        </w:rPr>
        <w:t xml:space="preserve">Commercial overnight mail (other than U.S. Postal Service Express Mail and Priority Mail) must be sent to </w:t>
      </w:r>
      <w:r w:rsidR="005A00D0">
        <w:rPr>
          <w:rFonts w:cs="TmsRmn"/>
          <w:color w:val="000000"/>
          <w:szCs w:val="22"/>
        </w:rPr>
        <w:t>9050 Junction Drive, Annapolis Junction, MD 20701</w:t>
      </w:r>
      <w:r w:rsidRPr="00B039CF">
        <w:rPr>
          <w:rFonts w:cs="TmsRmn"/>
          <w:color w:val="000000"/>
          <w:szCs w:val="22"/>
        </w:rPr>
        <w:t xml:space="preserve">.  U.S. Postal Service first-class, Express, and Priority mail </w:t>
      </w:r>
      <w:r w:rsidR="00FA43C5">
        <w:rPr>
          <w:rFonts w:cs="TmsRmn"/>
          <w:color w:val="000000"/>
          <w:szCs w:val="22"/>
        </w:rPr>
        <w:t>must</w:t>
      </w:r>
      <w:r w:rsidRPr="00B039CF">
        <w:rPr>
          <w:rFonts w:cs="TmsRmn"/>
          <w:color w:val="000000"/>
          <w:szCs w:val="22"/>
        </w:rPr>
        <w:t xml:space="preserve"> be addressed to 445 12th Street, S.W., Washington, D.C. 20554.  </w:t>
      </w:r>
    </w:p>
    <w:p w:rsidR="00280943" w:rsidRPr="00B039CF" w:rsidP="00280943">
      <w:pPr>
        <w:ind w:firstLine="720"/>
        <w:rPr>
          <w:szCs w:val="22"/>
        </w:rPr>
      </w:pPr>
    </w:p>
    <w:p w:rsidR="00280943" w:rsidRPr="00B039CF" w:rsidP="00280943">
      <w:pPr>
        <w:pStyle w:val="BodyText"/>
        <w:widowControl/>
        <w:spacing w:after="220"/>
        <w:rPr>
          <w:szCs w:val="22"/>
        </w:rPr>
      </w:pPr>
      <w:r w:rsidRPr="00B039CF">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587290">
        <w:rPr>
          <w:color w:val="000000"/>
          <w:szCs w:val="22"/>
        </w:rPr>
        <w:t>Albert Shuldiner</w:t>
      </w:r>
      <w:r w:rsidRPr="00B039CF">
        <w:rPr>
          <w:szCs w:val="22"/>
        </w:rPr>
        <w:t xml:space="preserve">, Audio Division, Media Bureau, at </w:t>
      </w:r>
      <w:hyperlink r:id="rId5" w:history="1">
        <w:r w:rsidRPr="00935B87" w:rsidR="00BF6AF9">
          <w:rPr>
            <w:rStyle w:val="Hyperlink"/>
            <w:szCs w:val="22"/>
          </w:rPr>
          <w:t>albert.shuldiner@fcc.gov</w:t>
        </w:r>
      </w:hyperlink>
      <w:r w:rsidR="00BF6AF9">
        <w:rPr>
          <w:szCs w:val="22"/>
        </w:rPr>
        <w:t xml:space="preserve"> </w:t>
      </w:r>
      <w:r w:rsidRPr="00B039CF">
        <w:rPr>
          <w:szCs w:val="22"/>
        </w:rPr>
        <w:t xml:space="preserve">(202) 418-1410 (facsimile); (2) Lisa Scanlan, Audio Division, Media Bureau, at </w:t>
      </w:r>
      <w:hyperlink r:id="rId6" w:history="1">
        <w:r w:rsidRPr="000C60C1" w:rsidR="000C60C1">
          <w:rPr>
            <w:rStyle w:val="Hyperlink"/>
            <w:szCs w:val="22"/>
          </w:rPr>
          <w:t>lisa.scanlan@fcc.gov</w:t>
        </w:r>
      </w:hyperlink>
      <w:r w:rsidRPr="00B039CF">
        <w:rPr>
          <w:szCs w:val="22"/>
        </w:rPr>
        <w:t xml:space="preserve"> (202) 418-1410 (facsimile); and (</w:t>
      </w:r>
      <w:r w:rsidR="008D2B70">
        <w:rPr>
          <w:szCs w:val="22"/>
        </w:rPr>
        <w:t>3</w:t>
      </w:r>
      <w:r w:rsidRPr="00B039CF">
        <w:rPr>
          <w:szCs w:val="22"/>
        </w:rPr>
        <w:t xml:space="preserve">) </w:t>
      </w:r>
      <w:r w:rsidR="00DC37AA">
        <w:rPr>
          <w:szCs w:val="22"/>
        </w:rPr>
        <w:t>Amy Van de Kerckhove</w:t>
      </w:r>
      <w:r w:rsidRPr="00B039CF">
        <w:rPr>
          <w:szCs w:val="22"/>
        </w:rPr>
        <w:t xml:space="preserve">, Audio Division, Media Bureau, at </w:t>
      </w:r>
      <w:hyperlink r:id="rId7" w:history="1">
        <w:r w:rsidRPr="002E388F" w:rsidR="00DC37AA">
          <w:rPr>
            <w:rStyle w:val="Hyperlink"/>
            <w:szCs w:val="22"/>
          </w:rPr>
          <w:t>amy.vandekerckhove@fcc.gov</w:t>
        </w:r>
      </w:hyperlink>
      <w:r w:rsidR="00DC37AA">
        <w:rPr>
          <w:szCs w:val="22"/>
        </w:rPr>
        <w:t xml:space="preserve"> </w:t>
      </w:r>
      <w:r w:rsidRPr="00B039CF">
        <w:rPr>
          <w:szCs w:val="22"/>
        </w:rPr>
        <w:t xml:space="preserve">or (202) 418-1410 (facsimile).  </w:t>
      </w:r>
      <w:r w:rsidRPr="00B039CF">
        <w:rPr>
          <w:spacing w:val="-2"/>
          <w:szCs w:val="22"/>
        </w:rPr>
        <w:t xml:space="preserve">Any submission that is e-mailed to </w:t>
      </w:r>
      <w:r w:rsidR="00587290">
        <w:rPr>
          <w:spacing w:val="-2"/>
          <w:szCs w:val="22"/>
        </w:rPr>
        <w:t>Albert Shuldiner</w:t>
      </w:r>
      <w:r w:rsidRPr="00B039CF">
        <w:rPr>
          <w:spacing w:val="-2"/>
          <w:szCs w:val="22"/>
        </w:rPr>
        <w:t xml:space="preserve">, Lisa Scanlan, and </w:t>
      </w:r>
      <w:r w:rsidR="005C18ED">
        <w:rPr>
          <w:spacing w:val="-2"/>
          <w:szCs w:val="22"/>
        </w:rPr>
        <w:t>Amy Van de Kerckhove</w:t>
      </w:r>
      <w:r w:rsidRPr="00B039CF">
        <w:rPr>
          <w:spacing w:val="-2"/>
          <w:szCs w:val="22"/>
        </w:rPr>
        <w:t xml:space="preserve"> should include in the subject line of the e-mail</w:t>
      </w:r>
      <w:r w:rsidRPr="00B039CF" w:rsidR="003C0DBA">
        <w:rPr>
          <w:spacing w:val="-2"/>
          <w:szCs w:val="22"/>
        </w:rPr>
        <w:t>: (</w:t>
      </w:r>
      <w:r w:rsidRPr="00B039CF">
        <w:rPr>
          <w:spacing w:val="-2"/>
          <w:szCs w:val="22"/>
        </w:rPr>
        <w:t xml:space="preserve">1) MB </w:t>
      </w:r>
      <w:r w:rsidR="00C332D2">
        <w:rPr>
          <w:szCs w:val="22"/>
        </w:rPr>
        <w:t xml:space="preserve">Docket No. </w:t>
      </w:r>
      <w:r w:rsidRPr="0018615A" w:rsidR="0018615A">
        <w:rPr>
          <w:szCs w:val="22"/>
        </w:rPr>
        <w:t>19-143</w:t>
      </w:r>
      <w:r w:rsidRPr="00B039CF">
        <w:rPr>
          <w:szCs w:val="22"/>
        </w:rPr>
        <w:t>; (2) the name of the submitting party; and (3) a brief description or title identifying the type of document being submitted (</w:t>
      </w:r>
      <w:r w:rsidRPr="00B039CF">
        <w:rPr>
          <w:i/>
          <w:szCs w:val="22"/>
        </w:rPr>
        <w:t>e.g</w:t>
      </w:r>
      <w:r w:rsidR="00C332D2">
        <w:rPr>
          <w:szCs w:val="22"/>
        </w:rPr>
        <w:t xml:space="preserve">., MB Docket No. </w:t>
      </w:r>
      <w:r w:rsidRPr="0018615A" w:rsidR="0018615A">
        <w:rPr>
          <w:szCs w:val="22"/>
        </w:rPr>
        <w:t>19-143</w:t>
      </w:r>
      <w:r w:rsidRPr="00B039CF">
        <w:rPr>
          <w:szCs w:val="22"/>
        </w:rPr>
        <w:t>, [name of submitting party], Comments).</w:t>
      </w:r>
    </w:p>
    <w:p w:rsidR="00280943" w:rsidRPr="00B039CF" w:rsidP="00280943">
      <w:pPr>
        <w:pStyle w:val="BodyText"/>
        <w:widowControl/>
        <w:spacing w:after="220"/>
        <w:rPr>
          <w:szCs w:val="22"/>
        </w:rPr>
      </w:pPr>
      <w:r w:rsidRPr="00B039CF">
        <w:rPr>
          <w:color w:val="000000"/>
          <w:szCs w:val="22"/>
        </w:rPr>
        <w:t xml:space="preserve">Copies of the Petition and any subsequently-filed documents in this matter are available for public inspection and copying during normal reference room hours at the following Commission office:  FCC Reference Information Center, 445 12th Street, S.W., Room CY-A257, Washington, D.C. 20554.  </w:t>
      </w:r>
      <w:r w:rsidRPr="00B039CF">
        <w:rPr>
          <w:szCs w:val="22"/>
        </w:rPr>
        <w:t>In addition, the Petition is available electronically through the Media Bureau’s Consolidated Database System (CDBS), which may be accessed on the Commission’s Internet website.</w:t>
      </w:r>
    </w:p>
    <w:p w:rsidR="00280943" w:rsidRPr="00B039CF" w:rsidP="00280943">
      <w:pPr>
        <w:pStyle w:val="BodyText"/>
        <w:widowControl/>
        <w:spacing w:after="220"/>
        <w:rPr>
          <w:szCs w:val="22"/>
        </w:rPr>
      </w:pPr>
      <w:r w:rsidRPr="00B039CF">
        <w:rPr>
          <w:szCs w:val="22"/>
        </w:rP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w:t>
      </w:r>
      <w:r w:rsidRPr="00B039CF" w:rsidR="000764E5">
        <w:rPr>
          <w:szCs w:val="22"/>
        </w:rPr>
        <w:t>: (</w:t>
      </w:r>
      <w:r w:rsidRPr="00B039CF">
        <w:rPr>
          <w:szCs w:val="22"/>
        </w:rPr>
        <w:t>202) 418-0530 or TTY</w:t>
      </w:r>
      <w:r w:rsidRPr="00B039CF" w:rsidR="000764E5">
        <w:rPr>
          <w:szCs w:val="22"/>
        </w:rPr>
        <w:t>: (</w:t>
      </w:r>
      <w:r w:rsidRPr="00B039CF">
        <w:rPr>
          <w:szCs w:val="22"/>
        </w:rPr>
        <w:t>202) 418-0432.</w:t>
      </w:r>
    </w:p>
    <w:p w:rsidR="00280943" w:rsidRPr="00B039CF" w:rsidP="00280943">
      <w:pPr>
        <w:spacing w:after="220"/>
        <w:ind w:firstLine="720"/>
        <w:rPr>
          <w:szCs w:val="22"/>
        </w:rPr>
      </w:pPr>
      <w:r w:rsidRPr="00B039CF">
        <w:rPr>
          <w:szCs w:val="22"/>
        </w:rPr>
        <w:t xml:space="preserve">For further information, contact </w:t>
      </w:r>
      <w:r w:rsidR="00463BB5">
        <w:rPr>
          <w:szCs w:val="22"/>
        </w:rPr>
        <w:t>Amy Van de Kerckhove</w:t>
      </w:r>
      <w:r w:rsidRPr="00B039CF">
        <w:rPr>
          <w:szCs w:val="22"/>
        </w:rPr>
        <w:t>, Audio Division, Media Bureau, at (202) 418-</w:t>
      </w:r>
      <w:r w:rsidR="00463BB5">
        <w:rPr>
          <w:szCs w:val="22"/>
        </w:rPr>
        <w:t>2726</w:t>
      </w:r>
      <w:r w:rsidRPr="00B039CF">
        <w:rPr>
          <w:szCs w:val="22"/>
        </w:rPr>
        <w:t>.  Press inquiries should be directed to Janice Wise, Media Bureau, (202) 418-</w:t>
      </w:r>
      <w:r w:rsidR="00536D01">
        <w:rPr>
          <w:szCs w:val="22"/>
        </w:rPr>
        <w:t>8165</w:t>
      </w:r>
      <w:r w:rsidRPr="00B039CF">
        <w:rPr>
          <w:szCs w:val="22"/>
        </w:rPr>
        <w:t xml:space="preserve"> or (888) 835-5322.  </w:t>
      </w:r>
    </w:p>
    <w:p w:rsidR="0004196D" w:rsidRPr="00B039CF" w:rsidP="00BF6AF9">
      <w:pPr>
        <w:spacing w:after="220"/>
        <w:ind w:firstLine="720"/>
        <w:jc w:val="center"/>
        <w:rPr>
          <w:szCs w:val="22"/>
        </w:rPr>
      </w:pPr>
      <w:r w:rsidRPr="00B039CF">
        <w:rPr>
          <w:szCs w:val="22"/>
        </w:rPr>
        <w:t>-FCC-</w:t>
      </w:r>
    </w:p>
    <w:sectPr w:rsidSect="00B039CF">
      <w:footerReference w:type="even" r:id="rId8"/>
      <w:footerReference w:type="default" r:id="rId9"/>
      <w:headerReference w:type="first" r:id="rId10"/>
      <w:type w:val="continuous"/>
      <w:pgSz w:w="12240" w:h="15840" w:code="1"/>
      <w:pgMar w:top="720" w:right="1152"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A0E">
      <w:rPr>
        <w:rStyle w:val="PageNumber"/>
        <w:noProof/>
      </w:rPr>
      <w:t>4</w:t>
    </w:r>
    <w:r>
      <w:rPr>
        <w:rStyle w:val="PageNumber"/>
      </w:rPr>
      <w:fldChar w:fldCharType="end"/>
    </w:r>
  </w:p>
  <w:p w:rsidR="005B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0623">
      <w:r>
        <w:separator/>
      </w:r>
    </w:p>
  </w:footnote>
  <w:footnote w:type="continuationSeparator" w:id="1">
    <w:p w:rsidR="00460623" w:rsidRPr="007924E8" w:rsidP="007924E8">
      <w:pPr>
        <w:rPr>
          <w:sz w:val="20"/>
        </w:rPr>
      </w:pPr>
      <w:r w:rsidRPr="007924E8">
        <w:rPr>
          <w:sz w:val="20"/>
        </w:rPr>
        <w:separator/>
      </w:r>
    </w:p>
    <w:p w:rsidR="00460623" w:rsidRPr="007924E8" w:rsidP="007924E8">
      <w:pPr>
        <w:pStyle w:val="Footer"/>
        <w:rPr>
          <w:sz w:val="20"/>
        </w:rPr>
      </w:pPr>
      <w:r w:rsidRPr="007924E8">
        <w:rPr>
          <w:sz w:val="20"/>
        </w:rPr>
        <w:t>(…continued from previous page)</w:t>
      </w:r>
    </w:p>
  </w:footnote>
  <w:footnote w:type="continuationNotice" w:id="2">
    <w:p w:rsidR="00460623" w:rsidRPr="00842932" w:rsidP="00842932">
      <w:pPr>
        <w:pStyle w:val="Footer"/>
      </w:pPr>
    </w:p>
  </w:footnote>
  <w:footnote w:id="3">
    <w:p w:rsidR="00280943" w:rsidP="00B039CF">
      <w:pPr>
        <w:pStyle w:val="FootnoteText"/>
        <w:spacing w:after="0"/>
      </w:pPr>
      <w:r w:rsidRPr="00BC03BD">
        <w:rPr>
          <w:rStyle w:val="FootnoteReference"/>
        </w:rPr>
        <w:footnoteRef/>
      </w:r>
      <w:r w:rsidRPr="00BC03BD">
        <w:t xml:space="preserve"> 47 U.S.C. § 310(b)(4); </w:t>
      </w:r>
      <w:r w:rsidRPr="00BC03BD">
        <w:rPr>
          <w:i/>
        </w:rPr>
        <w:t>see also Commission Policies and Procedures Under Section 310(b)(4) of the Communications Act, Foreign Investment in Broadcast Licensees</w:t>
      </w:r>
      <w:r w:rsidRPr="00BC03BD">
        <w:t xml:space="preserve">, Declaratory Ruling, 28 FCC Rcd 16244 (2013).  </w:t>
      </w:r>
    </w:p>
    <w:p w:rsidR="00280943" w:rsidRPr="00BC03BD" w:rsidP="00280943">
      <w:pPr>
        <w:pStyle w:val="FootnoteText"/>
        <w:spacing w:after="0"/>
        <w:ind w:left="720"/>
      </w:pPr>
    </w:p>
  </w:footnote>
  <w:footnote w:id="4">
    <w:p w:rsidR="00E75BAA" w:rsidRPr="00F118C6">
      <w:pPr>
        <w:pStyle w:val="FootnoteText"/>
        <w:rPr>
          <w:i/>
        </w:rPr>
      </w:pPr>
      <w:r>
        <w:rPr>
          <w:rStyle w:val="FootnoteReference"/>
        </w:rPr>
        <w:footnoteRef/>
      </w:r>
      <w:r>
        <w:t xml:space="preserve"> 47 CFR § 1.5000(a)(1)</w:t>
      </w:r>
      <w:r w:rsidR="00F118C6">
        <w:t xml:space="preserve">; </w:t>
      </w:r>
      <w:r w:rsidR="00F118C6">
        <w:rPr>
          <w:i/>
        </w:rPr>
        <w:t>see also Review of Foreign Ownership Policies for Broadcast, Common Carrier, and Aeronautical Radio Licensees Under Section 310(b)(4) of the Communications Act of 1934</w:t>
      </w:r>
      <w:r w:rsidR="00F118C6">
        <w:t xml:space="preserve">, </w:t>
      </w:r>
      <w:r w:rsidR="00F118C6">
        <w:rPr>
          <w:i/>
        </w:rPr>
        <w:t>as Amended</w:t>
      </w:r>
      <w:r w:rsidR="00F118C6">
        <w:t>, Report and Order, 31 FCC Rcd 11272 (2016).</w:t>
      </w:r>
      <w:r w:rsidR="00F118C6">
        <w:rPr>
          <w:i/>
        </w:rPr>
        <w:t xml:space="preserve"> </w:t>
      </w:r>
    </w:p>
  </w:footnote>
  <w:footnote w:id="5">
    <w:p w:rsidR="00AA7238" w:rsidRPr="00AA7238">
      <w:pPr>
        <w:pStyle w:val="FootnoteText"/>
      </w:pPr>
      <w:r>
        <w:rPr>
          <w:rStyle w:val="FootnoteReference"/>
        </w:rPr>
        <w:footnoteRef/>
      </w:r>
      <w:r>
        <w:t xml:space="preserve"> </w:t>
      </w:r>
      <w:r>
        <w:rPr>
          <w:i/>
        </w:rPr>
        <w:t xml:space="preserve">See </w:t>
      </w:r>
      <w:r>
        <w:t>Petition for Declaratory Ruling of Cumulus Media Inc., dated July 19, 2018</w:t>
      </w:r>
      <w:r w:rsidR="00F773C3">
        <w:t>, at Exhibit A, Information Regarding Applicant and Licensees.  Cumulus owns and operates nearly 450 full power radio broadcast stations, together with translator and booster stations and other ancillary facilities licensed by the Commission, in 90 markets.</w:t>
      </w:r>
      <w:r w:rsidR="00AB4FEF">
        <w:t xml:space="preserve">  Cumulus also owns Westwood One, </w:t>
      </w:r>
      <w:r w:rsidR="00F6602F">
        <w:t xml:space="preserve">LLC, </w:t>
      </w:r>
      <w:r w:rsidR="00AB4FEF">
        <w:t>a producer and syndicator of radio content.</w:t>
      </w:r>
      <w:r w:rsidR="00F773C3">
        <w:t xml:space="preserve">   </w:t>
      </w:r>
      <w:r>
        <w:t xml:space="preserve">  </w:t>
      </w:r>
    </w:p>
  </w:footnote>
  <w:footnote w:id="6">
    <w:p w:rsidR="00AE0CF8">
      <w:pPr>
        <w:pStyle w:val="FootnoteText"/>
      </w:pPr>
      <w:r>
        <w:rPr>
          <w:rStyle w:val="FootnoteReference"/>
        </w:rPr>
        <w:footnoteRef/>
      </w:r>
      <w:r>
        <w:t xml:space="preserve"> In November 2017, Cumulus and its direct and indirect subsidiaries filed </w:t>
      </w:r>
      <w:r w:rsidR="00F6602F">
        <w:t xml:space="preserve">voluntary </w:t>
      </w:r>
      <w:r>
        <w:t xml:space="preserve">petitions for relief under Chapter 11 of the Bankruptcy Code, 11 U.S.C. §§ 101 </w:t>
      </w:r>
      <w:r>
        <w:rPr>
          <w:i/>
        </w:rPr>
        <w:t>et seq</w:t>
      </w:r>
      <w:r>
        <w:t>.</w:t>
      </w:r>
      <w:r w:rsidR="00F6602F">
        <w:t xml:space="preserve">, with the U.S. Bankruptcy Court for the Southern District of New York. </w:t>
      </w:r>
      <w:r w:rsidRPr="00F6602F" w:rsidR="00F6602F">
        <w:rPr>
          <w:i/>
        </w:rPr>
        <w:t>In re Cumulus Media, Inc., et. al</w:t>
      </w:r>
      <w:r w:rsidR="00F6602F">
        <w:t xml:space="preserve">., Case No. 17-13381 (SCC) (Bankr. SDNY) (Docket No. 446). </w:t>
      </w:r>
      <w:r>
        <w:t xml:space="preserve">    </w:t>
      </w:r>
    </w:p>
  </w:footnote>
  <w:footnote w:id="7">
    <w:p w:rsidR="00AE0CF8">
      <w:pPr>
        <w:pStyle w:val="FootnoteText"/>
      </w:pPr>
      <w:r>
        <w:rPr>
          <w:rStyle w:val="FootnoteReference"/>
        </w:rPr>
        <w:footnoteRef/>
      </w:r>
      <w:r>
        <w:t xml:space="preserve"> Petition at 2-3.</w:t>
      </w:r>
    </w:p>
  </w:footnote>
  <w:footnote w:id="8">
    <w:p w:rsidR="00104305" w:rsidRPr="00104305">
      <w:pPr>
        <w:pStyle w:val="FootnoteText"/>
      </w:pPr>
      <w:r>
        <w:rPr>
          <w:rStyle w:val="FootnoteReference"/>
        </w:rPr>
        <w:footnoteRef/>
      </w:r>
      <w:r>
        <w:t xml:space="preserve"> </w:t>
      </w:r>
      <w:r>
        <w:rPr>
          <w:i/>
        </w:rPr>
        <w:t xml:space="preserve">See </w:t>
      </w:r>
      <w:r>
        <w:t>FCC File Nos. BTC-20180322ABI, BTCH-20180322AKR, BTC-20180322ALP, BTCH-20180322AMO, BTC-20180322AMU, BTC-20180322AMW, and BTCH-20180322AMV.  The Commission granted the applications on June 1, 2018</w:t>
      </w:r>
      <w:r w:rsidR="00BF738B">
        <w:t>; the transfer was</w:t>
      </w:r>
      <w:r>
        <w:t xml:space="preserve"> </w:t>
      </w:r>
      <w:r w:rsidR="00BF738B">
        <w:t>c</w:t>
      </w:r>
      <w:r w:rsidR="0065773F">
        <w:t xml:space="preserve">onsummated </w:t>
      </w:r>
      <w:r w:rsidR="00BF738B">
        <w:t xml:space="preserve">on </w:t>
      </w:r>
      <w:r w:rsidR="0065773F">
        <w:t>June 4, 2018</w:t>
      </w:r>
      <w:r w:rsidR="00BF738B">
        <w:t>.</w:t>
      </w:r>
    </w:p>
  </w:footnote>
  <w:footnote w:id="9">
    <w:p w:rsidR="00973CBD">
      <w:pPr>
        <w:pStyle w:val="FootnoteText"/>
      </w:pPr>
      <w:r>
        <w:rPr>
          <w:rStyle w:val="FootnoteReference"/>
        </w:rPr>
        <w:footnoteRef/>
      </w:r>
      <w:r>
        <w:t xml:space="preserve"> </w:t>
      </w:r>
      <w:r w:rsidR="00EF6CAD">
        <w:t>Cumulus</w:t>
      </w:r>
      <w:r w:rsidR="00F91690">
        <w:t xml:space="preserve"> states that u</w:t>
      </w:r>
      <w:r>
        <w:t>pon emergence from bankruptcy</w:t>
      </w:r>
      <w:r w:rsidR="003A22CA">
        <w:t>,</w:t>
      </w:r>
      <w:r>
        <w:t xml:space="preserve"> foreign ownership of </w:t>
      </w:r>
      <w:r w:rsidR="00EF6CAD">
        <w:t>its</w:t>
      </w:r>
      <w:r>
        <w:t xml:space="preserve"> stock was no greater than 22.5 percent on a voting and equity basis</w:t>
      </w:r>
      <w:r w:rsidR="008B370D">
        <w:t>, due to the equity allocation mechanism in the reorganization plan, and no more than five percent of its voting stock, upon emergence, was held, directly or indirectly, by any single foreign holder (or commonly controlled group thereof) on either a voting or equity basis</w:t>
      </w:r>
      <w:r>
        <w:t xml:space="preserve">.  </w:t>
      </w:r>
      <w:r>
        <w:rPr>
          <w:i/>
        </w:rPr>
        <w:t xml:space="preserve">See </w:t>
      </w:r>
      <w:r>
        <w:t xml:space="preserve">Petition at 13. </w:t>
      </w:r>
    </w:p>
  </w:footnote>
  <w:footnote w:id="10">
    <w:p w:rsidR="00C04AB2" w:rsidRPr="00C04AB2">
      <w:pPr>
        <w:pStyle w:val="FootnoteText"/>
      </w:pPr>
      <w:r>
        <w:rPr>
          <w:rStyle w:val="FootnoteReference"/>
        </w:rPr>
        <w:footnoteRef/>
      </w:r>
      <w:r>
        <w:t xml:space="preserve"> </w:t>
      </w:r>
      <w:r>
        <w:rPr>
          <w:i/>
        </w:rPr>
        <w:t xml:space="preserve">See </w:t>
      </w:r>
      <w:r>
        <w:t>Petition at 13-14.</w:t>
      </w:r>
      <w:r w:rsidR="007A4BAE">
        <w:t xml:space="preserve">  </w:t>
      </w:r>
    </w:p>
  </w:footnote>
  <w:footnote w:id="11">
    <w:p w:rsidR="00B46667" w:rsidRPr="00B46667">
      <w:pPr>
        <w:pStyle w:val="FootnoteText"/>
      </w:pPr>
      <w:r>
        <w:rPr>
          <w:rStyle w:val="FootnoteReference"/>
        </w:rPr>
        <w:footnoteRef/>
      </w:r>
      <w:r>
        <w:t xml:space="preserve"> </w:t>
      </w:r>
      <w:r w:rsidR="00BA0777">
        <w:rPr>
          <w:i/>
        </w:rPr>
        <w:t>Id</w:t>
      </w:r>
      <w:r>
        <w:rPr>
          <w:i/>
        </w:rPr>
        <w:t xml:space="preserve"> </w:t>
      </w:r>
      <w:r>
        <w:t>at 13.</w:t>
      </w:r>
      <w:r w:rsidR="00BA0777">
        <w:t xml:space="preserve">  Cumulus explains that the “numbers were calculated based on information provided by holders of debt claims which were entitled to receive Units in the Reorganization.”  Supplement to Petition for Declaratory Ruling (Supplement), dated </w:t>
      </w:r>
      <w:r w:rsidR="003A019A">
        <w:t>April 17</w:t>
      </w:r>
      <w:r w:rsidR="00BA0777">
        <w:t>, 2019, at 2.  In Attachment A to the Supplement, Cumulus lists each non-U.S.</w:t>
      </w:r>
      <w:r w:rsidR="006166EF">
        <w:t xml:space="preserve"> holder of</w:t>
      </w:r>
      <w:r w:rsidR="00BA0777">
        <w:t xml:space="preserve"> Units constituting on</w:t>
      </w:r>
      <w:r w:rsidR="006166EF">
        <w:t>e</w:t>
      </w:r>
      <w:r w:rsidR="00BA0777">
        <w:t xml:space="preserve"> percent more of the total outstanding </w:t>
      </w:r>
      <w:r w:rsidR="006166EF">
        <w:t>U</w:t>
      </w:r>
      <w:r w:rsidR="00BA0777">
        <w:t xml:space="preserve">nits, the percentage of all outstanding </w:t>
      </w:r>
      <w:r w:rsidR="006166EF">
        <w:t>U</w:t>
      </w:r>
      <w:r w:rsidR="00BA0777">
        <w:t>nits held by non-U.S. funds, and the nationality of such funds</w:t>
      </w:r>
      <w:r w:rsidR="006166EF">
        <w:t>.</w:t>
      </w:r>
    </w:p>
  </w:footnote>
  <w:footnote w:id="12">
    <w:p w:rsidR="008D2B70" w:rsidRPr="008D2B70">
      <w:pPr>
        <w:pStyle w:val="FootnoteText"/>
      </w:pPr>
      <w:r>
        <w:rPr>
          <w:rStyle w:val="FootnoteReference"/>
        </w:rPr>
        <w:footnoteRef/>
      </w:r>
      <w:r>
        <w:t xml:space="preserve"> </w:t>
      </w:r>
      <w:r>
        <w:rPr>
          <w:i/>
        </w:rPr>
        <w:t xml:space="preserve">Id. </w:t>
      </w:r>
      <w:r>
        <w:t>at 14.</w:t>
      </w:r>
    </w:p>
  </w:footnote>
  <w:footnote w:id="13">
    <w:p w:rsidR="00973CBD">
      <w:pPr>
        <w:pStyle w:val="FootnoteText"/>
      </w:pPr>
      <w:r>
        <w:rPr>
          <w:rStyle w:val="FootnoteReference"/>
        </w:rPr>
        <w:footnoteRef/>
      </w:r>
      <w:r>
        <w:t xml:space="preserve"> </w:t>
      </w:r>
      <w:r w:rsidR="005A1FF7">
        <w:rPr>
          <w:i/>
        </w:rPr>
        <w:t>Id.</w:t>
      </w:r>
      <w:r>
        <w:t xml:space="preserve"> at 3-4, 11</w:t>
      </w:r>
      <w:r w:rsidR="00527BE2">
        <w:t>, 18-19.</w:t>
      </w:r>
    </w:p>
  </w:footnote>
  <w:footnote w:id="14">
    <w:p w:rsidR="00504A90" w:rsidRPr="00504A90">
      <w:pPr>
        <w:pStyle w:val="FootnoteText"/>
      </w:pPr>
      <w:r>
        <w:rPr>
          <w:rStyle w:val="FootnoteReference"/>
        </w:rPr>
        <w:footnoteRef/>
      </w:r>
      <w:r>
        <w:t xml:space="preserve"> </w:t>
      </w:r>
      <w:r>
        <w:rPr>
          <w:i/>
        </w:rPr>
        <w:t xml:space="preserve">Id. </w:t>
      </w:r>
      <w:r>
        <w:t>at 17-18.</w:t>
      </w:r>
    </w:p>
  </w:footnote>
  <w:footnote w:id="15">
    <w:p w:rsidR="00104305">
      <w:pPr>
        <w:pStyle w:val="FootnoteText"/>
      </w:pPr>
      <w:r>
        <w:rPr>
          <w:rStyle w:val="FootnoteReference"/>
        </w:rPr>
        <w:footnoteRef/>
      </w:r>
      <w:r>
        <w:t xml:space="preserve"> </w:t>
      </w:r>
      <w:r w:rsidR="002B6B35">
        <w:rPr>
          <w:i/>
        </w:rPr>
        <w:t>Id.</w:t>
      </w:r>
      <w:r>
        <w:t xml:space="preserve"> at </w:t>
      </w:r>
      <w:r w:rsidR="00527BE2">
        <w:t>14-17</w:t>
      </w:r>
      <w:r w:rsidR="00F91690">
        <w:t>,</w:t>
      </w:r>
      <w:r w:rsidR="00527BE2">
        <w:t xml:space="preserve"> </w:t>
      </w:r>
      <w:r w:rsidR="00BC253D">
        <w:t>20</w:t>
      </w:r>
      <w:r>
        <w:t>.</w:t>
      </w:r>
    </w:p>
  </w:footnote>
  <w:footnote w:id="16">
    <w:p w:rsidR="00D6441F" w:rsidRPr="00D6441F">
      <w:pPr>
        <w:pStyle w:val="FootnoteText"/>
      </w:pPr>
      <w:r>
        <w:rPr>
          <w:rStyle w:val="FootnoteReference"/>
        </w:rPr>
        <w:footnoteRef/>
      </w:r>
      <w:r>
        <w:t xml:space="preserve"> </w:t>
      </w:r>
      <w:r>
        <w:rPr>
          <w:i/>
        </w:rPr>
        <w:t xml:space="preserve">Id. </w:t>
      </w:r>
      <w:r>
        <w:t>at 16.</w:t>
      </w:r>
    </w:p>
  </w:footnote>
  <w:footnote w:id="17">
    <w:p w:rsidR="00280943" w:rsidRPr="00F170F2" w:rsidP="00280943">
      <w:pPr>
        <w:pStyle w:val="FootnoteText"/>
      </w:pPr>
      <w:r>
        <w:rPr>
          <w:rStyle w:val="FootnoteReference"/>
        </w:rPr>
        <w:footnoteRef/>
      </w:r>
      <w:r>
        <w:t xml:space="preserve"> </w:t>
      </w:r>
      <w:r w:rsidR="005743F8">
        <w:rPr>
          <w:i/>
        </w:rPr>
        <w:t>Id</w:t>
      </w:r>
      <w:r w:rsidR="00542231">
        <w:rPr>
          <w:i/>
        </w:rPr>
        <w:t>.</w:t>
      </w:r>
      <w:r w:rsidRPr="00F170F2">
        <w:t xml:space="preserve"> at </w:t>
      </w:r>
      <w:r w:rsidR="00BC253D">
        <w:t xml:space="preserve">4, </w:t>
      </w:r>
      <w:r w:rsidR="00B5583E">
        <w:t>2</w:t>
      </w:r>
      <w:r w:rsidR="00420ADA">
        <w:t>0</w:t>
      </w:r>
      <w:r w:rsidRPr="00F170F2">
        <w:t>.</w:t>
      </w:r>
    </w:p>
  </w:footnote>
  <w:footnote w:id="18">
    <w:p w:rsidR="00280943" w:rsidRPr="00BC03BD" w:rsidP="002249A4">
      <w:pPr>
        <w:spacing w:after="120"/>
        <w:rPr>
          <w:sz w:val="20"/>
        </w:rPr>
      </w:pPr>
      <w:r w:rsidRPr="00BC03BD">
        <w:rPr>
          <w:rStyle w:val="FootnoteReference"/>
          <w:sz w:val="20"/>
        </w:rPr>
        <w:footnoteRef/>
      </w:r>
      <w:r w:rsidR="006F4721">
        <w:rPr>
          <w:sz w:val="20"/>
        </w:rPr>
        <w:t xml:space="preserve"> 47 CF</w:t>
      </w:r>
      <w:r w:rsidRPr="00BC03BD">
        <w:rPr>
          <w:sz w:val="20"/>
        </w:rPr>
        <w:t xml:space="preserve">R § 1.1200(a).  </w:t>
      </w:r>
    </w:p>
  </w:footnote>
  <w:footnote w:id="19">
    <w:p w:rsidR="00280943" w:rsidRPr="00BC03BD" w:rsidP="00280943">
      <w:pPr>
        <w:pStyle w:val="FootnoteText"/>
      </w:pPr>
      <w:r w:rsidRPr="00BC03BD">
        <w:rPr>
          <w:rStyle w:val="FootnoteReference"/>
        </w:rPr>
        <w:footnoteRef/>
      </w:r>
      <w:r w:rsidR="006F4721">
        <w:t xml:space="preserve"> 47 CFR</w:t>
      </w:r>
      <w:r w:rsidRPr="00BC03BD">
        <w:t xml:space="preserve"> § 1.1206.</w:t>
      </w:r>
    </w:p>
  </w:footnote>
  <w:footnote w:id="20">
    <w:p w:rsidR="00280943" w:rsidRPr="00BC03BD" w:rsidP="00280943">
      <w:pPr>
        <w:pStyle w:val="FootnoteText"/>
      </w:pPr>
      <w:r w:rsidRPr="00BC03BD">
        <w:rPr>
          <w:rStyle w:val="FootnoteReference"/>
        </w:rPr>
        <w:footnoteRef/>
      </w:r>
      <w:r w:rsidRPr="00BC03BD">
        <w:t xml:space="preserve"> </w:t>
      </w:r>
      <w:r w:rsidRPr="00BC03BD">
        <w:rPr>
          <w:i/>
        </w:rPr>
        <w:t xml:space="preserve">See </w:t>
      </w:r>
      <w:r w:rsidRPr="00BC03BD">
        <w:t>47 CFR § 1.1206(b)(1).</w:t>
      </w:r>
    </w:p>
  </w:footnote>
  <w:footnote w:id="21">
    <w:p w:rsidR="00280943" w:rsidRPr="00BC03BD" w:rsidP="00280943">
      <w:pPr>
        <w:pStyle w:val="FootnoteText"/>
      </w:pPr>
      <w:r w:rsidRPr="00BC03BD">
        <w:rPr>
          <w:rStyle w:val="FootnoteReference"/>
        </w:rPr>
        <w:footnoteRef/>
      </w:r>
      <w:r w:rsidRPr="00BC03BD">
        <w:t xml:space="preserve"> </w:t>
      </w:r>
      <w:r w:rsidRPr="00BC03BD">
        <w:rPr>
          <w:i/>
        </w:rPr>
        <w:t>See id</w:t>
      </w:r>
      <w:r w:rsidRPr="00BC03BD">
        <w:t>.</w:t>
      </w:r>
    </w:p>
  </w:footnote>
  <w:footnote w:id="22">
    <w:p w:rsidR="00280943" w:rsidRPr="00BC03BD" w:rsidP="00280943">
      <w:pPr>
        <w:pStyle w:val="FootnoteText"/>
      </w:pPr>
      <w:r w:rsidRPr="00BC03BD">
        <w:rPr>
          <w:rStyle w:val="FootnoteReference"/>
        </w:rPr>
        <w:footnoteRef/>
      </w:r>
      <w:r w:rsidRPr="00BC03BD">
        <w:t xml:space="preserve"> 47 CFR § 1.1206(b).</w:t>
      </w:r>
    </w:p>
  </w:footnote>
  <w:footnote w:id="23">
    <w:p w:rsidR="00280943" w:rsidRPr="00BC03BD" w:rsidP="00280943">
      <w:pPr>
        <w:pStyle w:val="FootnoteText"/>
      </w:pPr>
      <w:r w:rsidRPr="00BC03BD">
        <w:rPr>
          <w:rStyle w:val="FootnoteReference"/>
        </w:rPr>
        <w:footnoteRef/>
      </w:r>
      <w:r w:rsidRPr="00BC03BD">
        <w:t xml:space="preserve"> 47 CFR § 73.3514(b); </w:t>
      </w:r>
      <w:r w:rsidRPr="00BC03BD">
        <w:rPr>
          <w:i/>
        </w:rPr>
        <w:t xml:space="preserve">see also BBC License Subsidiary, L.P., </w:t>
      </w:r>
      <w:r w:rsidRPr="00BC03BD">
        <w:t>Order, 10 FCC Rcd 2458, 2461 (MMB 1994).</w:t>
      </w:r>
    </w:p>
  </w:footnote>
  <w:footnote w:id="24">
    <w:p w:rsidR="00280943" w:rsidRPr="00BC03BD" w:rsidP="00280943">
      <w:pPr>
        <w:pStyle w:val="FootnoteText"/>
      </w:pPr>
      <w:r w:rsidRPr="00BC03BD">
        <w:rPr>
          <w:rStyle w:val="FootnoteReference"/>
        </w:rPr>
        <w:footnoteRef/>
      </w:r>
      <w:r w:rsidRPr="00BC03BD">
        <w:t xml:space="preserve"> </w:t>
      </w:r>
      <w:r w:rsidRPr="00BC03BD">
        <w:rPr>
          <w:i/>
        </w:rPr>
        <w:t>See</w:t>
      </w:r>
      <w:r w:rsidRPr="00BC03BD">
        <w:t xml:space="preserve"> 47 CFR § 1.45(c).</w:t>
      </w:r>
    </w:p>
  </w:footnote>
  <w:footnote w:id="25">
    <w:p w:rsidR="00280943" w:rsidRPr="00BC03BD" w:rsidP="00280943">
      <w:pPr>
        <w:pStyle w:val="FootnoteText"/>
      </w:pPr>
      <w:r w:rsidRPr="00BC03BD">
        <w:rPr>
          <w:rStyle w:val="FootnoteReference"/>
        </w:rPr>
        <w:footnoteRef/>
      </w:r>
      <w:r w:rsidRPr="00BC03BD">
        <w:t xml:space="preserve"> </w:t>
      </w:r>
      <w:r w:rsidRPr="00BC03BD">
        <w:rPr>
          <w:i/>
        </w:rPr>
        <w:t xml:space="preserve">See </w:t>
      </w:r>
      <w:bookmarkStart w:id="2" w:name="SR;2766"/>
      <w:bookmarkStart w:id="3" w:name="SearchTerm"/>
      <w:bookmarkEnd w:id="2"/>
      <w:r w:rsidRPr="00BC03BD">
        <w:rPr>
          <w:bCs/>
          <w:i/>
        </w:rPr>
        <w:t>FCC</w:t>
      </w:r>
      <w:r w:rsidRPr="00BC03BD">
        <w:rPr>
          <w:i/>
        </w:rPr>
        <w:t xml:space="preserve"> </w:t>
      </w:r>
      <w:bookmarkStart w:id="4" w:name="SR;2767"/>
      <w:bookmarkEnd w:id="4"/>
      <w:r w:rsidRPr="00BC03BD">
        <w:rPr>
          <w:bCs/>
          <w:i/>
        </w:rPr>
        <w:t>Announces</w:t>
      </w:r>
      <w:r w:rsidRPr="00BC03BD">
        <w:rPr>
          <w:i/>
        </w:rPr>
        <w:t xml:space="preserve"> </w:t>
      </w:r>
      <w:bookmarkStart w:id="5" w:name="SR;2768"/>
      <w:bookmarkEnd w:id="5"/>
      <w:r w:rsidRPr="00BC03BD">
        <w:rPr>
          <w:bCs/>
          <w:i/>
        </w:rPr>
        <w:t>Change</w:t>
      </w:r>
      <w:r w:rsidRPr="00BC03BD">
        <w:rPr>
          <w:i/>
        </w:rPr>
        <w:t xml:space="preserve"> in </w:t>
      </w:r>
      <w:bookmarkStart w:id="6" w:name="SR;2770"/>
      <w:bookmarkEnd w:id="6"/>
      <w:r w:rsidRPr="00BC03BD">
        <w:rPr>
          <w:bCs/>
          <w:i/>
        </w:rPr>
        <w:t>Filing</w:t>
      </w:r>
      <w:r w:rsidRPr="00BC03BD">
        <w:rPr>
          <w:i/>
        </w:rPr>
        <w:t xml:space="preserve"> </w:t>
      </w:r>
      <w:bookmarkStart w:id="7" w:name="SR;2771"/>
      <w:bookmarkEnd w:id="7"/>
      <w:r w:rsidRPr="00BC03BD">
        <w:rPr>
          <w:bCs/>
          <w:i/>
        </w:rPr>
        <w:t>Location</w:t>
      </w:r>
      <w:r w:rsidRPr="00BC03BD">
        <w:rPr>
          <w:i/>
        </w:rPr>
        <w:t xml:space="preserve"> for </w:t>
      </w:r>
      <w:bookmarkStart w:id="8" w:name="SR;2773"/>
      <w:bookmarkEnd w:id="8"/>
      <w:r w:rsidRPr="00BC03BD">
        <w:rPr>
          <w:bCs/>
          <w:i/>
        </w:rPr>
        <w:t>Paper</w:t>
      </w:r>
      <w:r w:rsidRPr="00BC03BD">
        <w:rPr>
          <w:i/>
        </w:rPr>
        <w:t xml:space="preserve"> </w:t>
      </w:r>
      <w:bookmarkStart w:id="9" w:name="SR;2774"/>
      <w:bookmarkEnd w:id="3"/>
      <w:bookmarkEnd w:id="9"/>
      <w:r w:rsidRPr="00BC03BD">
        <w:rPr>
          <w:bCs/>
          <w:i/>
        </w:rPr>
        <w:t>Documents</w:t>
      </w:r>
      <w:r w:rsidRPr="00BC03BD">
        <w:t xml:space="preserve">, </w:t>
      </w:r>
      <w:r w:rsidRPr="00BC03BD">
        <w:rPr>
          <w:iCs/>
        </w:rPr>
        <w:t>Public Notice</w:t>
      </w:r>
      <w:r w:rsidRPr="00BC03BD">
        <w:t xml:space="preserve">, 24 FCC Rcd 14312 (2009). </w:t>
      </w:r>
    </w:p>
  </w:footnote>
  <w:footnote w:id="26">
    <w:p w:rsidR="00280943" w:rsidRPr="00BC03BD" w:rsidP="00280943">
      <w:pPr>
        <w:pStyle w:val="FootnoteText"/>
      </w:pPr>
      <w:r w:rsidRPr="00BC03BD">
        <w:rPr>
          <w:rStyle w:val="FootnoteReference"/>
        </w:rPr>
        <w:footnoteRef/>
      </w:r>
      <w:r w:rsidRPr="00BC03BD">
        <w:t xml:space="preserve"> </w:t>
      </w:r>
      <w:r w:rsidRPr="00BC03BD">
        <w:rPr>
          <w:i/>
        </w:rPr>
        <w:t>See</w:t>
      </w:r>
      <w:r w:rsidRPr="00BC03BD">
        <w:t xml:space="preserve"> </w:t>
      </w:r>
      <w:r w:rsidRPr="00BC03BD">
        <w:rPr>
          <w:i/>
        </w:rPr>
        <w:t>Electronic Filing of Documents in Rulemaking Proceedings</w:t>
      </w:r>
      <w:r w:rsidRPr="00BC03BD">
        <w:t>, GC Docket No. 97-113, Report and Order, 13 FCC Rcd 11322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BE4" w:rsidP="00C4140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inline distT="0" distB="0" distL="0" distR="0">
          <wp:extent cx="457200" cy="457200"/>
          <wp:effectExtent l="0" t="0" r="0" b="0"/>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945291"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inline>
      </w:drawing>
    </w:r>
    <w:r w:rsidR="00B039CF">
      <w:rPr>
        <w:rFonts w:ascii="News Gothic MT" w:hAnsi="News Gothic MT"/>
        <w:b/>
        <w:kern w:val="28"/>
        <w:sz w:val="96"/>
      </w:rPr>
      <w:t xml:space="preserve"> </w:t>
    </w:r>
    <w:r>
      <w:rPr>
        <w:rFonts w:ascii="News Gothic MT" w:hAnsi="News Gothic MT"/>
        <w:b/>
        <w:kern w:val="28"/>
        <w:sz w:val="96"/>
      </w:rPr>
      <w:t>PUBLIC NOTICE</w:t>
    </w:r>
  </w:p>
  <w:p w:rsidR="00362BE4">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3411855</wp:posOffset>
              </wp:positionH>
              <wp:positionV relativeFrom="paragraph">
                <wp:posOffset>76200</wp:posOffset>
              </wp:positionV>
              <wp:extent cx="2640965" cy="548640"/>
              <wp:effectExtent l="1905" t="0" r="0" b="381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pPr>
                            <w:spacing w:before="40"/>
                            <w:jc w:val="right"/>
                            <w:rPr>
                              <w:rFonts w:ascii="Arial" w:hAnsi="Arial"/>
                              <w:b/>
                              <w:sz w:val="16"/>
                            </w:rPr>
                          </w:pPr>
                          <w:r>
                            <w:rPr>
                              <w:rFonts w:ascii="Arial" w:hAnsi="Arial"/>
                              <w:b/>
                              <w:sz w:val="16"/>
                            </w:rPr>
                            <w:t>News Media Information 202 / 418-0500</w:t>
                          </w:r>
                        </w:p>
                        <w:p w:rsidR="00362BE4">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362BE4">
                          <w:pPr>
                            <w:jc w:val="right"/>
                            <w:rPr>
                              <w:rFonts w:ascii="Arial" w:hAnsi="Arial"/>
                              <w:b/>
                              <w:sz w:val="16"/>
                            </w:rPr>
                          </w:pPr>
                          <w:r>
                            <w:rPr>
                              <w:rFonts w:ascii="Arial" w:hAnsi="Arial"/>
                              <w:b/>
                              <w:sz w:val="16"/>
                            </w:rPr>
                            <w:t>TTY: 1-888-835-5322</w:t>
                          </w:r>
                        </w:p>
                        <w:p w:rsidR="00362BE4">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3.2pt;margin-top:6pt;margin-left:268.6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362BE4">
                    <w:pPr>
                      <w:spacing w:before="40"/>
                      <w:jc w:val="right"/>
                      <w:rPr>
                        <w:rFonts w:ascii="Arial" w:hAnsi="Arial"/>
                        <w:b/>
                        <w:sz w:val="16"/>
                      </w:rPr>
                    </w:pPr>
                    <w:r>
                      <w:rPr>
                        <w:rFonts w:ascii="Arial" w:hAnsi="Arial"/>
                        <w:b/>
                        <w:sz w:val="16"/>
                      </w:rPr>
                      <w:t>News Media Information 202 / 418-0500</w:t>
                    </w:r>
                  </w:p>
                  <w:p w:rsidR="00362BE4">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362BE4">
                    <w:pPr>
                      <w:jc w:val="right"/>
                      <w:rPr>
                        <w:rFonts w:ascii="Arial" w:hAnsi="Arial"/>
                        <w:b/>
                        <w:sz w:val="16"/>
                      </w:rPr>
                    </w:pPr>
                    <w:r>
                      <w:rPr>
                        <w:rFonts w:ascii="Arial" w:hAnsi="Arial"/>
                        <w:b/>
                        <w:sz w:val="16"/>
                      </w:rPr>
                      <w:t>TTY: 1-888-835-5322</w:t>
                    </w:r>
                  </w:p>
                  <w:p w:rsidR="00362BE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pPr>
                            <w:rPr>
                              <w:rFonts w:ascii="Arial" w:hAnsi="Arial"/>
                              <w:b/>
                            </w:rPr>
                          </w:pPr>
                          <w:r>
                            <w:rPr>
                              <w:rFonts w:ascii="Arial" w:hAnsi="Arial"/>
                              <w:b/>
                            </w:rPr>
                            <w:t>Federal Communications Commission</w:t>
                          </w:r>
                        </w:p>
                        <w:p w:rsidR="00362BE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6pt;margin-left:-4.9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62BE4">
                    <w:pPr>
                      <w:rPr>
                        <w:rFonts w:ascii="Arial" w:hAnsi="Arial"/>
                        <w:b/>
                      </w:rPr>
                    </w:pPr>
                    <w:r>
                      <w:rPr>
                        <w:rFonts w:ascii="Arial" w:hAnsi="Arial"/>
                        <w:b/>
                      </w:rPr>
                      <w:t>Federal Communications Commission</w:t>
                    </w:r>
                  </w:p>
                  <w:p w:rsidR="00362BE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5943600" cy="2540"/>
              <wp:effectExtent l="9525" t="12065" r="9525" b="1397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468pt,55.15pt" o:allowincell="f"/>
          </w:pict>
        </mc:Fallback>
      </mc:AlternateContent>
    </w:r>
  </w:p>
  <w:p w:rsidR="00362BE4">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spaceForUL/>
    <w:balanceSingleByteDoubleByteWidth/>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42"/>
    <w:rsid w:val="00015A16"/>
    <w:rsid w:val="00024D16"/>
    <w:rsid w:val="000375C3"/>
    <w:rsid w:val="00040586"/>
    <w:rsid w:val="0004196D"/>
    <w:rsid w:val="00046544"/>
    <w:rsid w:val="00050A04"/>
    <w:rsid w:val="000578D0"/>
    <w:rsid w:val="0005797F"/>
    <w:rsid w:val="00070966"/>
    <w:rsid w:val="00072542"/>
    <w:rsid w:val="000764E5"/>
    <w:rsid w:val="00096EC6"/>
    <w:rsid w:val="000A58D1"/>
    <w:rsid w:val="000A7E4D"/>
    <w:rsid w:val="000C60C1"/>
    <w:rsid w:val="000D21B4"/>
    <w:rsid w:val="000D32F6"/>
    <w:rsid w:val="00100B30"/>
    <w:rsid w:val="00104305"/>
    <w:rsid w:val="0011123D"/>
    <w:rsid w:val="0012364B"/>
    <w:rsid w:val="00126BF0"/>
    <w:rsid w:val="00132BCA"/>
    <w:rsid w:val="00155660"/>
    <w:rsid w:val="001561BB"/>
    <w:rsid w:val="001572E9"/>
    <w:rsid w:val="001655E4"/>
    <w:rsid w:val="00177719"/>
    <w:rsid w:val="0018615A"/>
    <w:rsid w:val="001871C4"/>
    <w:rsid w:val="00187C05"/>
    <w:rsid w:val="00191B61"/>
    <w:rsid w:val="001A3499"/>
    <w:rsid w:val="001B3115"/>
    <w:rsid w:val="001D19D6"/>
    <w:rsid w:val="001D30C8"/>
    <w:rsid w:val="001E1661"/>
    <w:rsid w:val="001E1CAA"/>
    <w:rsid w:val="001E20B5"/>
    <w:rsid w:val="001E6FA2"/>
    <w:rsid w:val="001E7870"/>
    <w:rsid w:val="001F471F"/>
    <w:rsid w:val="00203869"/>
    <w:rsid w:val="002216AF"/>
    <w:rsid w:val="00222ADF"/>
    <w:rsid w:val="00224096"/>
    <w:rsid w:val="00224275"/>
    <w:rsid w:val="002249A4"/>
    <w:rsid w:val="002455AB"/>
    <w:rsid w:val="00250EC0"/>
    <w:rsid w:val="0026592D"/>
    <w:rsid w:val="002715B5"/>
    <w:rsid w:val="00272C3C"/>
    <w:rsid w:val="00280943"/>
    <w:rsid w:val="00283354"/>
    <w:rsid w:val="00292342"/>
    <w:rsid w:val="00293A53"/>
    <w:rsid w:val="002944FE"/>
    <w:rsid w:val="00297B9A"/>
    <w:rsid w:val="002A4DDA"/>
    <w:rsid w:val="002B6B35"/>
    <w:rsid w:val="002B7F0D"/>
    <w:rsid w:val="002D32E3"/>
    <w:rsid w:val="002E388F"/>
    <w:rsid w:val="002E6FE8"/>
    <w:rsid w:val="002E7FFB"/>
    <w:rsid w:val="002F0D06"/>
    <w:rsid w:val="003002C5"/>
    <w:rsid w:val="0030272A"/>
    <w:rsid w:val="00305BCF"/>
    <w:rsid w:val="0031169A"/>
    <w:rsid w:val="003142D6"/>
    <w:rsid w:val="00314E66"/>
    <w:rsid w:val="00330A28"/>
    <w:rsid w:val="00336162"/>
    <w:rsid w:val="00344786"/>
    <w:rsid w:val="003508CB"/>
    <w:rsid w:val="00357500"/>
    <w:rsid w:val="0035769F"/>
    <w:rsid w:val="00362BE4"/>
    <w:rsid w:val="0036693F"/>
    <w:rsid w:val="00371771"/>
    <w:rsid w:val="00373D10"/>
    <w:rsid w:val="00375C96"/>
    <w:rsid w:val="003975A5"/>
    <w:rsid w:val="003A019A"/>
    <w:rsid w:val="003A22CA"/>
    <w:rsid w:val="003C0DBA"/>
    <w:rsid w:val="003C2C97"/>
    <w:rsid w:val="003D7AE7"/>
    <w:rsid w:val="003E2A48"/>
    <w:rsid w:val="003F4A75"/>
    <w:rsid w:val="003F549F"/>
    <w:rsid w:val="004073B9"/>
    <w:rsid w:val="00413248"/>
    <w:rsid w:val="00415680"/>
    <w:rsid w:val="00420437"/>
    <w:rsid w:val="00420ADA"/>
    <w:rsid w:val="004224DB"/>
    <w:rsid w:val="0045046C"/>
    <w:rsid w:val="00457EEB"/>
    <w:rsid w:val="00460623"/>
    <w:rsid w:val="00463AC8"/>
    <w:rsid w:val="00463BB5"/>
    <w:rsid w:val="0048152D"/>
    <w:rsid w:val="004932EC"/>
    <w:rsid w:val="004A3EA3"/>
    <w:rsid w:val="004A57F8"/>
    <w:rsid w:val="004B5FC2"/>
    <w:rsid w:val="004C006E"/>
    <w:rsid w:val="004C4216"/>
    <w:rsid w:val="004C51A3"/>
    <w:rsid w:val="004C6EB8"/>
    <w:rsid w:val="004D33CF"/>
    <w:rsid w:val="004E4E18"/>
    <w:rsid w:val="004F5EC3"/>
    <w:rsid w:val="00501762"/>
    <w:rsid w:val="00504A90"/>
    <w:rsid w:val="005062A9"/>
    <w:rsid w:val="00527BE2"/>
    <w:rsid w:val="0053137B"/>
    <w:rsid w:val="00536D01"/>
    <w:rsid w:val="00542231"/>
    <w:rsid w:val="005443A6"/>
    <w:rsid w:val="00551549"/>
    <w:rsid w:val="00573FDE"/>
    <w:rsid w:val="005743F8"/>
    <w:rsid w:val="00575F17"/>
    <w:rsid w:val="00587290"/>
    <w:rsid w:val="005A00D0"/>
    <w:rsid w:val="005A0124"/>
    <w:rsid w:val="005A1FF7"/>
    <w:rsid w:val="005B4425"/>
    <w:rsid w:val="005C18ED"/>
    <w:rsid w:val="005C4865"/>
    <w:rsid w:val="005C4DA7"/>
    <w:rsid w:val="005C5E1D"/>
    <w:rsid w:val="005D496E"/>
    <w:rsid w:val="005E5163"/>
    <w:rsid w:val="005F0B6C"/>
    <w:rsid w:val="00600E89"/>
    <w:rsid w:val="00602864"/>
    <w:rsid w:val="00606766"/>
    <w:rsid w:val="006125DE"/>
    <w:rsid w:val="0061331D"/>
    <w:rsid w:val="006166EF"/>
    <w:rsid w:val="00631602"/>
    <w:rsid w:val="00640A42"/>
    <w:rsid w:val="00644B15"/>
    <w:rsid w:val="0065773F"/>
    <w:rsid w:val="00662966"/>
    <w:rsid w:val="006714F2"/>
    <w:rsid w:val="00680761"/>
    <w:rsid w:val="006A0E9D"/>
    <w:rsid w:val="006B1A4C"/>
    <w:rsid w:val="006C1994"/>
    <w:rsid w:val="006C3141"/>
    <w:rsid w:val="006D7092"/>
    <w:rsid w:val="006F1DFC"/>
    <w:rsid w:val="006F42EC"/>
    <w:rsid w:val="006F4368"/>
    <w:rsid w:val="006F4721"/>
    <w:rsid w:val="00701AEE"/>
    <w:rsid w:val="00705A0E"/>
    <w:rsid w:val="00723946"/>
    <w:rsid w:val="00741DCE"/>
    <w:rsid w:val="007423C0"/>
    <w:rsid w:val="00751100"/>
    <w:rsid w:val="0076021D"/>
    <w:rsid w:val="0077039E"/>
    <w:rsid w:val="00785E4D"/>
    <w:rsid w:val="00786BA3"/>
    <w:rsid w:val="007924E8"/>
    <w:rsid w:val="007926E8"/>
    <w:rsid w:val="00796845"/>
    <w:rsid w:val="007A2266"/>
    <w:rsid w:val="007A4BAE"/>
    <w:rsid w:val="007C7B55"/>
    <w:rsid w:val="007D0C06"/>
    <w:rsid w:val="007D4701"/>
    <w:rsid w:val="007F1771"/>
    <w:rsid w:val="00800764"/>
    <w:rsid w:val="00801F3E"/>
    <w:rsid w:val="00803032"/>
    <w:rsid w:val="00812291"/>
    <w:rsid w:val="008338A1"/>
    <w:rsid w:val="00842932"/>
    <w:rsid w:val="00863457"/>
    <w:rsid w:val="008635F5"/>
    <w:rsid w:val="0087727E"/>
    <w:rsid w:val="00877A57"/>
    <w:rsid w:val="008932C8"/>
    <w:rsid w:val="008A1BA8"/>
    <w:rsid w:val="008A24E3"/>
    <w:rsid w:val="008A2F8B"/>
    <w:rsid w:val="008B0B6C"/>
    <w:rsid w:val="008B370D"/>
    <w:rsid w:val="008C1BA3"/>
    <w:rsid w:val="008C4856"/>
    <w:rsid w:val="008D2B70"/>
    <w:rsid w:val="008F52D8"/>
    <w:rsid w:val="008F59C9"/>
    <w:rsid w:val="00915AD5"/>
    <w:rsid w:val="0092376F"/>
    <w:rsid w:val="009318D0"/>
    <w:rsid w:val="00935B87"/>
    <w:rsid w:val="00946FEF"/>
    <w:rsid w:val="00950A67"/>
    <w:rsid w:val="009568B3"/>
    <w:rsid w:val="00957314"/>
    <w:rsid w:val="00964586"/>
    <w:rsid w:val="00973CBD"/>
    <w:rsid w:val="009815FD"/>
    <w:rsid w:val="009849D0"/>
    <w:rsid w:val="00993254"/>
    <w:rsid w:val="00996E6F"/>
    <w:rsid w:val="009A07C1"/>
    <w:rsid w:val="009A78A8"/>
    <w:rsid w:val="009D3528"/>
    <w:rsid w:val="009D6EF3"/>
    <w:rsid w:val="009D725A"/>
    <w:rsid w:val="009D72B1"/>
    <w:rsid w:val="009F41AC"/>
    <w:rsid w:val="00A20E34"/>
    <w:rsid w:val="00A30EEA"/>
    <w:rsid w:val="00A362D1"/>
    <w:rsid w:val="00A61ED5"/>
    <w:rsid w:val="00A70D8C"/>
    <w:rsid w:val="00A7254A"/>
    <w:rsid w:val="00A76FD5"/>
    <w:rsid w:val="00A85DF6"/>
    <w:rsid w:val="00A90348"/>
    <w:rsid w:val="00AA7238"/>
    <w:rsid w:val="00AB114F"/>
    <w:rsid w:val="00AB3BB8"/>
    <w:rsid w:val="00AB4FEF"/>
    <w:rsid w:val="00AB5707"/>
    <w:rsid w:val="00AC525F"/>
    <w:rsid w:val="00AE0CF8"/>
    <w:rsid w:val="00AE3BA7"/>
    <w:rsid w:val="00AE4768"/>
    <w:rsid w:val="00AF3601"/>
    <w:rsid w:val="00B039CF"/>
    <w:rsid w:val="00B236BE"/>
    <w:rsid w:val="00B26194"/>
    <w:rsid w:val="00B30BAE"/>
    <w:rsid w:val="00B34E4B"/>
    <w:rsid w:val="00B3787D"/>
    <w:rsid w:val="00B41B8B"/>
    <w:rsid w:val="00B46667"/>
    <w:rsid w:val="00B5583E"/>
    <w:rsid w:val="00B80B11"/>
    <w:rsid w:val="00B81B05"/>
    <w:rsid w:val="00BA0777"/>
    <w:rsid w:val="00BA67EC"/>
    <w:rsid w:val="00BB6A78"/>
    <w:rsid w:val="00BC02F5"/>
    <w:rsid w:val="00BC03BD"/>
    <w:rsid w:val="00BC253D"/>
    <w:rsid w:val="00BC4B44"/>
    <w:rsid w:val="00BD38A5"/>
    <w:rsid w:val="00BD5351"/>
    <w:rsid w:val="00BE1B34"/>
    <w:rsid w:val="00BE2F04"/>
    <w:rsid w:val="00BE41E5"/>
    <w:rsid w:val="00BF5545"/>
    <w:rsid w:val="00BF6A0F"/>
    <w:rsid w:val="00BF6AF9"/>
    <w:rsid w:val="00BF738B"/>
    <w:rsid w:val="00C04AB2"/>
    <w:rsid w:val="00C0765E"/>
    <w:rsid w:val="00C11DB1"/>
    <w:rsid w:val="00C13928"/>
    <w:rsid w:val="00C332D2"/>
    <w:rsid w:val="00C364F3"/>
    <w:rsid w:val="00C41407"/>
    <w:rsid w:val="00C65BD9"/>
    <w:rsid w:val="00C74E76"/>
    <w:rsid w:val="00C82166"/>
    <w:rsid w:val="00C82A9D"/>
    <w:rsid w:val="00C82D5B"/>
    <w:rsid w:val="00C840DC"/>
    <w:rsid w:val="00C84F8E"/>
    <w:rsid w:val="00C8750F"/>
    <w:rsid w:val="00C87F6F"/>
    <w:rsid w:val="00CA564D"/>
    <w:rsid w:val="00CB3DFA"/>
    <w:rsid w:val="00CC61C6"/>
    <w:rsid w:val="00CD20A5"/>
    <w:rsid w:val="00CD2363"/>
    <w:rsid w:val="00CE6AA8"/>
    <w:rsid w:val="00CF3EE3"/>
    <w:rsid w:val="00CF6AE1"/>
    <w:rsid w:val="00D20DF5"/>
    <w:rsid w:val="00D21E2B"/>
    <w:rsid w:val="00D24D28"/>
    <w:rsid w:val="00D24E47"/>
    <w:rsid w:val="00D316B9"/>
    <w:rsid w:val="00D34B3A"/>
    <w:rsid w:val="00D36E0F"/>
    <w:rsid w:val="00D42DF5"/>
    <w:rsid w:val="00D6441F"/>
    <w:rsid w:val="00D675B2"/>
    <w:rsid w:val="00D77993"/>
    <w:rsid w:val="00D81B5B"/>
    <w:rsid w:val="00D846A7"/>
    <w:rsid w:val="00DB78BA"/>
    <w:rsid w:val="00DC04F5"/>
    <w:rsid w:val="00DC37AA"/>
    <w:rsid w:val="00E00956"/>
    <w:rsid w:val="00E20147"/>
    <w:rsid w:val="00E22A5B"/>
    <w:rsid w:val="00E25E94"/>
    <w:rsid w:val="00E4550D"/>
    <w:rsid w:val="00E46DCA"/>
    <w:rsid w:val="00E60AE5"/>
    <w:rsid w:val="00E723D2"/>
    <w:rsid w:val="00E743C9"/>
    <w:rsid w:val="00E75BAA"/>
    <w:rsid w:val="00E77F6F"/>
    <w:rsid w:val="00E8022D"/>
    <w:rsid w:val="00E80762"/>
    <w:rsid w:val="00E8173C"/>
    <w:rsid w:val="00EA38DC"/>
    <w:rsid w:val="00EA3C7F"/>
    <w:rsid w:val="00EA43FA"/>
    <w:rsid w:val="00EA5B13"/>
    <w:rsid w:val="00EB0FE8"/>
    <w:rsid w:val="00ED1F57"/>
    <w:rsid w:val="00ED44CF"/>
    <w:rsid w:val="00ED681F"/>
    <w:rsid w:val="00EE4D4A"/>
    <w:rsid w:val="00EF6CAD"/>
    <w:rsid w:val="00F10AB8"/>
    <w:rsid w:val="00F118C6"/>
    <w:rsid w:val="00F11ED6"/>
    <w:rsid w:val="00F15A29"/>
    <w:rsid w:val="00F170F2"/>
    <w:rsid w:val="00F24965"/>
    <w:rsid w:val="00F26CE5"/>
    <w:rsid w:val="00F30658"/>
    <w:rsid w:val="00F30C46"/>
    <w:rsid w:val="00F6602F"/>
    <w:rsid w:val="00F741C5"/>
    <w:rsid w:val="00F769A7"/>
    <w:rsid w:val="00F773C3"/>
    <w:rsid w:val="00F91690"/>
    <w:rsid w:val="00F963C9"/>
    <w:rsid w:val="00FA43C5"/>
    <w:rsid w:val="00FC1837"/>
    <w:rsid w:val="00FC5B83"/>
    <w:rsid w:val="00FC689A"/>
    <w:rsid w:val="00FD679F"/>
    <w:rsid w:val="00FE57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basedOn w:val="DefaultParagraphFont"/>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 w:type="character" w:customStyle="1" w:styleId="UnresolvedMention1">
    <w:name w:val="Unresolved Mention1"/>
    <w:basedOn w:val="DefaultParagraphFont"/>
    <w:uiPriority w:val="99"/>
    <w:semiHidden/>
    <w:unhideWhenUsed/>
    <w:rsid w:val="00DC37AA"/>
    <w:rPr>
      <w:color w:val="808080"/>
      <w:shd w:val="clear" w:color="auto" w:fill="E6E6E6"/>
    </w:rPr>
  </w:style>
  <w:style w:type="character" w:styleId="CommentReference">
    <w:name w:val="annotation reference"/>
    <w:basedOn w:val="DefaultParagraphFont"/>
    <w:uiPriority w:val="99"/>
    <w:semiHidden/>
    <w:unhideWhenUsed/>
    <w:rsid w:val="00BD38A5"/>
    <w:rPr>
      <w:sz w:val="16"/>
      <w:szCs w:val="16"/>
    </w:rPr>
  </w:style>
  <w:style w:type="paragraph" w:styleId="CommentText">
    <w:name w:val="annotation text"/>
    <w:basedOn w:val="Normal"/>
    <w:link w:val="CommentTextChar"/>
    <w:uiPriority w:val="99"/>
    <w:semiHidden/>
    <w:unhideWhenUsed/>
    <w:rsid w:val="00BD38A5"/>
    <w:rPr>
      <w:sz w:val="20"/>
    </w:rPr>
  </w:style>
  <w:style w:type="character" w:customStyle="1" w:styleId="CommentTextChar">
    <w:name w:val="Comment Text Char"/>
    <w:basedOn w:val="DefaultParagraphFont"/>
    <w:link w:val="CommentText"/>
    <w:uiPriority w:val="99"/>
    <w:semiHidden/>
    <w:rsid w:val="00BD38A5"/>
  </w:style>
  <w:style w:type="paragraph" w:styleId="CommentSubject">
    <w:name w:val="annotation subject"/>
    <w:basedOn w:val="CommentText"/>
    <w:next w:val="CommentText"/>
    <w:link w:val="CommentSubjectChar"/>
    <w:uiPriority w:val="99"/>
    <w:semiHidden/>
    <w:unhideWhenUsed/>
    <w:rsid w:val="00BD38A5"/>
    <w:rPr>
      <w:b/>
      <w:bCs/>
    </w:rPr>
  </w:style>
  <w:style w:type="character" w:customStyle="1" w:styleId="CommentSubjectChar">
    <w:name w:val="Comment Subject Char"/>
    <w:basedOn w:val="CommentTextChar"/>
    <w:link w:val="CommentSubject"/>
    <w:uiPriority w:val="99"/>
    <w:semiHidden/>
    <w:rsid w:val="00BD38A5"/>
    <w:rPr>
      <w:b/>
      <w:bCs/>
    </w:rPr>
  </w:style>
  <w:style w:type="character" w:customStyle="1" w:styleId="UnresolvedMention2">
    <w:name w:val="Unresolved Mention2"/>
    <w:basedOn w:val="DefaultParagraphFont"/>
    <w:uiPriority w:val="99"/>
    <w:semiHidden/>
    <w:unhideWhenUsed/>
    <w:rsid w:val="00F24965"/>
    <w:rPr>
      <w:color w:val="808080"/>
      <w:shd w:val="clear" w:color="auto" w:fill="E6E6E6"/>
    </w:rPr>
  </w:style>
  <w:style w:type="character" w:customStyle="1" w:styleId="UnresolvedMention">
    <w:name w:val="Unresolved Mention"/>
    <w:basedOn w:val="DefaultParagraphFont"/>
    <w:uiPriority w:val="99"/>
    <w:semiHidden/>
    <w:unhideWhenUsed/>
    <w:rsid w:val="000C60C1"/>
    <w:rPr>
      <w:color w:val="808080"/>
      <w:shd w:val="clear" w:color="auto" w:fill="E6E6E6"/>
    </w:rPr>
  </w:style>
  <w:style w:type="paragraph" w:styleId="EndnoteText">
    <w:name w:val="endnote text"/>
    <w:basedOn w:val="Normal"/>
    <w:link w:val="EndnoteTextChar"/>
    <w:uiPriority w:val="99"/>
    <w:semiHidden/>
    <w:unhideWhenUsed/>
    <w:rsid w:val="00551549"/>
    <w:rPr>
      <w:sz w:val="20"/>
    </w:rPr>
  </w:style>
  <w:style w:type="character" w:customStyle="1" w:styleId="EndnoteTextChar">
    <w:name w:val="Endnote Text Char"/>
    <w:basedOn w:val="DefaultParagraphFont"/>
    <w:link w:val="EndnoteText"/>
    <w:uiPriority w:val="99"/>
    <w:semiHidden/>
    <w:rsid w:val="00551549"/>
  </w:style>
  <w:style w:type="character" w:styleId="EndnoteReference">
    <w:name w:val="endnote reference"/>
    <w:basedOn w:val="DefaultParagraphFont"/>
    <w:uiPriority w:val="99"/>
    <w:semiHidden/>
    <w:unhideWhenUsed/>
    <w:rsid w:val="00551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bert.shuldiner@fcc.gov" TargetMode="External" /><Relationship Id="rId6" Type="http://schemas.openxmlformats.org/officeDocument/2006/relationships/hyperlink" Target="mailto:lisa.scanlan@fcc.gov" TargetMode="External" /><Relationship Id="rId7" Type="http://schemas.openxmlformats.org/officeDocument/2006/relationships/hyperlink" Target="mailto:amy.vandekerckhove@fcc.gov" TargetMode="Externa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