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911" w:rsidRPr="00BC4319" w:rsidP="001E7911">
      <w:pPr>
        <w:jc w:val="center"/>
        <w:rPr>
          <w:b/>
          <w:szCs w:val="22"/>
        </w:rPr>
      </w:pPr>
      <w:r w:rsidRPr="00BC4319">
        <w:rPr>
          <w:b/>
          <w:szCs w:val="22"/>
        </w:rPr>
        <w:t>Before the</w:t>
      </w:r>
    </w:p>
    <w:p w:rsidR="001E7911" w:rsidRPr="00BC4319" w:rsidP="001E7911">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1E7911" w:rsidRPr="00BC4319" w:rsidP="001E7911">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1E7911" w:rsidRPr="00BC4319" w:rsidP="001E7911">
      <w:pPr>
        <w:rPr>
          <w:szCs w:val="22"/>
        </w:rPr>
      </w:pPr>
    </w:p>
    <w:p w:rsidR="001E7911" w:rsidRPr="00BC4319" w:rsidP="001E7911">
      <w:pPr>
        <w:rPr>
          <w:szCs w:val="22"/>
        </w:rPr>
      </w:pPr>
    </w:p>
    <w:tbl>
      <w:tblPr>
        <w:tblW w:w="0" w:type="auto"/>
        <w:tblLayout w:type="fixed"/>
        <w:tblLook w:val="0000"/>
      </w:tblPr>
      <w:tblGrid>
        <w:gridCol w:w="4698"/>
        <w:gridCol w:w="630"/>
        <w:gridCol w:w="4248"/>
      </w:tblGrid>
      <w:tr w:rsidTr="00CA2534">
        <w:tblPrEx>
          <w:tblW w:w="0" w:type="auto"/>
          <w:tblLayout w:type="fixed"/>
          <w:tblLook w:val="0000"/>
        </w:tblPrEx>
        <w:tc>
          <w:tcPr>
            <w:tcW w:w="4698" w:type="dxa"/>
          </w:tcPr>
          <w:p w:rsidR="001E7911" w:rsidRPr="00BC4319" w:rsidP="00CA2534">
            <w:pPr>
              <w:tabs>
                <w:tab w:val="center" w:pos="4680"/>
              </w:tabs>
              <w:suppressAutoHyphens/>
              <w:rPr>
                <w:spacing w:val="-2"/>
                <w:szCs w:val="22"/>
              </w:rPr>
            </w:pPr>
            <w:r w:rsidRPr="00BC4319">
              <w:rPr>
                <w:spacing w:val="-2"/>
                <w:szCs w:val="22"/>
              </w:rPr>
              <w:t>In the Matter of</w:t>
            </w:r>
          </w:p>
          <w:p w:rsidR="001E7911" w:rsidRPr="00BC4319" w:rsidP="00CA2534">
            <w:pPr>
              <w:tabs>
                <w:tab w:val="center" w:pos="4680"/>
              </w:tabs>
              <w:suppressAutoHyphens/>
              <w:rPr>
                <w:spacing w:val="-2"/>
                <w:szCs w:val="22"/>
              </w:rPr>
            </w:pPr>
          </w:p>
          <w:p w:rsidR="001E7911" w:rsidRPr="00BC4319" w:rsidP="00CA2534">
            <w:pPr>
              <w:rPr>
                <w:szCs w:val="22"/>
              </w:rPr>
            </w:pPr>
            <w:r>
              <w:rPr>
                <w:szCs w:val="22"/>
              </w:rPr>
              <w:t>Fairmont Rural Fire Department</w:t>
            </w:r>
          </w:p>
          <w:p w:rsidR="001E7911" w:rsidRPr="00BC4319" w:rsidP="00CA2534">
            <w:pPr>
              <w:rPr>
                <w:szCs w:val="22"/>
              </w:rPr>
            </w:pPr>
          </w:p>
          <w:p w:rsidR="001E7911" w:rsidRPr="00BC4319" w:rsidP="00CA2534">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1E7911" w:rsidRPr="00BC4319" w:rsidP="00CA2534">
            <w:pPr>
              <w:tabs>
                <w:tab w:val="center" w:pos="4680"/>
              </w:tabs>
              <w:suppressAutoHyphens/>
              <w:rPr>
                <w:b/>
                <w:spacing w:val="-2"/>
                <w:szCs w:val="22"/>
              </w:rPr>
            </w:pPr>
            <w:r w:rsidRPr="00BC4319">
              <w:rPr>
                <w:b/>
                <w:spacing w:val="-2"/>
                <w:szCs w:val="22"/>
              </w:rPr>
              <w:t>)</w:t>
            </w:r>
          </w:p>
          <w:p w:rsidR="001E7911" w:rsidRPr="00BC4319" w:rsidP="00CA2534">
            <w:pPr>
              <w:tabs>
                <w:tab w:val="center" w:pos="4680"/>
              </w:tabs>
              <w:suppressAutoHyphens/>
              <w:rPr>
                <w:b/>
                <w:spacing w:val="-2"/>
                <w:szCs w:val="22"/>
              </w:rPr>
            </w:pPr>
            <w:r w:rsidRPr="00BC4319">
              <w:rPr>
                <w:b/>
                <w:spacing w:val="-2"/>
                <w:szCs w:val="22"/>
              </w:rPr>
              <w:t>)</w:t>
            </w:r>
          </w:p>
          <w:p w:rsidR="001E7911" w:rsidRPr="00BC4319" w:rsidP="00CA2534">
            <w:pPr>
              <w:tabs>
                <w:tab w:val="center" w:pos="4680"/>
              </w:tabs>
              <w:suppressAutoHyphens/>
              <w:rPr>
                <w:b/>
                <w:spacing w:val="-2"/>
                <w:szCs w:val="22"/>
              </w:rPr>
            </w:pPr>
            <w:r w:rsidRPr="00BC4319">
              <w:rPr>
                <w:b/>
                <w:spacing w:val="-2"/>
                <w:szCs w:val="22"/>
              </w:rPr>
              <w:t>)</w:t>
            </w:r>
          </w:p>
          <w:p w:rsidR="001E7911" w:rsidRPr="00BC4319" w:rsidP="00CA2534">
            <w:pPr>
              <w:tabs>
                <w:tab w:val="center" w:pos="4680"/>
              </w:tabs>
              <w:suppressAutoHyphens/>
              <w:rPr>
                <w:b/>
                <w:spacing w:val="-2"/>
                <w:szCs w:val="22"/>
              </w:rPr>
            </w:pPr>
            <w:r w:rsidRPr="00BC4319">
              <w:rPr>
                <w:b/>
                <w:spacing w:val="-2"/>
                <w:szCs w:val="22"/>
              </w:rPr>
              <w:t>)</w:t>
            </w:r>
          </w:p>
          <w:p w:rsidR="001E7911" w:rsidRPr="001E7911" w:rsidP="00CA2534">
            <w:pPr>
              <w:tabs>
                <w:tab w:val="center" w:pos="4680"/>
              </w:tabs>
              <w:suppressAutoHyphens/>
              <w:rPr>
                <w:b/>
                <w:spacing w:val="-2"/>
                <w:szCs w:val="22"/>
              </w:rPr>
            </w:pPr>
            <w:r w:rsidRPr="00BC4319">
              <w:rPr>
                <w:b/>
                <w:spacing w:val="-2"/>
                <w:szCs w:val="22"/>
              </w:rPr>
              <w:t>)</w:t>
            </w:r>
          </w:p>
        </w:tc>
        <w:tc>
          <w:tcPr>
            <w:tcW w:w="4248" w:type="dxa"/>
          </w:tcPr>
          <w:p w:rsidR="001E7911" w:rsidRPr="00BC4319" w:rsidP="00CA2534">
            <w:pPr>
              <w:tabs>
                <w:tab w:val="center" w:pos="4680"/>
              </w:tabs>
              <w:suppressAutoHyphens/>
              <w:rPr>
                <w:spacing w:val="-2"/>
                <w:szCs w:val="22"/>
              </w:rPr>
            </w:pPr>
          </w:p>
          <w:p w:rsidR="001E7911" w:rsidP="00CA2534">
            <w:pPr>
              <w:tabs>
                <w:tab w:val="center" w:pos="4680"/>
              </w:tabs>
              <w:suppressAutoHyphens/>
            </w:pPr>
          </w:p>
          <w:p w:rsidR="001E7911" w:rsidRPr="005B6304" w:rsidP="007A5F67">
            <w:pPr>
              <w:tabs>
                <w:tab w:val="center" w:pos="4680"/>
              </w:tabs>
              <w:suppressAutoHyphens/>
              <w:rPr>
                <w:spacing w:val="-2"/>
                <w:szCs w:val="22"/>
              </w:rPr>
            </w:pPr>
            <w:r>
              <w:rPr>
                <w:spacing w:val="-2"/>
                <w:szCs w:val="22"/>
              </w:rPr>
              <w:t xml:space="preserve">Call Sign </w:t>
            </w:r>
            <w:bookmarkStart w:id="0" w:name="_Hlk351558"/>
            <w:r w:rsidR="007A5F67">
              <w:rPr>
                <w:spacing w:val="-2"/>
                <w:szCs w:val="22"/>
              </w:rPr>
              <w:t>WQJL498</w:t>
            </w:r>
            <w:bookmarkEnd w:id="0"/>
          </w:p>
        </w:tc>
      </w:tr>
    </w:tbl>
    <w:p w:rsidR="001E7911" w:rsidRPr="001B4B42" w:rsidP="001E7911">
      <w:pPr>
        <w:rPr>
          <w:szCs w:val="22"/>
        </w:rPr>
      </w:pPr>
    </w:p>
    <w:p w:rsidR="001E7911" w:rsidRPr="005B6304" w:rsidP="001E7911">
      <w:pPr>
        <w:pStyle w:val="StyleBoldCentered"/>
        <w:rPr>
          <w:rFonts w:ascii="Times New Roman" w:hAnsi="Times New Roman"/>
        </w:rPr>
      </w:pPr>
      <w:r w:rsidRPr="005B6304">
        <w:rPr>
          <w:rFonts w:ascii="Times New Roman" w:hAnsi="Times New Roman"/>
        </w:rPr>
        <w:t>Order</w:t>
      </w:r>
    </w:p>
    <w:p w:rsidR="001E7911" w:rsidRPr="001B4B42" w:rsidP="001E7911">
      <w:pPr>
        <w:tabs>
          <w:tab w:val="left" w:pos="-720"/>
        </w:tabs>
        <w:suppressAutoHyphens/>
        <w:spacing w:line="227" w:lineRule="auto"/>
        <w:rPr>
          <w:spacing w:val="-2"/>
          <w:szCs w:val="22"/>
        </w:rPr>
      </w:pPr>
    </w:p>
    <w:p w:rsidR="001E7911" w:rsidRPr="005B6304" w:rsidP="001E7911">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7153BE">
        <w:rPr>
          <w:b/>
          <w:spacing w:val="-2"/>
          <w:szCs w:val="22"/>
        </w:rPr>
        <w:t>May 24</w:t>
      </w:r>
      <w:r w:rsidR="007A5F67">
        <w:rPr>
          <w:b/>
          <w:spacing w:val="-2"/>
          <w:szCs w:val="22"/>
        </w:rPr>
        <w:t>, 2019</w:t>
      </w:r>
      <w:r>
        <w:rPr>
          <w:b/>
          <w:spacing w:val="-2"/>
          <w:szCs w:val="22"/>
        </w:rPr>
        <w:t xml:space="preserve"> </w:t>
      </w:r>
      <w:r>
        <w:rPr>
          <w:b/>
          <w:spacing w:val="-2"/>
          <w:szCs w:val="22"/>
        </w:rPr>
        <w:tab/>
      </w:r>
      <w:r>
        <w:rPr>
          <w:b/>
          <w:spacing w:val="-2"/>
          <w:szCs w:val="22"/>
        </w:rPr>
        <w:tab/>
      </w:r>
      <w:r w:rsidRPr="005B6304">
        <w:rPr>
          <w:b/>
          <w:spacing w:val="-2"/>
          <w:szCs w:val="22"/>
        </w:rPr>
        <w:t>Released:</w:t>
      </w:r>
      <w:r>
        <w:rPr>
          <w:b/>
          <w:spacing w:val="-2"/>
          <w:szCs w:val="22"/>
        </w:rPr>
        <w:t xml:space="preserve"> </w:t>
      </w:r>
      <w:r w:rsidR="007153BE">
        <w:rPr>
          <w:b/>
          <w:spacing w:val="-2"/>
          <w:szCs w:val="22"/>
        </w:rPr>
        <w:t>May 24</w:t>
      </w:r>
      <w:r w:rsidR="007A5F67">
        <w:rPr>
          <w:b/>
          <w:spacing w:val="-2"/>
          <w:szCs w:val="22"/>
        </w:rPr>
        <w:t>, 2019</w:t>
      </w:r>
    </w:p>
    <w:p w:rsidR="001E7911" w:rsidRPr="005B6304" w:rsidP="001E7911">
      <w:pPr>
        <w:rPr>
          <w:szCs w:val="22"/>
        </w:rPr>
      </w:pPr>
    </w:p>
    <w:p w:rsidR="001E7911" w:rsidRPr="001B4B42" w:rsidP="001E7911">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1E7911" w:rsidRPr="001B4B42" w:rsidP="006B32B6">
      <w:pPr>
        <w:tabs>
          <w:tab w:val="left" w:pos="3982"/>
        </w:tabs>
        <w:rPr>
          <w:szCs w:val="22"/>
        </w:rPr>
      </w:pPr>
      <w:r>
        <w:rPr>
          <w:szCs w:val="22"/>
        </w:rPr>
        <w:tab/>
      </w:r>
    </w:p>
    <w:p w:rsidR="001E7911" w:rsidRPr="0007572D" w:rsidP="001E7911">
      <w:pPr>
        <w:pStyle w:val="Heading1"/>
        <w:tabs>
          <w:tab w:val="num" w:pos="720"/>
        </w:tabs>
        <w:rPr>
          <w:rFonts w:ascii="Times New Roman" w:hAnsi="Times New Roman"/>
          <w:szCs w:val="22"/>
        </w:rPr>
      </w:pPr>
      <w:r w:rsidRPr="0007572D">
        <w:rPr>
          <w:rFonts w:ascii="Times New Roman" w:hAnsi="Times New Roman"/>
          <w:szCs w:val="22"/>
        </w:rPr>
        <w:t>BACKGROUND</w:t>
      </w:r>
    </w:p>
    <w:p w:rsidR="002D036D" w:rsidP="001E7911">
      <w:pPr>
        <w:pStyle w:val="ParaNum"/>
        <w:rPr>
          <w:szCs w:val="22"/>
        </w:rPr>
      </w:pPr>
      <w:bookmarkStart w:id="1" w:name="_Hlk940927"/>
      <w:r>
        <w:rPr>
          <w:szCs w:val="22"/>
        </w:rPr>
        <w:t xml:space="preserve">On October 22, 2018, the license for station call sign WQJL499, held by the </w:t>
      </w:r>
      <w:r w:rsidR="00A70CA4">
        <w:rPr>
          <w:szCs w:val="22"/>
        </w:rPr>
        <w:t xml:space="preserve">Fairmont </w:t>
      </w:r>
      <w:r w:rsidRPr="004F6535">
        <w:rPr>
          <w:szCs w:val="22"/>
        </w:rPr>
        <w:t xml:space="preserve">North Carolina Rural Fire Department </w:t>
      </w:r>
      <w:r>
        <w:rPr>
          <w:szCs w:val="22"/>
        </w:rPr>
        <w:t>(Fairmont)</w:t>
      </w:r>
      <w:r w:rsidR="003100DD">
        <w:rPr>
          <w:szCs w:val="22"/>
        </w:rPr>
        <w:t>,</w:t>
      </w:r>
      <w:r>
        <w:rPr>
          <w:szCs w:val="22"/>
        </w:rPr>
        <w:t xml:space="preserve"> expired</w:t>
      </w:r>
      <w:r w:rsidR="00440B0E">
        <w:rPr>
          <w:szCs w:val="22"/>
        </w:rPr>
        <w:t>.  On the same date, the</w:t>
      </w:r>
      <w:r>
        <w:rPr>
          <w:szCs w:val="22"/>
        </w:rPr>
        <w:t xml:space="preserve"> </w:t>
      </w:r>
      <w:bookmarkStart w:id="2" w:name="_Hlk5199757"/>
      <w:r w:rsidRPr="00440B0E" w:rsidR="00440B0E">
        <w:rPr>
          <w:szCs w:val="22"/>
        </w:rPr>
        <w:t>Licensing Branch of the Policy and Licensing Division (Branch)</w:t>
      </w:r>
      <w:bookmarkEnd w:id="2"/>
      <w:r w:rsidRPr="00440B0E" w:rsidR="00440B0E">
        <w:rPr>
          <w:szCs w:val="22"/>
        </w:rPr>
        <w:t xml:space="preserve"> </w:t>
      </w:r>
      <w:r w:rsidR="00440B0E">
        <w:rPr>
          <w:szCs w:val="22"/>
        </w:rPr>
        <w:t>received an application</w:t>
      </w:r>
      <w:r w:rsidR="001232FF">
        <w:rPr>
          <w:szCs w:val="22"/>
        </w:rPr>
        <w:t xml:space="preserve"> from Fairmont </w:t>
      </w:r>
      <w:r w:rsidR="00440B0E">
        <w:rPr>
          <w:szCs w:val="22"/>
        </w:rPr>
        <w:t xml:space="preserve">to renew the license.  The Branch dismissed that </w:t>
      </w:r>
      <w:r w:rsidR="0022367A">
        <w:rPr>
          <w:szCs w:val="22"/>
        </w:rPr>
        <w:t xml:space="preserve">renewal </w:t>
      </w:r>
      <w:r w:rsidR="00440B0E">
        <w:rPr>
          <w:szCs w:val="22"/>
        </w:rPr>
        <w:t xml:space="preserve">application on November 10, 2018 because Fairmont </w:t>
      </w:r>
      <w:r>
        <w:rPr>
          <w:szCs w:val="22"/>
        </w:rPr>
        <w:t>answered “no” in response to Question No. 6</w:t>
      </w:r>
      <w:r w:rsidR="0033486B">
        <w:rPr>
          <w:szCs w:val="22"/>
        </w:rPr>
        <w:t xml:space="preserve"> on the application form</w:t>
      </w:r>
      <w:r>
        <w:rPr>
          <w:szCs w:val="22"/>
        </w:rPr>
        <w:t>: “Is</w:t>
      </w:r>
      <w:r w:rsidRPr="002D036D">
        <w:rPr>
          <w:szCs w:val="22"/>
        </w:rPr>
        <w:t xml:space="preserve"> the Applicant exempt from FCC application fees?”</w:t>
      </w:r>
      <w:r w:rsidR="00523552">
        <w:rPr>
          <w:szCs w:val="22"/>
        </w:rPr>
        <w:t xml:space="preserve"> </w:t>
      </w:r>
      <w:r w:rsidRPr="002D036D">
        <w:rPr>
          <w:szCs w:val="22"/>
        </w:rPr>
        <w:t xml:space="preserve"> </w:t>
      </w:r>
      <w:r>
        <w:rPr>
          <w:szCs w:val="22"/>
        </w:rPr>
        <w:t>Fairmont should have answered “yes” to the inquiry because, as a public safety licensee, Fairmont was exempt from paying an application fee.</w:t>
      </w:r>
      <w:r>
        <w:rPr>
          <w:rStyle w:val="FootnoteReference"/>
          <w:szCs w:val="22"/>
        </w:rPr>
        <w:footnoteReference w:id="3"/>
      </w:r>
      <w:r>
        <w:rPr>
          <w:szCs w:val="22"/>
        </w:rPr>
        <w:t xml:space="preserve">  Because of the “no” response, however, the Branch, relying on Fairmont’s incorrect answer, dismissed the renewal application because there was no record of Fairmont’s paying an application fee.   </w:t>
      </w:r>
    </w:p>
    <w:p w:rsidR="00967190" w:rsidP="001E7911">
      <w:pPr>
        <w:pStyle w:val="ParaNum"/>
        <w:rPr>
          <w:szCs w:val="22"/>
        </w:rPr>
      </w:pPr>
      <w:r>
        <w:rPr>
          <w:szCs w:val="22"/>
        </w:rPr>
        <w:t xml:space="preserve">On </w:t>
      </w:r>
      <w:r>
        <w:rPr>
          <w:szCs w:val="22"/>
        </w:rPr>
        <w:t xml:space="preserve">November 26, 2018, the Branch received a revised </w:t>
      </w:r>
      <w:r>
        <w:rPr>
          <w:szCs w:val="22"/>
        </w:rPr>
        <w:t>renewal application</w:t>
      </w:r>
      <w:r>
        <w:rPr>
          <w:szCs w:val="22"/>
        </w:rPr>
        <w:t xml:space="preserve"> from Fairmont, dated November 22, 2018</w:t>
      </w:r>
      <w:r w:rsidR="004427C4">
        <w:rPr>
          <w:szCs w:val="22"/>
        </w:rPr>
        <w:t xml:space="preserve"> in which Fairmont requested reinstatement of its license.</w:t>
      </w:r>
      <w:r>
        <w:rPr>
          <w:rStyle w:val="FootnoteReference"/>
          <w:szCs w:val="22"/>
        </w:rPr>
        <w:footnoteReference w:id="4"/>
      </w:r>
      <w:r w:rsidR="004427C4">
        <w:rPr>
          <w:szCs w:val="22"/>
        </w:rPr>
        <w:t xml:space="preserve">  Fairmont </w:t>
      </w:r>
      <w:r w:rsidR="00547715">
        <w:rPr>
          <w:szCs w:val="22"/>
        </w:rPr>
        <w:t>stat</w:t>
      </w:r>
      <w:r w:rsidR="00233089">
        <w:rPr>
          <w:szCs w:val="22"/>
        </w:rPr>
        <w:t>ed</w:t>
      </w:r>
      <w:r w:rsidR="00547715">
        <w:rPr>
          <w:szCs w:val="22"/>
        </w:rPr>
        <w:t xml:space="preserve"> </w:t>
      </w:r>
      <w:r>
        <w:rPr>
          <w:szCs w:val="22"/>
        </w:rPr>
        <w:t>“[p]</w:t>
      </w:r>
      <w:r w:rsidRPr="006B5C25">
        <w:rPr>
          <w:szCs w:val="22"/>
        </w:rPr>
        <w:t xml:space="preserve">lease accept this Waiver Request </w:t>
      </w:r>
      <w:r w:rsidR="00547715">
        <w:rPr>
          <w:szCs w:val="22"/>
        </w:rPr>
        <w:t xml:space="preserve">[sic] </w:t>
      </w:r>
      <w:r w:rsidRPr="006B5C25">
        <w:rPr>
          <w:szCs w:val="22"/>
        </w:rPr>
        <w:t xml:space="preserve">and re-instate call sign WQJL498, which is licensed to Fairmont Rural Fire Department. </w:t>
      </w:r>
      <w:r w:rsidR="00233089">
        <w:rPr>
          <w:szCs w:val="22"/>
        </w:rPr>
        <w:t xml:space="preserve"> </w:t>
      </w:r>
      <w:r w:rsidRPr="006B5C25">
        <w:rPr>
          <w:szCs w:val="22"/>
        </w:rPr>
        <w:t xml:space="preserve">This radio system is vital for communications among fire fighters in the Fairmont area of Robeson County, NC. </w:t>
      </w:r>
      <w:r w:rsidR="00233089">
        <w:rPr>
          <w:szCs w:val="22"/>
        </w:rPr>
        <w:t xml:space="preserve"> </w:t>
      </w:r>
      <w:r w:rsidRPr="006B5C25">
        <w:rPr>
          <w:szCs w:val="22"/>
        </w:rPr>
        <w:t>The Department did not mean to allow the license to lapse and filed for renewal as soon as the error was discovered.</w:t>
      </w:r>
      <w:r>
        <w:rPr>
          <w:szCs w:val="22"/>
        </w:rPr>
        <w:t>”</w:t>
      </w:r>
      <w:r>
        <w:rPr>
          <w:rStyle w:val="FootnoteReference"/>
          <w:szCs w:val="22"/>
        </w:rPr>
        <w:footnoteReference w:id="5"/>
      </w:r>
      <w:r>
        <w:rPr>
          <w:szCs w:val="22"/>
        </w:rPr>
        <w:t xml:space="preserve"> </w:t>
      </w:r>
      <w:r>
        <w:rPr>
          <w:szCs w:val="22"/>
        </w:rPr>
        <w:t xml:space="preserve"> </w:t>
      </w:r>
    </w:p>
    <w:p w:rsidR="00053FCA" w:rsidP="00547715">
      <w:pPr>
        <w:pStyle w:val="Heading1"/>
      </w:pPr>
      <w:r>
        <w:t>discussion</w:t>
      </w:r>
    </w:p>
    <w:p w:rsidR="00161E8C" w:rsidP="001E7911">
      <w:pPr>
        <w:pStyle w:val="ParaNum"/>
        <w:rPr>
          <w:szCs w:val="22"/>
        </w:rPr>
      </w:pPr>
      <w:r>
        <w:rPr>
          <w:szCs w:val="22"/>
        </w:rPr>
        <w:t>Notwithstanding Fairmont’s characterization of its filing as a waiver request, we treat it as a timely filed petition</w:t>
      </w:r>
      <w:r>
        <w:rPr>
          <w:szCs w:val="22"/>
        </w:rPr>
        <w:t xml:space="preserve"> for reconsideration,</w:t>
      </w:r>
      <w:r>
        <w:rPr>
          <w:szCs w:val="22"/>
        </w:rPr>
        <w:t xml:space="preserve"> </w:t>
      </w:r>
      <w:r w:rsidRPr="00161E8C">
        <w:rPr>
          <w:szCs w:val="22"/>
        </w:rPr>
        <w:t>pursuant to Section 1.106 of the Commission’s rules</w:t>
      </w:r>
      <w:r>
        <w:rPr>
          <w:szCs w:val="22"/>
        </w:rPr>
        <w:t>,</w:t>
      </w:r>
      <w:r w:rsidRPr="00161E8C">
        <w:rPr>
          <w:szCs w:val="22"/>
        </w:rPr>
        <w:t xml:space="preserve"> </w:t>
      </w:r>
      <w:r>
        <w:rPr>
          <w:szCs w:val="22"/>
        </w:rPr>
        <w:t xml:space="preserve">seeking reversal </w:t>
      </w:r>
      <w:r>
        <w:rPr>
          <w:szCs w:val="22"/>
        </w:rPr>
        <w:t xml:space="preserve">of the Branch’s action in dismissing Fairmont’s initial renewal application for failure to pay a filing fee. </w:t>
      </w:r>
    </w:p>
    <w:p w:rsidR="00983B29" w:rsidP="00983B29">
      <w:pPr>
        <w:pStyle w:val="ParaNum"/>
      </w:pPr>
      <w:r w:rsidRPr="0033486B">
        <w:rPr>
          <w:szCs w:val="22"/>
        </w:rPr>
        <w:t>Fairmont’s error in resp</w:t>
      </w:r>
      <w:r w:rsidRPr="0033486B" w:rsidR="00161E8C">
        <w:rPr>
          <w:szCs w:val="22"/>
        </w:rPr>
        <w:t>onding to the filing fee question</w:t>
      </w:r>
      <w:r w:rsidRPr="0033486B">
        <w:rPr>
          <w:szCs w:val="22"/>
        </w:rPr>
        <w:t xml:space="preserve"> was not so serious as to merit refusal to reinstate its license.  </w:t>
      </w:r>
      <w:r w:rsidRPr="0033486B" w:rsidR="00161E8C">
        <w:rPr>
          <w:szCs w:val="22"/>
        </w:rPr>
        <w:t xml:space="preserve">Were we to </w:t>
      </w:r>
      <w:r w:rsidRPr="0033486B">
        <w:rPr>
          <w:szCs w:val="22"/>
        </w:rPr>
        <w:t>decide</w:t>
      </w:r>
      <w:r w:rsidRPr="0033486B" w:rsidR="00161E8C">
        <w:rPr>
          <w:szCs w:val="22"/>
        </w:rPr>
        <w:t xml:space="preserve"> otherwise, </w:t>
      </w:r>
      <w:r w:rsidRPr="0033486B">
        <w:rPr>
          <w:szCs w:val="22"/>
        </w:rPr>
        <w:t xml:space="preserve">Fairmont </w:t>
      </w:r>
      <w:r w:rsidRPr="0033486B" w:rsidR="00161E8C">
        <w:rPr>
          <w:szCs w:val="22"/>
        </w:rPr>
        <w:t xml:space="preserve">would have </w:t>
      </w:r>
      <w:r w:rsidRPr="0033486B">
        <w:rPr>
          <w:szCs w:val="22"/>
        </w:rPr>
        <w:t xml:space="preserve">to prepare and file a new application for license and pay for the services of a Commission-certified frequency coordinator to verify that its former frequency was still available. </w:t>
      </w:r>
      <w:r w:rsidR="00233089">
        <w:rPr>
          <w:szCs w:val="22"/>
        </w:rPr>
        <w:t xml:space="preserve"> </w:t>
      </w:r>
      <w:r w:rsidRPr="0033486B">
        <w:rPr>
          <w:szCs w:val="22"/>
        </w:rPr>
        <w:t xml:space="preserve">To continue operation of its station while the Commission processed the new application, Fairmont would have to prepare and file a request for Special </w:t>
      </w:r>
      <w:r w:rsidRPr="0033486B">
        <w:rPr>
          <w:szCs w:val="22"/>
        </w:rPr>
        <w:t>Temporary Authorization (STA) of its station.</w:t>
      </w:r>
      <w:r w:rsidRPr="0033486B" w:rsidR="00161E8C">
        <w:rPr>
          <w:szCs w:val="22"/>
        </w:rPr>
        <w:t xml:space="preserve"> </w:t>
      </w:r>
      <w:r w:rsidRPr="0033486B" w:rsidR="0033486B">
        <w:rPr>
          <w:szCs w:val="22"/>
        </w:rPr>
        <w:t xml:space="preserve"> </w:t>
      </w:r>
      <w:r w:rsidRPr="0033486B" w:rsidR="00A247C2">
        <w:rPr>
          <w:szCs w:val="22"/>
        </w:rPr>
        <w:t xml:space="preserve">We regard Fairmont’s mistake as </w:t>
      </w:r>
      <w:r w:rsidR="003100DD">
        <w:rPr>
          <w:szCs w:val="22"/>
        </w:rPr>
        <w:t xml:space="preserve">a </w:t>
      </w:r>
      <w:r w:rsidRPr="0033486B" w:rsidR="00A247C2">
        <w:rPr>
          <w:i/>
          <w:szCs w:val="22"/>
        </w:rPr>
        <w:t>de minimis</w:t>
      </w:r>
      <w:r w:rsidRPr="0033486B" w:rsidR="00A247C2">
        <w:rPr>
          <w:szCs w:val="22"/>
        </w:rPr>
        <w:t xml:space="preserve"> error </w:t>
      </w:r>
      <w:r w:rsidR="003100DD">
        <w:rPr>
          <w:szCs w:val="22"/>
        </w:rPr>
        <w:t xml:space="preserve">of </w:t>
      </w:r>
      <w:bookmarkStart w:id="3" w:name="_GoBack"/>
      <w:bookmarkEnd w:id="3"/>
      <w:r w:rsidR="003100DD">
        <w:rPr>
          <w:szCs w:val="22"/>
        </w:rPr>
        <w:t xml:space="preserve">the kind </w:t>
      </w:r>
      <w:r w:rsidRPr="0033486B" w:rsidR="00A247C2">
        <w:rPr>
          <w:szCs w:val="22"/>
        </w:rPr>
        <w:t xml:space="preserve">that the Commission has found inconsequential in the context of license renewal </w:t>
      </w:r>
      <w:r w:rsidR="0022367A">
        <w:rPr>
          <w:szCs w:val="22"/>
        </w:rPr>
        <w:t xml:space="preserve">and other </w:t>
      </w:r>
      <w:r w:rsidRPr="0033486B" w:rsidR="00A247C2">
        <w:rPr>
          <w:szCs w:val="22"/>
        </w:rPr>
        <w:t>applications</w:t>
      </w:r>
      <w:r w:rsidR="003100DD">
        <w:rPr>
          <w:szCs w:val="22"/>
        </w:rPr>
        <w:t>.</w:t>
      </w:r>
      <w:r>
        <w:rPr>
          <w:szCs w:val="22"/>
          <w:vertAlign w:val="superscript"/>
        </w:rPr>
        <w:footnoteReference w:id="6"/>
      </w:r>
      <w:r w:rsidRPr="0033486B" w:rsidR="00A247C2">
        <w:rPr>
          <w:szCs w:val="22"/>
        </w:rPr>
        <w:t xml:space="preserve"> </w:t>
      </w:r>
      <w:r w:rsidR="003100DD">
        <w:rPr>
          <w:szCs w:val="22"/>
        </w:rPr>
        <w:t xml:space="preserve"> </w:t>
      </w:r>
    </w:p>
    <w:bookmarkEnd w:id="1"/>
    <w:p w:rsidR="001E7911" w:rsidRPr="00BE4E1E" w:rsidP="001E7911">
      <w:pPr>
        <w:pStyle w:val="Heading1"/>
        <w:tabs>
          <w:tab w:val="num" w:pos="720"/>
        </w:tabs>
        <w:rPr>
          <w:rFonts w:ascii="Times New Roman" w:hAnsi="Times New Roman"/>
          <w:szCs w:val="22"/>
        </w:rPr>
      </w:pPr>
      <w:r w:rsidRPr="00BE4E1E">
        <w:rPr>
          <w:rFonts w:ascii="Times New Roman" w:hAnsi="Times New Roman"/>
          <w:szCs w:val="22"/>
        </w:rPr>
        <w:t>Ordering clauses</w:t>
      </w:r>
    </w:p>
    <w:p w:rsidR="001E7911" w:rsidP="002670B1">
      <w:pPr>
        <w:pStyle w:val="ParaNum"/>
        <w:tabs>
          <w:tab w:val="clear" w:pos="1440"/>
        </w:tabs>
        <w:rPr>
          <w:spacing w:val="-2"/>
          <w:szCs w:val="22"/>
        </w:rPr>
      </w:pPr>
      <w:r w:rsidRPr="005B6304">
        <w:rPr>
          <w:szCs w:val="22"/>
        </w:rPr>
        <w:t xml:space="preserve"> Accordingly, IT IS ORDERED, pursuant to Sections 4(i) and 303(c) of the Communications Act of 1934, as amended, 47 U.S.C. §§ 154(i), 303(c), and Section 1.106 of t</w:t>
      </w:r>
      <w:r>
        <w:rPr>
          <w:szCs w:val="22"/>
        </w:rPr>
        <w:t>he Commission’s rules, 47 CFR §</w:t>
      </w:r>
      <w:r w:rsidRPr="005B6304">
        <w:rPr>
          <w:szCs w:val="22"/>
        </w:rPr>
        <w:t xml:space="preserve"> 1.106, that the </w:t>
      </w:r>
      <w:r w:rsidR="003100DD">
        <w:rPr>
          <w:szCs w:val="22"/>
        </w:rPr>
        <w:t>p</w:t>
      </w:r>
      <w:r w:rsidRPr="005B6304">
        <w:rPr>
          <w:szCs w:val="22"/>
        </w:rPr>
        <w:t xml:space="preserve">etition </w:t>
      </w:r>
      <w:r w:rsidR="003100DD">
        <w:rPr>
          <w:szCs w:val="22"/>
        </w:rPr>
        <w:t xml:space="preserve">filed </w:t>
      </w:r>
      <w:r w:rsidRPr="002670B1">
        <w:rPr>
          <w:szCs w:val="22"/>
        </w:rPr>
        <w:t xml:space="preserve">by the Fairmont Rural Fire Department </w:t>
      </w:r>
      <w:r w:rsidRPr="002670B1" w:rsidR="00983B29">
        <w:rPr>
          <w:szCs w:val="22"/>
        </w:rPr>
        <w:t>IS GRANTED</w:t>
      </w:r>
      <w:r w:rsidRPr="002670B1">
        <w:rPr>
          <w:spacing w:val="-2"/>
          <w:szCs w:val="22"/>
        </w:rPr>
        <w:t>.</w:t>
      </w:r>
    </w:p>
    <w:p w:rsidR="002670B1" w:rsidRPr="002670B1" w:rsidP="002670B1">
      <w:pPr>
        <w:pStyle w:val="ParaNum"/>
        <w:tabs>
          <w:tab w:val="clear" w:pos="1440"/>
        </w:tabs>
        <w:rPr>
          <w:spacing w:val="-2"/>
          <w:szCs w:val="22"/>
        </w:rPr>
      </w:pPr>
      <w:r>
        <w:rPr>
          <w:spacing w:val="-2"/>
          <w:szCs w:val="22"/>
        </w:rPr>
        <w:t xml:space="preserve">IT IS FURTHER ORDERED, that the Licensing Branch of the Policy and Licensing Division of the Public Safety and Homeland Security Bureau SHALL AMEND the application for renewal of license filed by the Fairmont </w:t>
      </w:r>
      <w:r w:rsidR="001E4CC1">
        <w:rPr>
          <w:spacing w:val="-2"/>
          <w:szCs w:val="22"/>
        </w:rPr>
        <w:t>Rural Fire Department to specify</w:t>
      </w:r>
      <w:r>
        <w:rPr>
          <w:spacing w:val="-2"/>
          <w:szCs w:val="22"/>
        </w:rPr>
        <w:t xml:space="preserve"> the answer “</w:t>
      </w:r>
      <w:r w:rsidR="0022367A">
        <w:rPr>
          <w:spacing w:val="-2"/>
          <w:szCs w:val="22"/>
        </w:rPr>
        <w:t>y</w:t>
      </w:r>
      <w:r>
        <w:rPr>
          <w:spacing w:val="-2"/>
          <w:szCs w:val="22"/>
        </w:rPr>
        <w:t>es</w:t>
      </w:r>
      <w:r w:rsidR="0022367A">
        <w:rPr>
          <w:spacing w:val="-2"/>
          <w:szCs w:val="22"/>
        </w:rPr>
        <w:t xml:space="preserve">” to the Form 601, Question 6 inquiry “Is </w:t>
      </w:r>
      <w:r w:rsidRPr="0022367A" w:rsidR="0022367A">
        <w:rPr>
          <w:spacing w:val="-2"/>
          <w:szCs w:val="22"/>
        </w:rPr>
        <w:t>the Applicant exempt from FCC application fees</w:t>
      </w:r>
      <w:r w:rsidR="0022367A">
        <w:rPr>
          <w:spacing w:val="-2"/>
          <w:szCs w:val="22"/>
        </w:rPr>
        <w:t xml:space="preserve">?” </w:t>
      </w:r>
    </w:p>
    <w:p w:rsidR="00983B29" w:rsidP="001E7911">
      <w:pPr>
        <w:pStyle w:val="ParaNum"/>
        <w:tabs>
          <w:tab w:val="clear" w:pos="1440"/>
        </w:tabs>
        <w:rPr>
          <w:spacing w:val="-2"/>
          <w:szCs w:val="22"/>
        </w:rPr>
      </w:pPr>
      <w:r>
        <w:rPr>
          <w:spacing w:val="-2"/>
          <w:szCs w:val="22"/>
        </w:rPr>
        <w:t xml:space="preserve">IT IS FURTHER ORDERED that the </w:t>
      </w:r>
      <w:r w:rsidRPr="00983B29">
        <w:rPr>
          <w:spacing w:val="-2"/>
          <w:szCs w:val="22"/>
        </w:rPr>
        <w:t>Licensing Branch of the Policy</w:t>
      </w:r>
      <w:r>
        <w:rPr>
          <w:spacing w:val="-2"/>
          <w:szCs w:val="22"/>
        </w:rPr>
        <w:t xml:space="preserve"> and Licensing Division </w:t>
      </w:r>
      <w:r w:rsidR="00E13C83">
        <w:rPr>
          <w:spacing w:val="-2"/>
          <w:szCs w:val="22"/>
        </w:rPr>
        <w:t xml:space="preserve">of the Public Safety and Homeland Security Bureau, </w:t>
      </w:r>
      <w:r>
        <w:rPr>
          <w:spacing w:val="-2"/>
          <w:szCs w:val="22"/>
        </w:rPr>
        <w:t>SHALL REINSTATE AND RENEW the license of the Fairmont Rural Fire Department</w:t>
      </w:r>
      <w:r w:rsidR="00E13C83">
        <w:rPr>
          <w:spacing w:val="-2"/>
          <w:szCs w:val="22"/>
        </w:rPr>
        <w:t xml:space="preserve">, call sign </w:t>
      </w:r>
      <w:r w:rsidRPr="00E13C83" w:rsidR="00E13C83">
        <w:rPr>
          <w:spacing w:val="-2"/>
          <w:szCs w:val="22"/>
        </w:rPr>
        <w:t>WQJL498</w:t>
      </w:r>
      <w:r w:rsidR="00E13C83">
        <w:rPr>
          <w:spacing w:val="-2"/>
          <w:szCs w:val="22"/>
        </w:rPr>
        <w:t>.</w:t>
      </w:r>
      <w:r>
        <w:rPr>
          <w:spacing w:val="-2"/>
          <w:szCs w:val="22"/>
        </w:rPr>
        <w:t xml:space="preserve"> </w:t>
      </w:r>
    </w:p>
    <w:p w:rsidR="001E7911" w:rsidRPr="001B4B42" w:rsidP="001E7911">
      <w:pPr>
        <w:pStyle w:val="ParaNum"/>
        <w:tabs>
          <w:tab w:val="clear" w:pos="1440"/>
        </w:tabs>
        <w:rPr>
          <w:szCs w:val="22"/>
        </w:rPr>
      </w:pPr>
      <w:r w:rsidRPr="001B4B42">
        <w:rPr>
          <w:szCs w:val="22"/>
        </w:rPr>
        <w:t xml:space="preserve">This action is taken under delegated authority pursuant to Sections 0.191 and 0.392 of the Commission’s rules, 47 CFR §§ 0.191, 0.392.  </w:t>
      </w:r>
    </w:p>
    <w:p w:rsidR="001E7911" w:rsidRPr="001B4B42" w:rsidP="001E7911">
      <w:pPr>
        <w:pStyle w:val="ParaNum"/>
        <w:keepNext/>
        <w:keepLines/>
        <w:numPr>
          <w:ilvl w:val="0"/>
          <w:numId w:val="0"/>
        </w:numPr>
        <w:spacing w:after="0"/>
        <w:ind w:left="3600" w:firstLine="720"/>
        <w:rPr>
          <w:szCs w:val="22"/>
        </w:rPr>
      </w:pPr>
      <w:r w:rsidRPr="001B4B42">
        <w:rPr>
          <w:szCs w:val="22"/>
        </w:rPr>
        <w:t xml:space="preserve">FEDERAL COMMUNICATIONS COMMISSION </w:t>
      </w: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720"/>
        <w:rPr>
          <w:szCs w:val="22"/>
        </w:rPr>
      </w:pPr>
    </w:p>
    <w:p w:rsidR="001E7911" w:rsidRPr="001B4B42" w:rsidP="001E7911">
      <w:pPr>
        <w:pStyle w:val="ParaNum"/>
        <w:keepNext/>
        <w:keepLines/>
        <w:numPr>
          <w:ilvl w:val="0"/>
          <w:numId w:val="0"/>
        </w:numPr>
        <w:spacing w:after="0"/>
        <w:ind w:left="3600" w:firstLine="720"/>
        <w:rPr>
          <w:szCs w:val="22"/>
        </w:rPr>
      </w:pPr>
      <w:r w:rsidRPr="001B4B42">
        <w:rPr>
          <w:szCs w:val="22"/>
        </w:rPr>
        <w:t xml:space="preserve">Michael J. Wilhelm  </w:t>
      </w:r>
    </w:p>
    <w:p w:rsidR="001E7911" w:rsidRPr="001B4B42" w:rsidP="001E7911">
      <w:pPr>
        <w:pStyle w:val="ParaNum"/>
        <w:keepNext/>
        <w:keepLines/>
        <w:numPr>
          <w:ilvl w:val="0"/>
          <w:numId w:val="0"/>
        </w:numPr>
        <w:spacing w:after="0"/>
        <w:ind w:left="3600" w:firstLine="720"/>
        <w:rPr>
          <w:szCs w:val="22"/>
        </w:rPr>
      </w:pPr>
      <w:r w:rsidRPr="001B4B42">
        <w:rPr>
          <w:szCs w:val="22"/>
        </w:rPr>
        <w:t xml:space="preserve">Chief, Policy and Licensing Division </w:t>
      </w:r>
    </w:p>
    <w:p w:rsidR="001E7911" w:rsidRPr="001B4B42" w:rsidP="001E7911">
      <w:pPr>
        <w:pStyle w:val="ParaNum"/>
        <w:keepNext/>
        <w:keepLines/>
        <w:numPr>
          <w:ilvl w:val="0"/>
          <w:numId w:val="0"/>
        </w:numPr>
        <w:spacing w:after="0"/>
        <w:ind w:left="3600" w:firstLine="720"/>
        <w:rPr>
          <w:szCs w:val="22"/>
        </w:rPr>
      </w:pPr>
      <w:r w:rsidRPr="001B4B42">
        <w:rPr>
          <w:szCs w:val="22"/>
        </w:rPr>
        <w:t>Public Safety and Homeland Security Bureau</w:t>
      </w:r>
    </w:p>
    <w:p w:rsidR="001E7911" w:rsidRPr="001B4B42" w:rsidP="001E7911">
      <w:pPr>
        <w:rPr>
          <w:szCs w:val="22"/>
        </w:rPr>
      </w:pPr>
    </w:p>
    <w:p w:rsidR="001E7911" w:rsidRPr="001B4B42" w:rsidP="001E7911">
      <w:pPr>
        <w:spacing w:after="120"/>
        <w:rPr>
          <w:szCs w:val="22"/>
        </w:rPr>
      </w:pPr>
    </w:p>
    <w:p w:rsidR="00412FC5" w:rsidRPr="001E7911" w:rsidP="001E7911"/>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7C2" w:rsidP="0055614C">
    <w:pPr>
      <w:pStyle w:val="Footer"/>
      <w:framePr w:wrap="around" w:vAnchor="text" w:hAnchor="margin" w:xAlign="center" w:y="1"/>
    </w:pPr>
    <w:r>
      <w:fldChar w:fldCharType="begin"/>
    </w:r>
    <w:r>
      <w:instrText xml:space="preserve">PAGE  </w:instrText>
    </w:r>
    <w:r>
      <w:fldChar w:fldCharType="separate"/>
    </w:r>
    <w:r>
      <w:fldChar w:fldCharType="end"/>
    </w:r>
  </w:p>
  <w:p w:rsidR="00A24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7C2">
    <w:pPr>
      <w:pStyle w:val="Footer"/>
      <w:jc w:val="center"/>
    </w:pPr>
    <w:r>
      <w:fldChar w:fldCharType="begin"/>
    </w:r>
    <w:r>
      <w:instrText xml:space="preserve"> PAGE   \* MERGEFORMAT </w:instrText>
    </w:r>
    <w:r>
      <w:fldChar w:fldCharType="separate"/>
    </w:r>
    <w:r>
      <w:rPr>
        <w:noProof/>
      </w:rPr>
      <w:t>2</w:t>
    </w:r>
    <w:r>
      <w:rPr>
        <w:noProof/>
      </w:rPr>
      <w:fldChar w:fldCharType="end"/>
    </w:r>
  </w:p>
  <w:p w:rsidR="00A247C2">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7C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6F42">
      <w:r>
        <w:separator/>
      </w:r>
    </w:p>
  </w:footnote>
  <w:footnote w:type="continuationSeparator" w:id="1">
    <w:p w:rsidR="00E66F42" w:rsidP="00C721AC">
      <w:pPr>
        <w:spacing w:before="120"/>
        <w:rPr>
          <w:sz w:val="20"/>
        </w:rPr>
      </w:pPr>
      <w:r>
        <w:rPr>
          <w:sz w:val="20"/>
        </w:rPr>
        <w:t xml:space="preserve">(Continued from previous page)  </w:t>
      </w:r>
      <w:r>
        <w:rPr>
          <w:sz w:val="20"/>
        </w:rPr>
        <w:separator/>
      </w:r>
    </w:p>
  </w:footnote>
  <w:footnote w:type="continuationNotice" w:id="2">
    <w:p w:rsidR="00E66F42" w:rsidRPr="00036FBC" w:rsidP="00036FBC">
      <w:pPr>
        <w:pStyle w:val="Footer"/>
      </w:pPr>
    </w:p>
  </w:footnote>
  <w:footnote w:id="3">
    <w:p w:rsidR="00A247C2">
      <w:pPr>
        <w:pStyle w:val="FootnoteText"/>
      </w:pPr>
      <w:r>
        <w:rPr>
          <w:rStyle w:val="FootnoteReference"/>
        </w:rPr>
        <w:footnoteRef/>
      </w:r>
      <w:r>
        <w:t xml:space="preserve"> </w:t>
      </w:r>
      <w:r w:rsidRPr="00161E8C">
        <w:rPr>
          <w:i/>
        </w:rPr>
        <w:t>See</w:t>
      </w:r>
      <w:r>
        <w:t xml:space="preserve"> </w:t>
      </w:r>
      <w:r w:rsidRPr="00161E8C">
        <w:t>47 U.S.C. § 159(h)</w:t>
      </w:r>
      <w:r>
        <w:t xml:space="preserve">; </w:t>
      </w:r>
      <w:r w:rsidRPr="00161E8C">
        <w:t>47 CFR § 1.1116(b)</w:t>
      </w:r>
      <w:r>
        <w:t>.</w:t>
      </w:r>
    </w:p>
  </w:footnote>
  <w:footnote w:id="4">
    <w:p w:rsidR="004427C4">
      <w:pPr>
        <w:pStyle w:val="FootnoteText"/>
      </w:pPr>
      <w:r>
        <w:rPr>
          <w:rStyle w:val="FootnoteReference"/>
        </w:rPr>
        <w:footnoteRef/>
      </w:r>
      <w:r>
        <w:t xml:space="preserve"> The revised application contained </w:t>
      </w:r>
      <w:r w:rsidRPr="004427C4">
        <w:t xml:space="preserve">an “Exhibit A – page 1 of 1 – Petition for Reconsideration Response to Dismissal of Renewal filing – Waiver of Late-filed Renewal.”  </w:t>
      </w:r>
    </w:p>
  </w:footnote>
  <w:footnote w:id="5">
    <w:p w:rsidR="00A247C2">
      <w:pPr>
        <w:pStyle w:val="FootnoteText"/>
      </w:pPr>
      <w:r>
        <w:rPr>
          <w:rStyle w:val="FootnoteReference"/>
        </w:rPr>
        <w:footnoteRef/>
      </w:r>
      <w:r>
        <w:t xml:space="preserve"> The exhibit was signed by </w:t>
      </w:r>
      <w:r w:rsidRPr="006B5C25">
        <w:t>Terry Gibson</w:t>
      </w:r>
      <w:r>
        <w:t>,</w:t>
      </w:r>
      <w:r w:rsidRPr="006B5C25">
        <w:t xml:space="preserve"> Chief</w:t>
      </w:r>
      <w:r w:rsidR="00233089">
        <w:t>,</w:t>
      </w:r>
      <w:r w:rsidRPr="006B5C25">
        <w:t xml:space="preserve"> Fairmont Rural Fire Department</w:t>
      </w:r>
      <w:r>
        <w:t>.</w:t>
      </w:r>
    </w:p>
  </w:footnote>
  <w:footnote w:id="6">
    <w:p w:rsidR="00A247C2" w:rsidRPr="00B40274" w:rsidP="00B40274">
      <w:pPr>
        <w:pStyle w:val="FootnoteText"/>
      </w:pPr>
      <w:r>
        <w:rPr>
          <w:rStyle w:val="FootnoteReference"/>
        </w:rPr>
        <w:footnoteRef/>
      </w:r>
      <w:r>
        <w:t xml:space="preserve"> </w:t>
      </w:r>
      <w:r w:rsidRPr="002E2AB3">
        <w:rPr>
          <w:i/>
          <w:color w:val="0D0D0D" w:themeColor="text1" w:themeTint="F2"/>
        </w:rPr>
        <w:t>Cf. WHNO(TV),</w:t>
      </w:r>
      <w:r w:rsidRPr="002E2AB3">
        <w:rPr>
          <w:color w:val="0D0D0D" w:themeColor="text1" w:themeTint="F2"/>
        </w:rPr>
        <w:t xml:space="preserve"> Letter, 20 FCC Rcd. 20098 (M.B. 2005) (License renewal granted despite a 45 second </w:t>
      </w:r>
      <w:r w:rsidRPr="002E2AB3">
        <w:rPr>
          <w:i/>
          <w:color w:val="0D0D0D" w:themeColor="text1" w:themeTint="F2"/>
        </w:rPr>
        <w:t>de minimis</w:t>
      </w:r>
      <w:r w:rsidRPr="002E2AB3">
        <w:rPr>
          <w:color w:val="0D0D0D" w:themeColor="text1" w:themeTint="F2"/>
        </w:rPr>
        <w:t xml:space="preserve"> violation of the Children's Television Act of 1990, </w:t>
      </w:r>
      <w:hyperlink r:id="rId1" w:history="1">
        <w:r w:rsidRPr="002E2AB3">
          <w:rPr>
            <w:rStyle w:val="Hyperlink"/>
            <w:color w:val="0D0D0D" w:themeColor="text1" w:themeTint="F2"/>
            <w:u w:val="none"/>
          </w:rPr>
          <w:t>Pub. L. No. 101-437, 104 Stat. 996-</w:t>
        </w:r>
      </w:hyperlink>
      <w:r w:rsidRPr="002E2AB3">
        <w:rPr>
          <w:color w:val="0D0D0D" w:themeColor="text1" w:themeTint="F2"/>
        </w:rPr>
        <w:t>1000, </w:t>
      </w:r>
      <w:r w:rsidRPr="002E2AB3">
        <w:rPr>
          <w:i/>
          <w:iCs/>
          <w:color w:val="0D0D0D" w:themeColor="text1" w:themeTint="F2"/>
        </w:rPr>
        <w:t>codified at</w:t>
      </w:r>
      <w:r w:rsidRPr="002E2AB3">
        <w:rPr>
          <w:color w:val="0D0D0D" w:themeColor="text1" w:themeTint="F2"/>
        </w:rPr>
        <w:t> </w:t>
      </w:r>
      <w:hyperlink r:id="rId2" w:history="1">
        <w:r w:rsidRPr="002E2AB3">
          <w:rPr>
            <w:rStyle w:val="Hyperlink"/>
            <w:color w:val="0D0D0D" w:themeColor="text1" w:themeTint="F2"/>
            <w:u w:val="none"/>
          </w:rPr>
          <w:t>47 U.S.C. Sections 303a</w:t>
        </w:r>
      </w:hyperlink>
      <w:r w:rsidRPr="002E2AB3">
        <w:rPr>
          <w:color w:val="0D0D0D" w:themeColor="text1" w:themeTint="F2"/>
        </w:rPr>
        <w:t>, </w:t>
      </w:r>
      <w:hyperlink r:id="rId3" w:history="1">
        <w:r w:rsidRPr="002E2AB3">
          <w:rPr>
            <w:rStyle w:val="Hyperlink"/>
            <w:color w:val="0D0D0D" w:themeColor="text1" w:themeTint="F2"/>
            <w:u w:val="none"/>
          </w:rPr>
          <w:t>303b</w:t>
        </w:r>
      </w:hyperlink>
      <w:r w:rsidRPr="002E2AB3">
        <w:rPr>
          <w:color w:val="0D0D0D" w:themeColor="text1" w:themeTint="F2"/>
        </w:rPr>
        <w:t> and </w:t>
      </w:r>
      <w:hyperlink r:id="rId4" w:history="1">
        <w:r w:rsidRPr="002E2AB3">
          <w:rPr>
            <w:rStyle w:val="Hyperlink"/>
            <w:color w:val="0D0D0D" w:themeColor="text1" w:themeTint="F2"/>
            <w:u w:val="none"/>
          </w:rPr>
          <w:t>394</w:t>
        </w:r>
      </w:hyperlink>
      <w:r w:rsidRPr="002E2AB3">
        <w:rPr>
          <w:color w:val="0D0D0D" w:themeColor="text1" w:themeTint="F2"/>
        </w:rPr>
        <w:t>.)</w:t>
      </w:r>
      <w:r w:rsidR="00B40274">
        <w:rPr>
          <w:color w:val="0D0D0D" w:themeColor="text1" w:themeTint="F2"/>
        </w:rPr>
        <w:t xml:space="preserve">; </w:t>
      </w:r>
      <w:r w:rsidRPr="00B40274" w:rsidR="00B40274">
        <w:rPr>
          <w:i/>
          <w:color w:val="0D0D0D" w:themeColor="text1" w:themeTint="F2"/>
        </w:rPr>
        <w:t>Portland Cellular Partnership</w:t>
      </w:r>
      <w:r w:rsidR="00B40274">
        <w:rPr>
          <w:color w:val="0D0D0D" w:themeColor="text1" w:themeTint="F2"/>
        </w:rPr>
        <w:t>, Memorandum Opinion and Order, 8 FCC Rcd</w:t>
      </w:r>
      <w:r w:rsidRPr="00B40274" w:rsidR="00B40274">
        <w:rPr>
          <w:color w:val="0D0D0D" w:themeColor="text1" w:themeTint="F2"/>
        </w:rPr>
        <w:t xml:space="preserve"> 4146 (</w:t>
      </w:r>
      <w:r w:rsidR="00B40274">
        <w:rPr>
          <w:color w:val="0D0D0D" w:themeColor="text1" w:themeTint="F2"/>
        </w:rPr>
        <w:t xml:space="preserve">1993). (Application reinstated on reconsideration where applicant’s extension of coverage into a nearby licensee’s coverage area was deemed </w:t>
      </w:r>
      <w:r w:rsidRPr="00B40274" w:rsidR="00B40274">
        <w:rPr>
          <w:i/>
          <w:color w:val="0D0D0D" w:themeColor="text1" w:themeTint="F2"/>
        </w:rPr>
        <w:t>de minimis.</w:t>
      </w:r>
      <w:r w:rsidR="00B40274">
        <w:rPr>
          <w:color w:val="0D0D0D" w:themeColor="text1" w:themeTint="F2"/>
        </w:rPr>
        <w:t>)</w:t>
      </w:r>
      <w:r w:rsidR="00A55410">
        <w:rPr>
          <w:color w:val="0D0D0D" w:themeColor="text1" w:themeTint="F2"/>
        </w:rPr>
        <w:t>.</w:t>
      </w:r>
    </w:p>
    <w:p w:rsidR="00A247C2" w:rsidP="00A247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7C2" w:rsidP="00810B6F">
    <w:pPr>
      <w:pStyle w:val="Header"/>
      <w:rPr>
        <w:b w:val="0"/>
      </w:rPr>
    </w:pPr>
    <w:r>
      <w:tab/>
      <w:t>Federal Communications Commission</w:t>
    </w:r>
    <w:r>
      <w:tab/>
      <w:t>DA 19-</w:t>
    </w:r>
    <w:r w:rsidR="007153BE">
      <w:rPr>
        <w:spacing w:val="-2"/>
      </w:rPr>
      <w:t>466</w:t>
    </w:r>
  </w:p>
  <w:p w:rsidR="00A247C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247C2">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7C2"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7153BE">
      <w:rPr>
        <w:spacing w:val="-2"/>
      </w:rPr>
      <w:t>466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0B"/>
    <w:rsid w:val="00033F16"/>
    <w:rsid w:val="00036039"/>
    <w:rsid w:val="00036FBC"/>
    <w:rsid w:val="00037F90"/>
    <w:rsid w:val="00043D99"/>
    <w:rsid w:val="00053FCA"/>
    <w:rsid w:val="0007572D"/>
    <w:rsid w:val="000875BF"/>
    <w:rsid w:val="00096D8C"/>
    <w:rsid w:val="000C0B65"/>
    <w:rsid w:val="000E05FE"/>
    <w:rsid w:val="000E3D42"/>
    <w:rsid w:val="00122BD5"/>
    <w:rsid w:val="001232FF"/>
    <w:rsid w:val="00133F79"/>
    <w:rsid w:val="00161E8C"/>
    <w:rsid w:val="0018681C"/>
    <w:rsid w:val="00194A66"/>
    <w:rsid w:val="001B4B42"/>
    <w:rsid w:val="001C7640"/>
    <w:rsid w:val="001D052B"/>
    <w:rsid w:val="001D6BCF"/>
    <w:rsid w:val="001E01CA"/>
    <w:rsid w:val="001E4CC1"/>
    <w:rsid w:val="001E7911"/>
    <w:rsid w:val="0022367A"/>
    <w:rsid w:val="00233089"/>
    <w:rsid w:val="002558C4"/>
    <w:rsid w:val="002670B1"/>
    <w:rsid w:val="00275CF5"/>
    <w:rsid w:val="0028301F"/>
    <w:rsid w:val="00285017"/>
    <w:rsid w:val="002866C1"/>
    <w:rsid w:val="002A2D2E"/>
    <w:rsid w:val="002C00E8"/>
    <w:rsid w:val="002C6129"/>
    <w:rsid w:val="002D036D"/>
    <w:rsid w:val="002E2AB3"/>
    <w:rsid w:val="002F5FB0"/>
    <w:rsid w:val="003100DD"/>
    <w:rsid w:val="00324296"/>
    <w:rsid w:val="0033486B"/>
    <w:rsid w:val="00343749"/>
    <w:rsid w:val="003660ED"/>
    <w:rsid w:val="0037709B"/>
    <w:rsid w:val="003B0550"/>
    <w:rsid w:val="003B694F"/>
    <w:rsid w:val="003F171C"/>
    <w:rsid w:val="00412FC5"/>
    <w:rsid w:val="004150FD"/>
    <w:rsid w:val="00422276"/>
    <w:rsid w:val="004242F1"/>
    <w:rsid w:val="00440B0E"/>
    <w:rsid w:val="004427C4"/>
    <w:rsid w:val="00445A00"/>
    <w:rsid w:val="004469D7"/>
    <w:rsid w:val="00451B0F"/>
    <w:rsid w:val="00464A0B"/>
    <w:rsid w:val="004A199C"/>
    <w:rsid w:val="004C2EE3"/>
    <w:rsid w:val="004E4299"/>
    <w:rsid w:val="004E4A22"/>
    <w:rsid w:val="004E541E"/>
    <w:rsid w:val="004F6535"/>
    <w:rsid w:val="00511968"/>
    <w:rsid w:val="00513947"/>
    <w:rsid w:val="00523552"/>
    <w:rsid w:val="00544ECA"/>
    <w:rsid w:val="00547715"/>
    <w:rsid w:val="00550982"/>
    <w:rsid w:val="005557BE"/>
    <w:rsid w:val="0055614C"/>
    <w:rsid w:val="00566D06"/>
    <w:rsid w:val="005A3556"/>
    <w:rsid w:val="005B1C80"/>
    <w:rsid w:val="005B2532"/>
    <w:rsid w:val="005B6304"/>
    <w:rsid w:val="005D3E0F"/>
    <w:rsid w:val="005E0097"/>
    <w:rsid w:val="005E14C2"/>
    <w:rsid w:val="00607BA5"/>
    <w:rsid w:val="00607C4A"/>
    <w:rsid w:val="0061180A"/>
    <w:rsid w:val="0061339E"/>
    <w:rsid w:val="00626EB6"/>
    <w:rsid w:val="00655D03"/>
    <w:rsid w:val="0066757E"/>
    <w:rsid w:val="00683388"/>
    <w:rsid w:val="00683F84"/>
    <w:rsid w:val="006A6A81"/>
    <w:rsid w:val="006B32B6"/>
    <w:rsid w:val="006B5C25"/>
    <w:rsid w:val="006E776A"/>
    <w:rsid w:val="006F2DC3"/>
    <w:rsid w:val="006F5C6F"/>
    <w:rsid w:val="006F7393"/>
    <w:rsid w:val="0070224F"/>
    <w:rsid w:val="007115F7"/>
    <w:rsid w:val="007153BE"/>
    <w:rsid w:val="00784FAF"/>
    <w:rsid w:val="0078565B"/>
    <w:rsid w:val="00785689"/>
    <w:rsid w:val="0079754B"/>
    <w:rsid w:val="007A1E6D"/>
    <w:rsid w:val="007A5F67"/>
    <w:rsid w:val="007B0EB2"/>
    <w:rsid w:val="007B3CE5"/>
    <w:rsid w:val="007D56FC"/>
    <w:rsid w:val="008005F3"/>
    <w:rsid w:val="00810B6F"/>
    <w:rsid w:val="00812463"/>
    <w:rsid w:val="00822CE0"/>
    <w:rsid w:val="00841AB1"/>
    <w:rsid w:val="00853DB0"/>
    <w:rsid w:val="008C68F1"/>
    <w:rsid w:val="0091115D"/>
    <w:rsid w:val="00921803"/>
    <w:rsid w:val="00926503"/>
    <w:rsid w:val="00967190"/>
    <w:rsid w:val="009726D8"/>
    <w:rsid w:val="00983B29"/>
    <w:rsid w:val="00984A47"/>
    <w:rsid w:val="00994E04"/>
    <w:rsid w:val="00996128"/>
    <w:rsid w:val="009A530D"/>
    <w:rsid w:val="009B3F39"/>
    <w:rsid w:val="009B5AC8"/>
    <w:rsid w:val="009D3A33"/>
    <w:rsid w:val="009D7308"/>
    <w:rsid w:val="009F76DB"/>
    <w:rsid w:val="00A036D9"/>
    <w:rsid w:val="00A21C91"/>
    <w:rsid w:val="00A247C2"/>
    <w:rsid w:val="00A32C3B"/>
    <w:rsid w:val="00A45F4F"/>
    <w:rsid w:val="00A55410"/>
    <w:rsid w:val="00A600A9"/>
    <w:rsid w:val="00A61DD4"/>
    <w:rsid w:val="00A70CA4"/>
    <w:rsid w:val="00A84365"/>
    <w:rsid w:val="00A90EE6"/>
    <w:rsid w:val="00AA55B7"/>
    <w:rsid w:val="00AA5B9E"/>
    <w:rsid w:val="00AA70F9"/>
    <w:rsid w:val="00AB2407"/>
    <w:rsid w:val="00AB53DF"/>
    <w:rsid w:val="00B07E5C"/>
    <w:rsid w:val="00B40274"/>
    <w:rsid w:val="00B41590"/>
    <w:rsid w:val="00B5154B"/>
    <w:rsid w:val="00B5377C"/>
    <w:rsid w:val="00B65C5F"/>
    <w:rsid w:val="00B811F7"/>
    <w:rsid w:val="00B96456"/>
    <w:rsid w:val="00BA5DC6"/>
    <w:rsid w:val="00BA6196"/>
    <w:rsid w:val="00BC2358"/>
    <w:rsid w:val="00BC4319"/>
    <w:rsid w:val="00BC6D8C"/>
    <w:rsid w:val="00BE4E1E"/>
    <w:rsid w:val="00BF6B0F"/>
    <w:rsid w:val="00C03BF4"/>
    <w:rsid w:val="00C23EFD"/>
    <w:rsid w:val="00C34006"/>
    <w:rsid w:val="00C36B4C"/>
    <w:rsid w:val="00C426B1"/>
    <w:rsid w:val="00C4718C"/>
    <w:rsid w:val="00C66160"/>
    <w:rsid w:val="00C721AC"/>
    <w:rsid w:val="00C90D6A"/>
    <w:rsid w:val="00CA247E"/>
    <w:rsid w:val="00CA2534"/>
    <w:rsid w:val="00CA514F"/>
    <w:rsid w:val="00CA6D21"/>
    <w:rsid w:val="00CB2448"/>
    <w:rsid w:val="00CC72B6"/>
    <w:rsid w:val="00CE5A4A"/>
    <w:rsid w:val="00D0218D"/>
    <w:rsid w:val="00D25FB5"/>
    <w:rsid w:val="00D44223"/>
    <w:rsid w:val="00D80308"/>
    <w:rsid w:val="00DA2529"/>
    <w:rsid w:val="00DB130A"/>
    <w:rsid w:val="00DB2EBB"/>
    <w:rsid w:val="00DB35EC"/>
    <w:rsid w:val="00DC10A1"/>
    <w:rsid w:val="00DC5693"/>
    <w:rsid w:val="00DC655F"/>
    <w:rsid w:val="00DD0B59"/>
    <w:rsid w:val="00DD7EBD"/>
    <w:rsid w:val="00DF62B6"/>
    <w:rsid w:val="00E06724"/>
    <w:rsid w:val="00E07225"/>
    <w:rsid w:val="00E13C83"/>
    <w:rsid w:val="00E5409F"/>
    <w:rsid w:val="00E63649"/>
    <w:rsid w:val="00E66F42"/>
    <w:rsid w:val="00E876A6"/>
    <w:rsid w:val="00E9121E"/>
    <w:rsid w:val="00ED5BF1"/>
    <w:rsid w:val="00EE6488"/>
    <w:rsid w:val="00F021FA"/>
    <w:rsid w:val="00F52D02"/>
    <w:rsid w:val="00F62E97"/>
    <w:rsid w:val="00F64209"/>
    <w:rsid w:val="00F93BF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02C4E1-11B1-4C97-8DBB-837A7FA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11"/>
    <w:rPr>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1E7911"/>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1E7911"/>
  </w:style>
  <w:style w:type="character" w:customStyle="1" w:styleId="ParaNumChar">
    <w:name w:val="ParaNum Char"/>
    <w:link w:val="ParaNum"/>
    <w:uiPriority w:val="99"/>
    <w:locked/>
    <w:rsid w:val="001E7911"/>
    <w:rPr>
      <w:snapToGrid w:val="0"/>
      <w:kern w:val="28"/>
      <w:sz w:val="22"/>
    </w:rPr>
  </w:style>
  <w:style w:type="paragraph" w:styleId="BalloonText">
    <w:name w:val="Balloon Text"/>
    <w:basedOn w:val="Normal"/>
    <w:link w:val="BalloonTextChar"/>
    <w:rsid w:val="004E541E"/>
    <w:rPr>
      <w:rFonts w:ascii="Segoe UI" w:hAnsi="Segoe UI" w:cs="Segoe UI"/>
      <w:sz w:val="18"/>
      <w:szCs w:val="18"/>
    </w:rPr>
  </w:style>
  <w:style w:type="character" w:customStyle="1" w:styleId="BalloonTextChar">
    <w:name w:val="Balloon Text Char"/>
    <w:link w:val="BalloonText"/>
    <w:rsid w:val="004E541E"/>
    <w:rPr>
      <w:rFonts w:ascii="Segoe UI" w:hAnsi="Segoe UI" w:cs="Segoe UI"/>
      <w:sz w:val="18"/>
      <w:szCs w:val="18"/>
    </w:rPr>
  </w:style>
  <w:style w:type="character" w:customStyle="1" w:styleId="costarpage">
    <w:name w:val="co_starpage"/>
    <w:rsid w:val="00CA514F"/>
  </w:style>
  <w:style w:type="character" w:styleId="CommentReference">
    <w:name w:val="annotation reference"/>
    <w:basedOn w:val="DefaultParagraphFont"/>
    <w:rsid w:val="00DC5693"/>
    <w:rPr>
      <w:sz w:val="16"/>
      <w:szCs w:val="16"/>
    </w:rPr>
  </w:style>
  <w:style w:type="paragraph" w:styleId="CommentText">
    <w:name w:val="annotation text"/>
    <w:basedOn w:val="Normal"/>
    <w:link w:val="CommentTextChar"/>
    <w:rsid w:val="00DC5693"/>
    <w:rPr>
      <w:sz w:val="20"/>
    </w:rPr>
  </w:style>
  <w:style w:type="character" w:customStyle="1" w:styleId="CommentTextChar">
    <w:name w:val="Comment Text Char"/>
    <w:basedOn w:val="DefaultParagraphFont"/>
    <w:link w:val="CommentText"/>
    <w:rsid w:val="00DC5693"/>
  </w:style>
  <w:style w:type="paragraph" w:styleId="CommentSubject">
    <w:name w:val="annotation subject"/>
    <w:basedOn w:val="CommentText"/>
    <w:next w:val="CommentText"/>
    <w:link w:val="CommentSubjectChar"/>
    <w:rsid w:val="00DC5693"/>
    <w:rPr>
      <w:b/>
      <w:bCs/>
    </w:rPr>
  </w:style>
  <w:style w:type="character" w:customStyle="1" w:styleId="CommentSubjectChar">
    <w:name w:val="Comment Subject Char"/>
    <w:basedOn w:val="CommentTextChar"/>
    <w:link w:val="CommentSubject"/>
    <w:rsid w:val="00DC5693"/>
    <w:rPr>
      <w:b/>
      <w:bCs/>
    </w:rPr>
  </w:style>
  <w:style w:type="character" w:customStyle="1" w:styleId="UnresolvedMention">
    <w:name w:val="Unresolved Mention"/>
    <w:basedOn w:val="DefaultParagraphFont"/>
    <w:uiPriority w:val="99"/>
    <w:semiHidden/>
    <w:unhideWhenUsed/>
    <w:rsid w:val="002E2A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D97600F0B8-EA4489B515A-3713E96E096)&amp;originatingDoc=Iee075203e76211dbb92c924f6a2d2928&amp;refType=SL&amp;originationContext=document&amp;transitionType=DocumentItem&amp;contextData=(sc.Search)" TargetMode="External" /><Relationship Id="rId2" Type="http://schemas.openxmlformats.org/officeDocument/2006/relationships/hyperlink" Target="https://1.next.westlaw.com/Link/Document/FullText?findType=L&amp;pubNum=1000546&amp;cite=47USCAS303A&amp;originatingDoc=Iee075203e76211dbb92c924f6a2d2928&amp;refType=LQ&amp;originationContext=document&amp;transitionType=DocumentItem&amp;contextData=(sc.Search)" TargetMode="External" /><Relationship Id="rId3" Type="http://schemas.openxmlformats.org/officeDocument/2006/relationships/hyperlink" Target="https://1.next.westlaw.com/Link/Document/FullText?findType=L&amp;pubNum=1000546&amp;cite=47USCAS303B&amp;originatingDoc=Iee075203e76211dbb92c924f6a2d2928&amp;refType=LQ&amp;originationContext=document&amp;transitionType=DocumentItem&amp;contextData=(sc.Search)" TargetMode="External" /><Relationship Id="rId4" Type="http://schemas.openxmlformats.org/officeDocument/2006/relationships/hyperlink" Target="https://1.next.westlaw.com/Link/Document/FullText?findType=L&amp;pubNum=1000546&amp;cite=47USCAS394&amp;originatingDoc=Iee075203e76211dbb92c924f6a2d2928&amp;refType=LQ&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