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bookmarkStart w:id="0" w:name="_GoBack"/>
      <w:bookmarkEnd w:id="0"/>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DD168A">
        <w:tblPrEx>
          <w:tblW w:w="0" w:type="auto"/>
          <w:tblLayout w:type="fixed"/>
          <w:tblLook w:val="04A0"/>
        </w:tblPrEx>
        <w:trPr>
          <w:trHeight w:val="2007"/>
        </w:trPr>
        <w:tc>
          <w:tcPr>
            <w:tcW w:w="4698" w:type="dxa"/>
          </w:tcPr>
          <w:p w:rsidR="00543CA2" w:rsidRPr="00237F60">
            <w:pPr>
              <w:pStyle w:val="TOAHeading"/>
              <w:tabs>
                <w:tab w:val="center" w:pos="4680"/>
              </w:tabs>
              <w:rPr>
                <w:spacing w:val="-2"/>
                <w:szCs w:val="22"/>
              </w:rPr>
            </w:pPr>
            <w:r w:rsidRPr="00237F60">
              <w:rPr>
                <w:spacing w:val="-2"/>
                <w:szCs w:val="22"/>
              </w:rPr>
              <w:t>In the Matter of</w:t>
            </w:r>
          </w:p>
          <w:p w:rsidR="00543CA2" w:rsidRPr="00237F60">
            <w:pPr>
              <w:tabs>
                <w:tab w:val="center" w:pos="4680"/>
              </w:tabs>
              <w:suppressAutoHyphens/>
              <w:rPr>
                <w:spacing w:val="-2"/>
                <w:szCs w:val="22"/>
              </w:rPr>
            </w:pPr>
          </w:p>
          <w:p w:rsidR="00543CA2" w:rsidRPr="00237F60">
            <w:pPr>
              <w:tabs>
                <w:tab w:val="center" w:pos="4680"/>
              </w:tabs>
              <w:suppressAutoHyphens/>
              <w:rPr>
                <w:szCs w:val="22"/>
              </w:rPr>
            </w:pPr>
            <w:r>
              <w:rPr>
                <w:szCs w:val="22"/>
              </w:rPr>
              <w:t>Peak Communications, Inc.</w:t>
            </w:r>
          </w:p>
          <w:p w:rsidR="00543CA2" w:rsidRPr="00237F60">
            <w:pPr>
              <w:tabs>
                <w:tab w:val="center" w:pos="4680"/>
              </w:tabs>
              <w:suppressAutoHyphens/>
              <w:rPr>
                <w:szCs w:val="22"/>
              </w:rPr>
            </w:pPr>
          </w:p>
          <w:p w:rsidR="00543CA2" w:rsidRPr="00237F60">
            <w:pPr>
              <w:pStyle w:val="TOAHeading"/>
              <w:tabs>
                <w:tab w:val="center" w:pos="4680"/>
              </w:tabs>
              <w:rPr>
                <w:szCs w:val="22"/>
              </w:rPr>
            </w:pPr>
            <w:r w:rsidRPr="00237F60">
              <w:rPr>
                <w:szCs w:val="22"/>
              </w:rPr>
              <w:t xml:space="preserve">Complaint Regarding </w:t>
            </w:r>
          </w:p>
          <w:p w:rsidR="00543CA2" w:rsidRPr="00237F60">
            <w:pPr>
              <w:pStyle w:val="TOAHeading"/>
              <w:tabs>
                <w:tab w:val="center" w:pos="4680"/>
              </w:tabs>
              <w:rPr>
                <w:szCs w:val="22"/>
              </w:rPr>
            </w:pPr>
            <w:r w:rsidRPr="00237F60">
              <w:rPr>
                <w:szCs w:val="22"/>
              </w:rPr>
              <w:t>Unauthorized Change of</w:t>
            </w:r>
          </w:p>
          <w:p w:rsidR="00543CA2" w:rsidRPr="00237F60">
            <w:pPr>
              <w:pStyle w:val="TOAHeading"/>
              <w:tabs>
                <w:tab w:val="center" w:pos="4680"/>
              </w:tabs>
              <w:rPr>
                <w:szCs w:val="22"/>
              </w:rPr>
            </w:pPr>
            <w:r w:rsidRPr="00237F60">
              <w:rPr>
                <w:szCs w:val="22"/>
              </w:rPr>
              <w:t>Subscriber’s Telecommunications Carrier</w:t>
            </w:r>
          </w:p>
        </w:tc>
        <w:tc>
          <w:tcPr>
            <w:tcW w:w="630" w:type="dxa"/>
            <w:hideMark/>
          </w:tcPr>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154175" w:rsidRPr="00237F60">
            <w:pPr>
              <w:tabs>
                <w:tab w:val="center" w:pos="4680"/>
              </w:tabs>
              <w:suppressAutoHyphens/>
              <w:rPr>
                <w:b/>
                <w:spacing w:val="-2"/>
                <w:szCs w:val="22"/>
              </w:rPr>
            </w:pPr>
          </w:p>
        </w:tc>
        <w:tc>
          <w:tcPr>
            <w:tcW w:w="4248" w:type="dxa"/>
          </w:tcPr>
          <w:p w:rsidR="00543CA2" w:rsidRPr="00237F60">
            <w:pPr>
              <w:tabs>
                <w:tab w:val="center" w:pos="4680"/>
              </w:tabs>
              <w:suppressAutoHyphens/>
              <w:rPr>
                <w:spacing w:val="-2"/>
                <w:szCs w:val="22"/>
              </w:rPr>
            </w:pPr>
          </w:p>
          <w:p w:rsidR="00543CA2" w:rsidRPr="00237F60">
            <w:pPr>
              <w:tabs>
                <w:tab w:val="center" w:pos="4680"/>
              </w:tabs>
              <w:suppressAutoHyphens/>
              <w:rPr>
                <w:spacing w:val="-2"/>
                <w:szCs w:val="22"/>
              </w:rPr>
            </w:pPr>
          </w:p>
          <w:p w:rsidR="009F31B8" w:rsidRPr="00237F60" w:rsidP="006701B4">
            <w:pPr>
              <w:pStyle w:val="TOAHeading"/>
              <w:rPr>
                <w:szCs w:val="22"/>
              </w:rPr>
            </w:pPr>
            <w:r w:rsidRPr="00237F60">
              <w:rPr>
                <w:szCs w:val="22"/>
              </w:rPr>
              <w:t xml:space="preserve">Complaint No. </w:t>
            </w:r>
            <w:r w:rsidRPr="00237F60" w:rsidR="00240D4F">
              <w:rPr>
                <w:szCs w:val="22"/>
              </w:rPr>
              <w:t xml:space="preserve"> </w:t>
            </w:r>
            <w:r w:rsidR="00937A30">
              <w:rPr>
                <w:szCs w:val="22"/>
              </w:rPr>
              <w:t>709359</w:t>
            </w:r>
          </w:p>
          <w:p w:rsidR="00ED716C" w:rsidRPr="00237F60" w:rsidP="00ED716C">
            <w:r w:rsidRPr="00237F60">
              <w:t xml:space="preserve">                                                   </w:t>
            </w:r>
          </w:p>
          <w:p w:rsidR="00ED716C" w:rsidRPr="00237F60" w:rsidP="00ED716C">
            <w:r w:rsidRPr="00237F60">
              <w:t xml:space="preserve">                      </w:t>
            </w:r>
          </w:p>
          <w:p w:rsidR="00ED716C" w:rsidRPr="00237F60" w:rsidP="00ED716C">
            <w:r w:rsidRPr="00237F60">
              <w:t xml:space="preserve">                           </w:t>
            </w:r>
          </w:p>
          <w:p w:rsidR="006E3575" w:rsidRPr="00237F60" w:rsidP="006E3575">
            <w:r w:rsidRPr="00237F60">
              <w:t xml:space="preserve">                           </w:t>
            </w:r>
          </w:p>
          <w:p w:rsidR="006E3575" w:rsidRPr="00237F60" w:rsidP="006E3575"/>
          <w:p w:rsidR="00543CA2" w:rsidRPr="00237F60">
            <w:pPr>
              <w:pStyle w:val="TOAHeading"/>
              <w:rPr>
                <w:szCs w:val="22"/>
              </w:rPr>
            </w:pPr>
            <w:r w:rsidRPr="00237F60">
              <w:rPr>
                <w:szCs w:val="22"/>
              </w:rPr>
              <w:t xml:space="preserve">                           </w:t>
            </w:r>
            <w:r w:rsidRPr="00237F60">
              <w:rPr>
                <w:szCs w:val="22"/>
              </w:rPr>
              <w:t xml:space="preserve">          </w:t>
            </w:r>
          </w:p>
        </w:tc>
      </w:tr>
    </w:tbl>
    <w:p w:rsidR="00543CA2" w:rsidRPr="00237F60" w:rsidP="00F454AE">
      <w:pPr>
        <w:jc w:val="center"/>
        <w:rPr>
          <w:b/>
          <w:szCs w:val="22"/>
        </w:rPr>
      </w:pPr>
      <w:r w:rsidRPr="00237F60">
        <w:rPr>
          <w:b/>
          <w:szCs w:val="22"/>
        </w:rPr>
        <w:t>ORDER</w:t>
      </w:r>
    </w:p>
    <w:p w:rsidR="00543CA2" w:rsidRPr="00237F60" w:rsidP="00543CA2">
      <w:pPr>
        <w:tabs>
          <w:tab w:val="left" w:pos="-720"/>
        </w:tabs>
        <w:suppressAutoHyphens/>
        <w:spacing w:line="225" w:lineRule="auto"/>
        <w:ind w:left="720"/>
        <w:rPr>
          <w:spacing w:val="-2"/>
          <w:szCs w:val="22"/>
        </w:rPr>
      </w:pPr>
      <w:r w:rsidRPr="00237F60">
        <w:rPr>
          <w:spacing w:val="-2"/>
          <w:szCs w:val="22"/>
        </w:rPr>
        <w:tab/>
      </w:r>
    </w:p>
    <w:p w:rsidR="00543CA2" w:rsidRPr="00237F60" w:rsidP="006E3575">
      <w:pPr>
        <w:tabs>
          <w:tab w:val="left" w:pos="0"/>
          <w:tab w:val="left" w:pos="5760"/>
        </w:tabs>
        <w:suppressAutoHyphens/>
        <w:spacing w:line="225" w:lineRule="auto"/>
        <w:rPr>
          <w:b/>
          <w:spacing w:val="-2"/>
          <w:szCs w:val="22"/>
        </w:rPr>
      </w:pPr>
      <w:r w:rsidRPr="00237F60">
        <w:rPr>
          <w:b/>
          <w:spacing w:val="-2"/>
          <w:szCs w:val="22"/>
        </w:rPr>
        <w:t>Adopted: M</w:t>
      </w:r>
      <w:r w:rsidR="00D37FB4">
        <w:rPr>
          <w:b/>
          <w:spacing w:val="-2"/>
          <w:szCs w:val="22"/>
        </w:rPr>
        <w:t>ay 24</w:t>
      </w:r>
      <w:r w:rsidRPr="00237F60">
        <w:rPr>
          <w:b/>
          <w:spacing w:val="-2"/>
          <w:szCs w:val="22"/>
        </w:rPr>
        <w:t>, 201</w:t>
      </w:r>
      <w:r w:rsidRPr="00237F60" w:rsidR="006E3575">
        <w:rPr>
          <w:b/>
          <w:spacing w:val="-2"/>
          <w:szCs w:val="22"/>
        </w:rPr>
        <w:t>9</w:t>
      </w:r>
      <w:r w:rsidRPr="00237F60">
        <w:rPr>
          <w:b/>
          <w:spacing w:val="-2"/>
          <w:szCs w:val="22"/>
        </w:rPr>
        <w:tab/>
      </w:r>
      <w:r w:rsidRPr="00237F60" w:rsidR="006E3575">
        <w:rPr>
          <w:b/>
          <w:spacing w:val="-2"/>
          <w:szCs w:val="22"/>
        </w:rPr>
        <w:tab/>
      </w:r>
      <w:r w:rsidRPr="00237F60">
        <w:rPr>
          <w:b/>
          <w:spacing w:val="-2"/>
          <w:szCs w:val="22"/>
        </w:rPr>
        <w:t>Released:  M</w:t>
      </w:r>
      <w:r w:rsidR="00D37FB4">
        <w:rPr>
          <w:b/>
          <w:spacing w:val="-2"/>
          <w:szCs w:val="22"/>
        </w:rPr>
        <w:t>ay 24</w:t>
      </w:r>
      <w:r w:rsidRPr="00237F60">
        <w:rPr>
          <w:b/>
          <w:spacing w:val="-2"/>
          <w:szCs w:val="22"/>
        </w:rPr>
        <w:t>, 201</w:t>
      </w:r>
      <w:r w:rsidRPr="00237F60" w:rsidR="006E3575">
        <w:rPr>
          <w:b/>
          <w:spacing w:val="-2"/>
          <w:szCs w:val="22"/>
        </w:rPr>
        <w:t>9</w:t>
      </w:r>
    </w:p>
    <w:p w:rsidR="00543CA2" w:rsidRPr="00237F60" w:rsidP="00543CA2">
      <w:pPr>
        <w:rPr>
          <w:szCs w:val="22"/>
        </w:rPr>
      </w:pPr>
    </w:p>
    <w:p w:rsidR="00543CA2" w:rsidRPr="00237F60" w:rsidP="00543CA2">
      <w:pPr>
        <w:rPr>
          <w:szCs w:val="22"/>
        </w:rPr>
      </w:pPr>
      <w:r w:rsidRPr="00237F60">
        <w:rPr>
          <w:szCs w:val="22"/>
        </w:rPr>
        <w:t xml:space="preserve">By the Deputy Chief, Consumer Policy Division, Consumer </w:t>
      </w:r>
      <w:r w:rsidRPr="00237F60" w:rsidR="006E3575">
        <w:rPr>
          <w:szCs w:val="22"/>
        </w:rPr>
        <w:t>and</w:t>
      </w:r>
      <w:r w:rsidRPr="00237F60">
        <w:rPr>
          <w:szCs w:val="22"/>
        </w:rPr>
        <w:t xml:space="preserve"> Governmental Affairs Bureau:</w:t>
      </w:r>
    </w:p>
    <w:p w:rsidR="00543CA2" w:rsidRPr="00237F60" w:rsidP="00543CA2">
      <w:pPr>
        <w:tabs>
          <w:tab w:val="left" w:pos="432"/>
        </w:tabs>
        <w:ind w:firstLine="72"/>
        <w:rPr>
          <w:szCs w:val="22"/>
        </w:rPr>
      </w:pPr>
    </w:p>
    <w:p w:rsidR="00543CA2" w:rsidRPr="00237F60" w:rsidP="005457D3">
      <w:pPr>
        <w:numPr>
          <w:ilvl w:val="0"/>
          <w:numId w:val="7"/>
        </w:numPr>
        <w:tabs>
          <w:tab w:val="num" w:pos="0"/>
        </w:tabs>
        <w:snapToGrid w:val="0"/>
        <w:spacing w:after="120"/>
        <w:ind w:left="0" w:firstLine="720"/>
        <w:rPr>
          <w:kern w:val="0"/>
          <w:szCs w:val="22"/>
        </w:rPr>
      </w:pPr>
      <w:r w:rsidRPr="00237F60">
        <w:rPr>
          <w:szCs w:val="22"/>
        </w:rPr>
        <w:t xml:space="preserve">In this Order, we consider </w:t>
      </w:r>
      <w:r w:rsidR="00937A30">
        <w:rPr>
          <w:szCs w:val="22"/>
        </w:rPr>
        <w:t>the</w:t>
      </w:r>
      <w:r w:rsidRPr="00237F60" w:rsidR="00ED716C">
        <w:rPr>
          <w:szCs w:val="22"/>
        </w:rPr>
        <w:t xml:space="preserve"> </w:t>
      </w:r>
      <w:r w:rsidRPr="00237F60">
        <w:rPr>
          <w:szCs w:val="22"/>
        </w:rPr>
        <w:t>complaint</w:t>
      </w:r>
      <w:r>
        <w:rPr>
          <w:rStyle w:val="FootnoteReference"/>
          <w:szCs w:val="22"/>
        </w:rPr>
        <w:footnoteReference w:id="3"/>
      </w:r>
      <w:r w:rsidRPr="00237F60">
        <w:rPr>
          <w:szCs w:val="22"/>
        </w:rPr>
        <w:t xml:space="preserve"> alleging that</w:t>
      </w:r>
      <w:r w:rsidRPr="00237F60" w:rsidR="00CB4EAA">
        <w:rPr>
          <w:szCs w:val="22"/>
        </w:rPr>
        <w:t xml:space="preserve"> </w:t>
      </w:r>
      <w:r w:rsidR="003D0CDB">
        <w:rPr>
          <w:szCs w:val="22"/>
        </w:rPr>
        <w:t>Peak Communications, Inc.</w:t>
      </w:r>
      <w:r w:rsidRPr="00237F60">
        <w:rPr>
          <w:szCs w:val="22"/>
        </w:rPr>
        <w:t xml:space="preserve"> (</w:t>
      </w:r>
      <w:r w:rsidR="003D0CDB">
        <w:rPr>
          <w:szCs w:val="22"/>
        </w:rPr>
        <w:t>Peak</w:t>
      </w:r>
      <w:r w:rsidRPr="00237F60">
        <w:rPr>
          <w:szCs w:val="22"/>
        </w:rPr>
        <w:t>) changed Complainant</w:t>
      </w:r>
      <w:r w:rsidR="00937A30">
        <w:rPr>
          <w:szCs w:val="22"/>
        </w:rPr>
        <w:t>’s</w:t>
      </w:r>
      <w:r w:rsidRPr="00237F60">
        <w:rPr>
          <w:szCs w:val="22"/>
        </w:rPr>
        <w:t xml:space="preserve"> telecommunications service provider without obtaining authorization and verification from Complainant </w:t>
      </w:r>
      <w:r w:rsidRPr="00237F60" w:rsidR="00ED716C">
        <w:rPr>
          <w:szCs w:val="22"/>
        </w:rPr>
        <w:t>as required by</w:t>
      </w:r>
      <w:r w:rsidRPr="00237F60">
        <w:rPr>
          <w:szCs w:val="22"/>
        </w:rPr>
        <w:t xml:space="preserve"> the Commission’s rules.</w:t>
      </w:r>
      <w:r>
        <w:rPr>
          <w:rStyle w:val="FootnoteReference"/>
          <w:szCs w:val="22"/>
        </w:rPr>
        <w:footnoteReference w:id="4"/>
      </w:r>
      <w:r w:rsidRPr="00237F60">
        <w:rPr>
          <w:szCs w:val="22"/>
        </w:rPr>
        <w:t xml:space="preserve">  We </w:t>
      </w:r>
      <w:r w:rsidRPr="00237F60" w:rsidR="00E11822">
        <w:rPr>
          <w:szCs w:val="22"/>
        </w:rPr>
        <w:t>find</w:t>
      </w:r>
      <w:r w:rsidRPr="00237F60">
        <w:rPr>
          <w:szCs w:val="22"/>
        </w:rPr>
        <w:t xml:space="preserve"> that</w:t>
      </w:r>
      <w:r w:rsidRPr="00237F60" w:rsidR="003C3A54">
        <w:rPr>
          <w:szCs w:val="22"/>
        </w:rPr>
        <w:t xml:space="preserve"> </w:t>
      </w:r>
      <w:r w:rsidR="003D0CDB">
        <w:rPr>
          <w:szCs w:val="22"/>
        </w:rPr>
        <w:t>Peak</w:t>
      </w:r>
      <w:r w:rsidRPr="00237F60">
        <w:rPr>
          <w:szCs w:val="22"/>
        </w:rPr>
        <w:t xml:space="preserve">’s actions violated the Commission’s </w:t>
      </w:r>
      <w:r w:rsidRPr="00237F60" w:rsidR="00ED716C">
        <w:rPr>
          <w:szCs w:val="22"/>
        </w:rPr>
        <w:t>slamming</w:t>
      </w:r>
      <w:r w:rsidRPr="00237F60">
        <w:rPr>
          <w:szCs w:val="22"/>
        </w:rPr>
        <w:t xml:space="preserve"> rules</w:t>
      </w:r>
      <w:r w:rsidRPr="00237F60" w:rsidR="00E11822">
        <w:rPr>
          <w:szCs w:val="22"/>
        </w:rPr>
        <w:t>,</w:t>
      </w:r>
      <w:r w:rsidRPr="00237F60">
        <w:rPr>
          <w:szCs w:val="22"/>
        </w:rPr>
        <w:t xml:space="preserve"> and we </w:t>
      </w:r>
      <w:r w:rsidRPr="00237F60" w:rsidR="00E11822">
        <w:rPr>
          <w:szCs w:val="22"/>
        </w:rPr>
        <w:t xml:space="preserve">therefore </w:t>
      </w:r>
      <w:r w:rsidRPr="00237F60">
        <w:rPr>
          <w:szCs w:val="22"/>
        </w:rPr>
        <w:t>grant Complainant</w:t>
      </w:r>
      <w:r w:rsidR="00937A30">
        <w:rPr>
          <w:szCs w:val="22"/>
        </w:rPr>
        <w:t>’s</w:t>
      </w:r>
      <w:r w:rsidRPr="00237F60">
        <w:rPr>
          <w:szCs w:val="22"/>
        </w:rPr>
        <w:t xml:space="preserve"> complaint.</w:t>
      </w:r>
    </w:p>
    <w:p w:rsidR="00543CA2" w:rsidRPr="00237F60" w:rsidP="005457D3">
      <w:pPr>
        <w:numPr>
          <w:ilvl w:val="0"/>
          <w:numId w:val="7"/>
        </w:numPr>
        <w:tabs>
          <w:tab w:val="num" w:pos="0"/>
        </w:tabs>
        <w:snapToGrid w:val="0"/>
        <w:spacing w:after="120"/>
        <w:ind w:left="0" w:firstLine="720"/>
        <w:rPr>
          <w:szCs w:val="22"/>
        </w:rPr>
      </w:pPr>
      <w:r w:rsidRPr="00237F60">
        <w:t>Section 258 of the Communications Act of 1934, as amended</w:t>
      </w:r>
      <w:r w:rsidRPr="00237F60" w:rsidR="00ED716C">
        <w:t xml:space="preserve"> (the Act)</w:t>
      </w:r>
      <w:r w:rsidRPr="00237F60">
        <w:t>, prohibits the practice of “slamming,” the submission or execution of an unauthorized change in a subscriber’s selection of a provider of telephone exchange service or telephone toll service.</w:t>
      </w:r>
      <w:r>
        <w:rPr>
          <w:rStyle w:val="FootnoteReference"/>
        </w:rPr>
        <w:footnoteReference w:id="5"/>
      </w:r>
      <w:r w:rsidRPr="00237F60">
        <w:t xml:space="preserve">  The Commission’s implementing rules require, among other things, that a carrier receive individual subscriber consent before a carrier change may occur.</w:t>
      </w:r>
      <w:r>
        <w:rPr>
          <w:rStyle w:val="FootnoteReference"/>
        </w:rPr>
        <w:footnoteReference w:id="6"/>
      </w:r>
      <w:r w:rsidRPr="00237F60">
        <w:t xml:space="preserve">  Specifically, a carrier must: (1) obtain the subscriber’s written or electronically signed authorization in a format that </w:t>
      </w:r>
      <w:r w:rsidRPr="00237F60" w:rsidR="00ED716C">
        <w:t>satisfies our rules</w:t>
      </w:r>
      <w:r w:rsidRPr="00237F60">
        <w:t>;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7"/>
      </w:r>
      <w:r w:rsidRPr="00237F60">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237F60">
        <w:t xml:space="preserve"> </w:t>
      </w:r>
    </w:p>
    <w:p w:rsidR="00221AE8" w:rsidRPr="00221AE8" w:rsidP="005457D3">
      <w:pPr>
        <w:numPr>
          <w:ilvl w:val="0"/>
          <w:numId w:val="7"/>
        </w:numPr>
        <w:snapToGrid w:val="0"/>
        <w:spacing w:after="120"/>
        <w:ind w:left="0" w:firstLine="720"/>
        <w:rPr>
          <w:szCs w:val="22"/>
        </w:rPr>
      </w:pPr>
      <w:r w:rsidRPr="00237F60">
        <w:t>We received Complainant</w:t>
      </w:r>
      <w:r>
        <w:t>’s</w:t>
      </w:r>
      <w:r w:rsidRPr="00237F60">
        <w:t xml:space="preserve"> complaint alleging that Complainan</w:t>
      </w:r>
      <w:r w:rsidRPr="00237F60" w:rsidR="003C3A54">
        <w:t>t</w:t>
      </w:r>
      <w:r>
        <w:t>’s</w:t>
      </w:r>
      <w:r w:rsidRPr="00237F60">
        <w:t xml:space="preserve"> telecommunications service provider had been changed without Complainant</w:t>
      </w:r>
      <w:r>
        <w:t>’s</w:t>
      </w:r>
      <w:r w:rsidRPr="00237F60">
        <w:t xml:space="preserve"> authorization.  Pursuant to our rules, we notified </w:t>
      </w:r>
      <w:r w:rsidR="003D0CDB">
        <w:t>Peak</w:t>
      </w:r>
      <w:r w:rsidRPr="00237F60">
        <w:t xml:space="preserve"> of the complaint</w:t>
      </w:r>
      <w:r w:rsidRPr="00237F60" w:rsidR="00CB4EAA">
        <w:t>.</w:t>
      </w:r>
      <w:r>
        <w:rPr>
          <w:rStyle w:val="FootnoteReference"/>
        </w:rPr>
        <w:footnoteReference w:id="9"/>
      </w:r>
      <w:r w:rsidRPr="00237F60">
        <w:t xml:space="preserve">  </w:t>
      </w:r>
      <w:r w:rsidR="003D0CDB">
        <w:t>Peak</w:t>
      </w:r>
      <w:r w:rsidRPr="00237F60">
        <w:t xml:space="preserve"> responded, stating that it</w:t>
      </w:r>
      <w:r w:rsidRPr="00237F60" w:rsidR="00154175">
        <w:t xml:space="preserve"> </w:t>
      </w:r>
      <w:r w:rsidRPr="00237F60">
        <w:t>obtained authorization from Complainant through third</w:t>
      </w:r>
      <w:r w:rsidRPr="00237F60" w:rsidR="006701B4">
        <w:t>-</w:t>
      </w:r>
      <w:r w:rsidRPr="00237F60">
        <w:t>party verification (TPV).</w:t>
      </w:r>
      <w:r>
        <w:rPr>
          <w:rStyle w:val="FootnoteReference"/>
        </w:rPr>
        <w:footnoteReference w:id="10"/>
      </w:r>
      <w:r w:rsidRPr="00237F60">
        <w:rPr>
          <w:szCs w:val="22"/>
        </w:rPr>
        <w:t xml:space="preserve"> </w:t>
      </w:r>
      <w:r>
        <w:rPr>
          <w:szCs w:val="22"/>
        </w:rPr>
        <w:t xml:space="preserve"> </w:t>
      </w:r>
      <w:r>
        <w:t>However, Peak failed to provide any proof of authorization for the carrier change, including a TPV recording.</w:t>
      </w:r>
      <w:r w:rsidR="00DD168A">
        <w:t xml:space="preserve">  We subsequently contacted Peak to request the TPV.</w:t>
      </w:r>
      <w:r>
        <w:t xml:space="preserve">  </w:t>
      </w:r>
    </w:p>
    <w:p w:rsidR="00562BA0" w:rsidRPr="00237F60" w:rsidP="005457D3">
      <w:pPr>
        <w:numPr>
          <w:ilvl w:val="0"/>
          <w:numId w:val="7"/>
        </w:numPr>
        <w:snapToGrid w:val="0"/>
        <w:spacing w:after="120"/>
        <w:ind w:left="0" w:firstLine="720"/>
        <w:rPr>
          <w:szCs w:val="22"/>
        </w:rPr>
      </w:pPr>
      <w:r>
        <w:t xml:space="preserve">Peak responded that it </w:t>
      </w:r>
      <w:r w:rsidR="0006145A">
        <w:t>“</w:t>
      </w:r>
      <w:r>
        <w:t>retains verifications for a minimum of two years as required by FCC regulations</w:t>
      </w:r>
      <w:r w:rsidR="0006145A">
        <w:t>”</w:t>
      </w:r>
      <w:r>
        <w:t xml:space="preserve"> and that because the verification was completed more than two years </w:t>
      </w:r>
      <w:r w:rsidR="00954BB6">
        <w:t>ago</w:t>
      </w:r>
      <w:r>
        <w:t>, Peak had not retained the TPV.</w:t>
      </w:r>
      <w:r>
        <w:rPr>
          <w:rStyle w:val="FootnoteReference"/>
        </w:rPr>
        <w:footnoteReference w:id="11"/>
      </w:r>
      <w:r>
        <w:t xml:space="preserve">  However, </w:t>
      </w:r>
      <w:r w:rsidR="0006145A">
        <w:t>we</w:t>
      </w:r>
      <w:r>
        <w:t xml:space="preserve"> </w:t>
      </w:r>
      <w:r w:rsidR="0006145A">
        <w:t xml:space="preserve">first </w:t>
      </w:r>
      <w:r>
        <w:t>notified Peak of the complaint on January 6, 2016, and Peak’s</w:t>
      </w:r>
      <w:r w:rsidR="00954BB6">
        <w:t xml:space="preserve"> </w:t>
      </w:r>
      <w:r>
        <w:t xml:space="preserve">response was filed on June 13, 2016, less than two years </w:t>
      </w:r>
      <w:r w:rsidR="001A54F0">
        <w:t>from the date</w:t>
      </w:r>
      <w:r>
        <w:t xml:space="preserve"> </w:t>
      </w:r>
      <w:r w:rsidR="00D4731D">
        <w:t>Peak</w:t>
      </w:r>
      <w:r>
        <w:t xml:space="preserve"> </w:t>
      </w:r>
      <w:r w:rsidR="0006145A">
        <w:t xml:space="preserve">completed </w:t>
      </w:r>
      <w:r>
        <w:t xml:space="preserve">the verification.  Thus, Peak was required to </w:t>
      </w:r>
      <w:r w:rsidR="009E751C">
        <w:t xml:space="preserve">have maintained and preserved records of Complainant’s authorization </w:t>
      </w:r>
      <w:r w:rsidR="0006145A">
        <w:t>at th</w:t>
      </w:r>
      <w:r w:rsidR="009E751C">
        <w:t>e</w:t>
      </w:r>
      <w:r w:rsidR="0006145A">
        <w:t xml:space="preserve"> time</w:t>
      </w:r>
      <w:r w:rsidR="009E751C">
        <w:t xml:space="preserve"> </w:t>
      </w:r>
      <w:r w:rsidR="00954BB6">
        <w:t>it initially responded to the complaint</w:t>
      </w:r>
      <w:r w:rsidR="0006145A">
        <w:t>.</w:t>
      </w:r>
      <w:r>
        <w:rPr>
          <w:rStyle w:val="FootnoteReference"/>
        </w:rPr>
        <w:footnoteReference w:id="12"/>
      </w:r>
      <w:r w:rsidR="0006145A">
        <w:t xml:space="preserve">  </w:t>
      </w:r>
      <w:r>
        <w:t>T</w:t>
      </w:r>
      <w:r w:rsidR="00221AE8">
        <w:t xml:space="preserve">he failure of </w:t>
      </w:r>
      <w:r>
        <w:t>Peak</w:t>
      </w:r>
      <w:r w:rsidR="00221AE8">
        <w:t xml:space="preserve"> to provide proof of verified authorization is presumed to be clear and convincing evidence of a violation.</w:t>
      </w:r>
      <w:r>
        <w:rPr>
          <w:rStyle w:val="FootnoteReference"/>
        </w:rPr>
        <w:footnoteReference w:id="13"/>
      </w:r>
      <w:r w:rsidR="00221AE8">
        <w:t xml:space="preserve">  Therefore, we find that </w:t>
      </w:r>
      <w:r>
        <w:t>Peak</w:t>
      </w:r>
      <w:r w:rsidR="00221AE8">
        <w:t xml:space="preserve">’s actions resulted in a violation of our </w:t>
      </w:r>
      <w:r>
        <w:t>slamming</w:t>
      </w:r>
      <w:r w:rsidR="00221AE8">
        <w:t xml:space="preserve"> rules, and we discuss </w:t>
      </w:r>
      <w:r>
        <w:t>Peak</w:t>
      </w:r>
      <w:r w:rsidR="00221AE8">
        <w:t>’s liability below.</w:t>
      </w:r>
      <w:r>
        <w:rPr>
          <w:rStyle w:val="FootnoteReference"/>
        </w:rPr>
        <w:footnoteReference w:id="14"/>
      </w:r>
      <w:r w:rsidRPr="00142D97" w:rsidR="00221AE8">
        <w:t xml:space="preserve">  </w:t>
      </w:r>
      <w:r w:rsidRPr="00237F60" w:rsidR="00E11822">
        <w:rPr>
          <w:szCs w:val="22"/>
        </w:rPr>
        <w:t xml:space="preserve"> </w:t>
      </w:r>
    </w:p>
    <w:p w:rsidR="00543CA2" w:rsidRPr="00237F60" w:rsidP="005457D3">
      <w:pPr>
        <w:numPr>
          <w:ilvl w:val="0"/>
          <w:numId w:val="7"/>
        </w:numPr>
        <w:snapToGrid w:val="0"/>
        <w:spacing w:after="120"/>
        <w:ind w:left="0" w:firstLine="720"/>
        <w:rPr>
          <w:szCs w:val="22"/>
        </w:rPr>
      </w:pPr>
      <w:r>
        <w:rPr>
          <w:szCs w:val="22"/>
        </w:rPr>
        <w:t>Peak</w:t>
      </w:r>
      <w:r w:rsidRPr="00237F60">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15"/>
      </w:r>
      <w:r w:rsidRPr="00237F60">
        <w:rPr>
          <w:szCs w:val="22"/>
        </w:rPr>
        <w:t xml:space="preserve">  We have determined that Complainant </w:t>
      </w:r>
      <w:r w:rsidR="00500917">
        <w:rPr>
          <w:szCs w:val="22"/>
        </w:rPr>
        <w:t>is</w:t>
      </w:r>
      <w:r w:rsidRPr="00237F60">
        <w:rPr>
          <w:szCs w:val="22"/>
        </w:rPr>
        <w:t xml:space="preserve"> entitled to absolution for the charges incurred during the first thirty days after the unauthorized change occurred and </w:t>
      </w:r>
      <w:r w:rsidRPr="00237F60" w:rsidR="00763CD4">
        <w:rPr>
          <w:szCs w:val="22"/>
        </w:rPr>
        <w:t>that</w:t>
      </w:r>
      <w:r w:rsidRPr="00237F60">
        <w:rPr>
          <w:szCs w:val="22"/>
        </w:rPr>
        <w:t xml:space="preserve"> </w:t>
      </w:r>
      <w:r w:rsidRPr="00237F60" w:rsidR="00653081">
        <w:t>neither the Complainant</w:t>
      </w:r>
      <w:r w:rsidR="00500917">
        <w:t>’s</w:t>
      </w:r>
      <w:r w:rsidRPr="00237F60" w:rsidR="00653081">
        <w:t xml:space="preserve"> authorized carrier nor </w:t>
      </w:r>
      <w:r w:rsidR="001B4DD2">
        <w:rPr>
          <w:szCs w:val="22"/>
        </w:rPr>
        <w:t>Peak</w:t>
      </w:r>
      <w:r w:rsidRPr="00237F60">
        <w:rPr>
          <w:szCs w:val="22"/>
        </w:rPr>
        <w:t xml:space="preserve"> may pursue any collection against Complainant for those charges.</w:t>
      </w:r>
      <w:r>
        <w:rPr>
          <w:rStyle w:val="FootnoteReference"/>
          <w:szCs w:val="22"/>
        </w:rPr>
        <w:footnoteReference w:id="16"/>
      </w:r>
      <w:r w:rsidRPr="00237F60">
        <w:rPr>
          <w:szCs w:val="22"/>
        </w:rPr>
        <w:t xml:space="preserve"> </w:t>
      </w:r>
      <w:r w:rsidRPr="00237F60" w:rsidR="00763CD4">
        <w:rPr>
          <w:szCs w:val="22"/>
        </w:rPr>
        <w:t xml:space="preserve"> </w:t>
      </w:r>
      <w:r w:rsidRPr="00237F60">
        <w:rPr>
          <w:szCs w:val="22"/>
        </w:rPr>
        <w:t xml:space="preserve">Any charges imposed by </w:t>
      </w:r>
      <w:r w:rsidR="001B4DD2">
        <w:rPr>
          <w:szCs w:val="22"/>
        </w:rPr>
        <w:t>Peak</w:t>
      </w:r>
      <w:r w:rsidRPr="00237F60">
        <w:rPr>
          <w:szCs w:val="22"/>
        </w:rPr>
        <w:t xml:space="preserve"> on the subscriber for service provided after this 30-day period shall be paid by the subscriber at the rates the subscriber w</w:t>
      </w:r>
      <w:r w:rsidR="00500917">
        <w:rPr>
          <w:szCs w:val="22"/>
        </w:rPr>
        <w:t>as</w:t>
      </w:r>
      <w:r w:rsidRPr="00237F60">
        <w:rPr>
          <w:szCs w:val="22"/>
        </w:rPr>
        <w:t xml:space="preserve"> paying to </w:t>
      </w:r>
      <w:r w:rsidRPr="00237F60" w:rsidR="0060144A">
        <w:rPr>
          <w:szCs w:val="22"/>
        </w:rPr>
        <w:t xml:space="preserve">the </w:t>
      </w:r>
      <w:r w:rsidRPr="00237F60">
        <w:rPr>
          <w:szCs w:val="22"/>
        </w:rPr>
        <w:t>authorized carrier at the time of the unauthorized change.</w:t>
      </w:r>
      <w:r>
        <w:rPr>
          <w:rStyle w:val="FootnoteReference"/>
          <w:szCs w:val="22"/>
        </w:rPr>
        <w:footnoteReference w:id="17"/>
      </w:r>
    </w:p>
    <w:p w:rsidR="00543CA2" w:rsidRPr="00237F60" w:rsidP="005457D3">
      <w:pPr>
        <w:numPr>
          <w:ilvl w:val="0"/>
          <w:numId w:val="7"/>
        </w:numPr>
        <w:snapToGrid w:val="0"/>
        <w:spacing w:after="120"/>
        <w:ind w:left="0" w:firstLine="720"/>
        <w:rPr>
          <w:szCs w:val="22"/>
        </w:rPr>
      </w:pPr>
      <w:r w:rsidRPr="00237F60">
        <w:rPr>
          <w:szCs w:val="22"/>
        </w:rPr>
        <w:t xml:space="preserve">Accordingly, IT IS ORDERED that, pursuant to </w:t>
      </w:r>
      <w:r w:rsidRPr="00237F60" w:rsidR="007D4DE5">
        <w:rPr>
          <w:szCs w:val="22"/>
        </w:rPr>
        <w:t>s</w:t>
      </w:r>
      <w:r w:rsidRPr="00237F60">
        <w:rPr>
          <w:szCs w:val="22"/>
        </w:rPr>
        <w:t xml:space="preserve">ection 258 of the Communications Act of 1934, as amended, 47 U.S.C. § 258, and </w:t>
      </w:r>
      <w:r w:rsidRPr="00237F60" w:rsidR="007D4DE5">
        <w:rPr>
          <w:szCs w:val="22"/>
        </w:rPr>
        <w:t>s</w:t>
      </w:r>
      <w:r w:rsidRPr="00237F60">
        <w:rPr>
          <w:szCs w:val="22"/>
        </w:rPr>
        <w:t>ections 0.141, 0.361 and 1.719 of the Commission’s rules, 47 CFR §§ 0.141, 0.361</w:t>
      </w:r>
      <w:r w:rsidRPr="00237F60" w:rsidR="00E66984">
        <w:rPr>
          <w:szCs w:val="22"/>
        </w:rPr>
        <w:t>,</w:t>
      </w:r>
      <w:r w:rsidRPr="00237F60">
        <w:rPr>
          <w:szCs w:val="22"/>
        </w:rPr>
        <w:t xml:space="preserve"> 1.719, the complaint filed against </w:t>
      </w:r>
      <w:r w:rsidR="001B4DD2">
        <w:rPr>
          <w:szCs w:val="22"/>
        </w:rPr>
        <w:t>Peak Communications, Inc.</w:t>
      </w:r>
      <w:r w:rsidRPr="00237F60" w:rsidR="00AD7D33">
        <w:rPr>
          <w:szCs w:val="22"/>
        </w:rPr>
        <w:t xml:space="preserve"> </w:t>
      </w:r>
      <w:r w:rsidR="00500917">
        <w:rPr>
          <w:szCs w:val="22"/>
        </w:rPr>
        <w:t>IS</w:t>
      </w:r>
      <w:r w:rsidRPr="00237F60">
        <w:rPr>
          <w:szCs w:val="22"/>
        </w:rPr>
        <w:t xml:space="preserve"> GRANTED.</w:t>
      </w:r>
    </w:p>
    <w:p w:rsidR="009E751C" w:rsidP="005457D3">
      <w:pPr>
        <w:numPr>
          <w:ilvl w:val="0"/>
          <w:numId w:val="7"/>
        </w:numPr>
        <w:snapToGrid w:val="0"/>
        <w:spacing w:after="120"/>
        <w:ind w:left="0" w:firstLine="720"/>
        <w:rPr>
          <w:szCs w:val="22"/>
        </w:rPr>
      </w:pPr>
      <w:r w:rsidRPr="00237F60">
        <w:rPr>
          <w:szCs w:val="22"/>
        </w:rPr>
        <w:t xml:space="preserve">IT IS FURTHER ORDERED that, pursuant to </w:t>
      </w:r>
      <w:r w:rsidRPr="00237F60" w:rsidR="007D4DE5">
        <w:rPr>
          <w:szCs w:val="22"/>
        </w:rPr>
        <w:t>s</w:t>
      </w:r>
      <w:r w:rsidRPr="00237F60">
        <w:rPr>
          <w:szCs w:val="22"/>
        </w:rPr>
        <w:t xml:space="preserve">ection 64.1170(d) of the Commission’s rules, 47 CFR § 64.1170(d), </w:t>
      </w:r>
      <w:r w:rsidRPr="00237F60" w:rsidR="00AD7D33">
        <w:rPr>
          <w:szCs w:val="22"/>
        </w:rPr>
        <w:t xml:space="preserve">the </w:t>
      </w:r>
      <w:r w:rsidRPr="00237F60">
        <w:rPr>
          <w:szCs w:val="22"/>
        </w:rPr>
        <w:t xml:space="preserve">Complainant </w:t>
      </w:r>
      <w:r w:rsidR="00500917">
        <w:rPr>
          <w:szCs w:val="22"/>
        </w:rPr>
        <w:t>is</w:t>
      </w:r>
      <w:r w:rsidRPr="00237F60">
        <w:rPr>
          <w:szCs w:val="22"/>
        </w:rPr>
        <w:t xml:space="preserve"> entitled to absolution for the charges incurred during the first thirty days after the unauthorized change occurred and </w:t>
      </w:r>
      <w:r w:rsidRPr="00237F60" w:rsidR="00AD7D33">
        <w:rPr>
          <w:szCs w:val="22"/>
        </w:rPr>
        <w:t>that</w:t>
      </w:r>
      <w:r w:rsidRPr="00237F60" w:rsidR="007D4DE5">
        <w:rPr>
          <w:szCs w:val="22"/>
        </w:rPr>
        <w:t xml:space="preserve"> </w:t>
      </w:r>
      <w:r w:rsidR="001B4DD2">
        <w:rPr>
          <w:szCs w:val="22"/>
        </w:rPr>
        <w:t>Peak Communications, Inc.</w:t>
      </w:r>
      <w:r w:rsidRPr="00237F60" w:rsidR="00AD7D33">
        <w:rPr>
          <w:szCs w:val="22"/>
        </w:rPr>
        <w:t xml:space="preserve"> </w:t>
      </w:r>
      <w:r w:rsidRPr="00237F60">
        <w:rPr>
          <w:szCs w:val="22"/>
        </w:rPr>
        <w:t xml:space="preserve">may </w:t>
      </w:r>
      <w:r w:rsidRPr="00237F60" w:rsidR="00AD7D33">
        <w:rPr>
          <w:szCs w:val="22"/>
        </w:rPr>
        <w:t xml:space="preserve">not </w:t>
      </w:r>
      <w:r w:rsidRPr="00237F60">
        <w:rPr>
          <w:szCs w:val="22"/>
        </w:rPr>
        <w:t>pursue any collection against Complainant for those charges.</w:t>
      </w:r>
    </w:p>
    <w:p w:rsidR="00543CA2" w:rsidRPr="00237F60" w:rsidP="009E751C">
      <w:pPr>
        <w:snapToGrid w:val="0"/>
        <w:spacing w:after="120"/>
        <w:rPr>
          <w:szCs w:val="22"/>
        </w:rPr>
      </w:pPr>
      <w:r>
        <w:rPr>
          <w:szCs w:val="22"/>
        </w:rPr>
        <w:br w:type="page"/>
      </w:r>
    </w:p>
    <w:p w:rsidR="00543CA2" w:rsidRPr="00237F60" w:rsidP="00F6144A">
      <w:pPr>
        <w:numPr>
          <w:ilvl w:val="0"/>
          <w:numId w:val="7"/>
        </w:numPr>
        <w:snapToGrid w:val="0"/>
        <w:spacing w:after="120"/>
        <w:ind w:left="0" w:firstLine="720"/>
        <w:rPr>
          <w:szCs w:val="22"/>
        </w:rPr>
      </w:pPr>
      <w:r w:rsidRPr="00237F60">
        <w:rPr>
          <w:szCs w:val="22"/>
        </w:rPr>
        <w:t>IT IS FURTHER ORDERED that this Order is effective upon release.</w:t>
      </w:r>
    </w:p>
    <w:p w:rsidR="00543CA2" w:rsidRPr="00237F60" w:rsidP="00543CA2">
      <w:pPr>
        <w:rPr>
          <w:szCs w:val="22"/>
        </w:rPr>
      </w:pPr>
    </w:p>
    <w:p w:rsidR="00543CA2" w:rsidRPr="00237F60" w:rsidP="00543CA2">
      <w:pPr>
        <w:ind w:left="3600" w:right="270"/>
        <w:rPr>
          <w:szCs w:val="22"/>
        </w:rPr>
      </w:pPr>
      <w:r w:rsidRPr="00237F60">
        <w:rPr>
          <w:szCs w:val="22"/>
        </w:rPr>
        <w:t>FEDERAL COMMUNICATIONS COMMISSION</w:t>
      </w:r>
    </w:p>
    <w:p w:rsidR="00543CA2" w:rsidRPr="00237F60" w:rsidP="00543CA2">
      <w:pPr>
        <w:ind w:right="270"/>
        <w:rPr>
          <w:szCs w:val="22"/>
        </w:rPr>
      </w:pPr>
    </w:p>
    <w:p w:rsidR="00543CA2" w:rsidRPr="00237F60" w:rsidP="00543CA2">
      <w:pPr>
        <w:ind w:right="270"/>
        <w:rPr>
          <w:szCs w:val="22"/>
        </w:rPr>
      </w:pPr>
    </w:p>
    <w:p w:rsidR="00543CA2" w:rsidRPr="00237F60" w:rsidP="00543CA2">
      <w:pPr>
        <w:ind w:right="270"/>
        <w:rPr>
          <w:szCs w:val="22"/>
        </w:rPr>
      </w:pPr>
    </w:p>
    <w:p w:rsidR="00543CA2" w:rsidRPr="00237F60" w:rsidP="00543CA2">
      <w:pPr>
        <w:ind w:right="270"/>
        <w:rPr>
          <w:szCs w:val="22"/>
        </w:rPr>
      </w:pPr>
    </w:p>
    <w:p w:rsidR="00397FA5" w:rsidRPr="00237F60" w:rsidP="002337C5">
      <w:pPr>
        <w:ind w:right="270"/>
        <w:rPr>
          <w:szCs w:val="22"/>
        </w:rPr>
      </w:pPr>
      <w:r w:rsidRPr="00237F60">
        <w:rPr>
          <w:szCs w:val="22"/>
        </w:rPr>
        <w:tab/>
      </w:r>
      <w:r w:rsidRPr="00237F60">
        <w:rPr>
          <w:szCs w:val="22"/>
        </w:rPr>
        <w:tab/>
      </w:r>
      <w:r w:rsidRPr="00237F60">
        <w:rPr>
          <w:szCs w:val="22"/>
        </w:rPr>
        <w:tab/>
      </w:r>
      <w:r w:rsidRPr="00237F60">
        <w:rPr>
          <w:szCs w:val="22"/>
        </w:rPr>
        <w:tab/>
      </w:r>
      <w:r w:rsidRPr="00237F60">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3C0FC9" w:rsidRPr="00237F60" w:rsidP="003C0FC9">
      <w:pPr>
        <w:ind w:left="540"/>
        <w:rPr>
          <w:szCs w:val="22"/>
        </w:rPr>
      </w:pPr>
    </w:p>
    <w:p w:rsidR="003C0FC9" w:rsidRPr="00237F60" w:rsidP="003C0FC9">
      <w:pPr>
        <w:ind w:left="540"/>
        <w:rPr>
          <w:szCs w:val="22"/>
        </w:rPr>
      </w:pPr>
    </w:p>
    <w:p w:rsidR="003C0FC9" w:rsidRPr="00237F60" w:rsidP="003C0FC9">
      <w:pPr>
        <w:ind w:right="270"/>
        <w:jc w:val="center"/>
        <w:rPr>
          <w:szCs w:val="22"/>
        </w:rPr>
      </w:pPr>
    </w:p>
    <w:p w:rsidR="003C0FC9" w:rsidRPr="00237F60" w:rsidP="005C2CF7">
      <w:pPr>
        <w:ind w:right="270"/>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7D87">
      <w:r>
        <w:separator/>
      </w:r>
    </w:p>
  </w:footnote>
  <w:footnote w:type="continuationSeparator" w:id="1">
    <w:p w:rsidR="00847D87" w:rsidP="00C721AC">
      <w:pPr>
        <w:spacing w:before="120"/>
        <w:rPr>
          <w:sz w:val="20"/>
        </w:rPr>
      </w:pPr>
      <w:r>
        <w:rPr>
          <w:sz w:val="20"/>
        </w:rPr>
        <w:t xml:space="preserve">(Continued from previous page)  </w:t>
      </w:r>
      <w:r>
        <w:rPr>
          <w:sz w:val="20"/>
        </w:rPr>
        <w:separator/>
      </w:r>
    </w:p>
  </w:footnote>
  <w:footnote w:type="continuationNotice" w:id="2">
    <w:p w:rsidR="00847D87" w:rsidP="00C721AC">
      <w:pPr>
        <w:jc w:val="right"/>
        <w:rPr>
          <w:sz w:val="20"/>
        </w:rPr>
      </w:pPr>
      <w:r>
        <w:rPr>
          <w:sz w:val="20"/>
        </w:rPr>
        <w:t>(continued….)</w:t>
      </w:r>
    </w:p>
  </w:footnote>
  <w:footnote w:id="3">
    <w:p w:rsidR="003C3A54">
      <w:pPr>
        <w:pStyle w:val="FootnoteText"/>
      </w:pPr>
      <w:r>
        <w:rPr>
          <w:rStyle w:val="FootnoteReference"/>
        </w:rPr>
        <w:footnoteRef/>
      </w:r>
      <w:r>
        <w:t xml:space="preserve"> </w:t>
      </w:r>
      <w:r w:rsidRPr="003C3A54">
        <w:rPr>
          <w:i/>
        </w:rPr>
        <w:t>See</w:t>
      </w:r>
      <w:r>
        <w:t xml:space="preserve"> </w:t>
      </w:r>
      <w:r w:rsidR="00937A30">
        <w:t>Informal Complaint No. 709359 (filed Dec. 15, 2015).</w:t>
      </w:r>
    </w:p>
  </w:footnote>
  <w:footnote w:id="4">
    <w:p w:rsidR="00543CA2" w:rsidP="00240D4F">
      <w:pPr>
        <w:pStyle w:val="FootnoteText"/>
      </w:pPr>
      <w:r>
        <w:rPr>
          <w:rStyle w:val="FootnoteReference"/>
        </w:rPr>
        <w:footnoteRef/>
      </w:r>
      <w:r>
        <w:t xml:space="preserve"> </w:t>
      </w:r>
      <w:r>
        <w:rPr>
          <w:i/>
        </w:rPr>
        <w:t>See</w:t>
      </w:r>
      <w:r>
        <w:t xml:space="preserve"> 47 CFR §§ 64.1100 – 64.1190.</w:t>
      </w:r>
    </w:p>
  </w:footnote>
  <w:footnote w:id="5">
    <w:p w:rsidR="00D94CA7" w:rsidP="00D94CA7">
      <w:pPr>
        <w:pStyle w:val="FootnoteText"/>
      </w:pPr>
      <w:r>
        <w:rPr>
          <w:rStyle w:val="FootnoteReference"/>
        </w:rPr>
        <w:footnoteRef/>
      </w:r>
      <w:r>
        <w:t xml:space="preserve"> 47 U.S.C. § 258(a).</w:t>
      </w:r>
    </w:p>
  </w:footnote>
  <w:footnote w:id="6">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7">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8">
    <w:p w:rsidR="00D94CA7" w:rsidRPr="00CF10D8" w:rsidP="00D94CA7">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9">
    <w:p w:rsidR="00E11822" w:rsidP="00E11822">
      <w:pPr>
        <w:pStyle w:val="FootnoteText"/>
      </w:pPr>
      <w:r>
        <w:rPr>
          <w:rStyle w:val="FootnoteReference"/>
        </w:rPr>
        <w:footnoteRef/>
      </w:r>
      <w:r>
        <w:t xml:space="preserve"> </w:t>
      </w:r>
      <w:r w:rsidRPr="00467E15" w:rsidR="00467E15">
        <w:rPr>
          <w:i/>
        </w:rPr>
        <w:t>Id</w:t>
      </w:r>
      <w:r w:rsidR="00467E15">
        <w:t>.</w:t>
      </w:r>
      <w:r w:rsidRPr="00F86B2C">
        <w:t xml:space="preserve"> § 1.719 (Commission procedure for informal complaints filed pursuant to </w:t>
      </w:r>
      <w:r w:rsidR="00886B63">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576DD">
      <w:pPr>
        <w:pStyle w:val="FootnoteText"/>
      </w:pPr>
      <w:r>
        <w:rPr>
          <w:rStyle w:val="FootnoteReference"/>
        </w:rPr>
        <w:footnoteRef/>
      </w:r>
      <w:r>
        <w:t xml:space="preserve"> </w:t>
      </w:r>
      <w:r w:rsidRPr="00EA1421">
        <w:rPr>
          <w:i/>
        </w:rPr>
        <w:t xml:space="preserve">See </w:t>
      </w:r>
      <w:r w:rsidR="00221AE8">
        <w:t>Peak Response to Informal Complaint No. 709359 (filed June 13, 2016)</w:t>
      </w:r>
      <w:r w:rsidR="00CB4EAA">
        <w:t>.</w:t>
      </w:r>
      <w:r w:rsidR="00DD168A">
        <w:t xml:space="preserve">  Peak stated that the verification was completed on October 31, 2014.</w:t>
      </w:r>
    </w:p>
  </w:footnote>
  <w:footnote w:id="11">
    <w:p w:rsidR="00DD168A">
      <w:pPr>
        <w:pStyle w:val="FootnoteText"/>
      </w:pPr>
      <w:r>
        <w:rPr>
          <w:rStyle w:val="FootnoteReference"/>
        </w:rPr>
        <w:footnoteRef/>
      </w:r>
      <w:r>
        <w:t xml:space="preserve"> </w:t>
      </w:r>
      <w:r w:rsidRPr="00DD168A">
        <w:rPr>
          <w:i/>
        </w:rPr>
        <w:t>See</w:t>
      </w:r>
      <w:r>
        <w:t xml:space="preserve"> Peak Response to Informal Complaint No. 709359 (filed Oct. 8, 2018).</w:t>
      </w:r>
    </w:p>
  </w:footnote>
  <w:footnote w:id="12">
    <w:p w:rsidR="0006145A">
      <w:pPr>
        <w:pStyle w:val="FootnoteText"/>
      </w:pPr>
      <w:r>
        <w:rPr>
          <w:rStyle w:val="FootnoteReference"/>
        </w:rPr>
        <w:footnoteRef/>
      </w:r>
      <w:r>
        <w:t xml:space="preserve"> </w:t>
      </w:r>
      <w:r w:rsidRPr="00622CD2">
        <w:rPr>
          <w:i/>
        </w:rPr>
        <w:t>See</w:t>
      </w:r>
      <w:r>
        <w:t xml:space="preserve"> 47 CFR </w:t>
      </w:r>
      <w:r w:rsidRPr="00F86B2C">
        <w:t>§</w:t>
      </w:r>
      <w:r>
        <w:t xml:space="preserve"> 64.1120(c)(3)(iv).</w:t>
      </w:r>
    </w:p>
  </w:footnote>
  <w:footnote w:id="13">
    <w:p w:rsidR="00221AE8" w:rsidRPr="003D1861" w:rsidP="00221AE8">
      <w:pPr>
        <w:pStyle w:val="FootnoteText"/>
      </w:pPr>
      <w:r>
        <w:rPr>
          <w:rStyle w:val="FootnoteReference"/>
        </w:rPr>
        <w:footnoteRef/>
      </w:r>
      <w:r>
        <w:t xml:space="preserve"> </w:t>
      </w:r>
      <w:bookmarkStart w:id="1" w:name="_Hlk514147807"/>
      <w:r w:rsidR="0006145A">
        <w:rPr>
          <w:i/>
        </w:rPr>
        <w:t>Id.</w:t>
      </w:r>
      <w:r>
        <w:t xml:space="preserve"> </w:t>
      </w:r>
      <w:bookmarkStart w:id="2" w:name="_Hlk514147961"/>
      <w:r>
        <w:t>§</w:t>
      </w:r>
      <w:bookmarkEnd w:id="2"/>
      <w:r>
        <w:t xml:space="preserve"> 64.1150(d)</w:t>
      </w:r>
      <w:bookmarkEnd w:id="1"/>
      <w:r>
        <w:t>.</w:t>
      </w:r>
    </w:p>
  </w:footnote>
  <w:footnote w:id="14">
    <w:p w:rsidR="00221AE8" w:rsidP="00221AE8">
      <w:pPr>
        <w:pStyle w:val="FootnoteText"/>
        <w:tabs>
          <w:tab w:val="left" w:pos="0"/>
        </w:tabs>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5">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16">
    <w:p w:rsidR="00543CA2" w:rsidP="00E11822">
      <w:pPr>
        <w:pStyle w:val="FootnoteText"/>
      </w:pPr>
      <w:r>
        <w:rPr>
          <w:rStyle w:val="FootnoteReference"/>
        </w:rPr>
        <w:footnoteRef/>
      </w:r>
      <w:r>
        <w:t xml:space="preserve"> </w:t>
      </w:r>
      <w:r>
        <w:rPr>
          <w:i/>
        </w:rPr>
        <w:t>Se</w:t>
      </w:r>
      <w:r w:rsidR="00763CD4">
        <w:rPr>
          <w:i/>
        </w:rPr>
        <w:t xml:space="preserve">e id. </w:t>
      </w:r>
      <w:r>
        <w:t>§ 64.1160(d).</w:t>
      </w:r>
    </w:p>
  </w:footnote>
  <w:footnote w:id="17">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DA 19-</w:t>
    </w:r>
    <w:r w:rsidR="00D37FB4">
      <w:t>467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7D3">
      <w:rPr>
        <w:spacing w:val="-2"/>
      </w:rPr>
      <w:t>DA 19-</w:t>
    </w:r>
    <w:r w:rsidR="00D37FB4">
      <w:rPr>
        <w:spacing w:val="-2"/>
      </w:rPr>
      <w:t>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5538D3EE"/>
    <w:lvl w:ilvl="0">
      <w:start w:val="1"/>
      <w:numFmt w:val="decimal"/>
      <w:lvlText w:val="%1."/>
      <w:lvlJc w:val="left"/>
      <w:pPr>
        <w:tabs>
          <w:tab w:val="num" w:pos="1440"/>
        </w:tabs>
        <w:ind w:left="1440" w:hanging="720"/>
      </w:pPr>
      <w:rPr>
        <w:b w:val="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2"/>
    <w:rsid w:val="00036039"/>
    <w:rsid w:val="00037F90"/>
    <w:rsid w:val="0006145A"/>
    <w:rsid w:val="000875BF"/>
    <w:rsid w:val="00096D8C"/>
    <w:rsid w:val="000C0B65"/>
    <w:rsid w:val="000D4992"/>
    <w:rsid w:val="000E05FE"/>
    <w:rsid w:val="000E3D42"/>
    <w:rsid w:val="00122BD5"/>
    <w:rsid w:val="00133F79"/>
    <w:rsid w:val="00142D97"/>
    <w:rsid w:val="00154175"/>
    <w:rsid w:val="0017285B"/>
    <w:rsid w:val="0018583C"/>
    <w:rsid w:val="00194A66"/>
    <w:rsid w:val="001A3542"/>
    <w:rsid w:val="001A54F0"/>
    <w:rsid w:val="001B4DD2"/>
    <w:rsid w:val="001D6BCF"/>
    <w:rsid w:val="001E01CA"/>
    <w:rsid w:val="00221AE8"/>
    <w:rsid w:val="002337C5"/>
    <w:rsid w:val="00237F60"/>
    <w:rsid w:val="00240D4F"/>
    <w:rsid w:val="00275CF5"/>
    <w:rsid w:val="0028301F"/>
    <w:rsid w:val="00285017"/>
    <w:rsid w:val="00293132"/>
    <w:rsid w:val="002A2D2E"/>
    <w:rsid w:val="002A6F1F"/>
    <w:rsid w:val="002C00E8"/>
    <w:rsid w:val="00343749"/>
    <w:rsid w:val="003660ED"/>
    <w:rsid w:val="00397FA5"/>
    <w:rsid w:val="003B0550"/>
    <w:rsid w:val="003B694F"/>
    <w:rsid w:val="003C0FC9"/>
    <w:rsid w:val="003C3A54"/>
    <w:rsid w:val="003D0CDB"/>
    <w:rsid w:val="003D1861"/>
    <w:rsid w:val="003F171C"/>
    <w:rsid w:val="00412FC5"/>
    <w:rsid w:val="00422276"/>
    <w:rsid w:val="004242F1"/>
    <w:rsid w:val="0043405B"/>
    <w:rsid w:val="00445A00"/>
    <w:rsid w:val="00451B0F"/>
    <w:rsid w:val="00467E15"/>
    <w:rsid w:val="00470EAA"/>
    <w:rsid w:val="00473854"/>
    <w:rsid w:val="004C26B9"/>
    <w:rsid w:val="004C2EE3"/>
    <w:rsid w:val="004E4A22"/>
    <w:rsid w:val="00500917"/>
    <w:rsid w:val="00511968"/>
    <w:rsid w:val="00525E4A"/>
    <w:rsid w:val="00543CA2"/>
    <w:rsid w:val="005457D3"/>
    <w:rsid w:val="0055614C"/>
    <w:rsid w:val="005576DD"/>
    <w:rsid w:val="00562BA0"/>
    <w:rsid w:val="00566D06"/>
    <w:rsid w:val="005B397C"/>
    <w:rsid w:val="005C2CF7"/>
    <w:rsid w:val="005E14C2"/>
    <w:rsid w:val="0060144A"/>
    <w:rsid w:val="00607BA5"/>
    <w:rsid w:val="0061180A"/>
    <w:rsid w:val="00622CD2"/>
    <w:rsid w:val="00626EB6"/>
    <w:rsid w:val="00653081"/>
    <w:rsid w:val="00655D03"/>
    <w:rsid w:val="00661724"/>
    <w:rsid w:val="006701B4"/>
    <w:rsid w:val="0068058D"/>
    <w:rsid w:val="00683388"/>
    <w:rsid w:val="00683F84"/>
    <w:rsid w:val="006A6A81"/>
    <w:rsid w:val="006B5446"/>
    <w:rsid w:val="006E3575"/>
    <w:rsid w:val="006E7E60"/>
    <w:rsid w:val="006F46B2"/>
    <w:rsid w:val="006F7393"/>
    <w:rsid w:val="00701167"/>
    <w:rsid w:val="0070224F"/>
    <w:rsid w:val="007115F7"/>
    <w:rsid w:val="00732ADE"/>
    <w:rsid w:val="00744C0B"/>
    <w:rsid w:val="00763CD4"/>
    <w:rsid w:val="0076720F"/>
    <w:rsid w:val="00782613"/>
    <w:rsid w:val="00785689"/>
    <w:rsid w:val="0079754B"/>
    <w:rsid w:val="007A1E6D"/>
    <w:rsid w:val="007B0EB2"/>
    <w:rsid w:val="007C53B3"/>
    <w:rsid w:val="007D4DE5"/>
    <w:rsid w:val="00810B6F"/>
    <w:rsid w:val="00822CE0"/>
    <w:rsid w:val="008403C5"/>
    <w:rsid w:val="00841AB1"/>
    <w:rsid w:val="00847D87"/>
    <w:rsid w:val="00872273"/>
    <w:rsid w:val="00875270"/>
    <w:rsid w:val="00886B63"/>
    <w:rsid w:val="008B6AE4"/>
    <w:rsid w:val="008C68F1"/>
    <w:rsid w:val="00921803"/>
    <w:rsid w:val="00926503"/>
    <w:rsid w:val="00937A30"/>
    <w:rsid w:val="00947CE3"/>
    <w:rsid w:val="00954BB6"/>
    <w:rsid w:val="009726D8"/>
    <w:rsid w:val="009D7308"/>
    <w:rsid w:val="009D7B75"/>
    <w:rsid w:val="009E3DF7"/>
    <w:rsid w:val="009E741A"/>
    <w:rsid w:val="009E751C"/>
    <w:rsid w:val="009F31B8"/>
    <w:rsid w:val="009F76DB"/>
    <w:rsid w:val="00A15D6E"/>
    <w:rsid w:val="00A32C3B"/>
    <w:rsid w:val="00A36C32"/>
    <w:rsid w:val="00A45F4F"/>
    <w:rsid w:val="00A600A9"/>
    <w:rsid w:val="00A771A0"/>
    <w:rsid w:val="00A8671C"/>
    <w:rsid w:val="00AA55B7"/>
    <w:rsid w:val="00AA5B9E"/>
    <w:rsid w:val="00AB2407"/>
    <w:rsid w:val="00AB53DF"/>
    <w:rsid w:val="00AD7D33"/>
    <w:rsid w:val="00B07E5C"/>
    <w:rsid w:val="00B76489"/>
    <w:rsid w:val="00B811F7"/>
    <w:rsid w:val="00BA5DC6"/>
    <w:rsid w:val="00BA6196"/>
    <w:rsid w:val="00BC6D8C"/>
    <w:rsid w:val="00C10AEF"/>
    <w:rsid w:val="00C34006"/>
    <w:rsid w:val="00C36B4C"/>
    <w:rsid w:val="00C426B1"/>
    <w:rsid w:val="00C66160"/>
    <w:rsid w:val="00C721AC"/>
    <w:rsid w:val="00C90D6A"/>
    <w:rsid w:val="00CA247E"/>
    <w:rsid w:val="00CA635D"/>
    <w:rsid w:val="00CA6D21"/>
    <w:rsid w:val="00CB4EAA"/>
    <w:rsid w:val="00CC72B6"/>
    <w:rsid w:val="00CF10D8"/>
    <w:rsid w:val="00D0218D"/>
    <w:rsid w:val="00D25FB5"/>
    <w:rsid w:val="00D37FB4"/>
    <w:rsid w:val="00D40712"/>
    <w:rsid w:val="00D44223"/>
    <w:rsid w:val="00D4731D"/>
    <w:rsid w:val="00D94CA7"/>
    <w:rsid w:val="00DA2529"/>
    <w:rsid w:val="00DB130A"/>
    <w:rsid w:val="00DB2EBB"/>
    <w:rsid w:val="00DC10A1"/>
    <w:rsid w:val="00DC655F"/>
    <w:rsid w:val="00DD0B59"/>
    <w:rsid w:val="00DD168A"/>
    <w:rsid w:val="00DD3A53"/>
    <w:rsid w:val="00DD7EBD"/>
    <w:rsid w:val="00DF62B6"/>
    <w:rsid w:val="00E07225"/>
    <w:rsid w:val="00E11822"/>
    <w:rsid w:val="00E51455"/>
    <w:rsid w:val="00E5409F"/>
    <w:rsid w:val="00E66984"/>
    <w:rsid w:val="00E70FDC"/>
    <w:rsid w:val="00E84D1A"/>
    <w:rsid w:val="00EA0FE3"/>
    <w:rsid w:val="00EA1421"/>
    <w:rsid w:val="00ED716C"/>
    <w:rsid w:val="00EE17E7"/>
    <w:rsid w:val="00EE2B17"/>
    <w:rsid w:val="00EE6488"/>
    <w:rsid w:val="00EF03A1"/>
    <w:rsid w:val="00F021FA"/>
    <w:rsid w:val="00F043B3"/>
    <w:rsid w:val="00F454AE"/>
    <w:rsid w:val="00F45B74"/>
    <w:rsid w:val="00F6144A"/>
    <w:rsid w:val="00F62E97"/>
    <w:rsid w:val="00F64209"/>
    <w:rsid w:val="00F8236B"/>
    <w:rsid w:val="00F86B2C"/>
    <w:rsid w:val="00F93BF5"/>
    <w:rsid w:val="00FB5B0B"/>
    <w:rsid w:val="00FD581F"/>
    <w:rsid w:val="00FE29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fn Ch,fn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